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D1171" w14:textId="7933AECC" w:rsidR="00C03E9D" w:rsidRDefault="00C03E9D" w:rsidP="00C03E9D">
      <w:pPr>
        <w:pStyle w:val="Heading1"/>
        <w:rPr>
          <w:color w:val="000000" w:themeColor="text1"/>
        </w:rPr>
      </w:pPr>
      <w:r w:rsidRPr="00C03E9D">
        <w:rPr>
          <w:color w:val="000000" w:themeColor="text1"/>
        </w:rPr>
        <w:t xml:space="preserve">Energy </w:t>
      </w:r>
      <w:r>
        <w:rPr>
          <w:color w:val="000000" w:themeColor="text1"/>
        </w:rPr>
        <w:t>a</w:t>
      </w:r>
      <w:r w:rsidRPr="00C03E9D">
        <w:rPr>
          <w:color w:val="000000" w:themeColor="text1"/>
        </w:rPr>
        <w:t xml:space="preserve">ccess through </w:t>
      </w:r>
      <w:r>
        <w:rPr>
          <w:color w:val="000000" w:themeColor="text1"/>
        </w:rPr>
        <w:t>electricity</w:t>
      </w:r>
      <w:r w:rsidRPr="00C03E9D">
        <w:rPr>
          <w:color w:val="000000" w:themeColor="text1"/>
        </w:rPr>
        <w:t xml:space="preserve"> storage</w:t>
      </w:r>
      <w:r>
        <w:rPr>
          <w:color w:val="000000" w:themeColor="text1"/>
        </w:rPr>
        <w:t>:</w:t>
      </w:r>
      <w:r w:rsidR="00464CD1">
        <w:rPr>
          <w:color w:val="000000" w:themeColor="text1"/>
        </w:rPr>
        <w:t xml:space="preserve"> i</w:t>
      </w:r>
      <w:r w:rsidRPr="00C03E9D">
        <w:rPr>
          <w:color w:val="000000" w:themeColor="text1"/>
        </w:rPr>
        <w:t>nsights from technology providers and market enablers</w:t>
      </w:r>
    </w:p>
    <w:p w14:paraId="4E7270AC" w14:textId="77777777" w:rsidR="00582400" w:rsidRDefault="00582400" w:rsidP="00582400"/>
    <w:p w14:paraId="2C0BDB98" w14:textId="23CFA0AE" w:rsidR="00582400" w:rsidRPr="00582400" w:rsidRDefault="00582400" w:rsidP="00582400">
      <w:r>
        <w:t>Sheridan Few</w:t>
      </w:r>
      <w:r w:rsidR="008B400E" w:rsidRPr="008B400E">
        <w:rPr>
          <w:sz w:val="24"/>
          <w:vertAlign w:val="superscript"/>
        </w:rPr>
        <w:t>1</w:t>
      </w:r>
      <w:r w:rsidR="008B400E">
        <w:t>*</w:t>
      </w:r>
      <w:r>
        <w:t>, Oliver Schmidt</w:t>
      </w:r>
      <w:r w:rsidR="008B400E" w:rsidRPr="008B400E">
        <w:rPr>
          <w:sz w:val="24"/>
          <w:vertAlign w:val="superscript"/>
        </w:rPr>
        <w:t>1</w:t>
      </w:r>
      <w:proofErr w:type="gramStart"/>
      <w:r w:rsidR="008B400E">
        <w:rPr>
          <w:sz w:val="24"/>
          <w:vertAlign w:val="superscript"/>
        </w:rPr>
        <w:t>,2</w:t>
      </w:r>
      <w:proofErr w:type="gramEnd"/>
      <w:r>
        <w:t>, Ajay Gambhir</w:t>
      </w:r>
      <w:r w:rsidR="008B400E" w:rsidRPr="008B400E">
        <w:rPr>
          <w:sz w:val="24"/>
          <w:vertAlign w:val="superscript"/>
        </w:rPr>
        <w:t>1</w:t>
      </w:r>
    </w:p>
    <w:p w14:paraId="0131D810" w14:textId="139E4834" w:rsidR="00556CEC" w:rsidRDefault="008B400E" w:rsidP="00C03E9D">
      <w:r w:rsidRPr="008B400E">
        <w:rPr>
          <w:vertAlign w:val="superscript"/>
        </w:rPr>
        <w:t>1</w:t>
      </w:r>
      <w:r>
        <w:t xml:space="preserve"> Grantham Institute – Climate Change and the Environment, Imperial College London, Exhibition Road, London, SW7 2AZ, UK</w:t>
      </w:r>
    </w:p>
    <w:p w14:paraId="06D2B4C7" w14:textId="4FEE18B7" w:rsidR="008B400E" w:rsidRDefault="008B400E" w:rsidP="00C03E9D">
      <w:pPr>
        <w:rPr>
          <w:rFonts w:eastAsia="Times New Roman" w:cs="Times New Roman"/>
        </w:rPr>
      </w:pPr>
      <w:r w:rsidRPr="008B400E">
        <w:rPr>
          <w:vertAlign w:val="superscript"/>
        </w:rPr>
        <w:t>2</w:t>
      </w:r>
      <w:r>
        <w:t xml:space="preserve"> Centre for Environmental Policy, Imperial College London, Princes Gardens, London,</w:t>
      </w:r>
      <w:r w:rsidRPr="008B400E">
        <w:rPr>
          <w:rFonts w:eastAsia="Times New Roman" w:cs="Times New Roman"/>
        </w:rPr>
        <w:t xml:space="preserve"> </w:t>
      </w:r>
      <w:proofErr w:type="gramStart"/>
      <w:r>
        <w:rPr>
          <w:rFonts w:eastAsia="Times New Roman" w:cs="Times New Roman"/>
        </w:rPr>
        <w:t>SW7</w:t>
      </w:r>
      <w:proofErr w:type="gramEnd"/>
      <w:r>
        <w:rPr>
          <w:rStyle w:val="a"/>
          <w:rFonts w:eastAsia="Times New Roman" w:cs="Times New Roman"/>
        </w:rPr>
        <w:t xml:space="preserve"> </w:t>
      </w:r>
      <w:r>
        <w:rPr>
          <w:rFonts w:eastAsia="Times New Roman" w:cs="Times New Roman"/>
        </w:rPr>
        <w:t>1NE,</w:t>
      </w:r>
      <w:r>
        <w:rPr>
          <w:rStyle w:val="a"/>
          <w:rFonts w:eastAsia="Times New Roman" w:cs="Times New Roman"/>
        </w:rPr>
        <w:t xml:space="preserve"> </w:t>
      </w:r>
      <w:r>
        <w:rPr>
          <w:rFonts w:eastAsia="Times New Roman" w:cs="Times New Roman"/>
        </w:rPr>
        <w:t>UK</w:t>
      </w:r>
    </w:p>
    <w:p w14:paraId="7C3707FB" w14:textId="6C6C223C" w:rsidR="008B400E" w:rsidRPr="008B400E" w:rsidRDefault="008B400E" w:rsidP="00C03E9D">
      <w:r>
        <w:rPr>
          <w:rFonts w:eastAsia="Times New Roman" w:cs="Times New Roman"/>
        </w:rPr>
        <w:t xml:space="preserve">* Email address: </w:t>
      </w:r>
      <w:hyperlink r:id="rId9" w:history="1">
        <w:r>
          <w:rPr>
            <w:rStyle w:val="Hyperlink"/>
            <w:rFonts w:eastAsia="Times New Roman" w:cs="Times New Roman"/>
          </w:rPr>
          <w:t>s</w:t>
        </w:r>
        <w:r w:rsidRPr="005A0976">
          <w:rPr>
            <w:rStyle w:val="Hyperlink"/>
            <w:rFonts w:eastAsia="Times New Roman" w:cs="Times New Roman"/>
          </w:rPr>
          <w:t>heridan.few@imperial.ac.uk</w:t>
        </w:r>
      </w:hyperlink>
      <w:r>
        <w:rPr>
          <w:rFonts w:eastAsia="Times New Roman" w:cs="Times New Roman"/>
        </w:rPr>
        <w:t xml:space="preserve"> </w:t>
      </w:r>
    </w:p>
    <w:p w14:paraId="043B8F23" w14:textId="1925C018" w:rsidR="00464CD1" w:rsidRPr="00464CD1" w:rsidRDefault="00464CD1" w:rsidP="00464CD1">
      <w:pPr>
        <w:pStyle w:val="Heading3"/>
        <w:rPr>
          <w:rFonts w:asciiTheme="minorHAnsi" w:hAnsiTheme="minorHAnsi" w:cstheme="minorHAnsi"/>
          <w:b/>
          <w:color w:val="000000" w:themeColor="text1"/>
          <w:sz w:val="22"/>
          <w:szCs w:val="22"/>
        </w:rPr>
      </w:pPr>
      <w:r w:rsidRPr="00464CD1">
        <w:rPr>
          <w:rFonts w:asciiTheme="minorHAnsi" w:hAnsiTheme="minorHAnsi" w:cstheme="minorHAnsi"/>
          <w:b/>
          <w:color w:val="000000" w:themeColor="text1"/>
          <w:sz w:val="22"/>
          <w:szCs w:val="22"/>
        </w:rPr>
        <w:t>Abstract</w:t>
      </w:r>
    </w:p>
    <w:p w14:paraId="30CE213F" w14:textId="77777777" w:rsidR="00901617" w:rsidRDefault="00901617" w:rsidP="00901617">
      <w:pPr>
        <w:rPr>
          <w:rFonts w:ascii="Arial" w:hAnsi="Arial" w:cs="Arial"/>
          <w:szCs w:val="24"/>
        </w:rPr>
      </w:pPr>
    </w:p>
    <w:p w14:paraId="67EC95C2" w14:textId="0F8A4BF8" w:rsidR="00464CD1" w:rsidRDefault="00464CD1" w:rsidP="00901617">
      <w:r w:rsidRPr="00901617">
        <w:t>In recent years, deployment of standalone electricity systems to provide energy access in a rural context has increased rapidly</w:t>
      </w:r>
      <w:r w:rsidR="00442DA7">
        <w:t xml:space="preserve">. </w:t>
      </w:r>
      <w:r w:rsidRPr="00901617">
        <w:t xml:space="preserve">These systems typically incorporating variable renewables alongside electrical energy storage for consistent supply, and operate at a range of scales to provide a range of services. However, there has been relatively little analysis of </w:t>
      </w:r>
      <w:r w:rsidR="00950B07" w:rsidRPr="00901617">
        <w:t xml:space="preserve">storage technology choices made by providers of these systems, how this varies by application, how these are influenced by priorities of providers, and how these choices could be improved. Here, we present findings </w:t>
      </w:r>
      <w:r w:rsidRPr="00901617">
        <w:t xml:space="preserve">from a series of interviews with </w:t>
      </w:r>
      <w:r w:rsidR="00950B07" w:rsidRPr="00901617">
        <w:t>providers of</w:t>
      </w:r>
      <w:r w:rsidRPr="00901617">
        <w:t xml:space="preserve"> off grid energy solutions</w:t>
      </w:r>
      <w:r w:rsidR="00950B07" w:rsidRPr="00901617">
        <w:t xml:space="preserve"> </w:t>
      </w:r>
      <w:r w:rsidRPr="00901617">
        <w:t>on</w:t>
      </w:r>
      <w:r w:rsidR="00950B07" w:rsidRPr="00901617">
        <w:t xml:space="preserve"> choice and availability of technologies, </w:t>
      </w:r>
      <w:r w:rsidRPr="00901617">
        <w:t>supply chains</w:t>
      </w:r>
      <w:r w:rsidR="00950B07" w:rsidRPr="00901617">
        <w:t xml:space="preserve">, </w:t>
      </w:r>
      <w:proofErr w:type="spellStart"/>
      <w:r w:rsidR="00950B07" w:rsidRPr="00901617">
        <w:t>realised</w:t>
      </w:r>
      <w:proofErr w:type="spellEnd"/>
      <w:r w:rsidR="00950B07" w:rsidRPr="00901617">
        <w:t xml:space="preserve"> costs</w:t>
      </w:r>
      <w:r w:rsidRPr="00901617">
        <w:t>,</w:t>
      </w:r>
      <w:r w:rsidR="00901617" w:rsidRPr="00901617">
        <w:t xml:space="preserve"> technology performance,</w:t>
      </w:r>
      <w:r w:rsidRPr="00901617">
        <w:t xml:space="preserve"> environmental impact</w:t>
      </w:r>
      <w:r w:rsidR="00901617" w:rsidRPr="00901617">
        <w:t>, and anticipated impact of future technology development</w:t>
      </w:r>
      <w:r w:rsidRPr="00901617">
        <w:t>.</w:t>
      </w:r>
      <w:r w:rsidR="00901617" w:rsidRPr="00901617">
        <w:t xml:space="preserve"> Based upon these, we make </w:t>
      </w:r>
      <w:r w:rsidRPr="00901617">
        <w:t xml:space="preserve">recommendations </w:t>
      </w:r>
      <w:r w:rsidR="00901617" w:rsidRPr="00901617">
        <w:t xml:space="preserve">for regulators and individual companies on how technology choices and </w:t>
      </w:r>
      <w:r w:rsidR="00901617">
        <w:t xml:space="preserve">life cycle </w:t>
      </w:r>
      <w:r w:rsidR="00901617" w:rsidRPr="00901617">
        <w:t>management could be improved.</w:t>
      </w:r>
    </w:p>
    <w:p w14:paraId="6EDE421B" w14:textId="77777777" w:rsidR="00901617" w:rsidRPr="00901617" w:rsidRDefault="00901617" w:rsidP="00901617"/>
    <w:p w14:paraId="0D7A8E48" w14:textId="217B7610" w:rsidR="003272B4" w:rsidRDefault="006738CA" w:rsidP="007B38F8">
      <w:pPr>
        <w:pStyle w:val="Heading3"/>
        <w:numPr>
          <w:ilvl w:val="0"/>
          <w:numId w:val="11"/>
        </w:numPr>
        <w:rPr>
          <w:rFonts w:asciiTheme="minorHAnsi" w:hAnsiTheme="minorHAnsi" w:cstheme="minorHAnsi"/>
          <w:b/>
          <w:color w:val="000000" w:themeColor="text1"/>
          <w:sz w:val="22"/>
          <w:szCs w:val="22"/>
        </w:rPr>
      </w:pPr>
      <w:r w:rsidRPr="007B38F8">
        <w:rPr>
          <w:rFonts w:asciiTheme="minorHAnsi" w:hAnsiTheme="minorHAnsi" w:cstheme="minorHAnsi"/>
          <w:b/>
          <w:color w:val="000000" w:themeColor="text1"/>
          <w:sz w:val="22"/>
          <w:szCs w:val="22"/>
        </w:rPr>
        <w:t>Introduction</w:t>
      </w:r>
    </w:p>
    <w:p w14:paraId="00716CB7" w14:textId="77777777" w:rsidR="007B38F8" w:rsidRDefault="007B38F8" w:rsidP="007B38F8">
      <w:pPr>
        <w:spacing w:after="0" w:line="240" w:lineRule="auto"/>
      </w:pPr>
    </w:p>
    <w:p w14:paraId="29EE61EF" w14:textId="64D0F3D6" w:rsidR="00AE1171" w:rsidRDefault="00AE1171" w:rsidP="00AE1171">
      <w:r>
        <w:t xml:space="preserve">At a global level, there were still 1.1 billion people without electricity access in 2016, down from 1.7 billion in 2000 (World Energy Access Outlook, 2017). </w:t>
      </w:r>
      <w:r w:rsidR="009C0653">
        <w:t xml:space="preserve">Whilst challenges remain in comprehensively quantifying the </w:t>
      </w:r>
      <w:r w:rsidR="009C0653" w:rsidRPr="00843C13">
        <w:t>impact of modern energy access</w:t>
      </w:r>
      <w:r w:rsidR="009C0653">
        <w:t xml:space="preserve"> </w:t>
      </w:r>
      <w:r w:rsidR="009C0653">
        <w:fldChar w:fldCharType="begin" w:fldLock="1"/>
      </w:r>
      <w:r w:rsidR="00221A88">
        <w:instrText>ADDIN CSL_CITATION { "citationItems" : [ { "id" : "ITEM-1", "itemData" : { "DOI" : "10.1002/wene.304", "ISSN" : "20418396", "abstract" : "Funding information Reiner Lemoine-Foundation Recent efforts to measure energy poverty more comprehensively attempt to redress the shortcomings of binary metrics that remain in common use. However, significant challenges remain both with the construction of the new measurement frameworks and their application. The paper presents an analysis of recent multidi-mensional measurement approaches and applications to draw inferences on the implications of applying these for the measurement of energy access and in inform-ing policies aimed at improving it. The assessment suggests that despite progress having been made in capturing the multidimensional nature of energy poverty, the new measures are currently too complex to operationalize at the global level and too prescriptive to gain acceptance in diverse national contexts. Further efforts are thus required to consolidate and simplify the new frameworks for global tracking purposes, and to adapt and modify these to specific country contexts to inform national policy and planning. A subset of key energy poverty dimensions and uni-form set of indicators need to be shortlisted for the purposes of global comparisons, while specific national tracking efforts can apply dimensions and thresholds most suited to accurately capture energy poverty and its drivers in a given context.", "author" : [ { "dropping-particle" : "", "family" : "Pelz", "given" : "Setu", "non-dropping-particle" : "", "parse-names" : false, "suffix" : "" }, { "dropping-particle" : "", "family" : "Pachauri", "given" : "Shonali", "non-dropping-particle" : "", "parse-names" : false, "suffix" : "" }, { "dropping-particle" : "", "family" : "Groh", "given" : "Sebastian", "non-dropping-particle" : "", "parse-names" : false, "suffix" : "" } ], "container-title" : "Wiley Interdisciplinary Reviews: Energy and Environment", "id" : "ITEM-1", "issued" : { "date-parts" : [ [ "2018", "5" ] ] }, "page" : "e304", "title" : "A critical review of modern approaches for multidimensional energy poverty measurement", "type" : "article-journal" }, "uris" : [ "http://www.mendeley.com/documents/?uuid=e3f922a6-2123-4316-b4c0-9b6fbdc45123" ] } ], "mendeley" : { "formattedCitation" : "(Pelz et al., 2018)", "plainTextFormattedCitation" : "(Pelz et al., 2018)", "previouslyFormattedCitation" : "(Pelz et al., 2018)" }, "properties" : { "noteIndex" : 0 }, "schema" : "https://github.com/citation-style-language/schema/raw/master/csl-citation.json" }</w:instrText>
      </w:r>
      <w:r w:rsidR="009C0653">
        <w:fldChar w:fldCharType="separate"/>
      </w:r>
      <w:r w:rsidR="00221A88" w:rsidRPr="00221A88">
        <w:rPr>
          <w:noProof/>
        </w:rPr>
        <w:t>(Pelz et al., 2018)</w:t>
      </w:r>
      <w:r w:rsidR="009C0653">
        <w:fldChar w:fldCharType="end"/>
      </w:r>
      <w:r w:rsidR="009C0653">
        <w:t xml:space="preserve"> and its dependence on local context </w:t>
      </w:r>
      <w:r w:rsidR="009C0653">
        <w:fldChar w:fldCharType="begin" w:fldLock="1"/>
      </w:r>
      <w:r w:rsidR="00221A88">
        <w:instrText>ADDIN CSL_CITATION { "citationItems" : [ { "id" : "ITEM-1", "itemData" : { "DOI" : "10.1016/j.erss.2017.11.029", "ISSN" : "2214-6296", "author" : [ { "dropping-particle" : "", "family" : "Kumar", "given" : "Ankit", "non-dropping-particle" : "", "parse-names" : false, "suffix" : "" } ], "container-title" : "Energy Research &amp; Social Science", "id" : "ITEM-1", "issue" : "December 2017", "issued" : { "date-parts" : [ [ "2018" ] ] }, "page" : "3-13", "publisher" : "Elsevier", "title" : "Energy Research &amp; Social Science Justice and politics in energy access for education , livelihoods and health : How socio-cultural processes mediate the winners and losers", "type" : "article-journal", "volume" : "40" }, "uris" : [ "http://www.mendeley.com/documents/?uuid=b1b11361-fa23-41f9-949d-ea5f1345a0b2", "http://www.mendeley.com/documents/?uuid=2977beab-21af-43b8-bc2d-de5550c850c6" ] } ], "mendeley" : { "formattedCitation" : "(Kumar, 2018)", "plainTextFormattedCitation" : "(Kumar, 2018)", "previouslyFormattedCitation" : "(Kumar, 2018)" }, "properties" : { "noteIndex" : 0 }, "schema" : "https://github.com/citation-style-language/schema/raw/master/csl-citation.json" }</w:instrText>
      </w:r>
      <w:r w:rsidR="009C0653">
        <w:fldChar w:fldCharType="separate"/>
      </w:r>
      <w:r w:rsidR="00221A88" w:rsidRPr="00221A88">
        <w:rPr>
          <w:noProof/>
        </w:rPr>
        <w:t>(Kumar, 2018)</w:t>
      </w:r>
      <w:r w:rsidR="009C0653">
        <w:fldChar w:fldCharType="end"/>
      </w:r>
      <w:r w:rsidR="009C0653" w:rsidRPr="00843C13">
        <w:t xml:space="preserve">, </w:t>
      </w:r>
      <w:r w:rsidR="009C0653">
        <w:t xml:space="preserve">it </w:t>
      </w:r>
      <w:r w:rsidR="009C0653" w:rsidRPr="00843C13">
        <w:t xml:space="preserve">has been shown to be important in terms of stimulation of income generating activities </w:t>
      </w:r>
      <w:r w:rsidR="009C0653" w:rsidRPr="00843C13">
        <w:rPr>
          <w:lang w:val="en-GB"/>
        </w:rPr>
        <w:fldChar w:fldCharType="begin" w:fldLock="1"/>
      </w:r>
      <w:r w:rsidR="00221A88">
        <w:rPr>
          <w:lang w:val="en-GB"/>
        </w:rPr>
        <w:instrText>ADDIN CSL_CITATION { "citationItems" : [ { "id" : "ITEM-1", "itemData" : { "DOI" : "10.1016/J.ESD.2018.02.003", "ISSN" : "0973-0826", "abstract" : "The causal relationships between electrification and development of poor, rural communities are complex and contextual. The existing literature focuses mainly on the impact of rural electrification and electricity use on local socio-economic development, while the reverse feedbacks of various social and economic changes on electricity demand and supply have not been fully characterized. Most electricity access impact assessments assume linear, one-way effects and linear growth in electricity demand. However, the projections rarely match the reality, creating challenges for rural utilities. From a modelling perspective, the lack of attention to dynamic complexities of the electricity-development nexus prevents the appropriate modelling of electricity demand over time and, hence, informed planning for and sizing of power plants. With the goal to improve modelling of the electricity-development nexus, we undertake a comprehensive review and extensive analysis of the peer-reviewed literature on electricity access and its impact on rural socio-economic development, and vice versa. We characterize and describe the nexus between electricity access and development through graphical causal diagrams that allow us to capture, visualise and discuss the complexity and feedback loops. Based on this, we suggest guidelines for developing appropriate models able to include and simulate such complexities. Our analysis confirms that electricity use is interconnected through complex causal relations with multiple dimensions of socio-economic development, viz. income generating activities, market production and revenues, household economy, local health and population, education, and habits and social networks. The causal diagrams can be seen as a first step of the conceptualization phase of model building, which aims at describing and understanding the structure of a system. The presence of multiple uncertain parameters and complex diffusion mechanisms that describe the complex system under analysis suggests that systems-dynamic simulations can allow modelling such complex and dynamic relations, as well as dealing with the high uncertainties at stake, especially when coupled with stochastic approaches.", "author" : [ { "dropping-particle" : "", "family" : "Riva", "given" : "Fabio", "non-dropping-particle" : "", "parse-names" : false, "suffix" : "" }, { "dropping-particle" : "", "family" : "Ahlborg", "given" : "Helene", "non-dropping-particle" : "", "parse-names" : false, "suffix" : "" }, { "dropping-particle" : "", "family" : "Hartvigsson", "given" : "Elias", "non-dropping-particle" : "", "parse-names" : false, "suffix" : "" }, { "dropping-particle" : "", "family" : "Pachauri", "given" : "Shonali", "non-dropping-particle" : "", "parse-names" : false, "suffix" : "" }, { "dropping-particle" : "", "family" : "Colombo", "given" : "Emanuela", "non-dropping-particle" : "", "parse-names" : false, "suffix" : "" } ], "container-title" : "Energy for Sustainable Development", "id" : "ITEM-1", "issued" : { "date-parts" : [ [ "2018", "4" ] ] }, "page" : "203-223", "publisher" : "Elsevier", "title" : "Electricity access and rural development: Review of complex socio-economic dynamics and causal diagrams for more appropriate energy modelling", "type" : "article-journal", "volume" : "43" }, "uris" : [ "http://www.mendeley.com/documents/?uuid=616aeb16-c5e8-4b82-9679-19a545de5905" ] } ], "mendeley" : { "formattedCitation" : "(Riva et al., 2018)", "plainTextFormattedCitation" : "(Riva et al., 2018)", "previouslyFormattedCitation" : "(Riva et al., 2018)" }, "properties" : { "noteIndex" : 0 }, "schema" : "https://github.com/citation-style-language/schema/raw/master/csl-citation.json" }</w:instrText>
      </w:r>
      <w:r w:rsidR="009C0653" w:rsidRPr="00843C13">
        <w:rPr>
          <w:lang w:val="en-GB"/>
        </w:rPr>
        <w:fldChar w:fldCharType="separate"/>
      </w:r>
      <w:r w:rsidR="00221A88" w:rsidRPr="00221A88">
        <w:rPr>
          <w:noProof/>
          <w:lang w:val="en-GB"/>
        </w:rPr>
        <w:t>(Riva et al., 2018)</w:t>
      </w:r>
      <w:r w:rsidR="009C0653" w:rsidRPr="00843C13">
        <w:fldChar w:fldCharType="end"/>
      </w:r>
      <w:r w:rsidR="009C0653" w:rsidRPr="00843C13">
        <w:t xml:space="preserve">, health </w:t>
      </w:r>
      <w:r w:rsidR="009C0653" w:rsidRPr="00843C13">
        <w:rPr>
          <w:lang w:val="en-GB"/>
        </w:rPr>
        <w:fldChar w:fldCharType="begin" w:fldLock="1"/>
      </w:r>
      <w:r w:rsidR="00221A88">
        <w:rPr>
          <w:lang w:val="en-GB"/>
        </w:rPr>
        <w:instrText>ADDIN CSL_CITATION { "citationItems" : [ { "id" : "ITEM-1", "itemData" : { "DOI" : "10.1111/j.1600-0668.2004.00238.x", "ISSN" : "0905-6947", "author" : [ { "dropping-particle" : "", "family" : "Rollin", "given" : "H. B.", "non-dropping-particle" : "", "parse-names" : false, "suffix" : "" }, { "dropping-particle" : "", "family" : "Mathee", "given" : "A.", "non-dropping-particle" : "", "parse-names" : false, "suffix" : "" }, { "dropping-particle" : "", "family" : "Bruce", "given" : "N.", "non-dropping-particle" : "", "parse-names" : false, "suffix" : "" }, { "dropping-particle" : "", "family" : "Levin", "given" : "J.", "non-dropping-particle" : "", "parse-names" : false, "suffix" : "" }, { "dropping-particle" : "", "family" : "Schirnding", "given" : "Y. E. R.", "non-dropping-particle" : "von", "parse-names" : false, "suffix" : "" } ], "container-title" : "Indoor Air", "id" : "ITEM-1", "issue" : "3", "issued" : { "date-parts" : [ [ "2004", "6" ] ] }, "page" : "208-216", "publisher" : "Wiley/Blackwell (10.1111)", "title" : "Comparison of indoor air quality in electrified and un-electrified dwellings in rural South African villages", "type" : "article-journal", "volume" : "14" }, "uris" : [ "http://www.mendeley.com/documents/?uuid=2490a19b-fe0a-39e9-8f0d-9b3b13ba4937", "http://www.mendeley.com/documents/?uuid=c25e0a11-62f2-42a4-b7da-7db447a2dd23", "http://www.mendeley.com/documents/?uuid=5a9c9a75-d1b6-4b73-a224-f2a3902658a3" ] }, { "id" : "ITEM-2", "itemData" : { "DOI" : "10.1016/S0973-0826(08)60419-6", "ISSN" : "0973-0826", "abstract" : "Nearly 75% of the rural households in Ghana depend on kerosene lanterns as the main source of lighting after sunset. However, concerns are being expressed on indoor air smoke and heat as well as fire hazards associated with the use of kerosene lanterns. Largely as a result of socio-economic and environmental benefits, public solar photovoltaic (PV) electrification projects have been implemented to provide alternative lighting in off-grid communities in Ghana. The purpose of this paper was to assess the impacts of solar PV lighting on indoor air smoke in rural households. Using the with/without comparison method, 209 solar-electrified and non-electrified households were surveyed to assess impacts. The study results indicated that solar PV lighting is likely to reduce the proportion of household members being affected by indoor smoke from kerosene lanterns by 50%. Furthermore, solar PV lighting is likely to reduce the proportion of household members who get blackened nostrils from soot associated with kerosene lanterns by nearly a third. This paper maintains that, though the effects identified by this study may be short-term, further research is needed to investigate both the medium- and long-term effects on human health. Given the low income levels of the rural poor and the costs involved in maintaining PV systems, effective policies and incentives for low-income earners are fundamental steps toward improvement in quality of life and widening of access.", "author" : [ { "dropping-particle" : "", "family" : "Obeng", "given" : "George Y.", "non-dropping-particle" : "", "parse-names" : false, "suffix" : "" }, { "dropping-particle" : "", "family" : "Akuffo", "given" : "F.O.", "non-dropping-particle" : "", "parse-names" : false, "suffix" : "" }, { "dropping-particle" : "", "family" : "Braimah", "given" : "I.", "non-dropping-particle" : "", "parse-names" : false, "suffix" : "" }, { "dropping-particle" : "", "family" : "Evers", "given" : "Hans-Dieter", "non-dropping-particle" : "", "parse-names" : false, "suffix" : "" }, { "dropping-particle" : "", "family" : "Mensah", "given" : "E.", "non-dropping-particle" : "", "parse-names" : false, "suffix" : "" } ], "container-title" : "Energy for Sustainable Development", "id" : "ITEM-2", "issue" : "1", "issued" : { "date-parts" : [ [ "2008", "3" ] ] }, "page" : "55-61", "publisher" : "Elsevier", "title" : "Impact of solar photovoltaic lighting on indoor air smoke in off-grid rural Ghana", "type" : "article-journal", "volume" : "12" }, "uris" : [ "http://www.mendeley.com/documents/?uuid=5c21594e-6839-37a1-88bf-6e5aa57b1bc7", "http://www.mendeley.com/documents/?uuid=2b624126-8b0d-4669-942f-3ff69686e401", "http://www.mendeley.com/documents/?uuid=1ff3ad70-ccf1-4799-9b21-9be158015e24" ] }, { "id" : "ITEM-3", "itemData" : { "DOI" : "10.1016/J.RENENE.2008.05.011", "ISSN" : "0960-1481", "abstract" : "More than 100 years after Edison's life changing discovery, 1.6\u20132 billion people around the globe still live without light, in dark and smoke filled homes. The remote and impoverished Himalayan villages of upper Humla, in north-west Nepal, belong to some of the 2.4 billion people who still depend on the use of traditional biomass for their daily energy services such as cooking, heating and light. These activities on open fireplaces have a direct chronic impact on the health and extremely low life expectancy of the women and children along with devastating deforestation. There is a strong relationship between prosperity and access to electricity. The more remote and isolated communities in Nepal generally live in great poverty. Eighty percent of Nepal's 28.5 million people live in rural areas, with around half of these so remote, that neither a road, nor the national grid is ever likely to reach them. While Nepal has no fossil fuel resources, it is a country that is rich in renewable energy resources such as hydropower and solar energy. These abundant and locally available renewable energy resources can be tapped into with appropriate locally developed technologies. Generating and storing electrical energy derived from these rich local energy resources can provide for appropriate and sustainable lighting, which brings potential health, education, social and economic benefits to the people who have previously lived in homes with excessive indoor air pollution. This paper describes the living conditions of some villages in upper Humla, and the possible benefits of a simple village electrification system that provides basic lighting for the homes and the consequent improvements in the living conditions of the villagers.", "author" : [ { "dropping-particle" : "", "family" : "Zahnd", "given" : "Alex", "non-dropping-particle" : "", "parse-names" : false, "suffix" : "" }, { "dropping-particle" : "", "family" : "Kimber", "given" : "Haddix McKay", "non-dropping-particle" : "", "parse-names" : false, "suffix" : "" } ], "container-title" : "Renewable Energy", "id" : "ITEM-3", "issue" : "2", "issued" : { "date-parts" : [ [ "2009", "2" ] ] }, "page" : "362-368", "publisher" : "Pergamon", "title" : "Benefits from a renewable energy village electrification system", "type" : "article-journal", "volume" : "34" }, "uris" : [ "http://www.mendeley.com/documents/?uuid=e01dbc0c-fcbe-37dc-97bd-11a4e757d601", "http://www.mendeley.com/documents/?uuid=b6707b44-45dc-4e69-bf70-990db159cc49", "http://www.mendeley.com/documents/?uuid=cb1c02eb-cdc3-4713-bac0-ab21539a4576" ] } ], "mendeley" : { "formattedCitation" : "(Obeng et al., 2008; Rollin et al., 2004; Zahnd and Kimber, 2009)", "plainTextFormattedCitation" : "(Obeng et al., 2008; Rollin et al., 2004; Zahnd and Kimber, 2009)", "previouslyFormattedCitation" : "(Obeng et al., 2008; Rollin et al., 2004; Zahnd and Kimber, 2009)" }, "properties" : { "noteIndex" : 0 }, "schema" : "https://github.com/citation-style-language/schema/raw/master/csl-citation.json" }</w:instrText>
      </w:r>
      <w:r w:rsidR="009C0653" w:rsidRPr="00843C13">
        <w:rPr>
          <w:lang w:val="en-GB"/>
        </w:rPr>
        <w:fldChar w:fldCharType="separate"/>
      </w:r>
      <w:r w:rsidR="00221A88" w:rsidRPr="00221A88">
        <w:rPr>
          <w:noProof/>
          <w:lang w:val="en-GB"/>
        </w:rPr>
        <w:t>(Obeng et al., 2008; Rollin et al., 2004; Zahnd and Kimber, 2009)</w:t>
      </w:r>
      <w:r w:rsidR="009C0653" w:rsidRPr="00843C13">
        <w:fldChar w:fldCharType="end"/>
      </w:r>
      <w:r w:rsidR="009C0653" w:rsidRPr="00843C13">
        <w:t xml:space="preserve">, educational outcomes </w:t>
      </w:r>
      <w:r w:rsidR="009C0653" w:rsidRPr="00843C13">
        <w:rPr>
          <w:lang w:val="en-GB"/>
        </w:rPr>
        <w:fldChar w:fldCharType="begin" w:fldLock="1"/>
      </w:r>
      <w:r w:rsidR="00221A88">
        <w:rPr>
          <w:lang w:val="en-GB"/>
        </w:rPr>
        <w:instrText>ADDIN CSL_CITATION { "citationItems" : [ { "id" : "ITEM-1", "itemData" : { "DOI" : "10.1016/J.RSER.2015.12.219", "ISSN" : "1364-0321", "abstract" : "Even though large-scale electricity networks have existed for more than a century, thousands of primary and secondary schools have no electricity. More than 80 percent of children in Sub-Saharan Africa attend primary schools that lack electricity, more than a quarter of village schools in India lack electricity access, and fewer than half of Peruvian schools are electrified. Collectively, nearly 200 million children attend schools not connected to any type of electricity supply\u2014a number greater than the populations of Nigeria, Bangladesh, Russia or Japan. Throughout the globe, certain countries and regions lead the way in school electrification while others lag behind. Through the lens of energy and education geography, this Article identifies a series of interconnected challenges to electrifying schools. Obstacles span financing and technical reliability to bias in educational and energy funding to inability of electrification to yield net positive learning outcomes. Despite these challenges, solutions do exist, as the activities of emerging energy leaders demonstrate. High upfront costs can be mitigated by tapping into diverse financing streams and distributing risk through public private partnerships. Technical problems can be countered by stable policy frameworks with strong technical standards and certification schemes. Electrification efforts can be coupled with household and cooking programs that build community. This Article shows that schools can provide students with the light, heat, and modern tools of teaching they deserve if planners, investors, and policymakers make determined, coordinated efforts at providing energy for education.", "author" : [ { "dropping-particle" : "", "family" : "Sovacool", "given" : "Benjamin K.", "non-dropping-particle" : "", "parse-names" : false, "suffix" : "" }, { "dropping-particle" : "", "family" : "Ryan", "given" : "Sarah E.", "non-dropping-particle" : "", "parse-names" : false, "suffix" : "" } ], "container-title" : "Renewable and Sustainable Energy Reviews", "id" : "ITEM-1", "issued" : { "date-parts" : [ [ "2016", "5" ] ] }, "page" : "107-123", "publisher" : "Pergamon", "title" : "The geography of energy and education: Leaders, laggards, and lessons for achieving primary and secondary school electrification", "type" : "article-journal", "volume" : "58" }, "uris" : [ "http://www.mendeley.com/documents/?uuid=02e4268f-e502-39eb-bbea-74a3bc29f2c0", "http://www.mendeley.com/documents/?uuid=6d5c7550-79a1-4d9a-a42b-9db56b1ec9f3", "http://www.mendeley.com/documents/?uuid=a68bb971-8ae8-4586-8865-f32e872ede87" ] }, { "id" : "ITEM-2", "itemData" : { "DOI" : "10.1016/J.ENPOL.2006.03.019", "ISSN" : "0301-4215", "abstract" : "Solar technology is diffused in many parts of the world with the ambition to improve the situation in rural areas. One claimed benefit of solar power at household level is improved situation for studies. The aim of this article is to analyse the impacts that access to solar electric services can have on education in a rural setting. The results presented concern the use of solar home systems related to children's possibilities to study at night and their exposure to TVs and radios are based on two surveys. Children are reported to spend more time studying after getting solar services than prior. They do not complain to the same extent about the light as the children living in houses without solar electric light. TV and radio cassette players are found in many households. Most households served have at least one household member with a formal income, a typical occupation is teacher. A number of schools also have access to solar services through the ESCO-project. The possibility to arrange evening classes is appreciated. Targeting schools serves as a possibility to improve the educational services offered in the rural setting, benefiting all students and not only those that can afford solar at home.", "author" : [ { "dropping-particle" : "", "family" : "Gustavsson", "given" : "Mathias", "non-dropping-particle" : "", "parse-names" : false, "suffix" : "" } ], "container-title" : "Energy Policy", "id" : "ITEM-2", "issue" : "2", "issued" : { "date-parts" : [ [ "2007", "2" ] ] }, "page" : "1292-1299", "publisher" : "Elsevier", "title" : "Educational benefits from solar technology\u2014Access to solar electric services and changes in children's study routines, experiences from eastern province Zambia", "type" : "article-journal", "volume" : "35" }, "uris" : [ "http://www.mendeley.com/documents/?uuid=38ae9b0f-2903-31ea-8f0d-cfd802ac3705", "http://www.mendeley.com/documents/?uuid=909e7518-2262-4bf2-85f0-5f95cfb4ed98", "http://www.mendeley.com/documents/?uuid=4291a438-a958-4b29-b83a-c253334b6117" ] } ], "mendeley" : { "formattedCitation" : "(Gustavsson, 2007; Sovacool and Ryan, 2016)", "plainTextFormattedCitation" : "(Gustavsson, 2007; Sovacool and Ryan, 2016)", "previouslyFormattedCitation" : "(Gustavsson, 2007; Sovacool and Ryan, 2016)" }, "properties" : { "noteIndex" : 0 }, "schema" : "https://github.com/citation-style-language/schema/raw/master/csl-citation.json" }</w:instrText>
      </w:r>
      <w:r w:rsidR="009C0653" w:rsidRPr="00843C13">
        <w:rPr>
          <w:lang w:val="en-GB"/>
        </w:rPr>
        <w:fldChar w:fldCharType="separate"/>
      </w:r>
      <w:r w:rsidR="00221A88" w:rsidRPr="00221A88">
        <w:rPr>
          <w:noProof/>
          <w:lang w:val="en-GB"/>
        </w:rPr>
        <w:t>(Gustavsson, 2007; Sovacool and Ryan, 2016)</w:t>
      </w:r>
      <w:r w:rsidR="009C0653" w:rsidRPr="00843C13">
        <w:fldChar w:fldCharType="end"/>
      </w:r>
      <w:r w:rsidR="009C0653" w:rsidRPr="00843C13">
        <w:t>, and internet access</w:t>
      </w:r>
      <w:r w:rsidR="009C0653">
        <w:t xml:space="preserve"> leading to increased connectivity</w:t>
      </w:r>
      <w:r w:rsidR="009C0653" w:rsidRPr="00843C13">
        <w:t xml:space="preserve"> </w:t>
      </w:r>
      <w:r w:rsidR="009C0653" w:rsidRPr="00843C13">
        <w:rPr>
          <w:lang w:val="en-GB"/>
        </w:rPr>
        <w:fldChar w:fldCharType="begin" w:fldLock="1"/>
      </w:r>
      <w:r w:rsidR="009C393E">
        <w:rPr>
          <w:lang w:val="en-GB"/>
        </w:rPr>
        <w:instrText>ADDIN CSL_CITATION { "citationItems" : [ { "id" : "ITEM-1", "itemData" : { "author" : [ { "dropping-particle" : "", "family" : "World Economic Forum", "given" : "", "non-dropping-particle" : "", "parse-names" : false, "suffix" : "" } ], "id" : "ITEM-1", "issue" : "April", "issued" : { "date-parts" : [ [ "2016" ] ] }, "title" : "Internet for All: A Framework for Accelerating Internet Access and Adoption", "type" : "report" }, "uris" : [ "http://www.mendeley.com/documents/?uuid=c831e720-4b66-3904-ac69-1871bee1481e", "http://www.mendeley.com/documents/?uuid=33ea9d58-b197-4bcd-9b7b-bfd29be73255", "http://www.mendeley.com/documents/?uuid=a3b701ed-3260-4c31-b0bc-9b23c261db7d" ] }, { "id" : "ITEM-2", "itemData" : { "author" : [ { "dropping-particle" : "", "family" : "Holmes", "given" : "John", "non-dropping-particle" : "", "parse-names" : false, "suffix" : "" } ], "container-title" : "Smart Villages Program: Energy as a catalyst for development", "id" : "ITEM-2", "issued" : { "date-parts" : [ [ "2017" ] ] }, "title" : "The Smart Villages Initiative: Findings 2014-2017", "type" : "report" }, "uris" : [ "http://www.mendeley.com/documents/?uuid=36451a21-bcfd-4553-88fd-759ac9c9aa0a", "http://www.mendeley.com/documents/?uuid=d691c373-5338-4034-8b79-29a820f5a073", "http://www.mendeley.com/documents/?uuid=ebc35b9b-639b-46c9-be06-e0675989b74b" ] } ], "mendeley" : { "formattedCitation" : "(Holmes, 2017; World Economic Forum, 2016)", "plainTextFormattedCitation" : "(Holmes, 2017; World Economic Forum, 2016)", "previouslyFormattedCitation" : "(Holmes, 2017; World Economic Forum, 2016)" }, "properties" : { "noteIndex" : 0 }, "schema" : "https://github.com/citation-style-language/schema/raw/master/csl-citation.json" }</w:instrText>
      </w:r>
      <w:r w:rsidR="009C0653" w:rsidRPr="00843C13">
        <w:rPr>
          <w:lang w:val="en-GB"/>
        </w:rPr>
        <w:fldChar w:fldCharType="separate"/>
      </w:r>
      <w:r w:rsidR="009C393E" w:rsidRPr="009C393E">
        <w:rPr>
          <w:noProof/>
          <w:lang w:val="en-GB"/>
        </w:rPr>
        <w:t>(Holmes, 2017; World Economic Forum, 2016)</w:t>
      </w:r>
      <w:r w:rsidR="009C0653" w:rsidRPr="00843C13">
        <w:fldChar w:fldCharType="end"/>
      </w:r>
      <w:r w:rsidR="009C0653">
        <w:rPr>
          <w:lang w:val="en-GB"/>
        </w:rPr>
        <w:t>,</w:t>
      </w:r>
      <w:r w:rsidR="009C0653">
        <w:t xml:space="preserve"> The importance of energy to human wellbeing and economic development, as well as the need to </w:t>
      </w:r>
      <w:proofErr w:type="spellStart"/>
      <w:r w:rsidR="009C0653">
        <w:t>decarbonise</w:t>
      </w:r>
      <w:proofErr w:type="spellEnd"/>
      <w:r w:rsidR="009C0653">
        <w:t xml:space="preserve"> global energy to meet climate change goals, spurred the adoption in 2015 of the Sustainable Development Goal number 7 (SDG7), to “ensure access to reliable, sustainable and modern energy for all by 2030” (UNDP, 2016). Low-carbon electricity access is a key element of this goal.</w:t>
      </w:r>
    </w:p>
    <w:p w14:paraId="6D82BF3F" w14:textId="69586108" w:rsidR="00B96379" w:rsidRPr="00FB74B1" w:rsidRDefault="006C2F5F" w:rsidP="00AE1171">
      <w:pPr>
        <w:rPr>
          <w:lang w:val="en-GB"/>
        </w:rPr>
      </w:pPr>
      <w:r>
        <w:t xml:space="preserve">There has been a recent expansion of analysis on the costs, benefits and broader experiences of the adoption of off-grid low-carbon electricity systems, commonly combining renewables such as solar PV with electricity storage technologies </w:t>
      </w:r>
      <w:r w:rsidR="00B96379">
        <w:t>(</w:t>
      </w:r>
      <w:r w:rsidR="00582400">
        <w:t>reviewed in</w:t>
      </w:r>
      <w:r w:rsidR="00B96379">
        <w:t xml:space="preserve"> </w:t>
      </w:r>
      <w:r w:rsidR="00FB74B1">
        <w:fldChar w:fldCharType="begin" w:fldLock="1"/>
      </w:r>
      <w:r w:rsidR="00221A88">
        <w:instrText>ADDIN CSL_CITATION { "citationItems" : [ { "id" : "ITEM-1", "itemData" : { "DOI" : "10.1016/j.esd.2013.01.002", "ISSN" : "0973-0826", "abstract" : "South Asia accounts for 37% of the world's population without access to electricity. Such a situation continues to exist despite several initiatives and policies to support rural electrification efforts by the respective country governments including use of renewable energy technologies. While conventional grid extension has been the predominant mode of electrification in the region, the countries have also extensively used solar photovoltaic (PV) technology for energy access. However, there have been implementation challenges including technical, financial, institutional, and governance barriers. This paper, based on extensive literature review and survey of selected programs, shares the experience and lessons of solar PV programs for rural electrification in South Asia \u2013 both at the regional and country levels \u2013 and also presents a comparative analysis to exploit the cross learning potential. The paper suggests that output focused approaches, financial innovations, bundling of projects for concentrating energy loads, adopting standard processes and metrics, developing necessary infrastructure, and building local technical capacity are a key to enhancing the effectiveness of the solar PV programs.", "author" : [ { "dropping-particle" : "", "family" : "Palit", "given" : "Debajit", "non-dropping-particle" : "", "parse-names" : false, "suffix" : "" } ], "container-title" : "Energy for Sustainable Development", "id" : "ITEM-1", "issue" : "3", "issued" : { "date-parts" : [ [ "2013", "6" ] ] }, "page" : "270-279", "title" : "Solar energy programs for rural electrification: Experiences and lessons from South Asia", "type" : "article-journal", "volume" : "17" }, "uris" : [ "http://www.mendeley.com/documents/?uuid=5553fb2e-1763-46a7-bd46-f5e0d0bd6e40" ] }, { "id" : "ITEM-2", "itemData" : { "DOI" : "10.1016/j.rser.2015.12.338", "ISSN" : "1364-0321", "abstract" : "Access to electric power supply has always had a significant role in promoting improvements in all the society sectors, nevertheless nowadays 1.3 billion of people still do not have electricity access. Moreover, most of them live in rural areas of developing countries which are often isolated, scattered populated and characterized by poor infrastructure and services. In this situation, the growing consideration towards the target of universal access to energy has emphasized the role of rural electrification, and off-grid small-scale generation represents one of the most appropriate options. As a consequence, the scientific literature has devoted attention to this topic with a large number of papers. In this frame, the present analysis focuses on off-grid systems for rural electrification and provides a general framework to this topic and an analytical review of the literature. The work is based on the review of more than 350 papers mainly published from 2000 to 2014 within selected journals, and it is organized in two sections. In the first one we describe the role of small-scale generation systems throughout the process of electrification, the main features of rural areas and their typical energy uses, and we propose a new comprehensive taxonomy for off-grid systems for rural electrification. In the second one we develop an extensive review of the selected literature according to the proposed classification and to five main research areas: Technology: layout and components; Models and methods for simulation and sizing; Techno-economic feasibility analyses and sustainability analyses; Case studies analyses; Policy analyses. The work results in a comprehensive review which organizes and capitalizes the main fundamentals of the addressed topic and provides elements to get acquainted with the literature.", "author" : [ { "dropping-particle" : "", "family" : "Mandelli", "given" : "Stefano", "non-dropping-particle" : "", "parse-names" : false, "suffix" : "" }, { "dropping-particle" : "", "family" : "Barbieri", "given" : "Jacopo", "non-dropping-particle" : "", "parse-names" : false, "suffix" : "" }, { "dropping-particle" : "", "family" : "Mereu", "given" : "Riccardo", "non-dropping-particle" : "", "parse-names" : false, "suffix" : "" }, { "dropping-particle" : "", "family" : "Colombo", "given" : "Emanuela", "non-dropping-particle" : "", "parse-names" : false, "suffix" : "" } ], "container-title" : "Renewable and Sustainable Energy Reviews", "id" : "ITEM-2", "issued" : { "date-parts" : [ [ "2016", "5" ] ] }, "page" : "1621-1646", "title" : "Off-grid systems for rural electrification in developing countries: Definitions, classification and a comprehensive literature review", "type" : "article-journal", "volume" : "58" }, "uris" : [ "http://www.mendeley.com/documents/?uuid=1d41e876-e680-488b-9f73-0d8a3802e637" ] } ], "mendeley" : { "formattedCitation" : "(Mandelli et al., 2016; Palit, 2013)", "plainTextFormattedCitation" : "(Mandelli et al., 2016; Palit, 2013)", "previouslyFormattedCitation" : "(Mandelli et al., 2016; Palit, 2013)" }, "properties" : { "noteIndex" : 0 }, "schema" : "https://github.com/citation-style-language/schema/raw/master/csl-citation.json" }</w:instrText>
      </w:r>
      <w:r w:rsidR="00FB74B1">
        <w:fldChar w:fldCharType="separate"/>
      </w:r>
      <w:r w:rsidR="00221A88" w:rsidRPr="00221A88">
        <w:rPr>
          <w:noProof/>
        </w:rPr>
        <w:t>(Mandelli et al., 2016; Palit, 2013)</w:t>
      </w:r>
      <w:r w:rsidR="00FB74B1">
        <w:fldChar w:fldCharType="end"/>
      </w:r>
      <w:r w:rsidR="00582400">
        <w:t>)</w:t>
      </w:r>
      <w:r w:rsidR="00B96379">
        <w:t xml:space="preserve">. Some of these analyses have indicated that the economics of solar PV plus storage systems have improved sufficiently </w:t>
      </w:r>
      <w:r w:rsidR="00B96379">
        <w:lastRenderedPageBreak/>
        <w:t xml:space="preserve">to make them a cost-effective and viable alternative to other </w:t>
      </w:r>
      <w:r w:rsidR="00D94C18">
        <w:t>energy access</w:t>
      </w:r>
      <w:r w:rsidR="00B96379">
        <w:t xml:space="preserve"> technologies such as local diesel generation, or to grid extension strategies </w:t>
      </w:r>
      <w:r w:rsidR="00B96379">
        <w:fldChar w:fldCharType="begin" w:fldLock="1"/>
      </w:r>
      <w:r w:rsidR="00221A88">
        <w:instrText>ADDIN CSL_CITATION { "citationID" : "1bp7e1jjnh", "citationItems" : [ { "id" : "ITEM-1", "itemData" : { "DOI" : "10.1016/j.solmat.2016.04.030", "ISBN" : "0820130427", "ISSN" : "09270248", "abstract" : "Over one billion people lack access to electricity and many of them in rural areas far from existing infrastructure. Off-grid systems can provide an alternative to extending the grid network and using renewable energy, for example solar photovoltaics (PV) and battery storage, can mitigate greenhouse gas emissions from electricity that would otherwise come from fossil fuel sources. This paper presents a model capable of comparing several mature and emerging PV technologies for rural electrification with diesel generation and grid extension for locations in India in terms of both the levelised cost and lifecycle emissions intensity of electricity. The levelised cost of used electricity, ranging from $0.46???1.20/kWh, and greenhouse gas emissions are highly dependent on the PV technology chosen, with battery storage contributing significantly to both metrics. The conditions under which PV and storage becomes more favourable than grid extension are calculated and hybrid systems of PV, storage and diesel generation are evaluated. Analysis of expected price evolutions suggest that the most cost-effective hybrid systems will be dominated by PV generation around 2018.", "author" : [ { "dropping-particle" : "", "family" : "Sandwell", "given" : "Philip", "non-dropping-particle" : "", "parse-names" : false, "suffix" : "" }, { "dropping-particle" : "", "family" : "Chan", "given" : "Ngai Lam Alvin", "non-dropping-particle" : "", "parse-names" : false, "suffix" : "" }, { "dropping-particle" : "", "family" : "Foster", "given" : "Samuel", "non-dropping-particle" : "", "parse-names" : false, "suffix" : "" }, { "dropping-particle" : "", "family" : "Nagpal", "given" : "Divyam", "non-dropping-particle" : "", "parse-names" : false, "suffix" : "" }, { "dropping-particle" : "", "family" : "Emmott", "given" : "Christopher J M", "non-dropping-particle" : "", "parse-names" : false, "suffix" : "" }, { "dropping-particle" : "", "family" : "Candelise", "given" : "Chiara", "non-dropping-particle" : "", "parse-names" : false, "suffix" : "" }, { "dropping-particle" : "", "family" : "Buckle", "given" : "Simon J.", "non-dropping-particle" : "", "parse-names" : false, "suffix" : "" }, { "dropping-particle" : "", "family" : "Ekins-Daukes", "given" : "Ned", "non-dropping-particle" : "", "parse-names" : false, "suffix" : "" }, { "dropping-particle" : "", "family" : "Gambhir", "given" : "Ajay", "non-dropping-particle" : "", "parse-names" : false, "suffix" : "" }, { "dropping-particle" : "", "family" : "Nelson", "given" : "Jenny", "non-dropping-particle" : "", "parse-names" : false, "suffix" : "" } ], "container-title" : "Solar Energy Materials and Solar Cells", "id" : "ITEM-1", "issued" : { "date-parts" : [ [ "2016" ] ] }, "page" : "147-156", "publisher" : "Elsevier", "title" : "Off-grid solar photovoltaic systems for rural electrification and emissions mitigation in India", "type" : "article-journal", "volume" : "156" }, "uris" : [ "http://www.mendeley.com/documents/?uuid=79cc45a6-6196-4c7e-b023-bd4547f01214" ] }, { "id" : "ITEM-2", "itemData" : { "DOI" : "10.1088/1748-9326/6/3/034002", "ISSN" : "1748-9326", "author" : [ { "dropping-particle" : "", "family" : "Szab\u00f3", "given" : "S", "non-dropping-particle" : "", "parse-names" : false, "suffix" : "" }, { "dropping-particle" : "", "family" : "B\u00f3dis", "given" : "K", "non-dropping-particle" : "", "parse-names" : false, "suffix" : "" }, { "dropping-particle" : "", "family" : "Huld", "given" : "T.", "non-dropping-particle" : "", "parse-names" : false, "suffix" : "" }, { "dropping-particle" : "", "family" : "Moner-Girona", "given" : "M.", "non-dropping-particle" : "", "parse-names" : false, "suffix" : "" } ], "container-title" : "Environmental Research Letters", "id" : "ITEM-2", "issue" : "3", "issued" : { "date-parts" : [ [ "2011", "7", "1" ] ] }, "page" : "034002", "title" : "Energy solutions in rural Africa: mapping electrification costs of distributed solar and diesel generation versus grid extension", "type" : "article-journal", "volume" : "6" }, "uris" : [ "http://www.mendeley.com/documents/?uuid=9abb2da3-1cb3-4453-8c1e-58eabb621a36" ] } ], "mendeley" : { "formattedCitation" : "(Sandwell et al., 2016; Szab\u00f3 et al., 2011)", "plainTextFormattedCitation" : "(Sandwell et al., 2016; Szab\u00f3 et al., 2011)", "previouslyFormattedCitation" : "(Sandwell et al., 2016; Szab\u00f3 et al., 2011)" }, "properties" : { "formattedCitation" : "(Sandwell et al., 2016)", "noteIndex" : 0, "plainCitation" : "(Sandwell et al., 2016)" }, "schema" : "https://github.com/citation-style-language/schema/raw/master/csl-citation.json" }</w:instrText>
      </w:r>
      <w:r w:rsidR="00B96379">
        <w:fldChar w:fldCharType="separate"/>
      </w:r>
      <w:r w:rsidR="00221A88" w:rsidRPr="00221A88">
        <w:rPr>
          <w:rFonts w:ascii="Calibri" w:hAnsi="Calibri" w:cs="Calibri"/>
          <w:noProof/>
        </w:rPr>
        <w:t>(Sandwell et al., 2016; Szabó et al., 2011)</w:t>
      </w:r>
      <w:r w:rsidR="00B96379">
        <w:fldChar w:fldCharType="end"/>
      </w:r>
      <w:r w:rsidR="00B96379">
        <w:t xml:space="preserve">. In particular, the role of storage in such applications has received increasing attention, owing to recent rapid cost reductions, as well as future projected cost reductions, in </w:t>
      </w:r>
      <w:r w:rsidR="00345B92">
        <w:t>lithium</w:t>
      </w:r>
      <w:r w:rsidR="00FB74B1">
        <w:t>-</w:t>
      </w:r>
      <w:r w:rsidR="00B96379">
        <w:t xml:space="preserve">ion </w:t>
      </w:r>
      <w:r w:rsidR="00FB74B1">
        <w:t xml:space="preserve">(li-ion) </w:t>
      </w:r>
      <w:r w:rsidR="00B96379">
        <w:t xml:space="preserve">batteries in off-grid stationary applications </w:t>
      </w:r>
      <w:r w:rsidR="00B96379">
        <w:fldChar w:fldCharType="begin" w:fldLock="1"/>
      </w:r>
      <w:r w:rsidR="00221A88">
        <w:instrText>ADDIN CSL_CITATION { "citationID" : "3hkjeh91k", "citationItems" : [ { "id" : "ITEM-1", "itemData" : { "DOI" : "10.1016/j.enpol.2017.12.033", "ISBN" : "03014215", "ISSN" : "03014215", "abstract" : "This paper presents probabilistic estimates of the 2020 and 2030 cost and cycle life of lithium-ion battery (LiB) packs for off-grid stationary electricity storage made by leading battery experts from academia and industry, and insights on the role of public research and development (R&amp;D) funding and other drivers in determining these. By 2020, experts expect developments to arise chiefly through engineering, manufacturing and incremental chemistry changes, and expect additional R&amp;D funding to have little impact on cost. By 2030, experts indicate that more fundamental chemistry changes are possible, particularly under higher R&amp;D funding scenarios, but are not inevitable. Experts suggest that significant improvements in cycle life (eg. doubling or greater) are more achievable than in cost, particularly by 2020, and that R&amp;D could play a greater role in driving these. Experts expressed some concern, but had relatively little knowledge, of the environmental impact of LiBs. Analysis is conducted of the implications of prospective LiB improvements for the competitiveness of solar photovoltaic + LiB systems for off-grid electrification.", "author" : [ { "dropping-particle" : "", "family" : "Few", "given" : "Sheridan", "non-dropping-particle" : "", "parse-names" : false, "suffix" : "" }, { "dropping-particle" : "", "family" : "Schmidt", "given" : "Oliver", "non-dropping-particle" : "", "parse-names" : false, "suffix" : "" }, { "dropping-particle" : "", "family" : "Offer", "given" : "Gregory J.", "non-dropping-particle" : "", "parse-names" : false, "suffix" : "" }, { "dropping-particle" : "", "family" : "Brandon", "given" : "Nigel", "non-dropping-particle" : "", "parse-names" : false, "suffix" : "" }, { "dropping-particle" : "", "family" : "Nelson", "given" : "Jenny", "non-dropping-particle" : "", "parse-names" : false, "suffix" : "" }, { "dropping-particle" : "", "family" : "Gambhir", "given" : "Ajay", "non-dropping-particle" : "", "parse-names" : false, "suffix" : "" } ], "container-title" : "Energy Policy", "id" : "ITEM-1", "issued" : { "date-parts" : [ [ "2018" ] ] }, "page" : "578-590", "title" : "Prospective improvements in cost and cycle life of off-grid lithium-ion battery packs: An analysis informed by expert elicitations", "type" : "article-journal", "volume" : "114" }, "uris" : [ "http://www.mendeley.com/documents/?uuid=63ddcdcf-1b0f-41c3-81fd-972bf7703ec2" ] } ], "mendeley" : { "formattedCitation" : "(Few et al., 2018)", "plainTextFormattedCitation" : "(Few et al., 2018)", "previouslyFormattedCitation" : "(Few et al., 2018)" }, "properties" : { "formattedCitation" : "(Few et al., 2017)", "noteIndex" : 0, "plainCitation" : "(Few et al., 2017)" }, "schema" : "https://github.com/citation-style-language/schema/raw/master/csl-citation.json" }</w:instrText>
      </w:r>
      <w:r w:rsidR="00B96379">
        <w:fldChar w:fldCharType="separate"/>
      </w:r>
      <w:r w:rsidR="00221A88" w:rsidRPr="00221A88">
        <w:rPr>
          <w:rFonts w:ascii="Calibri" w:hAnsi="Calibri" w:cs="Calibri"/>
          <w:noProof/>
        </w:rPr>
        <w:t>(Few et al., 2018)</w:t>
      </w:r>
      <w:r w:rsidR="00B96379">
        <w:fldChar w:fldCharType="end"/>
      </w:r>
      <w:r w:rsidR="00B96379">
        <w:t>, which have made them a viable contender to more established storage technologies such as lead</w:t>
      </w:r>
      <w:r w:rsidR="00FB74B1">
        <w:t>-</w:t>
      </w:r>
      <w:r w:rsidR="00B96379">
        <w:t xml:space="preserve">acid batteries. </w:t>
      </w:r>
      <w:r w:rsidR="0074392F">
        <w:t>In addition, t</w:t>
      </w:r>
      <w:r w:rsidR="009439C4">
        <w:t xml:space="preserve">here is now a range of detailed analyses on the relative cost and performance of a great variety of different storage technologies, both currently available and in pre-commercial development phases </w:t>
      </w:r>
      <w:r w:rsidR="00FB74B1">
        <w:fldChar w:fldCharType="begin" w:fldLock="1"/>
      </w:r>
      <w:r w:rsidR="00221A88">
        <w:instrText>ADDIN CSL_CITATION { "citationItems" : [ { "id" : "ITEM-1", "itemData" : { "DOI" : "10.1016/j.apenergy.2016.06.097", "author" : [ { "dropping-particle" : "", "family" : "Aneke", "given" : "Mathew", "non-dropping-particle" : "", "parse-names" : false, "suffix" : "" }, { "dropping-particle" : "", "family" : "Wang", "given" : "Meihong", "non-dropping-particle" : "", "parse-names" : false, "suffix" : "" } ], "container-title" : "Applied Energy", "id" : "ITEM-1", "issued" : { "date-parts" : [ [ "2016", "10" ] ] }, "page" : "350-377", "title" : "Energy storage technologies and real life applications \u2013 A state of the art review", "type" : "article-journal", "volume" : "179" }, "uris" : [ "http://www.mendeley.com/documents/?uuid=10924e42-38c2-452a-8b21-2ca5fa375902" ] }, { "id" : "ITEM-2", "itemData" : { "DOI" : "10.1016/j.rser.2014.01.068", "ISSN" : "1364-0321", "abstract" : "Energy storage becomes a key element in achieving goals in energy sustainability that lead to energy and cost savings. This paper discusses various types of energy storage including compressed air energy storage (CAES), flywheel energy storage (FES), pumped hydro energy storage (PHES), battery energy storage (BES), flow battery energy storage (FBES), superconducting magnetic energy storage (SMES), super capacitor energy storage (SCES), hydrogen energy storage, synthetic fuels, and thermal energy storage (TES) with additional information about the recent update of the technology. In the final part of this paper, the comparison and barriers to deploying the technologies are also given in order to give a better view about the energy storage technique.", "author" : [ { "dropping-particle" : "", "family" : "Mahlia", "given" : "T. M. I.", "non-dropping-particle" : "", "parse-names" : false, "suffix" : "" }, { "dropping-particle" : "", "family" : "Saktisahdan", "given" : "T. J.", "non-dropping-particle" : "", "parse-names" : false, "suffix" : "" }, { "dropping-particle" : "", "family" : "Jannifar", "given" : "A.", "non-dropping-particle" : "", "parse-names" : false, "suffix" : "" }, { "dropping-particle" : "", "family" : "Hasan", "given" : "M. H.", "non-dropping-particle" : "", "parse-names" : false, "suffix" : "" }, { "dropping-particle" : "", "family" : "Matseelar", "given" : "H. S. C.", "non-dropping-particle" : "", "parse-names" : false, "suffix" : "" } ], "container-title" : "Renewable and Sustainable Energy Reviews", "id" : "ITEM-2", "issued" : { "date-parts" : [ [ "2014", "5" ] ] }, "page" : "532-545", "title" : "A review of available methods and development on energy storage; technology update", "type" : "article-journal", "volume" : "33" }, "uris" : [ "http://www.mendeley.com/documents/?uuid=a0ffc7ed-45e2-4263-81f2-f5eb593e10f4" ] } ], "mendeley" : { "formattedCitation" : "(Aneke and Wang, 2016; Mahlia et al., 2014)", "plainTextFormattedCitation" : "(Aneke and Wang, 2016; Mahlia et al., 2014)", "previouslyFormattedCitation" : "(Aneke and Wang, 2016; Mahlia et al., 2014)" }, "properties" : { "noteIndex" : 0 }, "schema" : "https://github.com/citation-style-language/schema/raw/master/csl-citation.json" }</w:instrText>
      </w:r>
      <w:r w:rsidR="00FB74B1">
        <w:fldChar w:fldCharType="separate"/>
      </w:r>
      <w:r w:rsidR="00221A88" w:rsidRPr="00221A88">
        <w:rPr>
          <w:noProof/>
        </w:rPr>
        <w:t>(Aneke and Wang, 2016; Mahlia et al., 2014)</w:t>
      </w:r>
      <w:r w:rsidR="00FB74B1">
        <w:fldChar w:fldCharType="end"/>
      </w:r>
      <w:r w:rsidR="00D75AE9" w:rsidRPr="00FB74B1">
        <w:rPr>
          <w:lang w:val="en-GB"/>
        </w:rPr>
        <w:t>.</w:t>
      </w:r>
    </w:p>
    <w:p w14:paraId="00031FFD" w14:textId="7F063B93" w:rsidR="00B96379" w:rsidRDefault="00AF5617" w:rsidP="00AE1171">
      <w:r w:rsidRPr="007B38F8">
        <w:rPr>
          <w:lang w:val="en-GB"/>
        </w:rPr>
        <w:t>However, several uncertainties remain as to the suitability of different electricity storage technologies to off-grid electricity supply applications</w:t>
      </w:r>
      <w:r w:rsidR="000C63D3">
        <w:rPr>
          <w:lang w:val="en-GB"/>
        </w:rPr>
        <w:t xml:space="preserve"> and</w:t>
      </w:r>
      <w:r w:rsidRPr="007B38F8">
        <w:rPr>
          <w:lang w:val="en-GB"/>
        </w:rPr>
        <w:t xml:space="preserve"> the</w:t>
      </w:r>
      <w:r w:rsidR="007B38F8" w:rsidRPr="007B38F8">
        <w:rPr>
          <w:lang w:val="en-GB"/>
        </w:rPr>
        <w:t>ir</w:t>
      </w:r>
      <w:r w:rsidRPr="007B38F8">
        <w:rPr>
          <w:lang w:val="en-GB"/>
        </w:rPr>
        <w:t xml:space="preserve"> real-world cost and performance</w:t>
      </w:r>
      <w:r w:rsidR="007B38F8" w:rsidRPr="007B38F8">
        <w:rPr>
          <w:lang w:val="en-GB"/>
        </w:rPr>
        <w:t xml:space="preserve"> </w:t>
      </w:r>
      <w:r w:rsidRPr="007B38F8">
        <w:rPr>
          <w:lang w:val="en-GB"/>
        </w:rPr>
        <w:t xml:space="preserve">in these applications. </w:t>
      </w:r>
      <w:r>
        <w:t xml:space="preserve">Furthermore, it is important to understand the value-chain characteristics of different storage technologies, in terms of their origin of manufacture, cost of procurement and installation, and method of disposal and recycling. </w:t>
      </w:r>
    </w:p>
    <w:p w14:paraId="216F69C0" w14:textId="0F641604" w:rsidR="008D1A88" w:rsidRPr="00B44AB5" w:rsidRDefault="00616C92" w:rsidP="00B44AB5">
      <w:r>
        <w:t xml:space="preserve">This paper reports on a series of interviews undertaken with </w:t>
      </w:r>
      <w:r w:rsidR="00D812D0">
        <w:t>nine</w:t>
      </w:r>
      <w:r w:rsidR="000C63D3">
        <w:t xml:space="preserve"> </w:t>
      </w:r>
      <w:r>
        <w:t xml:space="preserve">providers of rural off-grid electricity systems including storage technologies, to fulfil a variety of applications at a range of scales, and in a range of locations in sub-Saharan Africa as well as South Asia. </w:t>
      </w:r>
      <w:r w:rsidR="000C63D3">
        <w:t xml:space="preserve">The industry association for off-grid electricity systems and a recycling company specializing for waste of this type were also interviewed. </w:t>
      </w:r>
      <w:r>
        <w:t xml:space="preserve">The interviews were undertaken over the course of July-September 2017, with a view to exploring the range of technologies used by these suppliers and their experience of using them. </w:t>
      </w:r>
    </w:p>
    <w:p w14:paraId="5372E81C" w14:textId="61609399" w:rsidR="008D1A88" w:rsidRDefault="008D1A88" w:rsidP="0074392F">
      <w:r>
        <w:t>The rest of this paper is set out as follows</w:t>
      </w:r>
      <w:r w:rsidR="00B44AB5">
        <w:t xml:space="preserve">. </w:t>
      </w:r>
      <w:r w:rsidRPr="008D1A88">
        <w:t>Section 2 describes the</w:t>
      </w:r>
      <w:r>
        <w:t xml:space="preserve"> applications</w:t>
      </w:r>
      <w:r w:rsidR="009439C4">
        <w:t xml:space="preserve"> </w:t>
      </w:r>
      <w:r w:rsidR="00C9518F">
        <w:t xml:space="preserve">and technologies </w:t>
      </w:r>
      <w:r w:rsidR="009439C4">
        <w:t xml:space="preserve">that are covered in the research undertaken in this study, so as to provide a technical basis for description and further discussion of the technologies. Section 3 </w:t>
      </w:r>
      <w:r w:rsidR="001B7D67">
        <w:t>details the interview process</w:t>
      </w:r>
      <w:r w:rsidR="0074392F">
        <w:t>. Section 4 d</w:t>
      </w:r>
      <w:r w:rsidR="00582400">
        <w:t xml:space="preserve">iscusses the findings, </w:t>
      </w:r>
      <w:proofErr w:type="spellStart"/>
      <w:r w:rsidR="00582400">
        <w:t>categoris</w:t>
      </w:r>
      <w:r w:rsidR="0074392F">
        <w:t>ed</w:t>
      </w:r>
      <w:proofErr w:type="spellEnd"/>
      <w:r w:rsidR="0074392F">
        <w:t xml:space="preserve"> into the</w:t>
      </w:r>
      <w:r w:rsidR="00D812D0">
        <w:t xml:space="preserve"> four</w:t>
      </w:r>
      <w:r w:rsidR="0074392F">
        <w:t xml:space="preserve"> different aspects of the storage technologies (</w:t>
      </w:r>
      <w:r w:rsidR="005262E5">
        <w:t>suitability to off-grid applications</w:t>
      </w:r>
      <w:r w:rsidR="0074392F">
        <w:t>, cost, performance</w:t>
      </w:r>
      <w:r w:rsidR="005262E5">
        <w:t xml:space="preserve"> and </w:t>
      </w:r>
      <w:r w:rsidR="0074392F">
        <w:t xml:space="preserve">value chain) that formed the structure of the interview. Section 5 </w:t>
      </w:r>
      <w:proofErr w:type="spellStart"/>
      <w:r w:rsidR="0074392F">
        <w:t>summarises</w:t>
      </w:r>
      <w:proofErr w:type="spellEnd"/>
      <w:r w:rsidR="0074392F">
        <w:t xml:space="preserve"> the main findings and remaining gaps in knowledge</w:t>
      </w:r>
      <w:r w:rsidR="005262E5">
        <w:t xml:space="preserve"> and</w:t>
      </w:r>
      <w:r w:rsidR="0074392F">
        <w:t xml:space="preserve"> </w:t>
      </w:r>
      <w:r w:rsidR="005262E5">
        <w:t>proposes</w:t>
      </w:r>
      <w:r w:rsidR="0074392F">
        <w:t xml:space="preserve"> particular policies and measures that are likely to be required to further stimulate the off-grid storage market and ensure </w:t>
      </w:r>
      <w:r w:rsidR="005262E5">
        <w:t xml:space="preserve">availability of </w:t>
      </w:r>
      <w:r w:rsidR="0074392F">
        <w:t xml:space="preserve">safe, environmentally sustainable and low-cost storage. Section 6 concludes. </w:t>
      </w:r>
    </w:p>
    <w:p w14:paraId="295A19B2" w14:textId="77777777" w:rsidR="00D94C18" w:rsidRDefault="00D94C18">
      <w:pPr>
        <w:rPr>
          <w:rFonts w:eastAsiaTheme="majorEastAsia" w:cstheme="minorHAnsi"/>
          <w:b/>
          <w:color w:val="000000" w:themeColor="text1"/>
          <w:szCs w:val="24"/>
          <w:lang w:val="en-GB"/>
        </w:rPr>
      </w:pPr>
      <w:r>
        <w:rPr>
          <w:rFonts w:cstheme="minorHAnsi"/>
          <w:b/>
          <w:color w:val="000000" w:themeColor="text1"/>
        </w:rPr>
        <w:br w:type="page"/>
      </w:r>
    </w:p>
    <w:p w14:paraId="21565F01" w14:textId="11594934" w:rsidR="007B38F8" w:rsidRDefault="008D1A88" w:rsidP="008D324A">
      <w:pPr>
        <w:pStyle w:val="Heading3"/>
        <w:numPr>
          <w:ilvl w:val="0"/>
          <w:numId w:val="11"/>
        </w:numPr>
        <w:spacing w:line="240" w:lineRule="auto"/>
        <w:rPr>
          <w:rFonts w:asciiTheme="minorHAnsi" w:hAnsiTheme="minorHAnsi" w:cstheme="minorHAnsi"/>
          <w:b/>
          <w:color w:val="000000" w:themeColor="text1"/>
          <w:sz w:val="22"/>
        </w:rPr>
      </w:pPr>
      <w:r w:rsidRPr="00D94C18">
        <w:rPr>
          <w:rFonts w:asciiTheme="minorHAnsi" w:hAnsiTheme="minorHAnsi" w:cstheme="minorHAnsi"/>
          <w:b/>
          <w:color w:val="000000" w:themeColor="text1"/>
          <w:sz w:val="22"/>
        </w:rPr>
        <w:lastRenderedPageBreak/>
        <w:t xml:space="preserve">Off-grid storage technologies and applications </w:t>
      </w:r>
    </w:p>
    <w:p w14:paraId="0C8B6ED6" w14:textId="77777777" w:rsidR="00907F9F" w:rsidRPr="00907F9F" w:rsidRDefault="00907F9F" w:rsidP="00805348"/>
    <w:p w14:paraId="2A47A67F" w14:textId="397EE0DF" w:rsidR="00C82A25" w:rsidRDefault="00C82A25" w:rsidP="007B38F8">
      <w:pPr>
        <w:pStyle w:val="Heading4"/>
        <w:numPr>
          <w:ilvl w:val="1"/>
          <w:numId w:val="11"/>
        </w:numPr>
        <w:rPr>
          <w:rFonts w:asciiTheme="minorHAnsi" w:hAnsiTheme="minorHAnsi" w:cstheme="minorHAnsi"/>
          <w:color w:val="000000" w:themeColor="text1"/>
        </w:rPr>
      </w:pPr>
      <w:r w:rsidRPr="007B38F8">
        <w:rPr>
          <w:rFonts w:asciiTheme="minorHAnsi" w:hAnsiTheme="minorHAnsi" w:cstheme="minorHAnsi"/>
          <w:color w:val="000000" w:themeColor="text1"/>
        </w:rPr>
        <w:t>Applications</w:t>
      </w:r>
    </w:p>
    <w:p w14:paraId="53859018" w14:textId="77777777" w:rsidR="007B38F8" w:rsidRPr="007B38F8" w:rsidRDefault="007B38F8" w:rsidP="007B38F8">
      <w:pPr>
        <w:pStyle w:val="NoSpacing"/>
      </w:pPr>
    </w:p>
    <w:p w14:paraId="19CB30BA" w14:textId="4092455A" w:rsidR="00C82A25" w:rsidRDefault="00C82A25" w:rsidP="00C82A25">
      <w:r>
        <w:t>Off-grid electricity systems may be designed to provide a range of useful applications. In this study, we break these into five key groups</w:t>
      </w:r>
      <w:r w:rsidR="00221A88">
        <w:t xml:space="preserve"> following  </w:t>
      </w:r>
      <w:r w:rsidR="00221A88">
        <w:fldChar w:fldCharType="begin" w:fldLock="1"/>
      </w:r>
      <w:r w:rsidR="00253BF2">
        <w:instrText>ADDIN CSL_CITATION { "citationItems" : [ { "id" : "ITEM-1", "itemData" : { "author" : [ { "dropping-particle" : "", "family" : "Kempener", "given" : "Ruud", "non-dropping-particle" : "", "parse-names" : false, "suffix" : "" }, { "dropping-particle" : "", "family" : "Lavagne", "given" : "Olivier", "non-dropping-particle" : "", "parse-names" : false, "suffix" : "" }, { "dropping-particle" : "", "family" : "Saygin", "given" : "Deger", "non-dropping-particle" : "", "parse-names" : false, "suffix" : "" }, { "dropping-particle" : "", "family" : "Skeer", "given" : "Jeffrey", "non-dropping-particle" : "", "parse-names" : false, "suffix" : "" }, { "dropping-particle" : "", "family" : "Vinci", "given" : "Salvatore", "non-dropping-particle" : "", "parse-names" : false, "suffix" : "" }, { "dropping-particle" : "", "family" : "Gielen", "given" : "Dolf", "non-dropping-particle" : "", "parse-names" : false, "suffix" : "" } ], "container-title" : "IRENA Working Paper", "id" : "ITEM-1", "issued" : { "date-parts" : [ [ "2015" ] ] }, "title" : "Off-Grid Renewable Energy Systems: Status And Methodological Issues", "type" : "article-journal" }, "uris" : [ "http://www.mendeley.com/documents/?uuid=7c4b942c-000c-4ce3-9b17-e1f0052c3627" ] }, { "id" : "ITEM-2", "itemData" : { "author" : [ { "dropping-particle" : "", "family" : "Lepicard", "given" : "Fran\u00e7ois", "non-dropping-particle" : "", "parse-names" : false, "suffix" : "" }, { "dropping-particle" : "", "family" : "Kayser", "given" : "Olivier", "non-dropping-particle" : "", "parse-names" : false, "suffix" : "" }, { "dropping-particle" : "", "family" : "Graf", "given" : "Jessica", "non-dropping-particle" : "", "parse-names" : false, "suffix" : "" }, { "dropping-particle" : "", "family" : "Brossard", "given" : "Simon", "non-dropping-particle" : "", "parse-names" : false, "suffix" : "" }, { "dropping-particle" : "", "family" : "Darodes de Tailly", "given" : "Adrien", "non-dropping-particle" : "", "parse-names" : false, "suffix" : "" }, { "dropping-particle" : "", "family" : "McGrath", "given" : "Lucie Klarsfeld", "non-dropping-particle" : "", "parse-names" : false, "suffix" : "" } ], "container-title" : "Hystra", "id" : "ITEM-2", "issue" : "May", "issued" : { "date-parts" : [ [ "2017" ] ] }, "title" : "Reaching scale in access to energy: Lessons from practitioners", "type" : "article-journal" }, "uris" : [ "http://www.mendeley.com/documents/?uuid=fc168365-3e72-4436-ba3d-9ea347c28bfb" ] } ], "mendeley" : { "formattedCitation" : "(Kempener et al., 2015; Lepicard et al., 2017)", "plainTextFormattedCitation" : "(Kempener et al., 2015; Lepicard et al., 2017)", "previouslyFormattedCitation" : "(Kempener et al., 2015; Lepicard et al., 2017)" }, "properties" : { "noteIndex" : 0 }, "schema" : "https://github.com/citation-style-language/schema/raw/master/csl-citation.json" }</w:instrText>
      </w:r>
      <w:r w:rsidR="00221A88">
        <w:fldChar w:fldCharType="separate"/>
      </w:r>
      <w:r w:rsidR="009C393E" w:rsidRPr="009C393E">
        <w:rPr>
          <w:noProof/>
        </w:rPr>
        <w:t>(Kempener et al., 2015; Lepicard et al., 2017)</w:t>
      </w:r>
      <w:r w:rsidR="00221A88">
        <w:fldChar w:fldCharType="end"/>
      </w:r>
      <w:r w:rsidR="00831ABD">
        <w:t>. H</w:t>
      </w:r>
      <w:r>
        <w:t xml:space="preserve">owever, we acknowledge that </w:t>
      </w:r>
      <w:proofErr w:type="gramStart"/>
      <w:r>
        <w:t>these terms are sometimes used in different ways by different stakeholders, and that</w:t>
      </w:r>
      <w:proofErr w:type="gramEnd"/>
      <w:r>
        <w:t xml:space="preserve"> in practice some systems will overlap and provide more than one application:</w:t>
      </w:r>
    </w:p>
    <w:p w14:paraId="23191A33" w14:textId="44EBC7A6" w:rsidR="00C82A25" w:rsidRDefault="00C82A25" w:rsidP="00C82A25">
      <w:pPr>
        <w:pStyle w:val="ListParagraph"/>
        <w:numPr>
          <w:ilvl w:val="0"/>
          <w:numId w:val="4"/>
        </w:numPr>
        <w:ind w:left="360"/>
      </w:pPr>
      <w:proofErr w:type="spellStart"/>
      <w:r w:rsidRPr="00661E2F">
        <w:rPr>
          <w:b/>
        </w:rPr>
        <w:t>Picosolar</w:t>
      </w:r>
      <w:proofErr w:type="spellEnd"/>
      <w:r>
        <w:t xml:space="preserve"> </w:t>
      </w:r>
      <w:r w:rsidRPr="00661E2F">
        <w:rPr>
          <w:b/>
        </w:rPr>
        <w:t>products</w:t>
      </w:r>
      <w:r>
        <w:t xml:space="preserve"> (typically up to 10</w:t>
      </w:r>
      <w:r w:rsidR="00831ABD">
        <w:t xml:space="preserve"> </w:t>
      </w:r>
      <w:r>
        <w:t xml:space="preserve">W) provide lighting and sometimes cell phone charging. These devices were among the first solar products introduced in developing countries with quality-verified solar lanterns having reached cumulative global sales of 20 million since 2010 </w:t>
      </w:r>
      <w:r>
        <w:fldChar w:fldCharType="begin" w:fldLock="1"/>
      </w:r>
      <w:r w:rsidR="00253BF2">
        <w:instrText>ADDIN CSL_CITATION { "citationID" : "IWvfqXTS", "citationItems" : [ { "id" : "ITEM-1", "itemData" : { "author" : [ { "dropping-particle" : "", "family" : "Lepicard", "given" : "Fran\u00e7ois", "non-dropping-particle" : "", "parse-names" : false, "suffix" : "" }, { "dropping-particle" : "", "family" : "Kayser", "given" : "Olivier", "non-dropping-particle" : "", "parse-names" : false, "suffix" : "" }, { "dropping-particle" : "", "family" : "Graf", "given" : "Jessica", "non-dropping-particle" : "", "parse-names" : false, "suffix" : "" }, { "dropping-particle" : "", "family" : "Brossard", "given" : "Simon", "non-dropping-particle" : "", "parse-names" : false, "suffix" : "" }, { "dropping-particle" : "", "family" : "Darodes de Tailly", "given" : "Adrien", "non-dropping-particle" : "", "parse-names" : false, "suffix" : "" }, { "dropping-particle" : "", "family" : "McGrath", "given" : "Lucie Klarsfeld", "non-dropping-particle" : "", "parse-names" : false, "suffix" : "" } ], "container-title" : "Hystra", "id" : "ITEM-1", "issue" : "May", "issued" : { "date-parts" : [ [ "2017" ] ] }, "title" : "Reaching scale in access to energy: Lessons from practitioners", "type" : "article-journal" }, "uris" : [ "http://www.mendeley.com/documents/?uuid=fc168365-3e72-4436-ba3d-9ea347c28bfb" ] } ], "mendeley" : { "formattedCitation" : "(Lepicard et al., 2017)", "plainTextFormattedCitation" : "(Lepicard et al., 2017)", "previouslyFormattedCitation" : "(Lepicard et al., 2017)" }, "properties" : { "formattedCitation" : "(Lepicard et al., 2017)", "noteIndex" : 0, "plainCitation" : "(Lepicard et al., 2017)" }, "schema" : "https://github.com/citation-style-language/schema/raw/master/csl-citation.json" }</w:instrText>
      </w:r>
      <w:r>
        <w:fldChar w:fldCharType="separate"/>
      </w:r>
      <w:r w:rsidR="00221A88" w:rsidRPr="00221A88">
        <w:rPr>
          <w:rFonts w:ascii="Calibri" w:hAnsi="Calibri" w:cs="Calibri"/>
          <w:noProof/>
        </w:rPr>
        <w:t>(Lepicard et al., 2017)</w:t>
      </w:r>
      <w:r>
        <w:fldChar w:fldCharType="end"/>
      </w:r>
      <w:r>
        <w:t>.</w:t>
      </w:r>
    </w:p>
    <w:p w14:paraId="150EED13" w14:textId="77777777" w:rsidR="00C82A25" w:rsidRDefault="00C82A25" w:rsidP="00C82A25">
      <w:pPr>
        <w:pStyle w:val="ListParagraph"/>
        <w:ind w:left="360"/>
      </w:pPr>
    </w:p>
    <w:p w14:paraId="78A99D82" w14:textId="77777777" w:rsidR="00C82A25" w:rsidRDefault="00C82A25" w:rsidP="00C82A25">
      <w:pPr>
        <w:pStyle w:val="ListParagraph"/>
        <w:numPr>
          <w:ilvl w:val="0"/>
          <w:numId w:val="4"/>
        </w:numPr>
        <w:ind w:left="360"/>
      </w:pPr>
      <w:r w:rsidRPr="00661E2F">
        <w:rPr>
          <w:b/>
        </w:rPr>
        <w:t>Solar home systems</w:t>
      </w:r>
      <w:r>
        <w:t xml:space="preserve"> (typically 5 W to 350 W) provide domestic services to a single home. Smaller systems are only for lighting and phone charging, larger ones can power additional appliances such as radios, fans or TVs. </w:t>
      </w:r>
    </w:p>
    <w:p w14:paraId="1E0C797E" w14:textId="77777777" w:rsidR="00C82A25" w:rsidRDefault="00C82A25" w:rsidP="00C82A25">
      <w:pPr>
        <w:pStyle w:val="ListParagraph"/>
        <w:ind w:left="360"/>
      </w:pPr>
    </w:p>
    <w:p w14:paraId="5F9D9496" w14:textId="056839FA" w:rsidR="00C82A25" w:rsidRDefault="00C82A25" w:rsidP="00C82A25">
      <w:pPr>
        <w:pStyle w:val="ListParagraph"/>
        <w:numPr>
          <w:ilvl w:val="0"/>
          <w:numId w:val="4"/>
        </w:numPr>
        <w:ind w:left="360"/>
      </w:pPr>
      <w:r w:rsidRPr="00661E2F">
        <w:rPr>
          <w:b/>
        </w:rPr>
        <w:t>Nano</w:t>
      </w:r>
      <w:r w:rsidR="00221A88">
        <w:rPr>
          <w:b/>
        </w:rPr>
        <w:t>-</w:t>
      </w:r>
      <w:r w:rsidRPr="00661E2F">
        <w:rPr>
          <w:b/>
        </w:rPr>
        <w:t xml:space="preserve">grids </w:t>
      </w:r>
      <w:r>
        <w:t>(typically 300 W and 5 kW) provide domestic services to 5-30 households through a local direct current (DC) electricity grid, able to take advantage of cost savings associated with scaling and variation in demand across households unavailable for isolated solar home systems</w:t>
      </w:r>
      <w:r w:rsidR="00831ABD">
        <w:t xml:space="preserve"> </w:t>
      </w:r>
      <w:r>
        <w:fldChar w:fldCharType="begin" w:fldLock="1"/>
      </w:r>
      <w:r w:rsidR="00253BF2">
        <w:instrText>ADDIN CSL_CITATION { "citationID" : "jMlQdoCE", "citationItems" : [ { "id" : "ITEM-1", "itemData" : { "author" : [ { "dropping-particle" : "", "family" : "Lepicard", "given" : "Fran\u00e7ois", "non-dropping-particle" : "", "parse-names" : false, "suffix" : "" }, { "dropping-particle" : "", "family" : "Kayser", "given" : "Olivier", "non-dropping-particle" : "", "parse-names" : false, "suffix" : "" }, { "dropping-particle" : "", "family" : "Graf", "given" : "Jessica", "non-dropping-particle" : "", "parse-names" : false, "suffix" : "" }, { "dropping-particle" : "", "family" : "Brossard", "given" : "Simon", "non-dropping-particle" : "", "parse-names" : false, "suffix" : "" }, { "dropping-particle" : "", "family" : "Darodes de Tailly", "given" : "Adrien", "non-dropping-particle" : "", "parse-names" : false, "suffix" : "" }, { "dropping-particle" : "", "family" : "McGrath", "given" : "Lucie Klarsfeld", "non-dropping-particle" : "", "parse-names" : false, "suffix" : "" } ], "container-title" : "Hystra", "id" : "ITEM-1", "issue" : "May", "issued" : { "date-parts" : [ [ "2017" ] ] }, "title" : "Reaching scale in access to energy: Lessons from practitioners", "type" : "article-journal" }, "uris" : [ "http://www.mendeley.com/documents/?uuid=fc168365-3e72-4436-ba3d-9ea347c28bfb" ] } ], "mendeley" : { "formattedCitation" : "(Lepicard et al., 2017)", "plainTextFormattedCitation" : "(Lepicard et al., 2017)", "previouslyFormattedCitation" : "(Lepicard et al., 2017)" }, "properties" : { "formattedCitation" : "(Lepicard et al., 2017)", "noteIndex" : 0, "plainCitation" : "(Lepicard et al., 2017)" }, "schema" : "https://github.com/citation-style-language/schema/raw/master/csl-citation.json" }</w:instrText>
      </w:r>
      <w:r>
        <w:fldChar w:fldCharType="separate"/>
      </w:r>
      <w:r w:rsidR="00221A88" w:rsidRPr="00221A88">
        <w:rPr>
          <w:rFonts w:ascii="Calibri" w:hAnsi="Calibri" w:cs="Calibri"/>
          <w:noProof/>
        </w:rPr>
        <w:t>(Lepicard et al., 2017)</w:t>
      </w:r>
      <w:r>
        <w:fldChar w:fldCharType="end"/>
      </w:r>
      <w:r>
        <w:t>.</w:t>
      </w:r>
    </w:p>
    <w:p w14:paraId="3B5A3913" w14:textId="50C50D91" w:rsidR="00C82A25" w:rsidRDefault="00221A88" w:rsidP="00C82A25">
      <w:pPr>
        <w:pStyle w:val="NoSpacing"/>
        <w:numPr>
          <w:ilvl w:val="0"/>
          <w:numId w:val="4"/>
        </w:numPr>
        <w:ind w:left="360"/>
      </w:pPr>
      <w:r>
        <w:rPr>
          <w:b/>
        </w:rPr>
        <w:t>Micro-grid</w:t>
      </w:r>
      <w:r w:rsidR="00C82A25">
        <w:rPr>
          <w:b/>
        </w:rPr>
        <w:t>s</w:t>
      </w:r>
      <w:r w:rsidR="00C82A25">
        <w:t xml:space="preserve"> (typically up to 100 kW) provide domestic and potentially commercial services to entire villages of 25 to 500 households</w:t>
      </w:r>
      <w:r w:rsidR="00831ABD">
        <w:t xml:space="preserve"> </w:t>
      </w:r>
      <w:r w:rsidR="00C82A25">
        <w:fldChar w:fldCharType="begin" w:fldLock="1"/>
      </w:r>
      <w:r w:rsidR="00253BF2">
        <w:instrText>ADDIN CSL_CITATION { "citationID" : "8lEDf6xW", "citationItems" : [ { "id" : "ITEM-1", "itemData" : { "author" : [ { "dropping-particle" : "", "family" : "Lepicard", "given" : "Fran\u00e7ois", "non-dropping-particle" : "", "parse-names" : false, "suffix" : "" }, { "dropping-particle" : "", "family" : "Kayser", "given" : "Olivier", "non-dropping-particle" : "", "parse-names" : false, "suffix" : "" }, { "dropping-particle" : "", "family" : "Graf", "given" : "Jessica", "non-dropping-particle" : "", "parse-names" : false, "suffix" : "" }, { "dropping-particle" : "", "family" : "Brossard", "given" : "Simon", "non-dropping-particle" : "", "parse-names" : false, "suffix" : "" }, { "dropping-particle" : "", "family" : "Darodes de Tailly", "given" : "Adrien", "non-dropping-particle" : "", "parse-names" : false, "suffix" : "" }, { "dropping-particle" : "", "family" : "McGrath", "given" : "Lucie Klarsfeld", "non-dropping-particle" : "", "parse-names" : false, "suffix" : "" } ], "container-title" : "Hystra", "id" : "ITEM-1", "issue" : "May", "issued" : { "date-parts" : [ [ "2017" ] ] }, "title" : "Reaching scale in access to energy: Lessons from practitioners", "type" : "article-journal" }, "uris" : [ "http://www.mendeley.com/documents/?uuid=fc168365-3e72-4436-ba3d-9ea347c28bfb" ] } ], "mendeley" : { "formattedCitation" : "(Lepicard et al., 2017)", "plainTextFormattedCitation" : "(Lepicard et al., 2017)", "previouslyFormattedCitation" : "(Lepicard et al., 2017)" }, "properties" : { "formattedCitation" : "(Lepicard et al., 2017)", "noteIndex" : 0, "plainCitation" : "(Lepicard et al., 2017)" }, "schema" : "https://github.com/citation-style-language/schema/raw/master/csl-citation.json" }</w:instrText>
      </w:r>
      <w:r w:rsidR="00C82A25">
        <w:fldChar w:fldCharType="separate"/>
      </w:r>
      <w:r w:rsidRPr="00221A88">
        <w:rPr>
          <w:rFonts w:ascii="Calibri" w:hAnsi="Calibri" w:cs="Calibri"/>
          <w:noProof/>
        </w:rPr>
        <w:t>(Lepicard et al., 2017)</w:t>
      </w:r>
      <w:r w:rsidR="00C82A25">
        <w:fldChar w:fldCharType="end"/>
      </w:r>
      <w:r w:rsidR="00C82A25">
        <w:t xml:space="preserve"> through a local alternating current (AC) grid, which requires an inverter for a PV power source. </w:t>
      </w:r>
      <w:r>
        <w:t>Micro-grid</w:t>
      </w:r>
      <w:r w:rsidR="00C82A25">
        <w:t>s can also be a solution for more developed, urban regions where customers have high power consuming AC devices already (fridge, TV, etc.), and for densely populated, developed off-grid areas.</w:t>
      </w:r>
    </w:p>
    <w:p w14:paraId="0F4C6E0A" w14:textId="77777777" w:rsidR="00C82A25" w:rsidRDefault="00C82A25" w:rsidP="00C82A25">
      <w:pPr>
        <w:pStyle w:val="NoSpacing"/>
        <w:ind w:left="360"/>
      </w:pPr>
    </w:p>
    <w:p w14:paraId="02262AD6" w14:textId="61289CDE" w:rsidR="00C82A25" w:rsidRPr="000242A0" w:rsidRDefault="00C82A25" w:rsidP="00C82A25">
      <w:pPr>
        <w:pStyle w:val="ListParagraph"/>
        <w:numPr>
          <w:ilvl w:val="0"/>
          <w:numId w:val="4"/>
        </w:numPr>
        <w:ind w:left="360"/>
      </w:pPr>
      <w:r w:rsidRPr="0075760D">
        <w:rPr>
          <w:b/>
        </w:rPr>
        <w:t xml:space="preserve">Productive use products </w:t>
      </w:r>
      <w:r>
        <w:t>provide services to generate value, such as agricultural water pumping, food processing, and refrigeration. Within this broader category, we focus only on s</w:t>
      </w:r>
      <w:r w:rsidRPr="008C6662">
        <w:t>olar irrigation pump</w:t>
      </w:r>
      <w:r w:rsidRPr="008C2611">
        <w:t>s</w:t>
      </w:r>
      <w:r>
        <w:rPr>
          <w:b/>
        </w:rPr>
        <w:t xml:space="preserve">, </w:t>
      </w:r>
      <w:r>
        <w:t xml:space="preserve"> grouped into large pumps for commercial agricultural use (300 W to 1500 W, 300 charge/discharge cycles per year) and small pumps for smallholder farmers and domestic agricultural use (70 W to 300 W, 150 charge/ discharge cycles per year). </w:t>
      </w:r>
    </w:p>
    <w:p w14:paraId="0D4605DF" w14:textId="32A65349" w:rsidR="00C82A25" w:rsidRDefault="00C82A25" w:rsidP="00C82A25">
      <w:pPr>
        <w:pStyle w:val="NoSpacing"/>
      </w:pPr>
      <w:r>
        <w:t xml:space="preserve">In addition to the above, we consider </w:t>
      </w:r>
      <w:r>
        <w:rPr>
          <w:b/>
        </w:rPr>
        <w:t>in</w:t>
      </w:r>
      <w:r w:rsidRPr="006524BF">
        <w:rPr>
          <w:b/>
        </w:rPr>
        <w:t>dustry</w:t>
      </w:r>
      <w:r>
        <w:rPr>
          <w:b/>
        </w:rPr>
        <w:t xml:space="preserve"> </w:t>
      </w:r>
      <w:r>
        <w:t xml:space="preserve">applications for which we do not assign an individual category as they overlap in system size with </w:t>
      </w:r>
      <w:r w:rsidR="00221A88">
        <w:t>micro-grid</w:t>
      </w:r>
      <w:r>
        <w:t>s. These include powering off-grid areas with regular large-scale power consumers (</w:t>
      </w:r>
      <w:proofErr w:type="spellStart"/>
      <w:r>
        <w:t>eg</w:t>
      </w:r>
      <w:proofErr w:type="spellEnd"/>
      <w:r>
        <w:t xml:space="preserve">. telecommunication towers and spinning reserve for mines), balancing supply of solar power </w:t>
      </w:r>
      <w:r w:rsidR="00205136">
        <w:t>with demand</w:t>
      </w:r>
      <w:r w:rsidR="003633E3">
        <w:t>,</w:t>
      </w:r>
      <w:r w:rsidR="00831ABD">
        <w:t xml:space="preserve"> and</w:t>
      </w:r>
      <w:r>
        <w:t xml:space="preserve"> providing backup power for grid-connected businesses.</w:t>
      </w:r>
      <w:r w:rsidR="00221A88">
        <w:t xml:space="preserve"> </w:t>
      </w:r>
      <w:r w:rsidR="00221A88">
        <w:fldChar w:fldCharType="begin" w:fldLock="1"/>
      </w:r>
      <w:r w:rsidR="009C393E">
        <w:instrText>ADDIN CSL_CITATION { "citationItems" : [ { "id" : "ITEM-1", "itemData" : { "author" : [ { "dropping-particle" : "", "family" : "Kempener", "given" : "Ruud", "non-dropping-particle" : "", "parse-names" : false, "suffix" : "" }, { "dropping-particle" : "", "family" : "Lavagne", "given" : "Olivier", "non-dropping-particle" : "", "parse-names" : false, "suffix" : "" }, { "dropping-particle" : "", "family" : "Saygin", "given" : "Deger", "non-dropping-particle" : "", "parse-names" : false, "suffix" : "" }, { "dropping-particle" : "", "family" : "Skeer", "given" : "Jeffrey", "non-dropping-particle" : "", "parse-names" : false, "suffix" : "" }, { "dropping-particle" : "", "family" : "Vinci", "given" : "Salvatore", "non-dropping-particle" : "", "parse-names" : false, "suffix" : "" }, { "dropping-particle" : "", "family" : "Gielen", "given" : "Dolf", "non-dropping-particle" : "", "parse-names" : false, "suffix" : "" } ], "container-title" : "IRENA Working Paper", "id" : "ITEM-1", "issued" : { "date-parts" : [ [ "2015" ] ] }, "title" : "Off-Grid Renewable Energy Systems: Status And Methodological Issues", "type" : "article-journal" }, "uris" : [ "http://www.mendeley.com/documents/?uuid=7c4b942c-000c-4ce3-9b17-e1f0052c3627" ] } ], "mendeley" : { "formattedCitation" : "(Kempener et al., 2015)", "plainTextFormattedCitation" : "(Kempener et al., 2015)", "previouslyFormattedCitation" : "(Kempener et al., 2015)" }, "properties" : { "noteIndex" : 0 }, "schema" : "https://github.com/citation-style-language/schema/raw/master/csl-citation.json" }</w:instrText>
      </w:r>
      <w:r w:rsidR="00221A88">
        <w:fldChar w:fldCharType="separate"/>
      </w:r>
      <w:r w:rsidR="00221A88" w:rsidRPr="00221A88">
        <w:rPr>
          <w:noProof/>
        </w:rPr>
        <w:t>(Kempener et al., 2015)</w:t>
      </w:r>
      <w:r w:rsidR="00221A88">
        <w:fldChar w:fldCharType="end"/>
      </w:r>
      <w:r w:rsidR="00221A88">
        <w:t xml:space="preserve"> also specify a mini-grid category encompassing standalone systems of up to 100,000 kW. Systems of this size fall outside of the scope of this study.</w:t>
      </w:r>
    </w:p>
    <w:p w14:paraId="13E82742" w14:textId="7782EB67" w:rsidR="00C9518F" w:rsidRDefault="00C9518F">
      <w:pPr>
        <w:rPr>
          <w:lang w:val="en-GB"/>
        </w:rPr>
      </w:pPr>
      <w:r>
        <w:br w:type="page"/>
      </w:r>
    </w:p>
    <w:p w14:paraId="2E3EE427" w14:textId="77777777" w:rsidR="00C9518F" w:rsidRDefault="00C9518F" w:rsidP="00805348">
      <w:pPr>
        <w:pStyle w:val="Heading4"/>
        <w:numPr>
          <w:ilvl w:val="1"/>
          <w:numId w:val="11"/>
        </w:numPr>
        <w:rPr>
          <w:rFonts w:asciiTheme="minorHAnsi" w:hAnsiTheme="minorHAnsi" w:cstheme="minorHAnsi"/>
          <w:color w:val="000000" w:themeColor="text1"/>
        </w:rPr>
      </w:pPr>
      <w:r w:rsidRPr="007B38F8">
        <w:rPr>
          <w:rFonts w:asciiTheme="minorHAnsi" w:hAnsiTheme="minorHAnsi" w:cstheme="minorHAnsi"/>
          <w:color w:val="000000" w:themeColor="text1"/>
        </w:rPr>
        <w:lastRenderedPageBreak/>
        <w:t>Technologies</w:t>
      </w:r>
    </w:p>
    <w:p w14:paraId="3DC378AC" w14:textId="77777777" w:rsidR="00C9518F" w:rsidRPr="007B38F8" w:rsidRDefault="00C9518F" w:rsidP="00C9518F">
      <w:pPr>
        <w:spacing w:after="0" w:line="240" w:lineRule="auto"/>
        <w:rPr>
          <w:lang w:val="en-GB"/>
        </w:rPr>
      </w:pPr>
    </w:p>
    <w:p w14:paraId="0EF9236C" w14:textId="521C8770" w:rsidR="00C9518F" w:rsidRDefault="00C9518F" w:rsidP="00C9518F">
      <w:r>
        <w:t xml:space="preserve">A range of storage technologies are relevant for energy access applications. </w:t>
      </w:r>
      <w:r w:rsidRPr="005A6A23">
        <w:rPr>
          <w:b/>
        </w:rPr>
        <w:t>Lead-acid</w:t>
      </w:r>
      <w:r>
        <w:rPr>
          <w:b/>
        </w:rPr>
        <w:t xml:space="preserve"> </w:t>
      </w:r>
      <w:r w:rsidRPr="005A6A23">
        <w:rPr>
          <w:b/>
        </w:rPr>
        <w:t>batteries</w:t>
      </w:r>
      <w:r>
        <w:t xml:space="preserve"> represent the most mature battery technology with the lowest capital cost per energy capacity. However, the cycle life is low compared to competing technologies, and their energy density is relatively low, making them bulky and difficult to </w:t>
      </w:r>
      <w:proofErr w:type="spellStart"/>
      <w:r>
        <w:t>manoeuvre</w:t>
      </w:r>
      <w:proofErr w:type="spellEnd"/>
      <w:r>
        <w:t xml:space="preserve">. Lead-acid batteries may be “flooded” or “sealed”. </w:t>
      </w:r>
      <w:r w:rsidRPr="005A6A23">
        <w:t xml:space="preserve">Flooded lead-acid batteries are typically cheaper, and have longer lifetime than sealed batteries, but require more maintenance and exhibit </w:t>
      </w:r>
      <w:r>
        <w:t xml:space="preserve">more </w:t>
      </w:r>
      <w:r w:rsidRPr="005A6A23">
        <w:t>safety</w:t>
      </w:r>
      <w:r>
        <w:t xml:space="preserve"> risks </w:t>
      </w:r>
      <w:r>
        <w:fldChar w:fldCharType="begin" w:fldLock="1"/>
      </w:r>
      <w:r w:rsidR="00221A88">
        <w:instrText>ADDIN CSL_CITATION { "citationID" : "i9Rw9EBp", "citationItems" : [ { "id" : "ITEM-1", "itemData" : { "DOI" : "10.1016/j.apenergy.2014.09.081", "ISBN" : "0306-2619", "ISSN" : "03062619", "abstract" : "Electrical power generation is changing dramatically across the world because of the need to reduce greenhouse gas emissions and to introduce mixed energy sources. The power network faces great challenges in transmission and distribution to meet demand with unpredictable daily and seasonal variations. Electrical Energy Storage (EES) is recognized as underpinning technologies to have great potential in meeting these challenges, whereby energy is stored in a certain state, according to the technology used, and is converted to electrical energy when needed. However, the wide variety of options and complex characteristic matrices make it difficult to appraise a specific EES technology for a particular application. This paper intends to mitigate this problem by providing a comprehensive and clear picture of the state-of-the-art technologies available, and where they would be suited for integration into a power generation and distribution system. The paper starts with an overview of the operation principles, technical and economic performance features and the current research and development of important EES technologies, sorted into six main categories based on the types of energy stored. Following this, a comprehensive comparison and an application potential analysis of the reviewed technologies are presented.", "author" : [ { "dropping-particle" : "", "family" : "Luo", "given" : "Xing", "non-dropping-particle" : "", "parse-names" : false, "suffix" : "" }, { "dropping-particle" : "", "family" : "Wang", "given" : "Jihong", "non-dropping-particle" : "", "parse-names" : false, "suffix" : "" }, { "dropping-particle" : "", "family" : "Dooner", "given" : "Mark", "non-dropping-particle" : "", "parse-names" : false, "suffix" : "" }, { "dropping-particle" : "", "family" : "Clarke", "given" : "Jonathan", "non-dropping-particle" : "", "parse-names" : false, "suffix" : "" } ], "container-title" : "Applied Energy", "id" : "ITEM-1", "issued" : { "date-parts" : [ [ "2015" ] ] }, "page" : "511-536", "publisher" : "Elsevier Ltd", "title" : "Overview of current development in electrical energy storage technologies and the application potential in power system operation", "type" : "article-journal", "volume" : "137" }, "uris" : [ "http://www.mendeley.com/documents/?uuid=6b504852-4e24-43f3-98a1-bbde150a7563" ] } ], "mendeley" : { "formattedCitation" : "(Luo et al., 2015)", "plainTextFormattedCitation" : "(Luo et al., 2015)", "previouslyFormattedCitation" : "(Luo et al., 2015)" }, "properties" : { "formattedCitation" : "(Luo, Wang, Dooner, &amp; Clarke, 2015)", "noteIndex" : 0, "plainCitation" : "(Luo, Wang, Dooner, &amp; Clarke, 2015)" }, "schema" : "https://github.com/citation-style-language/schema/raw/master/csl-citation.json" }</w:instrText>
      </w:r>
      <w:r>
        <w:fldChar w:fldCharType="separate"/>
      </w:r>
      <w:r w:rsidR="00221A88" w:rsidRPr="00221A88">
        <w:rPr>
          <w:rFonts w:ascii="Calibri" w:hAnsi="Calibri" w:cs="Calibri"/>
          <w:noProof/>
        </w:rPr>
        <w:t>(Luo et al., 2015)</w:t>
      </w:r>
      <w:r>
        <w:fldChar w:fldCharType="end"/>
      </w:r>
      <w:r w:rsidRPr="005A6A23">
        <w:t>.</w:t>
      </w:r>
    </w:p>
    <w:p w14:paraId="06D09DE9" w14:textId="07C020BF" w:rsidR="00C9518F" w:rsidRDefault="00C9518F" w:rsidP="00C9518F">
      <w:r>
        <w:rPr>
          <w:b/>
        </w:rPr>
        <w:t>Li-ion batteries</w:t>
      </w:r>
      <w:r w:rsidRPr="008663B2">
        <w:rPr>
          <w:b/>
        </w:rPr>
        <w:t xml:space="preserve"> </w:t>
      </w:r>
      <w:r>
        <w:t>consist of a number of li-ion cells alongside electronics for battery management. Li-ion batteries are mature for portable electronics applications, but less mature for off</w:t>
      </w:r>
      <w:r w:rsidRPr="00F272AF">
        <w:t>-grid stationary applications</w:t>
      </w:r>
      <w:r>
        <w:t xml:space="preserve"> </w:t>
      </w:r>
      <w:r>
        <w:fldChar w:fldCharType="begin" w:fldLock="1"/>
      </w:r>
      <w:r w:rsidR="00221A88">
        <w:instrText>ADDIN CSL_CITATION { "citationID" : "6y3rph0h", "citationItems" : [ { "id" : "ITEM-1", "itemData" : { "author" : [ { "dropping-particle" : "", "family" : "Hanna", "given" : "Richard", "non-dropping-particle" : "", "parse-names" : false, "suffix" : "" }, { "dropping-particle" : "", "family" : "Gross", "given" : "Robert", "non-dropping-particle" : "", "parse-names" : false, "suffix" : "" }, { "dropping-particle" : "", "family" : "Speirs", "given" : "Jamie", "non-dropping-particle" : "", "parse-names" : false, "suffix" : "" }, { "dropping-particle" : "", "family" : "Heptonstall", "given" : "Philip", "non-dropping-particle" : "", "parse-names" : false, "suffix" : "" }, { "dropping-particle" : "", "family" : "Gambhir", "given" : "Ajay", "non-dropping-particle" : "", "parse-names" : false, "suffix" : "" } ], "container-title" : "UKERC Technology and Policy Assessment", "id" : "ITEM-1", "issued" : { "date-parts" : [ [ "2015" ] ] }, "title" : "Assessment Innovation timelines from invention to maturity", "type" : "article-journal" }, "uri" : [ "http://www.mendeley.com/documents/?uuid=d9e6146b-eb04-4259-b483-4d5d3ad7f668" ], "uris" : [ "http://www.mendeley.com/documents/?uuid=d9e6146b-eb04-4259-b483-4d5d3ad7f668", "http://www.mendeley.com/documents/?uuid=ca16a308-5d8e-4826-a69c-0f43bd04dae5" ] } ], "mendeley" : { "formattedCitation" : "(Hanna et al., 2015)", "plainTextFormattedCitation" : "(Hanna et al., 2015)", "previouslyFormattedCitation" : "(Hanna et al., 2015)" }, "properties" : { "formattedCitation" : "(Hanna, Gross, Speirs, Heptonstall, &amp; Gambhir, 2015)", "noteIndex" : 0, "plainCitation" : "(Hanna, Gross, Speirs, Heptonstall, &amp; Gambhir, 2015)" }, "schema" : "https://github.com/citation-style-language/schema/raw/master/csl-citation.json" }</w:instrText>
      </w:r>
      <w:r>
        <w:fldChar w:fldCharType="separate"/>
      </w:r>
      <w:r w:rsidR="00221A88" w:rsidRPr="00221A88">
        <w:rPr>
          <w:rFonts w:ascii="Calibri" w:hAnsi="Calibri" w:cs="Calibri"/>
          <w:noProof/>
        </w:rPr>
        <w:t>(Hanna et al., 2015)</w:t>
      </w:r>
      <w:r>
        <w:fldChar w:fldCharType="end"/>
      </w:r>
      <w:r w:rsidRPr="00F272AF">
        <w:t>.</w:t>
      </w:r>
      <w:r>
        <w:t xml:space="preserve"> Performance of li-ion batteries is highly dependent on cell chemistry of the cathode and anode, but the technology generally exhibits</w:t>
      </w:r>
      <w:r w:rsidRPr="00F272AF">
        <w:t xml:space="preserve"> high</w:t>
      </w:r>
      <w:r>
        <w:t>er</w:t>
      </w:r>
      <w:r w:rsidRPr="00F272AF">
        <w:t xml:space="preserve"> cycle life,</w:t>
      </w:r>
      <w:r>
        <w:t xml:space="preserve"> faster response, and </w:t>
      </w:r>
      <w:r w:rsidRPr="00F272AF">
        <w:t>high</w:t>
      </w:r>
      <w:r>
        <w:t>er</w:t>
      </w:r>
      <w:r w:rsidRPr="00F272AF">
        <w:t xml:space="preserve"> </w:t>
      </w:r>
      <w:r>
        <w:t>energy density than lead-acid. Capital cost per energy capacity</w:t>
      </w:r>
      <w:r w:rsidRPr="00F272AF">
        <w:t xml:space="preserve"> </w:t>
      </w:r>
      <w:r>
        <w:t xml:space="preserve">is significantly higher than lead-acid, but cost of li-ion batteries for electric vehicles (EVs) is decreasing rapidly, having knock-on effects for costs of batteries in an off-grid context </w:t>
      </w:r>
      <w:r>
        <w:fldChar w:fldCharType="begin" w:fldLock="1"/>
      </w:r>
      <w:r w:rsidR="00221A88">
        <w:instrText>ADDIN CSL_CITATION { "citationID" : "eVN8zdJz", "citationItems" : [ { "id" : "ITEM-1", "itemData" : { "DOI" : "10.1038/nclimate2564", "ISSN" : "1758-678X", "abstract" : "To properly evaluate the prospects for commercially competitive battery electric vehicles (BEV) one must have accurate information on current and predicted cost of battery packs. The literature reveals that costs are coming down, but with large uncertainties on past, current and future costs of the dominating Li-ion technology1\u20133 . This paper presents an original systematic review, analysing over 80 different estimates reported 2007\u20132014 to systematically trace the costs of Li-ion battery packs for BEV manufacturers.We show that industry-wide cost estimates declined by approximately 14% annually between 2007 and 2014, from above US$1,000 per kWh to around US$410 per kWh, and that the cost of battery packs used by market-leading BEV manufacturers are even lower, at US$300 per kWh, and has declined by 8% annually. Learning rate, the cost reduction following a cumulative doubling of production, is found to be between 6 and 9%, in line with earlier studies on vehicle battery technology2 . We reveal that the costs of Li-ion battery packs continue to decline and that the costs among market leaders are much lower than previously reported. This has significant implications for the assumptions used when modelling future energy and transport systems and permits an optimistic outlook for BEVs contributing to low-carbon transport.", "author" : [ { "dropping-particle" : "", "family" : "Nykvist", "given" : "Bj\u00f6rn", "non-dropping-particle" : "", "parse-names" : false, "suffix" : "" }, { "dropping-particle" : "", "family" : "Nilsson", "given" : "M\u00e5ns", "non-dropping-particle" : "", "parse-names" : false, "suffix" : "" } ], "container-title" : "Nature Climate Change", "id" : "ITEM-1", "issue" : "4", "issued" : { "date-parts" : [ [ "2015" ] ] }, "page" : "329-332", "title" : "Rapidly falling costs of battery packs for electric vehicles", "type" : "article-journal", "volume" : "5" }, "uris" : [ "http://www.mendeley.com/documents/?uuid=177bc5b0-3718-4e41-8e61-d9a4fb804908" ] }, { "id" : "ITEM-2", "itemData" : { "DOI" : "10.1038/nenergy.2017.110", "ISSN" : "2058-7546", "author" : [ { "dropping-particle" : "", "family" : "Schmidt", "given" : "Oliver", "non-dropping-particle" : "", "parse-names" : false, "suffix" : "" }, { "dropping-particle" : "", "family" : "Hawkes", "given" : "Adam", "non-dropping-particle" : "", "parse-names" : false, "suffix" : "" }, { "dropping-particle" : "", "family" : "Gambhir", "given" : "Ajay", "non-dropping-particle" : "", "parse-names" : false, "suffix" : "" }, { "dropping-particle" : "", "family" : "Staffell", "given" : "Iain", "non-dropping-particle" : "", "parse-names" : false, "suffix" : "" } ], "container-title" : "Nature Energy", "id" : "ITEM-2", "issue" : "July", "issued" : { "date-parts" : [ [ "2017" ] ] }, "page" : "17110", "title" : "The future cost of electrical energy storage based on experience curves", "type" : "article-journal", "volume" : "2" }, "uris" : [ "http://www.mendeley.com/documents/?uuid=88cd9edd-e6c0-48c4-9e18-5949b793ec87" ] } ], "mendeley" : { "formattedCitation" : "(Nykvist and Nilsson, 2015; Schmidt et al., 2017)", "plainTextFormattedCitation" : "(Nykvist and Nilsson, 2015; Schmidt et al., 2017)", "previouslyFormattedCitation" : "(Nykvist and Nilsson, 2015; Schmidt et al., 2017)" }, "properties" : { "formattedCitation" : "(Nykvist &amp; Nilsson, 2015; Schmidt, Hawkes, Gambhir, &amp; Staffell, 2017)", "noteIndex" : 0, "plainCitation" : "(Nykvist &amp; Nilsson, 2015; Schmidt, Hawkes, Gambhir, &amp; Staffell, 2017)" }, "schema" : "https://github.com/citation-style-language/schema/raw/master/csl-citation.json" }</w:instrText>
      </w:r>
      <w:r>
        <w:fldChar w:fldCharType="separate"/>
      </w:r>
      <w:r w:rsidR="00221A88" w:rsidRPr="00221A88">
        <w:rPr>
          <w:rFonts w:ascii="Calibri" w:hAnsi="Calibri" w:cs="Calibri"/>
          <w:noProof/>
        </w:rPr>
        <w:t>(Nykvist and Nilsson, 2015; Schmidt et al., 2017)</w:t>
      </w:r>
      <w:r>
        <w:fldChar w:fldCharType="end"/>
      </w:r>
      <w:r>
        <w:t>.</w:t>
      </w:r>
    </w:p>
    <w:p w14:paraId="0C46A58D" w14:textId="67010DCB" w:rsidR="00C9518F" w:rsidRDefault="00C9518F" w:rsidP="00C9518F">
      <w:r>
        <w:t xml:space="preserve">Li-ion batteries with lithium-cobalt-oxide (LCO) cathodes and graphite anodes have been most used in portable electronics applications and represent </w:t>
      </w:r>
      <w:proofErr w:type="gramStart"/>
      <w:r>
        <w:t>a relatively</w:t>
      </w:r>
      <w:proofErr w:type="gramEnd"/>
      <w:r>
        <w:t xml:space="preserve"> low-cost lithium-ion chemistry. However, they are subject to safety concerns for larger applications. Batteries with lithium-iron phosphate (LFP) or nickel-manganese-cobalt (NMC) cathodes and graphite anodes are most relevant for off-grid applications at present, both of which are relatively safe, have </w:t>
      </w:r>
      <w:r w:rsidRPr="00F272AF">
        <w:t>relatively high cycle life,</w:t>
      </w:r>
      <w:r>
        <w:t xml:space="preserve"> respond quickly to changing demand and</w:t>
      </w:r>
      <w:r w:rsidRPr="00F272AF">
        <w:t xml:space="preserve"> </w:t>
      </w:r>
      <w:r>
        <w:t xml:space="preserve">have sufficiently high energy densities, making them of interest for EV as well as stationary applications </w:t>
      </w:r>
      <w:r>
        <w:fldChar w:fldCharType="begin" w:fldLock="1"/>
      </w:r>
      <w:r w:rsidR="000D6695">
        <w:instrText>ADDIN CSL_CITATION { "citationID" : "zjzahVkJ", "citationItems" : [ { "id" : "ITEM-1", "itemData" : { "author" : [ { "dropping-particle" : "", "family" : "Cluzel", "given" : "Celine", "non-dropping-particle" : "", "parse-names" : false, "suffix" : "" }, { "dropping-particle" : "", "family" : "Douglas", "given" : "Craig", "non-dropping-particle" : "", "parse-names" : false, "suffix" : "" } ], "id" : "ITEM-1", "issued" : { "date-parts" : [ [ "2012" ] ] }, "page" : "21", "title" : "Cost and performance of EV batteries: Final report for The Committee on Climate Change", "type" : "article-journal" }, "uris" : [ "http://www.mendeley.com/documents/?uuid=0bc6fb6f-7fff-4299-bf2b-f53bb55562ad" ] }, { "id" : "ITEM-2", "itemData" : { "abstract" : "What impact will the development and cost of vari- ous types of bat- teries have on the emerging market for electric cars? How much progress can we hope to see in the next decade, and what critical barriers will need to be overcome along the way?", "author" : [ { "dropping-particle" : "", "family" : "Dinger", "given" : "Andreas", "non-dropping-particle" : "", "parse-names" : false, "suffix" : "" }, { "dropping-particle" : "", "family" : "Martin", "given" : "Ripley", "non-dropping-particle" : "", "parse-names" : false, "suffix" : "" }, { "dropping-particle" : "", "family" : "Mosquet", "given" : "Xavier", "non-dropping-particle" : "", "parse-names" : false, "suffix" : "" }, { "dropping-particle" : "", "family" : "Rabl", "given" : "Maximilian", "non-dropping-particle" : "", "parse-names" : false, "suffix" : "" }, { "dropping-particle" : "", "family" : "Rizoulis", "given" : "Dimitrios", "non-dropping-particle" : "", "parse-names" : false, "suffix" : "" }, { "dropping-particle" : "", "family" : "Russo", "given" : "Massimo", "non-dropping-particle" : "", "parse-names" : false, "suffix" : "" }, { "dropping-particle" : "", "family" : "Sticher", "given" : "Georg", "non-dropping-particle" : "", "parse-names" : false, "suffix" : "" } ], "container-title" : "Boston Consulting Group", "id" : "ITEM-2", "issue" : "1", "issued" : { "date-parts" : [ [ "2010" ] ] }, "page" : "1-18", "title" : "Focus Batteries for Electric Cars", "type" : "article-journal" }, "uri" : [ "http://www.mendeley.com/documents/?uuid=f67f4eee-3404-4df6-ad08-30808f459510" ], "uris" : [ "http://www.mendeley.com/documents/?uuid=f67f4eee-3404-4df6-ad08-30808f459510", "http://www.mendeley.com/documents/?uuid=d7b19734-4989-47bc-a349-b7f8f067dda0" ] }, { "id" : "ITEM-3", "itemData" : { "DOI" : "10.1016/j.enpol.2017.12.033", "ISBN" : "03014215", "ISSN" : "03014215", "abstract" : "This paper presents probabilistic estimates of the 2020 and 2030 cost and cycle life of lithium-ion battery (LiB) packs for off-grid stationary electricity storage made by leading battery experts from academia and industry, and insights on the role of public research and development (R&amp;D) funding and other drivers in determining these. By 2020, experts expect developments to arise chiefly through engineering, manufacturing and incremental chemistry changes, and expect additional R&amp;D funding to have little impact on cost. By 2030, experts indicate that more fundamental chemistry changes are possible, particularly under higher R&amp;D funding scenarios, but are not inevitable. Experts suggest that significant improvements in cycle life (eg. doubling or greater) are more achievable than in cost, particularly by 2020, and that R&amp;D could play a greater role in driving these. Experts expressed some concern, but had relatively little knowledge, of the environmental impact of LiBs. Analysis is conducted of the implications of prospective LiB improvements for the competitiveness of solar photovoltaic + LiB systems for off-grid electrification.", "author" : [ { "dropping-particle" : "", "family" : "Few", "given" : "Sheridan", "non-dropping-particle" : "", "parse-names" : false, "suffix" : "" }, { "dropping-particle" : "", "family" : "Schmidt", "given" : "Oliver", "non-dropping-particle" : "", "parse-names" : false, "suffix" : "" }, { "dropping-particle" : "", "family" : "Offer", "given" : "Gregory J.", "non-dropping-particle" : "", "parse-names" : false, "suffix" : "" }, { "dropping-particle" : "", "family" : "Brandon", "given" : "Nigel", "non-dropping-particle" : "", "parse-names" : false, "suffix" : "" }, { "dropping-particle" : "", "family" : "Nelson", "given" : "Jenny", "non-dropping-particle" : "", "parse-names" : false, "suffix" : "" }, { "dropping-particle" : "", "family" : "Gambhir", "given" : "Ajay", "non-dropping-particle" : "", "parse-names" : false, "suffix" : "" } ], "container-title" : "Energy Policy", "id" : "ITEM-3", "issued" : { "date-parts" : [ [ "2018" ] ] }, "page" : "578-590", "title" : "Prospective improvements in cost and cycle life of off-grid lithium-ion battery packs: An analysis informed by expert elicitations", "type" : "article-journal", "volume" : "114" }, "uris" : [ "http://www.mendeley.com/documents/?uuid=63ddcdcf-1b0f-41c3-81fd-972bf7703ec2" ] } ], "mendeley" : { "formattedCitation" : "(Cluzel and Douglas, 2012; Dinger et al., 2010; Few et al., 2018)", "plainTextFormattedCitation" : "(Cluzel and Douglas, 2012; Dinger et al., 2010; Few et al., 2018)", "previouslyFormattedCitation" : "(Cluzel and Douglas, 2012; Dinger et al., 2010; Few et al., 2018)" }, "properties" : { "formattedCitation" : "(Cluzel &amp; Douglas, 2012; Few et al., 2018; The Boston Consulting Group, 2010)", "noteIndex" : 0, "plainCitation" : "(Cluzel &amp; Douglas, 2012; Few et al., 2018; The Boston Consulting Group, 2010)" }, "schema" : "https://github.com/citation-style-language/schema/raw/master/csl-citation.json" }</w:instrText>
      </w:r>
      <w:r>
        <w:fldChar w:fldCharType="separate"/>
      </w:r>
      <w:r w:rsidR="009C393E" w:rsidRPr="009C393E">
        <w:rPr>
          <w:rFonts w:ascii="Calibri" w:hAnsi="Calibri" w:cs="Calibri"/>
          <w:noProof/>
        </w:rPr>
        <w:t>(Cluzel and Douglas, 2012; Dinger et al., 2010; Few et al., 2018)</w:t>
      </w:r>
      <w:r>
        <w:fldChar w:fldCharType="end"/>
      </w:r>
      <w:r>
        <w:t xml:space="preserve">. </w:t>
      </w:r>
    </w:p>
    <w:p w14:paraId="0D49C4A7" w14:textId="5796238F" w:rsidR="00C9518F" w:rsidRDefault="00C9518F" w:rsidP="00C9518F">
      <w:r w:rsidRPr="006578D8">
        <w:rPr>
          <w:b/>
        </w:rPr>
        <w:t>Hybrid lead-acid/lithium-ion systems</w:t>
      </w:r>
      <w:r>
        <w:t>, integrated via a battery management system such that ~90% of li-ion capacity and 20% of lead-acid capacity is used on a typical day, allow a system with a cycle life comparable to that of a pure li-ion system at a significantly reduced cost per capacity</w:t>
      </w:r>
      <w:r w:rsidR="001C3207">
        <w:t xml:space="preserve"> </w:t>
      </w:r>
      <w:r w:rsidR="001C3207">
        <w:fldChar w:fldCharType="begin" w:fldLock="1"/>
      </w:r>
      <w:r w:rsidR="000C0A91">
        <w:instrText>ADDIN CSL_CITATION { "citationItems" : [ { "id" : "ITEM-1", "itemData" : { "URL" : "https://www.bos-ag.com/products/dc-hybrid-storage-systems", "accessed" : { "date-parts" : [ [ "2018", "9", "25" ] ] }, "author" : [ { "dropping-particle" : "", "family" : "Balance of Storage Systems", "given" : "", "non-dropping-particle" : "", "parse-names" : false, "suffix" : "" } ], "id" : "ITEM-1", "issued" : { "date-parts" : [ [ "2018" ] ] }, "title" : "DC Hybrid Storage Systems", "type" : "webpage" }, "uris" : [ "http://www.mendeley.com/documents/?uuid=20e18158-2bbb-46ef-b179-eef19997ab6e" ] } ], "mendeley" : { "formattedCitation" : "(Balance of Storage Systems, 2018)", "plainTextFormattedCitation" : "(Balance of Storage Systems, 2018)", "previouslyFormattedCitation" : "(Balance of Storage Systems, 2018)" }, "properties" : { "noteIndex" : 0 }, "schema" : "https://github.com/citation-style-language/schema/raw/master/csl-citation.json" }</w:instrText>
      </w:r>
      <w:r w:rsidR="001C3207">
        <w:fldChar w:fldCharType="separate"/>
      </w:r>
      <w:r w:rsidR="000C0A91" w:rsidRPr="000C0A91">
        <w:rPr>
          <w:noProof/>
        </w:rPr>
        <w:t>(Balance of Storage Systems, 2018)</w:t>
      </w:r>
      <w:r w:rsidR="001C3207">
        <w:fldChar w:fldCharType="end"/>
      </w:r>
      <w:r>
        <w:t>. However, the additional complexity makes this approach only suitable for larger systems.</w:t>
      </w:r>
    </w:p>
    <w:p w14:paraId="6209F782" w14:textId="1AB66C63" w:rsidR="00C9518F" w:rsidRDefault="00C9518F" w:rsidP="00C9518F">
      <w:r>
        <w:rPr>
          <w:b/>
        </w:rPr>
        <w:t xml:space="preserve">Redox flow batteries </w:t>
      </w:r>
      <w:r w:rsidRPr="005B7FD4">
        <w:t>offer the potential to decouple power and energy</w:t>
      </w:r>
      <w:r>
        <w:t xml:space="preserve"> capacity</w:t>
      </w:r>
      <w:r w:rsidRPr="005B7FD4">
        <w:t xml:space="preserve">, making them </w:t>
      </w:r>
      <w:r>
        <w:t xml:space="preserve">particularly versatile in terms of design. They </w:t>
      </w:r>
      <w:r w:rsidRPr="00DE18C6">
        <w:t xml:space="preserve">have the potential to operate at a range of scales, including </w:t>
      </w:r>
      <w:r>
        <w:t xml:space="preserve">in a large-scale grid and an </w:t>
      </w:r>
      <w:r w:rsidRPr="00DE18C6">
        <w:t>off-grid</w:t>
      </w:r>
      <w:r>
        <w:t xml:space="preserve"> context </w:t>
      </w:r>
      <w:r>
        <w:fldChar w:fldCharType="begin" w:fldLock="1"/>
      </w:r>
      <w:r w:rsidR="00221A88">
        <w:instrText>ADDIN CSL_CITATION { "citationID" : "0tliwbq6", "citationItems" : [ { "id" : "ITEM-1", "itemData" : { "author" : [ { "dropping-particle" : "", "family" : "International Energy Agency", "given" : "", "non-dropping-particle" : "", "parse-names" : false, "suffix" : "" } ], "container-title" : "Energy Technology Perspectives", "id" : "ITEM-1", "issued" : { "date-parts" : [ [ "2014" ] ] }, "page" : "239-276", "title" : "Electricity Storage: Costs, Value, and Competitiveness", "type" : "article-journal" }, "uri" : [ "http://www.mendeley.com/documents/?uuid=db4a4b7a-7203-460b-b48b-ead8a66971de" ], "uris" : [ "http://www.mendeley.com/documents/?uuid=db4a4b7a-7203-460b-b48b-ead8a66971de", "http://www.mendeley.com/documents/?uuid=17743693-ba4f-4c7d-9ba6-ef852b22415b" ] } ], "mendeley" : { "formattedCitation" : "(International Energy Agency, 2014)", "plainTextFormattedCitation" : "(International Energy Agency, 2014)", "previouslyFormattedCitation" : "(International Energy Agency, 2014)" }, "properties" : { "formattedCitation" : "(International Energy Agency, 2014)", "noteIndex" : 0, "plainCitation" : "(International Energy Agency, 2014)" }, "schema" : "https://github.com/citation-style-language/schema/raw/master/csl-citation.json" }</w:instrText>
      </w:r>
      <w:r>
        <w:fldChar w:fldCharType="separate"/>
      </w:r>
      <w:r w:rsidR="00221A88" w:rsidRPr="00221A88">
        <w:rPr>
          <w:rFonts w:ascii="Calibri" w:hAnsi="Calibri" w:cs="Calibri"/>
          <w:noProof/>
        </w:rPr>
        <w:t>(International Energy Agency, 2014)</w:t>
      </w:r>
      <w:r>
        <w:fldChar w:fldCharType="end"/>
      </w:r>
      <w:r>
        <w:t xml:space="preserve">. However, this technology has been less widely </w:t>
      </w:r>
      <w:proofErr w:type="spellStart"/>
      <w:r>
        <w:t>commercialised</w:t>
      </w:r>
      <w:proofErr w:type="spellEnd"/>
      <w:r>
        <w:t xml:space="preserve"> than li-ion or lead-acid batteries, particularly for off-grid applications </w:t>
      </w:r>
      <w:r>
        <w:fldChar w:fldCharType="begin" w:fldLock="1"/>
      </w:r>
      <w:r w:rsidR="00221A88">
        <w:instrText>ADDIN CSL_CITATION { "citationID" : "7ul00C7k", "citationItems" : [ { "id" : "ITEM-1", "itemData" : { "DOI" : "10.1016/j.apenergy.2014.09.081", "ISBN" : "0306-2619", "ISSN" : "03062619", "abstract" : "Electrical power generation is changing dramatically across the world because of the need to reduce greenhouse gas emissions and to introduce mixed energy sources. The power network faces great challenges in transmission and distribution to meet demand with unpredictable daily and seasonal variations. Electrical Energy Storage (EES) is recognized as underpinning technologies to have great potential in meeting these challenges, whereby energy is stored in a certain state, according to the technology used, and is converted to electrical energy when needed. However, the wide variety of options and complex characteristic matrices make it difficult to appraise a specific EES technology for a particular application. This paper intends to mitigate this problem by providing a comprehensive and clear picture of the state-of-the-art technologies available, and where they would be suited for integration into a power generation and distribution system. The paper starts with an overview of the operation principles, technical and economic performance features and the current research and development of important EES technologies, sorted into six main categories based on the types of energy stored. Following this, a comprehensive comparison and an application potential analysis of the reviewed technologies are presented.", "author" : [ { "dropping-particle" : "", "family" : "Luo", "given" : "Xing", "non-dropping-particle" : "", "parse-names" : false, "suffix" : "" }, { "dropping-particle" : "", "family" : "Wang", "given" : "Jihong", "non-dropping-particle" : "", "parse-names" : false, "suffix" : "" }, { "dropping-particle" : "", "family" : "Dooner", "given" : "Mark", "non-dropping-particle" : "", "parse-names" : false, "suffix" : "" }, { "dropping-particle" : "", "family" : "Clarke", "given" : "Jonathan", "non-dropping-particle" : "", "parse-names" : false, "suffix" : "" } ], "container-title" : "Applied Energy", "id" : "ITEM-1", "issued" : { "date-parts" : [ [ "2015" ] ] }, "page" : "511-536", "publisher" : "Elsevier Ltd", "title" : "Overview of current development in electrical energy storage technologies and the application potential in power system operation", "type" : "article-journal", "volume" : "137" }, "uris" : [ "http://www.mendeley.com/documents/?uuid=6b504852-4e24-43f3-98a1-bbde150a7563" ] } ], "mendeley" : { "formattedCitation" : "(Luo et al., 2015)", "plainTextFormattedCitation" : "(Luo et al., 2015)", "previouslyFormattedCitation" : "(Luo et al., 2015)" }, "properties" : { "formattedCitation" : "(Luo et al., 2015)", "noteIndex" : 0, "plainCitation" : "(Luo et al., 2015)" }, "schema" : "https://github.com/citation-style-language/schema/raw/master/csl-citation.json" }</w:instrText>
      </w:r>
      <w:r>
        <w:fldChar w:fldCharType="separate"/>
      </w:r>
      <w:r w:rsidR="00221A88" w:rsidRPr="00221A88">
        <w:rPr>
          <w:rFonts w:ascii="Calibri" w:hAnsi="Calibri" w:cs="Calibri"/>
          <w:noProof/>
        </w:rPr>
        <w:t>(Luo et al., 2015)</w:t>
      </w:r>
      <w:r>
        <w:fldChar w:fldCharType="end"/>
      </w:r>
      <w:r>
        <w:t>.</w:t>
      </w:r>
    </w:p>
    <w:p w14:paraId="336922F3" w14:textId="77A25A7E" w:rsidR="00C9518F" w:rsidRPr="00546270" w:rsidRDefault="00C9518F" w:rsidP="00C9518F">
      <w:r>
        <w:t xml:space="preserve">There are also a number of pre- and early commercial technologies which could become suitable for off-grid applications over the coming decades. Prototype </w:t>
      </w:r>
      <w:r>
        <w:rPr>
          <w:b/>
        </w:rPr>
        <w:t xml:space="preserve">Sodium-ion (Na-ion) </w:t>
      </w:r>
      <w:r>
        <w:t>battery cells have been produced</w:t>
      </w:r>
      <w:r>
        <w:fldChar w:fldCharType="begin" w:fldLock="1"/>
      </w:r>
      <w:r w:rsidR="000C0A91">
        <w:instrText>ADDIN CSL_CITATION { "citationID" : "Zml7QeFR", "citationItems" : [ { "id" : "ITEM-1", "itemData" : { "URL" : "http://www.energie-rs2e.com/en/news/na-ion-batteries-promising-prototype", "accessed" : { "date-parts" : [ [ "2017", "1", "24" ] ] }, "author" : [ { "dropping-particle" : "", "family" : "R\u00e9seau sur le stockage \u00e9lectrochimique de l\u2019\u00e9nergie (RS2E)", "given" : "", "non-dropping-particle" : "", "parse-names" : false, "suffix" : "" } ], "container-title" : "RS2E News", "id" : "ITEM-1", "issued" : { "date-parts" : [ [ "2015" ] ] }, "title" : "Na-ion batteries: a promising prototype!", "type" : "webpage" }, "uri" : [ "http://www.mendeley.com/documents/?uuid=3e552d4d-a099-4a9f-9a8e-36d85425d659" ], "uris" : [ "http://www.mendeley.com/documents/?uuid=3e552d4d-a099-4a9f-9a8e-36d85425d659", "http://www.mendeley.com/documents/?uuid=9afe2ae6-be9d-4b23-8e59-610e5f960b97" ] } ], "mendeley" : { "formattedCitation" : "(R\u00e9seau sur le stockage \u00e9lectrochimique de l\u2019\u00e9nergie (RS2E), 2015)", "plainTextFormattedCitation" : "(R\u00e9seau sur le stockage \u00e9lectrochimique de l\u2019\u00e9nergie (RS2E), 2015)", "previouslyFormattedCitation" : "(R\u00e9seau sur le stockage \u00e9lectrochimique de l\u2019\u00e9nergie (RS2E), 2015)" }, "properties" : { "formattedCitation" : "(R2SE, 2015)", "noteIndex" : 0, "plainCitation" : "(R2SE, 2015)" }, "schema" : "https://github.com/citation-style-language/schema/raw/master/csl-citation.json" }</w:instrText>
      </w:r>
      <w:r>
        <w:fldChar w:fldCharType="separate"/>
      </w:r>
      <w:r w:rsidR="000C0A91" w:rsidRPr="000C0A91">
        <w:rPr>
          <w:rFonts w:ascii="Calibri" w:hAnsi="Calibri" w:cs="Calibri"/>
          <w:noProof/>
        </w:rPr>
        <w:t>(Réseau sur le stockage électrochimique de l’énergie (RS2E), 2015)</w:t>
      </w:r>
      <w:r>
        <w:fldChar w:fldCharType="end"/>
      </w:r>
      <w:r>
        <w:t xml:space="preserve">, with similar operating principles and comparable cycle life to li-ion batteries, but making use of more abundant materials with lower environmental impact and potentially lower cost. </w:t>
      </w:r>
      <w:r w:rsidR="00153288">
        <w:t xml:space="preserve">A subcategory of these batteries is the </w:t>
      </w:r>
      <w:r w:rsidR="00153288" w:rsidRPr="005E688D">
        <w:rPr>
          <w:b/>
        </w:rPr>
        <w:t>saltwater</w:t>
      </w:r>
      <w:r w:rsidR="00153288">
        <w:t xml:space="preserve"> </w:t>
      </w:r>
      <w:r w:rsidR="00153288" w:rsidRPr="005E688D">
        <w:rPr>
          <w:b/>
        </w:rPr>
        <w:t>battery</w:t>
      </w:r>
      <w:r w:rsidR="00153288">
        <w:t xml:space="preserve"> making use of an environmentally benign aqueous electrolyte, initially commercialized by </w:t>
      </w:r>
      <w:proofErr w:type="spellStart"/>
      <w:r w:rsidR="00153288">
        <w:t>Aquion</w:t>
      </w:r>
      <w:proofErr w:type="spellEnd"/>
      <w:r w:rsidR="00153288">
        <w:t xml:space="preserve"> Energy </w:t>
      </w:r>
      <w:r w:rsidR="00153288">
        <w:fldChar w:fldCharType="begin" w:fldLock="1"/>
      </w:r>
      <w:r w:rsidR="00221A88">
        <w:instrText>ADDIN CSL_CITATION { "citationItems" : [ { "id" : "ITEM-1", "itemData" : { "DOI" : "10.1039/c3ee41031e", "author" : [ { "dropping-particle" : "", "family" : "Palomares", "given" : "Veronica", "non-dropping-particle" : "", "parse-names" : false, "suffix" : "" }, { "dropping-particle" : "", "family" : "Casas-cabanas", "given" : "Montse", "non-dropping-particle" : "", "parse-names" : false, "suffix" : "" }, { "dropping-particle" : "", "family" : "Catillo-Martinez", "given" : "Elizabeth", "non-dropping-particle" : "", "parse-names" : false, "suffix" : "" }, { "dropping-particle" : "", "family" : "Han", "given" : "Man H", "non-dropping-particle" : "", "parse-names" : false, "suffix" : "" }, { "dropping-particle" : "", "family" : "Rojo", "given" : "Teofilo", "non-dropping-particle" : "", "parse-names" : false, "suffix" : "" } ], "container-title" : "Energy &amp; Environmental Science", "id" : "ITEM-1", "issue" : "6", "issued" : { "date-parts" : [ [ "2013" ] ] }, "page" : "2312", "title" : "Update on Na-based battery materials. A growing research path", "type" : "article-journal" }, "uris" : [ "http://www.mendeley.com/documents/?uuid=545ad5f8-b7d9-4efb-a36b-e6a27b5d79d5" ] } ], "mendeley" : { "formattedCitation" : "(Palomares et al., 2013)", "plainTextFormattedCitation" : "(Palomares et al., 2013)", "previouslyFormattedCitation" : "(Palomares et al., 2013)" }, "properties" : { "noteIndex" : 0 }, "schema" : "https://github.com/citation-style-language/schema/raw/master/csl-citation.json" }</w:instrText>
      </w:r>
      <w:r w:rsidR="00153288">
        <w:fldChar w:fldCharType="separate"/>
      </w:r>
      <w:r w:rsidR="00221A88" w:rsidRPr="00221A88">
        <w:rPr>
          <w:noProof/>
        </w:rPr>
        <w:t>(Palomares et al., 2013)</w:t>
      </w:r>
      <w:r w:rsidR="00153288">
        <w:fldChar w:fldCharType="end"/>
      </w:r>
      <w:r w:rsidR="00153288">
        <w:t xml:space="preserve">. </w:t>
      </w:r>
      <w:r w:rsidR="00DE5FF8">
        <w:t>Successful hybrid systems incorporating saltwater batteries alongside lithium-ion for meeting rapid spikes in demand have also been reported</w:t>
      </w:r>
      <w:r w:rsidR="00DE5FF8">
        <w:fldChar w:fldCharType="begin" w:fldLock="1"/>
      </w:r>
      <w:r w:rsidR="00221A88">
        <w:instrText>ADDIN CSL_CITATION { "citationItems" : [ { "id" : "ITEM-1", "itemData" : { "author" : [ { "dropping-particle" : "", "family" : "Ketelson", "given" : "Tarek", "non-dropping-particle" : "", "parse-names" : false, "suffix" : "" } ], "container-title" : "7th Low Carbon energy For Development Network Conference, Loughborough", "id" : "ITEM-1", "issued" : { "date-parts" : [ [ "2018" ] ] }, "title" : "The potential for advanced battery storage in minigrids (AMPERES)", "type" : "article-journal" }, "uris" : [ "http://www.mendeley.com/documents/?uuid=701da98c-ed5a-4e3c-8419-01704e770248" ] } ], "mendeley" : { "formattedCitation" : "(Ketelson, 2018)", "plainTextFormattedCitation" : "(Ketelson, 2018)", "previouslyFormattedCitation" : "(Ketelson, 2018)" }, "properties" : { "noteIndex" : 0 }, "schema" : "https://github.com/citation-style-language/schema/raw/master/csl-citation.json" }</w:instrText>
      </w:r>
      <w:r w:rsidR="00DE5FF8">
        <w:fldChar w:fldCharType="separate"/>
      </w:r>
      <w:r w:rsidR="00221A88" w:rsidRPr="00221A88">
        <w:rPr>
          <w:noProof/>
        </w:rPr>
        <w:t>(Ketelson, 2018)</w:t>
      </w:r>
      <w:r w:rsidR="00DE5FF8">
        <w:fldChar w:fldCharType="end"/>
      </w:r>
      <w:r w:rsidR="00DE5FF8">
        <w:t xml:space="preserve">. </w:t>
      </w:r>
      <w:r>
        <w:t xml:space="preserve">Li-ion batteries making use of </w:t>
      </w:r>
      <w:r w:rsidRPr="00255CF1">
        <w:rPr>
          <w:b/>
        </w:rPr>
        <w:t xml:space="preserve">lithium </w:t>
      </w:r>
      <w:proofErr w:type="spellStart"/>
      <w:r w:rsidRPr="00255CF1">
        <w:rPr>
          <w:b/>
        </w:rPr>
        <w:t>titanate</w:t>
      </w:r>
      <w:proofErr w:type="spellEnd"/>
      <w:r>
        <w:t xml:space="preserve"> cathodes exhibit exceptionally high cycle life </w:t>
      </w:r>
      <w:r>
        <w:fldChar w:fldCharType="begin" w:fldLock="1"/>
      </w:r>
      <w:r w:rsidR="00221A88">
        <w:instrText>ADDIN CSL_CITATION { "citationID" : "GJ0OSxPr", "citationItems" : [ { "id" : "ITEM-1", "itemData" : { "URL" : "www.siemens.com/press/en/presspicture/innovationnews/2014/in20140901-01.htm", "author" : [ { "dropping-particle" : "", "family" : "Siemens", "given" : "", "non-dropping-particle" : "", "parse-names" : false, "suffix" : "" } ], "id" : "ITEM-1", "issued" : { "date-parts" : [ [ "2014" ] ] }, "title" : "Safe Lithium Batteries with a Long Service Life", "type" : "webpage" }, "uri" : [ "http://www.mendeley.com/documents/?uuid=2c89595e-723b-4888-8652-428f4e3f9e77" ], "uris" : [ "http://www.mendeley.com/documents/?uuid=2c89595e-723b-4888-8652-428f4e3f9e77", "http://www.mendeley.com/documents/?uuid=eac62fff-e1af-4d20-8b59-f9e6e653ae21" ] } ], "mendeley" : { "formattedCitation" : "(Siemens, 2014)", "plainTextFormattedCitation" : "(Siemens, 2014)", "previouslyFormattedCitation" : "(Siemens, 2014)" }, "properties" : { "formattedCitation" : "(Siemens, 2014)", "noteIndex" : 0, "plainCitation" : "(Siemens, 2014)" }, "schema" : "https://github.com/citation-style-language/schema/raw/master/csl-citation.json" }</w:instrText>
      </w:r>
      <w:r>
        <w:fldChar w:fldCharType="separate"/>
      </w:r>
      <w:r w:rsidR="00221A88" w:rsidRPr="00221A88">
        <w:rPr>
          <w:rFonts w:ascii="Calibri" w:hAnsi="Calibri" w:cs="Calibri"/>
          <w:noProof/>
        </w:rPr>
        <w:t>(Siemens, 2014)</w:t>
      </w:r>
      <w:r>
        <w:fldChar w:fldCharType="end"/>
      </w:r>
      <w:r>
        <w:t xml:space="preserve">, but are currently prohibitively expensive for off-grid applications. </w:t>
      </w:r>
      <w:bookmarkStart w:id="0" w:name="_GoBack"/>
      <w:bookmarkEnd w:id="0"/>
      <w:r>
        <w:t xml:space="preserve">Historical precedent indicates </w:t>
      </w:r>
      <w:r>
        <w:lastRenderedPageBreak/>
        <w:t xml:space="preserve">that multiple decades are required between first introduction of a new technology to market dominance </w:t>
      </w:r>
      <w:r>
        <w:fldChar w:fldCharType="begin" w:fldLock="1"/>
      </w:r>
      <w:r w:rsidR="00221A88">
        <w:instrText>ADDIN CSL_CITATION { "citationID" : "4tDKaxGx", "citationItems" : [ { "id" : "ITEM-1", "itemData" : { "author" : [ { "dropping-particle" : "", "family" : "Hanna", "given" : "Richard", "non-dropping-particle" : "", "parse-names" : false, "suffix" : "" }, { "dropping-particle" : "", "family" : "Gross", "given" : "Robert", "non-dropping-particle" : "", "parse-names" : false, "suffix" : "" }, { "dropping-particle" : "", "family" : "Speirs", "given" : "Jamie", "non-dropping-particle" : "", "parse-names" : false, "suffix" : "" }, { "dropping-particle" : "", "family" : "Heptonstall", "given" : "Philip", "non-dropping-particle" : "", "parse-names" : false, "suffix" : "" }, { "dropping-particle" : "", "family" : "Gambhir", "given" : "Ajay", "non-dropping-particle" : "", "parse-names" : false, "suffix" : "" } ], "container-title" : "UKERC Technology and Policy Assessment", "id" : "ITEM-1", "issued" : { "date-parts" : [ [ "2015" ] ] }, "title" : "Assessment Innovation timelines from invention to maturity", "type" : "article-journal" }, "uris" : [ "http://www.mendeley.com/documents/?uuid=ca16a308-5d8e-4826-a69c-0f43bd04dae5", "http://www.mendeley.com/documents/?uuid=d9e6146b-eb04-4259-b483-4d5d3ad7f668" ] } ], "mendeley" : { "formattedCitation" : "(Hanna et al., 2015)", "plainTextFormattedCitation" : "(Hanna et al., 2015)", "previouslyFormattedCitation" : "(Hanna et al., 2015)" }, "properties" : { "formattedCitation" : "(Hanna et al., 2015)", "noteIndex" : 0, "plainCitation" : "(Hanna et al., 2015)" }, "schema" : "https://github.com/citation-style-language/schema/raw/master/csl-citation.json" }</w:instrText>
      </w:r>
      <w:r>
        <w:fldChar w:fldCharType="separate"/>
      </w:r>
      <w:r w:rsidR="00221A88" w:rsidRPr="00221A88">
        <w:rPr>
          <w:rFonts w:ascii="Calibri" w:hAnsi="Calibri" w:cs="Calibri"/>
          <w:noProof/>
        </w:rPr>
        <w:t>(Hanna et al., 2015)</w:t>
      </w:r>
      <w:r>
        <w:fldChar w:fldCharType="end"/>
      </w:r>
      <w:r>
        <w:t xml:space="preserve">, and the extent to which this may be accelerated in light of crucial need for energy innovation remains unclear </w:t>
      </w:r>
      <w:r>
        <w:fldChar w:fldCharType="begin" w:fldLock="1"/>
      </w:r>
      <w:r w:rsidR="00221A88">
        <w:instrText>ADDIN CSL_CITATION { "citationID" : "MU9tpexS", "citationItems" : [ { "id" : "ITEM-1", "itemData" : { "ISSN" : "22434690", "abstract" : "Accelerated energy innovation' has become a prominent aspect of energy policymaking in response to more urgent drivers for change. This paper charts the rise of accelerated energy innovation in the UK, and considers its possible implications for sustainable innovation studies and research-policy exchange. As manifest in the UK, accelerated energy innovation has a number of distinctive features: an emphasis on relatively short term dynamics (years rather than decades), a focus on cost reduction and deployment support for large scale technologies, and a central role for the private sector and public-private partnerships. We argue that because it is predominantly regime-led and continuity-based, accelerated energy innovation presents a challenge to niche-led, more disruptive theories of sustainable innovation (Transitions Studies and Technological Innovation Systems theory). We conclude that sustainable innovation studies - while maintaining its critical and refl exive stance - should more fully refl ect the multiform dynamics of energy systems under urgency, across a broad spectrum of continuity-based and niche-led changes.", "author" : [ { "dropping-particle" : "", "family" : "Winskel", "given" : "Mark", "non-dropping-particle" : "", "parse-names" : false, "suffix" : "" }, { "dropping-particle" : "", "family" : "Radcliffe", "given" : "Jonathan", "non-dropping-particle" : "", "parse-names" : false, "suffix" : "" } ], "container-title" : "Science and Technology Studies", "id" : "ITEM-1", "issue" : "1", "issued" : { "date-parts" : [ [ "2014" ] ] }, "page" : "8-33", "title" : "The rise of accelerated energy innovation and its implications for sustainable innovation studies: A UK perspective", "type" : "article-journal", "volume" : "27" }, "uri" : [ "http://www.mendeley.com/documents/?uuid=e19c8f2e-cd4a-4f44-be41-dfe7807845e0" ], "uris" : [ "http://www.mendeley.com/documents/?uuid=e19c8f2e-cd4a-4f44-be41-dfe7807845e0", "http://www.mendeley.com/documents/?uuid=953e0df6-154f-46d3-a3dd-05b37131baf0" ] } ], "mendeley" : { "formattedCitation" : "(Winskel and Radcliffe, 2014)", "plainTextFormattedCitation" : "(Winskel and Radcliffe, 2014)", "previouslyFormattedCitation" : "(Winskel and Radcliffe, 2014)" }, "properties" : { "formattedCitation" : "(Winskel &amp; Radcliffe, 2014)", "noteIndex" : 0, "plainCitation" : "(Winskel &amp; Radcliffe, 2014)" }, "schema" : "https://github.com/citation-style-language/schema/raw/master/csl-citation.json" }</w:instrText>
      </w:r>
      <w:r>
        <w:fldChar w:fldCharType="separate"/>
      </w:r>
      <w:r w:rsidR="00221A88" w:rsidRPr="00221A88">
        <w:rPr>
          <w:rFonts w:ascii="Calibri" w:hAnsi="Calibri" w:cs="Calibri"/>
          <w:noProof/>
        </w:rPr>
        <w:t>(Winskel and Radcliffe, 2014)</w:t>
      </w:r>
      <w:r>
        <w:fldChar w:fldCharType="end"/>
      </w:r>
      <w:r>
        <w:t>.</w:t>
      </w:r>
    </w:p>
    <w:p w14:paraId="0D5B75EE" w14:textId="77777777" w:rsidR="008D1A88" w:rsidRDefault="008D1A88" w:rsidP="00217746"/>
    <w:p w14:paraId="72DF2701" w14:textId="77777777" w:rsidR="00217746" w:rsidRDefault="00217746">
      <w:pPr>
        <w:rPr>
          <w:rFonts w:eastAsiaTheme="majorEastAsia" w:cstheme="minorHAnsi"/>
          <w:b/>
          <w:color w:val="000000" w:themeColor="text1"/>
          <w:szCs w:val="24"/>
          <w:lang w:val="en-GB"/>
        </w:rPr>
      </w:pPr>
      <w:r>
        <w:rPr>
          <w:rFonts w:cstheme="minorHAnsi"/>
          <w:b/>
          <w:color w:val="000000" w:themeColor="text1"/>
        </w:rPr>
        <w:br w:type="page"/>
      </w:r>
    </w:p>
    <w:p w14:paraId="08C7EB87" w14:textId="67F800C7" w:rsidR="008D1A88" w:rsidRPr="00AA4E4C" w:rsidRDefault="008D1A88" w:rsidP="00805348">
      <w:pPr>
        <w:pStyle w:val="Heading3"/>
        <w:numPr>
          <w:ilvl w:val="0"/>
          <w:numId w:val="11"/>
        </w:numPr>
        <w:rPr>
          <w:rFonts w:asciiTheme="minorHAnsi" w:hAnsiTheme="minorHAnsi" w:cstheme="minorHAnsi"/>
          <w:b/>
          <w:color w:val="000000" w:themeColor="text1"/>
          <w:sz w:val="22"/>
        </w:rPr>
      </w:pPr>
      <w:r w:rsidRPr="00AA4E4C">
        <w:rPr>
          <w:rFonts w:asciiTheme="minorHAnsi" w:hAnsiTheme="minorHAnsi" w:cstheme="minorHAnsi"/>
          <w:b/>
          <w:color w:val="000000" w:themeColor="text1"/>
          <w:sz w:val="22"/>
        </w:rPr>
        <w:lastRenderedPageBreak/>
        <w:t>Interview process</w:t>
      </w:r>
    </w:p>
    <w:p w14:paraId="572004E5" w14:textId="77777777" w:rsidR="007B38F8" w:rsidRPr="007B38F8" w:rsidRDefault="007B38F8" w:rsidP="007B38F8">
      <w:pPr>
        <w:pStyle w:val="NoSpacing"/>
      </w:pPr>
    </w:p>
    <w:p w14:paraId="0EE7C416" w14:textId="42BB5130" w:rsidR="00CA076F" w:rsidRDefault="00CA076F" w:rsidP="00CA076F">
      <w:r>
        <w:t xml:space="preserve">The primary research element of this study </w:t>
      </w:r>
      <w:r w:rsidR="003633E3">
        <w:t xml:space="preserve">consists of </w:t>
      </w:r>
      <w:r>
        <w:t xml:space="preserve">in-depth interviews with </w:t>
      </w:r>
      <w:r w:rsidR="003633E3">
        <w:t>eleven</w:t>
      </w:r>
      <w:r>
        <w:t xml:space="preserve"> organisations, each of which is either directly involved in the provision of off-grid electricity access systems and services, or which is involved in supplying the technology to retailers who then go on to supply these systems</w:t>
      </w:r>
      <w:r w:rsidR="00AA3EA2">
        <w:t xml:space="preserve"> to end-user customers</w:t>
      </w:r>
      <w:r>
        <w:t xml:space="preserve">. Annex </w:t>
      </w:r>
      <w:proofErr w:type="gramStart"/>
      <w:r w:rsidR="00AA3EA2">
        <w:t>A</w:t>
      </w:r>
      <w:proofErr w:type="gramEnd"/>
      <w:r>
        <w:t xml:space="preserve"> </w:t>
      </w:r>
      <w:r w:rsidR="00AA3EA2">
        <w:t>lists</w:t>
      </w:r>
      <w:r>
        <w:t xml:space="preserve"> the interviewed companies. </w:t>
      </w:r>
    </w:p>
    <w:p w14:paraId="51F3301B" w14:textId="46EEF79E" w:rsidR="00AA3EA2" w:rsidRDefault="00AA3EA2" w:rsidP="00CA076F">
      <w:r>
        <w:t>All interviewees were identified and contacted in conjunction with Shell Foundation, which works with a range of energy access providers across sub-Saharan Africa and South Asia. Interviewees were informed of the research objective, which is to provide information on the range of storage technologies in use, their costs and performance</w:t>
      </w:r>
      <w:r w:rsidR="00AA10DF">
        <w:t xml:space="preserve"> and the value chain from procurement to end-of-life procedures</w:t>
      </w:r>
      <w:r>
        <w:t xml:space="preserve">. A full set of interview questions, as listed in Annex B, was sent to interviewees in advance. </w:t>
      </w:r>
      <w:r w:rsidR="00AA10DF">
        <w:t xml:space="preserve">This interview list was formulated through </w:t>
      </w:r>
      <w:r>
        <w:t>first prototyp</w:t>
      </w:r>
      <w:r w:rsidR="00AA10DF">
        <w:t>ing it</w:t>
      </w:r>
      <w:r>
        <w:t xml:space="preserve"> with one </w:t>
      </w:r>
      <w:proofErr w:type="spellStart"/>
      <w:r>
        <w:t>organi</w:t>
      </w:r>
      <w:r w:rsidR="00217746">
        <w:t>s</w:t>
      </w:r>
      <w:r>
        <w:t>ation</w:t>
      </w:r>
      <w:proofErr w:type="spellEnd"/>
      <w:r>
        <w:t xml:space="preserve">, before refining it </w:t>
      </w:r>
      <w:r w:rsidR="00AA10DF">
        <w:t>into the form included in Annex B</w:t>
      </w:r>
      <w:r>
        <w:t xml:space="preserve">. </w:t>
      </w:r>
    </w:p>
    <w:p w14:paraId="357AAC4A" w14:textId="5774CD32" w:rsidR="00AA3EA2" w:rsidRDefault="00EE2AC2" w:rsidP="00CA076F">
      <w:r>
        <w:t>E</w:t>
      </w:r>
      <w:r w:rsidR="00AA3EA2">
        <w:t>ach interview</w:t>
      </w:r>
      <w:r>
        <w:t xml:space="preserve"> </w:t>
      </w:r>
      <w:r w:rsidR="00217746">
        <w:t xml:space="preserve">lasted between 90 minutes and 2 hours and </w:t>
      </w:r>
      <w:r w:rsidR="00AA3EA2">
        <w:t xml:space="preserve">was conducted </w:t>
      </w:r>
      <w:r w:rsidR="00217746">
        <w:t>over web audio-conference, apart from one</w:t>
      </w:r>
      <w:r>
        <w:t xml:space="preserve"> face</w:t>
      </w:r>
      <w:r w:rsidR="00217746">
        <w:t>-</w:t>
      </w:r>
      <w:r>
        <w:t>to</w:t>
      </w:r>
      <w:r w:rsidR="00217746">
        <w:t>-</w:t>
      </w:r>
      <w:r>
        <w:t>face</w:t>
      </w:r>
      <w:r w:rsidR="00217746">
        <w:t xml:space="preserve"> interview</w:t>
      </w:r>
      <w:r>
        <w:t>. I</w:t>
      </w:r>
      <w:r w:rsidR="00AA3EA2">
        <w:t xml:space="preserve">nterviewees were first asked </w:t>
      </w:r>
      <w:r>
        <w:t>to confirm their participation</w:t>
      </w:r>
      <w:r w:rsidR="00AA3EA2">
        <w:t xml:space="preserve"> in the research, as well as </w:t>
      </w:r>
      <w:r>
        <w:t>to give their consent to the interviews to be recorded</w:t>
      </w:r>
      <w:r w:rsidR="00AA3EA2">
        <w:t xml:space="preserve">. Interviewees were also informed that </w:t>
      </w:r>
      <w:r w:rsidR="00AA10DF">
        <w:t xml:space="preserve">their responses would be reported in the study’s output paper, but that </w:t>
      </w:r>
      <w:r w:rsidR="00AA3EA2">
        <w:t>individua</w:t>
      </w:r>
      <w:r w:rsidR="00582400">
        <w:t xml:space="preserve">l responses would be </w:t>
      </w:r>
      <w:proofErr w:type="spellStart"/>
      <w:r w:rsidR="00582400">
        <w:t>anonymis</w:t>
      </w:r>
      <w:r w:rsidR="00AA3EA2">
        <w:t>ed</w:t>
      </w:r>
      <w:proofErr w:type="spellEnd"/>
      <w:r w:rsidR="00AA3EA2">
        <w:t xml:space="preserve">, so as to not directly attribute views or data on storage technologies to a particular </w:t>
      </w:r>
      <w:proofErr w:type="spellStart"/>
      <w:r w:rsidR="00AA3EA2">
        <w:t>organi</w:t>
      </w:r>
      <w:r w:rsidR="00217746">
        <w:t>s</w:t>
      </w:r>
      <w:r w:rsidR="00AA3EA2">
        <w:t>ation</w:t>
      </w:r>
      <w:proofErr w:type="spellEnd"/>
      <w:r w:rsidR="00AA3EA2">
        <w:t>. Interviewees were informed that they wou</w:t>
      </w:r>
      <w:r w:rsidR="00AA10DF">
        <w:t xml:space="preserve">ld be given a chance to correct, </w:t>
      </w:r>
      <w:r w:rsidR="00AA3EA2">
        <w:t xml:space="preserve">amend </w:t>
      </w:r>
      <w:r w:rsidR="00AA10DF">
        <w:t xml:space="preserve">or clarify </w:t>
      </w:r>
      <w:r w:rsidR="00AA3EA2">
        <w:t xml:space="preserve">any points </w:t>
      </w:r>
      <w:r w:rsidR="00AA10DF">
        <w:t>they made</w:t>
      </w:r>
      <w:r w:rsidR="00AA3EA2">
        <w:t xml:space="preserve"> by viewing the interview write-ups</w:t>
      </w:r>
      <w:r>
        <w:t xml:space="preserve"> and final paper</w:t>
      </w:r>
      <w:r w:rsidR="00AA3EA2">
        <w:t xml:space="preserve">. </w:t>
      </w:r>
      <w:r w:rsidR="00AA10DF">
        <w:t xml:space="preserve">In all cases interviewees agreed to these terms. </w:t>
      </w:r>
    </w:p>
    <w:p w14:paraId="2461CC04" w14:textId="77777777" w:rsidR="00217746" w:rsidRDefault="00217746" w:rsidP="00CA076F"/>
    <w:p w14:paraId="6888E7B8" w14:textId="77777777" w:rsidR="00217746" w:rsidRDefault="00217746">
      <w:pPr>
        <w:rPr>
          <w:rFonts w:eastAsiaTheme="majorEastAsia" w:cstheme="minorHAnsi"/>
          <w:b/>
          <w:color w:val="000000" w:themeColor="text1"/>
          <w:szCs w:val="24"/>
          <w:lang w:val="en-GB"/>
        </w:rPr>
      </w:pPr>
      <w:r>
        <w:rPr>
          <w:rFonts w:cstheme="minorHAnsi"/>
          <w:b/>
          <w:color w:val="000000" w:themeColor="text1"/>
        </w:rPr>
        <w:br w:type="page"/>
      </w:r>
    </w:p>
    <w:p w14:paraId="710BD98B" w14:textId="0A1FD706" w:rsidR="0040510D" w:rsidRDefault="0040510D" w:rsidP="00805348">
      <w:pPr>
        <w:pStyle w:val="Heading3"/>
        <w:numPr>
          <w:ilvl w:val="0"/>
          <w:numId w:val="11"/>
        </w:numPr>
        <w:rPr>
          <w:rFonts w:asciiTheme="minorHAnsi" w:hAnsiTheme="minorHAnsi" w:cstheme="minorHAnsi"/>
          <w:b/>
          <w:color w:val="000000" w:themeColor="text1"/>
          <w:sz w:val="22"/>
        </w:rPr>
      </w:pPr>
      <w:r w:rsidRPr="00AA4E4C">
        <w:rPr>
          <w:rFonts w:asciiTheme="minorHAnsi" w:hAnsiTheme="minorHAnsi" w:cstheme="minorHAnsi"/>
          <w:b/>
          <w:color w:val="000000" w:themeColor="text1"/>
          <w:sz w:val="22"/>
        </w:rPr>
        <w:lastRenderedPageBreak/>
        <w:t>Findings</w:t>
      </w:r>
    </w:p>
    <w:p w14:paraId="6AF7D76D" w14:textId="77777777" w:rsidR="00AA4E4C" w:rsidRPr="00AA4E4C" w:rsidRDefault="00AA4E4C" w:rsidP="00AA4E4C">
      <w:pPr>
        <w:pStyle w:val="NoSpacing"/>
      </w:pPr>
    </w:p>
    <w:p w14:paraId="10AD6AB7" w14:textId="0288C8E4" w:rsidR="00C82A25" w:rsidRDefault="00C82A25" w:rsidP="00805348">
      <w:pPr>
        <w:pStyle w:val="Heading4"/>
        <w:numPr>
          <w:ilvl w:val="1"/>
          <w:numId w:val="11"/>
        </w:numPr>
        <w:rPr>
          <w:rFonts w:asciiTheme="minorHAnsi" w:hAnsiTheme="minorHAnsi" w:cstheme="minorHAnsi"/>
          <w:color w:val="000000" w:themeColor="text1"/>
        </w:rPr>
      </w:pPr>
      <w:r w:rsidRPr="00AA4E4C">
        <w:rPr>
          <w:rFonts w:asciiTheme="minorHAnsi" w:hAnsiTheme="minorHAnsi" w:cstheme="minorHAnsi"/>
          <w:color w:val="000000" w:themeColor="text1"/>
        </w:rPr>
        <w:t>Range of tech</w:t>
      </w:r>
      <w:r w:rsidR="000C63D3">
        <w:rPr>
          <w:rFonts w:asciiTheme="minorHAnsi" w:hAnsiTheme="minorHAnsi" w:cstheme="minorHAnsi"/>
          <w:color w:val="000000" w:themeColor="text1"/>
        </w:rPr>
        <w:t>nology</w:t>
      </w:r>
      <w:r w:rsidRPr="00AA4E4C">
        <w:rPr>
          <w:rFonts w:asciiTheme="minorHAnsi" w:hAnsiTheme="minorHAnsi" w:cstheme="minorHAnsi"/>
          <w:color w:val="000000" w:themeColor="text1"/>
        </w:rPr>
        <w:t xml:space="preserve"> and application</w:t>
      </w:r>
    </w:p>
    <w:p w14:paraId="2D5FCA42" w14:textId="77777777" w:rsidR="00AA4E4C" w:rsidRPr="00AA4E4C" w:rsidRDefault="00AA4E4C" w:rsidP="00AA4E4C">
      <w:pPr>
        <w:pStyle w:val="NoSpacing"/>
      </w:pPr>
    </w:p>
    <w:p w14:paraId="6C321D2B" w14:textId="30A5AA67" w:rsidR="00C82A25" w:rsidRDefault="00C82A25" w:rsidP="00C82A25">
      <w:r>
        <w:t xml:space="preserve">We identified five main criteria that determine the choice of storage technology for </w:t>
      </w:r>
      <w:r w:rsidR="00152DCF">
        <w:t xml:space="preserve">energy access </w:t>
      </w:r>
      <w:r>
        <w:t>applications in developing countries: commercial readiness, capital cost, technology performance, f</w:t>
      </w:r>
      <w:r w:rsidRPr="00224671">
        <w:t xml:space="preserve">inancial stability of </w:t>
      </w:r>
      <w:r>
        <w:t>provider, and future-orientation.</w:t>
      </w:r>
    </w:p>
    <w:p w14:paraId="66C4C4DA" w14:textId="57D8AC48" w:rsidR="00C82A25" w:rsidRDefault="00C82A25" w:rsidP="00C82A25">
      <w:r>
        <w:t xml:space="preserve">The most important driver is </w:t>
      </w:r>
      <w:r w:rsidRPr="00C82A25">
        <w:rPr>
          <w:b/>
        </w:rPr>
        <w:t>commercial readiness</w:t>
      </w:r>
      <w:r>
        <w:t xml:space="preserve"> of the product. The energy access sector is reactive to developments in storage technologies and testing of novel technologies in this business environment is perceived as costly and risky. Proven technology is used as it best guarantees </w:t>
      </w:r>
      <w:r w:rsidR="003633E3">
        <w:t>acceptable</w:t>
      </w:r>
      <w:r>
        <w:t xml:space="preserve"> lifetimes and low failure rates in remote and environmentally harsh conditions. Warranties provide a safeguard for businesses and are thus a key element to any </w:t>
      </w:r>
      <w:r w:rsidR="003633E3">
        <w:t xml:space="preserve">storage </w:t>
      </w:r>
      <w:r>
        <w:t xml:space="preserve">technology </w:t>
      </w:r>
      <w:r w:rsidR="003633E3">
        <w:t>in this context</w:t>
      </w:r>
      <w:r>
        <w:t>.</w:t>
      </w:r>
      <w:r w:rsidR="00EC51AD">
        <w:t xml:space="preserve"> </w:t>
      </w:r>
      <w:r w:rsidRPr="00C82A25">
        <w:rPr>
          <w:b/>
        </w:rPr>
        <w:t xml:space="preserve">Capital cost </w:t>
      </w:r>
      <w:r>
        <w:t xml:space="preserve">is another key driver. While one technology might be best-suited for an application in terms of lifetime cost or technology performance, another </w:t>
      </w:r>
      <w:r w:rsidR="003633E3">
        <w:t>may be</w:t>
      </w:r>
      <w:r>
        <w:t xml:space="preserve"> chosen due to difficulties in paying the high upfront</w:t>
      </w:r>
      <w:r w:rsidR="003633E3">
        <w:t xml:space="preserve"> capital</w:t>
      </w:r>
      <w:r>
        <w:t xml:space="preserve"> cost. A related driver is </w:t>
      </w:r>
      <w:r w:rsidRPr="00C82A25">
        <w:rPr>
          <w:b/>
        </w:rPr>
        <w:t xml:space="preserve">technology performance </w:t>
      </w:r>
      <w:r>
        <w:t xml:space="preserve">and suitability to the respective application. For example, when considering a short operational life (3-5 years), lead-acid is </w:t>
      </w:r>
      <w:r w:rsidR="003633E3">
        <w:t>adopt</w:t>
      </w:r>
      <w:r>
        <w:t>ed due to low capital costs at suitable cycle life performance. If a business case requires long operation (5-10 years)</w:t>
      </w:r>
      <w:r w:rsidR="003633E3">
        <w:t>,</w:t>
      </w:r>
      <w:r>
        <w:t xml:space="preserve"> then lithium-ion is considered given its extended lifespan and</w:t>
      </w:r>
      <w:r w:rsidR="003633E3">
        <w:t xml:space="preserve"> </w:t>
      </w:r>
      <w:r>
        <w:t xml:space="preserve">deep discharge cycles, but in practice may not be chosen due to high upfront capital cost. In applications, where high charge / discharge rates, little energy storage capacity and many cycles are required, lithium-ion is likely to be preferred, despite potentially higher upfront capital costs. </w:t>
      </w:r>
    </w:p>
    <w:p w14:paraId="25C0D2BD" w14:textId="47B4DA07" w:rsidR="00C82A25" w:rsidRPr="003122DA" w:rsidRDefault="00C82A25" w:rsidP="00C82A25">
      <w:r>
        <w:t xml:space="preserve">A key decision criterion is also the </w:t>
      </w:r>
      <w:r w:rsidRPr="00C82A25">
        <w:rPr>
          <w:b/>
        </w:rPr>
        <w:t>financial stability</w:t>
      </w:r>
      <w:r>
        <w:t xml:space="preserve"> of the storage technology provider. Many interviewees </w:t>
      </w:r>
      <w:r w:rsidR="00F03225">
        <w:t>reported</w:t>
      </w:r>
      <w:r>
        <w:t xml:space="preserve"> initial technology choices that failed due to bankruptcy of the technology provider. This resulted in increased scrutiny of the financial stability of </w:t>
      </w:r>
      <w:r w:rsidR="00F03225">
        <w:t>subsequent te</w:t>
      </w:r>
      <w:r>
        <w:t xml:space="preserve">chnology providers and the preference to work with established players. </w:t>
      </w:r>
    </w:p>
    <w:p w14:paraId="71615394" w14:textId="757FAD51" w:rsidR="00C82A25" w:rsidRDefault="00C82A25" w:rsidP="00C82A25">
      <w:r>
        <w:t xml:space="preserve">A final criterion related to the nature of companies active in the energy access industry, i.e. start-ups, is the interest in </w:t>
      </w:r>
      <w:r w:rsidRPr="00C82A25">
        <w:rPr>
          <w:b/>
        </w:rPr>
        <w:t>future-oriented technologies</w:t>
      </w:r>
      <w:r>
        <w:t xml:space="preserve"> and the desire to test technologies with different characteristics. This </w:t>
      </w:r>
      <w:r w:rsidR="00F03225">
        <w:t xml:space="preserve">may be </w:t>
      </w:r>
      <w:r>
        <w:t>driven by the companies’ funding structure (e.g. grants) and</w:t>
      </w:r>
      <w:r w:rsidR="00F03225">
        <w:t>/or</w:t>
      </w:r>
      <w:r>
        <w:t xml:space="preserve"> focus on novelty and future growth potentials. </w:t>
      </w:r>
      <w:r w:rsidR="000B6716">
        <w:t xml:space="preserve">However, in some cases this was hindered by the existence of few providers </w:t>
      </w:r>
      <w:r w:rsidR="00F03225">
        <w:t>for</w:t>
      </w:r>
      <w:r w:rsidR="000B6716">
        <w:t xml:space="preserve"> less mature technologies, some of whom failed before projects were complete, or could not offer products at a suitable scale/price.</w:t>
      </w:r>
    </w:p>
    <w:p w14:paraId="5FB79FE3" w14:textId="548F7FC9" w:rsidR="0040510D" w:rsidRDefault="0040510D" w:rsidP="00805348">
      <w:pPr>
        <w:pStyle w:val="Heading4"/>
        <w:numPr>
          <w:ilvl w:val="1"/>
          <w:numId w:val="11"/>
        </w:numPr>
        <w:rPr>
          <w:rFonts w:asciiTheme="minorHAnsi" w:hAnsiTheme="minorHAnsi" w:cstheme="minorHAnsi"/>
          <w:color w:val="000000" w:themeColor="text1"/>
        </w:rPr>
      </w:pPr>
      <w:r w:rsidRPr="00AA4E4C">
        <w:rPr>
          <w:rFonts w:asciiTheme="minorHAnsi" w:hAnsiTheme="minorHAnsi" w:cstheme="minorHAnsi"/>
          <w:color w:val="000000" w:themeColor="text1"/>
        </w:rPr>
        <w:t>Cost of technologies</w:t>
      </w:r>
    </w:p>
    <w:p w14:paraId="40E40B58" w14:textId="77777777" w:rsidR="00AA4E4C" w:rsidRPr="00AA4E4C" w:rsidRDefault="00AA4E4C" w:rsidP="00AA4E4C">
      <w:pPr>
        <w:pStyle w:val="NoSpacing"/>
      </w:pPr>
    </w:p>
    <w:p w14:paraId="189E849D" w14:textId="66A4BC64" w:rsidR="00C82A25" w:rsidRDefault="00C82A25" w:rsidP="00C82A25">
      <w:pPr>
        <w:jc w:val="both"/>
      </w:pPr>
      <w:r>
        <w:t xml:space="preserve">Most </w:t>
      </w:r>
      <w:r w:rsidR="00616666">
        <w:t>interviewee</w:t>
      </w:r>
      <w:r>
        <w:t xml:space="preserve">s gave cost information for </w:t>
      </w:r>
      <w:r w:rsidR="00D44F3F">
        <w:t>li-ion</w:t>
      </w:r>
      <w:r>
        <w:t xml:space="preserve"> and </w:t>
      </w:r>
      <w:r w:rsidR="00D44F3F">
        <w:t>lead-acid</w:t>
      </w:r>
      <w:r>
        <w:t xml:space="preserve"> batteries, reflecting their dominance in the systems offered by the</w:t>
      </w:r>
      <w:r w:rsidR="00616666">
        <w:t>ir organisations</w:t>
      </w:r>
      <w:r>
        <w:t xml:space="preserve">. In limited cases costs were also reported for other technologies including Redox Flow batteries and saltwater (sodium-ion) batteries. </w:t>
      </w:r>
    </w:p>
    <w:p w14:paraId="3033C4BD" w14:textId="4760F1CB" w:rsidR="00C82A25" w:rsidRPr="005D7AAE" w:rsidRDefault="00C82A25" w:rsidP="00285D58">
      <w:pPr>
        <w:jc w:val="both"/>
      </w:pPr>
      <w:r>
        <w:t xml:space="preserve">Figure </w:t>
      </w:r>
      <w:r w:rsidR="00D44F3F">
        <w:t>1</w:t>
      </w:r>
      <w:r>
        <w:t xml:space="preserve"> shows the capital costs</w:t>
      </w:r>
      <w:r w:rsidR="00A36873">
        <w:t xml:space="preserve"> for battery </w:t>
      </w:r>
      <w:r w:rsidR="00C648CB">
        <w:t>packs</w:t>
      </w:r>
      <w:r>
        <w:t xml:space="preserve"> </w:t>
      </w:r>
      <w:r w:rsidR="00D44F3F">
        <w:t xml:space="preserve">by battery size </w:t>
      </w:r>
      <w:r w:rsidR="00285D58">
        <w:t xml:space="preserve">as reported by </w:t>
      </w:r>
      <w:r w:rsidR="00616666">
        <w:t>interviewee</w:t>
      </w:r>
      <w:r w:rsidR="00285D58">
        <w:t xml:space="preserve">s, </w:t>
      </w:r>
      <w:r w:rsidR="00F03225">
        <w:t>showing</w:t>
      </w:r>
      <w:r w:rsidR="00285D58">
        <w:t xml:space="preserve"> no obvious correlation between these two variables</w:t>
      </w:r>
      <w:r w:rsidR="00A36873">
        <w:t xml:space="preserve">. </w:t>
      </w:r>
      <w:r w:rsidR="00EE2AC2">
        <w:t>I</w:t>
      </w:r>
      <w:r w:rsidR="00285D58">
        <w:t xml:space="preserve">t would have been instructive to understand how costs related to order volumes, </w:t>
      </w:r>
      <w:r w:rsidR="00EE2AC2">
        <w:t xml:space="preserve">but </w:t>
      </w:r>
      <w:r w:rsidR="00285D58">
        <w:t xml:space="preserve">this information was not available from sufficient </w:t>
      </w:r>
      <w:r w:rsidR="00616666">
        <w:t>interviewee</w:t>
      </w:r>
      <w:r w:rsidR="00285D58">
        <w:t>s to allow a detailed comparison</w:t>
      </w:r>
      <w:r>
        <w:t xml:space="preserve">. </w:t>
      </w:r>
      <w:r w:rsidR="00A9252A">
        <w:t xml:space="preserve">Many interviewees did not specify variant amongst storage technologies, so strong conclusions about trends amongst these cannot be drawn from these results. However, results </w:t>
      </w:r>
      <w:r w:rsidR="00A9252A">
        <w:lastRenderedPageBreak/>
        <w:t xml:space="preserve">suggest that LFP is the dominant li-ion variant for battery packs of ~1 kWh and below, and flooded lead-acid batteries are predominantly considered for larger applications. </w:t>
      </w:r>
    </w:p>
    <w:p w14:paraId="2C2B77A6" w14:textId="5A98DEDD" w:rsidR="00BD0D74" w:rsidRDefault="00A9252A" w:rsidP="00285D58">
      <w:pPr>
        <w:keepNext/>
        <w:spacing w:line="360" w:lineRule="auto"/>
      </w:pPr>
      <w:r>
        <w:rPr>
          <w:noProof/>
        </w:rPr>
        <w:drawing>
          <wp:inline distT="0" distB="0" distL="0" distR="0" wp14:anchorId="78727901" wp14:editId="7933E85E">
            <wp:extent cx="2880000" cy="1880447"/>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000" cy="1880447"/>
                    </a:xfrm>
                    <a:prstGeom prst="rect">
                      <a:avLst/>
                    </a:prstGeom>
                    <a:noFill/>
                  </pic:spPr>
                </pic:pic>
              </a:graphicData>
            </a:graphic>
          </wp:inline>
        </w:drawing>
      </w:r>
      <w:r>
        <w:rPr>
          <w:noProof/>
        </w:rPr>
        <w:drawing>
          <wp:inline distT="0" distB="0" distL="0" distR="0" wp14:anchorId="3F3BCB2E" wp14:editId="46608366">
            <wp:extent cx="2880000" cy="188044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1880447"/>
                    </a:xfrm>
                    <a:prstGeom prst="rect">
                      <a:avLst/>
                    </a:prstGeom>
                    <a:noFill/>
                  </pic:spPr>
                </pic:pic>
              </a:graphicData>
            </a:graphic>
          </wp:inline>
        </w:drawing>
      </w:r>
    </w:p>
    <w:p w14:paraId="5D867341" w14:textId="27EDC3BE" w:rsidR="00C82A25" w:rsidRPr="00D44F3F" w:rsidRDefault="00C82A25" w:rsidP="00285D58">
      <w:pPr>
        <w:pStyle w:val="Caption"/>
        <w:rPr>
          <w:rFonts w:cstheme="minorHAnsi"/>
          <w:color w:val="000000" w:themeColor="text1"/>
        </w:rPr>
      </w:pPr>
      <w:r w:rsidRPr="00D44F3F">
        <w:rPr>
          <w:rFonts w:cstheme="minorHAnsi"/>
          <w:b/>
          <w:color w:val="000000" w:themeColor="text1"/>
        </w:rPr>
        <w:t xml:space="preserve">Figure </w:t>
      </w:r>
      <w:r w:rsidR="00D44F3F" w:rsidRPr="00D44F3F">
        <w:rPr>
          <w:rFonts w:cstheme="minorHAnsi"/>
          <w:b/>
          <w:color w:val="000000" w:themeColor="text1"/>
        </w:rPr>
        <w:fldChar w:fldCharType="begin"/>
      </w:r>
      <w:r w:rsidR="00D44F3F" w:rsidRPr="00D44F3F">
        <w:rPr>
          <w:rFonts w:cstheme="minorHAnsi"/>
          <w:b/>
          <w:color w:val="000000" w:themeColor="text1"/>
        </w:rPr>
        <w:instrText xml:space="preserve"> SEQ Figure \* ARABIC </w:instrText>
      </w:r>
      <w:r w:rsidR="00D44F3F" w:rsidRPr="00D44F3F">
        <w:rPr>
          <w:rFonts w:cstheme="minorHAnsi"/>
          <w:b/>
          <w:color w:val="000000" w:themeColor="text1"/>
        </w:rPr>
        <w:fldChar w:fldCharType="separate"/>
      </w:r>
      <w:r w:rsidR="007358EA">
        <w:rPr>
          <w:rFonts w:cstheme="minorHAnsi"/>
          <w:b/>
          <w:noProof/>
          <w:color w:val="000000" w:themeColor="text1"/>
        </w:rPr>
        <w:t>1</w:t>
      </w:r>
      <w:r w:rsidR="00D44F3F" w:rsidRPr="00D44F3F">
        <w:rPr>
          <w:rFonts w:cstheme="minorHAnsi"/>
          <w:b/>
          <w:color w:val="000000" w:themeColor="text1"/>
        </w:rPr>
        <w:fldChar w:fldCharType="end"/>
      </w:r>
      <w:r w:rsidRPr="00D44F3F">
        <w:rPr>
          <w:rFonts w:cstheme="minorHAnsi"/>
          <w:color w:val="000000" w:themeColor="text1"/>
        </w:rPr>
        <w:t xml:space="preserve"> – Capital costs for</w:t>
      </w:r>
      <w:r w:rsidR="00C96E1D">
        <w:rPr>
          <w:rFonts w:cstheme="minorHAnsi"/>
          <w:color w:val="000000" w:themeColor="text1"/>
        </w:rPr>
        <w:t xml:space="preserve"> battery </w:t>
      </w:r>
      <w:r w:rsidR="00C648CB">
        <w:rPr>
          <w:rFonts w:cstheme="minorHAnsi"/>
          <w:color w:val="000000" w:themeColor="text1"/>
        </w:rPr>
        <w:t>packs</w:t>
      </w:r>
      <w:r w:rsidRPr="00D44F3F">
        <w:rPr>
          <w:rFonts w:cstheme="minorHAnsi"/>
          <w:color w:val="000000" w:themeColor="text1"/>
        </w:rPr>
        <w:t xml:space="preserve"> of </w:t>
      </w:r>
      <w:r w:rsidR="00D44F3F" w:rsidRPr="00D44F3F">
        <w:rPr>
          <w:rFonts w:cstheme="minorHAnsi"/>
          <w:color w:val="000000" w:themeColor="text1"/>
        </w:rPr>
        <w:t>l</w:t>
      </w:r>
      <w:r w:rsidR="00C96E1D">
        <w:rPr>
          <w:rFonts w:cstheme="minorHAnsi"/>
          <w:color w:val="000000" w:themeColor="text1"/>
        </w:rPr>
        <w:t>ithium</w:t>
      </w:r>
      <w:r w:rsidRPr="00D44F3F">
        <w:rPr>
          <w:rFonts w:cstheme="minorHAnsi"/>
          <w:color w:val="000000" w:themeColor="text1"/>
        </w:rPr>
        <w:t xml:space="preserve">-ion (left) and </w:t>
      </w:r>
      <w:r w:rsidR="00D44F3F" w:rsidRPr="00D44F3F">
        <w:rPr>
          <w:rFonts w:cstheme="minorHAnsi"/>
          <w:color w:val="000000" w:themeColor="text1"/>
        </w:rPr>
        <w:t>lead-acid</w:t>
      </w:r>
      <w:r w:rsidRPr="00D44F3F">
        <w:rPr>
          <w:rFonts w:cstheme="minorHAnsi"/>
          <w:color w:val="000000" w:themeColor="text1"/>
        </w:rPr>
        <w:t xml:space="preserve"> (right) batteries as reported by interviewees</w:t>
      </w:r>
      <w:r w:rsidR="00A9252A">
        <w:rPr>
          <w:rFonts w:cstheme="minorHAnsi"/>
          <w:color w:val="000000" w:themeColor="text1"/>
        </w:rPr>
        <w:t xml:space="preserve"> </w:t>
      </w:r>
      <w:r w:rsidRPr="00D44F3F">
        <w:rPr>
          <w:rFonts w:cstheme="minorHAnsi"/>
          <w:color w:val="000000" w:themeColor="text1"/>
        </w:rPr>
        <w:t>an</w:t>
      </w:r>
      <w:r w:rsidR="00A9252A">
        <w:rPr>
          <w:rFonts w:cstheme="minorHAnsi"/>
          <w:color w:val="000000" w:themeColor="text1"/>
        </w:rPr>
        <w:t>d according to industry standard</w:t>
      </w:r>
      <w:r w:rsidRPr="00D44F3F">
        <w:rPr>
          <w:rFonts w:cstheme="minorHAnsi"/>
          <w:color w:val="000000" w:themeColor="text1"/>
        </w:rPr>
        <w:t xml:space="preserve"> </w:t>
      </w:r>
      <w:r w:rsidRPr="00D44F3F">
        <w:rPr>
          <w:rFonts w:cstheme="minorHAnsi"/>
          <w:color w:val="000000" w:themeColor="text1"/>
        </w:rPr>
        <w:fldChar w:fldCharType="begin" w:fldLock="1"/>
      </w:r>
      <w:r w:rsidR="00221A88">
        <w:rPr>
          <w:rFonts w:cstheme="minorHAnsi"/>
          <w:color w:val="000000" w:themeColor="text1"/>
        </w:rPr>
        <w:instrText>ADDIN CSL_CITATION { "citationID" : "GVgnWZCa", "citationItems" : [ { "id" : "ITEM-1", "itemData" : { "DOI" : "http://dx.doi.org/10.1016/j.enpol.2015.05.014", "ISSN" : "0301-4215", "abstract" : "Abstract The low price of lead-acid, the most popular battery, is often used in setting cost targets for emerging energy storage technologies. Future cost reductions in lead acid batteries could increase investment and time scales needed for emerging storage technologies to reach cost-parity. In this paper the first documented model of cost reductions for lead-acid batteries is developed. Regression to a standard experience curve using 1989\u20132012 data yield a poor fit, with R2 values of 0.17 for small batteries and 0.05 for larger systems. To address this problem, battery costs are separated into material and residual costs, and experience curves developed for residual costs. Depending on the year, residual costs account for 41\u201386% of total battery cost. Using running-time averages to address volatility in material costs, a 4-year time average experience curve for residual costs yield much higher R2, 0.78 for small and 0.74 for large lead-acid batteries. The learning rate for residual costs in lead-acid batteries is 20%, a discovery with policy implications. Neglecting to consider cost reductions in lead-acid batteries could result in failure of energy storage start-ups and public policy programs. Generalizing this result, learning in incumbent technologies must be understood to assess the potential of emerging ones.", "author" : [ { "dropping-particle" : "", "family" : "Matteson", "given" : "Schuyler", "non-dropping-particle" : "", "parse-names" : false, "suffix" : "" }, { "dropping-particle" : "", "family" : "Williams", "given" : "Eric", "non-dropping-particle" : "", "parse-names" : false, "suffix" : "" } ], "container-title" : "Energy Policy", "id" : "ITEM-1", "issue" : "0", "issued" : { "date-parts" : [ [ "2015" ] ] }, "page" : "71-79", "publisher" : "Elsevier", "title" : "Residual learning rates in lead-acid batteries: Effects on emerging technologies", "type" : "article-journal", "volume" : "85" }, "uris" : [ "http://www.mendeley.com/documents/?uuid=42344855-ba64-4aef-b236-7af0c2bbd935" ] }, { "id" : "ITEM-2", "itemData" : { "author" : [ { "dropping-particle" : "", "family" : "Kleinberg", "given" : "Michael", "non-dropping-particle" : "", "parse-names" : false, "suffix" : "" } ], "id" : "ITEM-2", "issued" : { "date-parts" : [ [ "2016" ] ] }, "publisher" : "Pacificorp", "title" : "Battery Energy Storage Study for the 2017 IRP", "type" : "book" }, "uri" : [ "http://www.mendeley.com/documents/?uuid=72a62220-bb18-46d0-abf9-903c22cf57e5", "http://www.mendeley.com/documents/?uuid=fb922846-8e89-31fe-918b-85d7886378d6" ], "uris" : [ "http://www.mendeley.com/documents/?uuid=72a62220-bb18-46d0-abf9-903c22cf57e5", "http://www.mendeley.com/documents/?uuid=fb922846-8e89-31fe-918b-85d7886378d6" ] } ], "mendeley" : { "formattedCitation" : "(Kleinberg, 2016; Matteson and Williams, 2015)", "plainTextFormattedCitation" : "(Kleinberg, 2016; Matteson and Williams, 2015)", "previouslyFormattedCitation" : "(Kleinberg, 2016; Matteson and Williams, 2015)" }, "properties" : { "formattedCitation" : "(Kleinberg, 2016; Matteson &amp; Williams, 2015)", "noteIndex" : 0, "plainCitation" : "(Kleinberg, 2016; Matteson &amp; Williams, 2015)" }, "schema" : "https://github.com/citation-style-language/schema/raw/master/csl-citation.json" }</w:instrText>
      </w:r>
      <w:r w:rsidRPr="00D44F3F">
        <w:rPr>
          <w:rFonts w:cstheme="minorHAnsi"/>
          <w:color w:val="000000" w:themeColor="text1"/>
        </w:rPr>
        <w:fldChar w:fldCharType="separate"/>
      </w:r>
      <w:r w:rsidR="00221A88" w:rsidRPr="00221A88">
        <w:rPr>
          <w:rFonts w:cstheme="minorHAnsi"/>
          <w:i w:val="0"/>
          <w:noProof/>
          <w:color w:val="000000" w:themeColor="text1"/>
        </w:rPr>
        <w:t>(Kleinberg, 2016; Matteson and Williams, 2015)</w:t>
      </w:r>
      <w:r w:rsidRPr="00D44F3F">
        <w:rPr>
          <w:rFonts w:cstheme="minorHAnsi"/>
          <w:color w:val="000000" w:themeColor="text1"/>
        </w:rPr>
        <w:fldChar w:fldCharType="end"/>
      </w:r>
      <w:r w:rsidRPr="00D44F3F">
        <w:rPr>
          <w:rFonts w:cstheme="minorHAnsi"/>
          <w:color w:val="000000" w:themeColor="text1"/>
        </w:rPr>
        <w:t>.</w:t>
      </w:r>
      <w:r w:rsidR="00575EF1">
        <w:rPr>
          <w:rFonts w:cstheme="minorHAnsi"/>
          <w:color w:val="000000" w:themeColor="text1"/>
        </w:rPr>
        <w:t xml:space="preserve"> </w:t>
      </w:r>
      <w:r w:rsidR="00A9252A">
        <w:rPr>
          <w:rFonts w:cstheme="minorHAnsi"/>
          <w:color w:val="000000" w:themeColor="text1"/>
        </w:rPr>
        <w:t>Variant of battery type is included where specified.</w:t>
      </w:r>
    </w:p>
    <w:p w14:paraId="60AD0F75" w14:textId="077A8589" w:rsidR="00C82A25" w:rsidRDefault="00A36873" w:rsidP="00907F9F">
      <w:r>
        <w:t xml:space="preserve">Li-ion </w:t>
      </w:r>
      <w:r w:rsidR="00C648CB">
        <w:t>pack</w:t>
      </w:r>
      <w:r w:rsidR="00C82A25">
        <w:t xml:space="preserve"> costs </w:t>
      </w:r>
      <w:r w:rsidR="00285D58">
        <w:t>lie in the range</w:t>
      </w:r>
      <w:r w:rsidR="00C82A25">
        <w:t xml:space="preserve"> </w:t>
      </w:r>
      <w:r w:rsidR="001365DF">
        <w:t>US</w:t>
      </w:r>
      <w:r w:rsidR="00C82A25">
        <w:t xml:space="preserve">$250-500/kWh, compared to </w:t>
      </w:r>
      <w:r w:rsidR="001365DF">
        <w:t>US</w:t>
      </w:r>
      <w:r w:rsidR="00C82A25">
        <w:t xml:space="preserve">$65-300/kWh for </w:t>
      </w:r>
      <w:r w:rsidR="001365DF">
        <w:t>lead-acid</w:t>
      </w:r>
      <w:r w:rsidR="00C82A25">
        <w:t xml:space="preserve"> batteries (full set of data points in </w:t>
      </w:r>
      <w:r w:rsidR="001365DF">
        <w:t>Annex C</w:t>
      </w:r>
      <w:r w:rsidR="00C82A25">
        <w:t xml:space="preserve">). </w:t>
      </w:r>
      <w:r w:rsidR="00285D58">
        <w:t>M</w:t>
      </w:r>
      <w:r w:rsidR="00C82A25">
        <w:t xml:space="preserve">ost </w:t>
      </w:r>
      <w:r w:rsidR="001365DF">
        <w:t>l</w:t>
      </w:r>
      <w:r w:rsidR="00C82A25">
        <w:t>i-ion batteries are for LFP chemistries</w:t>
      </w:r>
      <w:r w:rsidR="00285D58">
        <w:t xml:space="preserve">, whilst </w:t>
      </w:r>
      <w:r w:rsidR="001365DF">
        <w:t xml:space="preserve">lead-acid </w:t>
      </w:r>
      <w:r w:rsidR="00C82A25">
        <w:t xml:space="preserve">costs </w:t>
      </w:r>
      <w:r w:rsidR="00285D58">
        <w:t>are for</w:t>
      </w:r>
      <w:r w:rsidR="00C82A25">
        <w:t xml:space="preserve"> both</w:t>
      </w:r>
      <w:r w:rsidR="001365DF">
        <w:t>,</w:t>
      </w:r>
      <w:r w:rsidR="00C82A25">
        <w:t xml:space="preserve"> flooded and sealed varieties.</w:t>
      </w:r>
      <w:r w:rsidR="00285D58">
        <w:t xml:space="preserve"> A note of caution in understanding these </w:t>
      </w:r>
      <w:r w:rsidR="001365DF">
        <w:t xml:space="preserve">capital </w:t>
      </w:r>
      <w:r w:rsidR="00285D58">
        <w:t xml:space="preserve">cost ranges is that some </w:t>
      </w:r>
      <w:r w:rsidR="00616666">
        <w:t>interviewee</w:t>
      </w:r>
      <w:r w:rsidR="00285D58">
        <w:t xml:space="preserve">s were not clear about </w:t>
      </w:r>
      <w:r w:rsidR="00C648CB">
        <w:t>the</w:t>
      </w:r>
      <w:r w:rsidR="00285D58">
        <w:t xml:space="preserve"> components </w:t>
      </w:r>
      <w:r w:rsidR="00C82A25">
        <w:t xml:space="preserve">included. </w:t>
      </w:r>
      <w:r w:rsidR="00EE2AC2">
        <w:t>I</w:t>
      </w:r>
      <w:r w:rsidR="00C82A25">
        <w:t xml:space="preserve">nverters, battery management systems and other peripheral electronics would be additional to the capital costs above, but not in all cases. </w:t>
      </w:r>
      <w:r w:rsidR="00285D58">
        <w:t xml:space="preserve">Additionally, </w:t>
      </w:r>
      <w:r w:rsidR="00C82A25">
        <w:t xml:space="preserve">one </w:t>
      </w:r>
      <w:r w:rsidR="00616666">
        <w:t>interviewee</w:t>
      </w:r>
      <w:r w:rsidR="00C82A25">
        <w:t xml:space="preserve"> </w:t>
      </w:r>
      <w:r w:rsidR="00285D58">
        <w:t>did not provide cost information owing to</w:t>
      </w:r>
      <w:r w:rsidR="00C82A25">
        <w:t xml:space="preserve"> commercial confidential</w:t>
      </w:r>
      <w:r w:rsidR="00285D58">
        <w:t>ity</w:t>
      </w:r>
      <w:r w:rsidR="00C82A25">
        <w:t>.</w:t>
      </w:r>
      <w:r w:rsidR="00285D58">
        <w:t xml:space="preserve"> Nevertheless, the cost ranges are similar to recent estimates for the industry standard. </w:t>
      </w:r>
      <w:r w:rsidR="00C82A25">
        <w:t xml:space="preserve"> </w:t>
      </w:r>
    </w:p>
    <w:p w14:paraId="6A36F7BC" w14:textId="54408A4E" w:rsidR="00C82A25" w:rsidRDefault="00437EA1" w:rsidP="00907F9F">
      <w:r>
        <w:t xml:space="preserve">In addition to capital costs, some </w:t>
      </w:r>
      <w:r w:rsidR="00616666">
        <w:t>interviewee</w:t>
      </w:r>
      <w:r w:rsidR="00C82A25">
        <w:t xml:space="preserve">s </w:t>
      </w:r>
      <w:r>
        <w:t xml:space="preserve">were </w:t>
      </w:r>
      <w:r w:rsidR="00C82A25">
        <w:t xml:space="preserve">also </w:t>
      </w:r>
      <w:r>
        <w:t>able to provide transport and installation costs. T</w:t>
      </w:r>
      <w:r w:rsidR="00C82A25">
        <w:t xml:space="preserve">wo </w:t>
      </w:r>
      <w:r w:rsidR="00616666">
        <w:t>interviewee</w:t>
      </w:r>
      <w:r w:rsidR="00C82A25">
        <w:t xml:space="preserve">s </w:t>
      </w:r>
      <w:r>
        <w:t>estimated an international transport cost</w:t>
      </w:r>
      <w:r w:rsidR="00C648CB">
        <w:t xml:space="preserve"> for</w:t>
      </w:r>
      <w:r>
        <w:t xml:space="preserve"> shipping, predominantly from China</w:t>
      </w:r>
      <w:r w:rsidR="00C648CB">
        <w:t>,</w:t>
      </w:r>
      <w:r>
        <w:t xml:space="preserve"> of </w:t>
      </w:r>
      <w:r w:rsidR="00C648CB">
        <w:t>US</w:t>
      </w:r>
      <w:r>
        <w:t>$1-2 per battery (of a few kWh in size</w:t>
      </w:r>
      <w:r w:rsidR="00C648CB">
        <w:t>)</w:t>
      </w:r>
      <w:r>
        <w:t xml:space="preserve">, which equates to about 1% </w:t>
      </w:r>
      <w:r w:rsidR="00C82A25">
        <w:t xml:space="preserve">or less of the </w:t>
      </w:r>
      <w:r>
        <w:t>capital cost</w:t>
      </w:r>
      <w:r w:rsidR="00C82A25">
        <w:t xml:space="preserve">. </w:t>
      </w:r>
      <w:r>
        <w:t>W</w:t>
      </w:r>
      <w:r w:rsidR="00C82A25">
        <w:t>ithin-country transport costs varied depending on the remoteness and accessibility of the location.</w:t>
      </w:r>
      <w:r w:rsidR="00F03225">
        <w:t xml:space="preserve"> </w:t>
      </w:r>
      <w:r w:rsidR="00C82A25">
        <w:t xml:space="preserve">Installation costs were </w:t>
      </w:r>
      <w:r>
        <w:t xml:space="preserve">estimated </w:t>
      </w:r>
      <w:r w:rsidR="00C82A25">
        <w:t xml:space="preserve">at around 5-10% of the battery or </w:t>
      </w:r>
      <w:r>
        <w:t>full</w:t>
      </w:r>
      <w:r w:rsidR="00C82A25">
        <w:t xml:space="preserve"> solar home system cost</w:t>
      </w:r>
      <w:r>
        <w:t>.</w:t>
      </w:r>
    </w:p>
    <w:p w14:paraId="70670131" w14:textId="4B06A428" w:rsidR="00437EA1" w:rsidRDefault="00437EA1" w:rsidP="00437EA1">
      <w:r>
        <w:t xml:space="preserve">Whilst important, capital costs were not always cited as the most critical criterion for battery cost-effectiveness, with one </w:t>
      </w:r>
      <w:r w:rsidR="00616666">
        <w:t>interviewee</w:t>
      </w:r>
      <w:r>
        <w:t xml:space="preserve"> pointing out that higher capital cost </w:t>
      </w:r>
      <w:r w:rsidR="00C648CB">
        <w:t>li-ion batteries</w:t>
      </w:r>
      <w:r>
        <w:t xml:space="preserve"> were more cost-effective than </w:t>
      </w:r>
      <w:r w:rsidR="00C648CB">
        <w:t>lead-acid</w:t>
      </w:r>
      <w:r>
        <w:t xml:space="preserve"> when their higher power output is taken into account, for the particular application of replacing spinning reserves in an off-grid mine. </w:t>
      </w:r>
    </w:p>
    <w:p w14:paraId="3AADDF89" w14:textId="6A53B2E7" w:rsidR="00A93530" w:rsidRDefault="00437EA1" w:rsidP="00437EA1">
      <w:r>
        <w:t xml:space="preserve">Considering other battery technologies, one </w:t>
      </w:r>
      <w:r w:rsidR="00616666">
        <w:t>interviewee</w:t>
      </w:r>
      <w:r>
        <w:t xml:space="preserve"> had received a quote for </w:t>
      </w:r>
      <w:r w:rsidR="00C648CB">
        <w:t>redox-flow b</w:t>
      </w:r>
      <w:r w:rsidR="00C82A25">
        <w:t xml:space="preserve">atteries of </w:t>
      </w:r>
      <w:r w:rsidR="00C648CB">
        <w:t>US</w:t>
      </w:r>
      <w:r w:rsidR="00C82A25">
        <w:t xml:space="preserve">$170/kWh, but </w:t>
      </w:r>
      <w:r>
        <w:t>found this unlikely to be cost-based, given another,</w:t>
      </w:r>
      <w:r w:rsidR="00C82A25">
        <w:t xml:space="preserve"> more detailed quote </w:t>
      </w:r>
      <w:r>
        <w:t>of</w:t>
      </w:r>
      <w:r w:rsidR="00C82A25">
        <w:t xml:space="preserve"> </w:t>
      </w:r>
      <w:r w:rsidR="00C648CB">
        <w:t>US</w:t>
      </w:r>
      <w:r w:rsidR="00C82A25">
        <w:t>$740/kWh, including inverter</w:t>
      </w:r>
      <w:r>
        <w:t xml:space="preserve"> and other battery management and power electronics. </w:t>
      </w:r>
      <w:r w:rsidR="009C4956">
        <w:t xml:space="preserve">This same </w:t>
      </w:r>
      <w:r w:rsidR="00616666">
        <w:t>interviewee</w:t>
      </w:r>
      <w:r w:rsidR="009C4956">
        <w:t xml:space="preserve"> received i</w:t>
      </w:r>
      <w:r w:rsidR="00C82A25">
        <w:t>ndicative quotes for sodium</w:t>
      </w:r>
      <w:r w:rsidR="00C648CB">
        <w:t>-</w:t>
      </w:r>
      <w:proofErr w:type="spellStart"/>
      <w:r w:rsidR="00C82A25">
        <w:t>sulphur</w:t>
      </w:r>
      <w:proofErr w:type="spellEnd"/>
      <w:r w:rsidR="00C82A25">
        <w:t xml:space="preserve"> ($330/kWh), sodium</w:t>
      </w:r>
      <w:r w:rsidR="00C648CB">
        <w:t>-</w:t>
      </w:r>
      <w:r w:rsidR="00C82A25">
        <w:t>ion ($400/kWh), zinc</w:t>
      </w:r>
      <w:r w:rsidR="00C648CB">
        <w:t>-</w:t>
      </w:r>
      <w:r w:rsidR="00C82A25">
        <w:t>air ($250/kWh) and nickel</w:t>
      </w:r>
      <w:r w:rsidR="00C648CB">
        <w:t>-</w:t>
      </w:r>
      <w:r w:rsidR="00C82A25">
        <w:t>iron ($500/kWh)</w:t>
      </w:r>
      <w:r w:rsidR="009C4956">
        <w:t>.</w:t>
      </w:r>
      <w:r w:rsidR="00A93530">
        <w:t xml:space="preserve"> </w:t>
      </w:r>
    </w:p>
    <w:p w14:paraId="3D71E4BC" w14:textId="4A007D83" w:rsidR="00C82A25" w:rsidRDefault="00C12AD9" w:rsidP="00C12AD9">
      <w:pPr>
        <w:jc w:val="both"/>
      </w:pPr>
      <w:r>
        <w:t xml:space="preserve">In general, and in spite of variations between </w:t>
      </w:r>
      <w:r w:rsidR="00616666">
        <w:t>interviewee</w:t>
      </w:r>
      <w:r>
        <w:t xml:space="preserve">s, it appears that </w:t>
      </w:r>
      <w:r w:rsidR="00C648CB">
        <w:t>li-ion</w:t>
      </w:r>
      <w:r>
        <w:t xml:space="preserve"> costs have fallen rapidly in recent years whereas </w:t>
      </w:r>
      <w:r w:rsidR="00C648CB">
        <w:t>lead-acid</w:t>
      </w:r>
      <w:r>
        <w:t xml:space="preserve"> costs have remained relatively stable. </w:t>
      </w:r>
      <w:r w:rsidR="00C648CB">
        <w:t>Li-ion</w:t>
      </w:r>
      <w:r>
        <w:t xml:space="preserve"> costs were reported to fall by 21% in the last two years by one </w:t>
      </w:r>
      <w:r w:rsidR="00616666">
        <w:t>interviewee</w:t>
      </w:r>
      <w:r>
        <w:t xml:space="preserve">, 16% per year over “recent years” by another, and not at all (from the same supplier) over the last five years by a third </w:t>
      </w:r>
      <w:r w:rsidR="00616666">
        <w:t>interviewee</w:t>
      </w:r>
      <w:r>
        <w:t xml:space="preserve">. </w:t>
      </w:r>
      <w:r w:rsidR="00C82A25">
        <w:t xml:space="preserve">Two </w:t>
      </w:r>
      <w:r w:rsidR="00616666">
        <w:t>interviewee</w:t>
      </w:r>
      <w:r w:rsidR="00C82A25">
        <w:t xml:space="preserve">s </w:t>
      </w:r>
      <w:r w:rsidR="00F03225">
        <w:lastRenderedPageBreak/>
        <w:t>predicted that</w:t>
      </w:r>
      <w:r>
        <w:t xml:space="preserve"> </w:t>
      </w:r>
      <w:r w:rsidR="00C648CB">
        <w:t>li-ion packs</w:t>
      </w:r>
      <w:r w:rsidR="00EE2AC2">
        <w:t xml:space="preserve"> w</w:t>
      </w:r>
      <w:r w:rsidR="00C82A25">
        <w:t xml:space="preserve">ould reach </w:t>
      </w:r>
      <w:r>
        <w:t>about</w:t>
      </w:r>
      <w:r w:rsidR="00C82A25">
        <w:t xml:space="preserve"> </w:t>
      </w:r>
      <w:r w:rsidR="00C648CB">
        <w:t>US</w:t>
      </w:r>
      <w:r w:rsidR="00C82A25">
        <w:t xml:space="preserve">$250/kWh in the near future, </w:t>
      </w:r>
      <w:r>
        <w:t>and</w:t>
      </w:r>
      <w:r w:rsidR="00C82A25">
        <w:t xml:space="preserve"> one of these </w:t>
      </w:r>
      <w:r w:rsidR="00F03225">
        <w:t>predicted that</w:t>
      </w:r>
      <w:r>
        <w:t xml:space="preserve"> cost would plateau at this level.</w:t>
      </w:r>
      <w:r w:rsidR="008D794E">
        <w:t xml:space="preserve"> However, it</w:t>
      </w:r>
      <w:r w:rsidR="00EE2AC2">
        <w:t xml:space="preserve"> should be noted that, since the interviews were conducted, data has emerged indicating </w:t>
      </w:r>
      <w:r w:rsidR="00C648CB">
        <w:t>lithium-ion</w:t>
      </w:r>
      <w:r w:rsidR="008D794E">
        <w:t xml:space="preserve"> pack costs of just over $200/kWh </w:t>
      </w:r>
      <w:r w:rsidR="00C648CB" w:rsidRPr="00C648CB">
        <w:fldChar w:fldCharType="begin" w:fldLock="1"/>
      </w:r>
      <w:r w:rsidR="00253BF2">
        <w:instrText>ADDIN CSL_CITATION { "citationItems" : [ { "id" : "ITEM-1", "itemData" : { "author" : [ { "dropping-particle" : "", "family" : "Frith", "given" : "James", "non-dropping-particle" : "", "parse-names" : false, "suffix" : "" } ], "container-title" : "Bloomberg New Energy Finance", "id" : "ITEM-1", "issued" : { "date-parts" : [ [ "2017" ] ] }, "title" : "2017 Lithium-ion Battery Price Survey", "type" : "article-journal" }, "uris" : [ "http://www.mendeley.com/documents/?uuid=65b6572b-4d7e-4e3d-a68b-7ef62e67bdc2" ] } ], "mendeley" : { "formattedCitation" : "(Frith, 2017)", "plainTextFormattedCitation" : "(Frith, 2017)", "previouslyFormattedCitation" : "(Frith, 2017)" }, "properties" : { "noteIndex" : 0 }, "schema" : "https://github.com/citation-style-language/schema/raw/master/csl-citation.json" }</w:instrText>
      </w:r>
      <w:r w:rsidR="00C648CB" w:rsidRPr="00C648CB">
        <w:fldChar w:fldCharType="separate"/>
      </w:r>
      <w:r w:rsidR="00221A88" w:rsidRPr="00221A88">
        <w:rPr>
          <w:noProof/>
        </w:rPr>
        <w:t>(Frith, 2017)</w:t>
      </w:r>
      <w:r w:rsidR="00C648CB" w:rsidRPr="00C648CB">
        <w:fldChar w:fldCharType="end"/>
      </w:r>
      <w:r w:rsidR="008D794E">
        <w:t xml:space="preserve">. </w:t>
      </w:r>
      <w:r>
        <w:t xml:space="preserve">One </w:t>
      </w:r>
      <w:r w:rsidR="00616666">
        <w:t>interviewee</w:t>
      </w:r>
      <w:r>
        <w:t xml:space="preserve"> reported that c</w:t>
      </w:r>
      <w:r w:rsidR="00C82A25">
        <w:t xml:space="preserve">ost reductions </w:t>
      </w:r>
      <w:r>
        <w:t>for</w:t>
      </w:r>
      <w:r w:rsidR="00C82A25">
        <w:t xml:space="preserve"> </w:t>
      </w:r>
      <w:r w:rsidR="00BD0D74">
        <w:t>lead-acid</w:t>
      </w:r>
      <w:r w:rsidR="00C82A25">
        <w:t xml:space="preserve"> batteries</w:t>
      </w:r>
      <w:r>
        <w:t xml:space="preserve"> were the result of </w:t>
      </w:r>
      <w:r w:rsidR="00C82A25">
        <w:t>increasing</w:t>
      </w:r>
      <w:r>
        <w:t xml:space="preserve"> order</w:t>
      </w:r>
      <w:r w:rsidR="00C82A25">
        <w:t xml:space="preserve"> volumes</w:t>
      </w:r>
      <w:r>
        <w:t xml:space="preserve"> or greater supplier competition, rather than through technological and manufacturing based cost improvements</w:t>
      </w:r>
      <w:r w:rsidR="00BD0D74">
        <w:t>, as with li-ion</w:t>
      </w:r>
      <w:r>
        <w:t xml:space="preserve">. Finally, one </w:t>
      </w:r>
      <w:r w:rsidR="00616666">
        <w:t>interviewee</w:t>
      </w:r>
      <w:r>
        <w:t xml:space="preserve"> felt that </w:t>
      </w:r>
      <w:r w:rsidR="00BD0D74">
        <w:t>li-ion</w:t>
      </w:r>
      <w:r>
        <w:t xml:space="preserve"> </w:t>
      </w:r>
      <w:r w:rsidR="00BD0D74">
        <w:t xml:space="preserve">and lead-acid </w:t>
      </w:r>
      <w:r>
        <w:t>capital costs would converge in the next few years.</w:t>
      </w:r>
    </w:p>
    <w:p w14:paraId="569B4DEE" w14:textId="308E0F6F" w:rsidR="00AA4E4C" w:rsidRDefault="00D675FC" w:rsidP="00805348">
      <w:pPr>
        <w:pStyle w:val="Heading4"/>
        <w:numPr>
          <w:ilvl w:val="1"/>
          <w:numId w:val="11"/>
        </w:numPr>
        <w:rPr>
          <w:rFonts w:asciiTheme="minorHAnsi" w:hAnsiTheme="minorHAnsi" w:cstheme="minorHAnsi"/>
          <w:color w:val="000000" w:themeColor="text1"/>
        </w:rPr>
      </w:pPr>
      <w:r w:rsidRPr="00D94C18">
        <w:rPr>
          <w:rFonts w:asciiTheme="minorHAnsi" w:hAnsiTheme="minorHAnsi" w:cstheme="minorHAnsi"/>
          <w:color w:val="000000" w:themeColor="text1"/>
        </w:rPr>
        <w:t>Performance of technologies</w:t>
      </w:r>
    </w:p>
    <w:p w14:paraId="54F2D157" w14:textId="77777777" w:rsidR="00D94C18" w:rsidRPr="00D94C18" w:rsidRDefault="00D94C18" w:rsidP="00D94C18">
      <w:pPr>
        <w:pStyle w:val="NoSpacing"/>
      </w:pPr>
    </w:p>
    <w:p w14:paraId="785387CB" w14:textId="45693249" w:rsidR="00F676F4" w:rsidRPr="00FC445F" w:rsidRDefault="00F676F4" w:rsidP="00F676F4">
      <w:pPr>
        <w:rPr>
          <w:rFonts w:cstheme="minorHAnsi"/>
        </w:rPr>
      </w:pPr>
      <w:r>
        <w:t>We</w:t>
      </w:r>
      <w:r w:rsidRPr="007A2ABC">
        <w:t xml:space="preserve"> refer to </w:t>
      </w:r>
      <w:r w:rsidR="00BD0D74">
        <w:t>li-ion</w:t>
      </w:r>
      <w:r w:rsidR="00BD0D74" w:rsidRPr="007A2ABC">
        <w:t xml:space="preserve"> </w:t>
      </w:r>
      <w:r w:rsidRPr="007A2ABC">
        <w:t xml:space="preserve">and </w:t>
      </w:r>
      <w:r w:rsidR="00BD0D74">
        <w:t>lead-acid</w:t>
      </w:r>
      <w:r w:rsidR="00BD0D74" w:rsidRPr="007A2ABC">
        <w:t xml:space="preserve"> </w:t>
      </w:r>
      <w:r w:rsidRPr="007A2ABC">
        <w:t>batteries</w:t>
      </w:r>
      <w:r>
        <w:t xml:space="preserve"> here</w:t>
      </w:r>
      <w:r w:rsidRPr="007A2ABC">
        <w:t xml:space="preserve">, as these are most used amongst companies represented by our interviewees. </w:t>
      </w:r>
      <w:r>
        <w:t>T</w:t>
      </w:r>
      <w:r w:rsidRPr="007A2ABC">
        <w:t xml:space="preserve">hese are broken down by technology </w:t>
      </w:r>
      <w:proofErr w:type="gramStart"/>
      <w:r w:rsidRPr="007A2ABC">
        <w:t>variant</w:t>
      </w:r>
      <w:proofErr w:type="gramEnd"/>
      <w:r w:rsidRPr="007A2ABC">
        <w:t xml:space="preserve"> where relevant, chiefly between cathode chemistries for </w:t>
      </w:r>
      <w:r w:rsidR="00BD0D74">
        <w:t>li-ion</w:t>
      </w:r>
      <w:r w:rsidR="00BD0D74" w:rsidRPr="007A2ABC">
        <w:t xml:space="preserve"> </w:t>
      </w:r>
      <w:r w:rsidRPr="007A2ABC">
        <w:t>and between sealed</w:t>
      </w:r>
      <w:r>
        <w:t xml:space="preserve"> </w:t>
      </w:r>
      <w:r w:rsidRPr="007A2ABC">
        <w:t xml:space="preserve">and flooded </w:t>
      </w:r>
      <w:r w:rsidRPr="00FC445F">
        <w:rPr>
          <w:rFonts w:cstheme="minorHAnsi"/>
        </w:rPr>
        <w:t xml:space="preserve">for </w:t>
      </w:r>
      <w:r w:rsidR="00BD0D74">
        <w:rPr>
          <w:rFonts w:cstheme="minorHAnsi"/>
        </w:rPr>
        <w:t>lead-acid</w:t>
      </w:r>
      <w:r w:rsidRPr="00FC445F">
        <w:rPr>
          <w:rFonts w:cstheme="minorHAnsi"/>
        </w:rPr>
        <w:t xml:space="preserve">. Performance is considered across a range of categories: </w:t>
      </w:r>
    </w:p>
    <w:p w14:paraId="378D6B2F" w14:textId="4A08F1B0" w:rsidR="00F676F4" w:rsidRPr="00FC445F" w:rsidRDefault="00F676F4" w:rsidP="00650415">
      <w:pPr>
        <w:spacing w:line="240" w:lineRule="auto"/>
        <w:rPr>
          <w:rFonts w:cstheme="minorHAnsi"/>
        </w:rPr>
      </w:pPr>
      <w:r>
        <w:rPr>
          <w:rFonts w:cstheme="minorHAnsi"/>
          <w:b/>
        </w:rPr>
        <w:t>Ease of installation and u</w:t>
      </w:r>
      <w:r w:rsidRPr="00FC445F">
        <w:rPr>
          <w:rFonts w:cstheme="minorHAnsi"/>
          <w:b/>
        </w:rPr>
        <w:t>se:</w:t>
      </w:r>
      <w:r w:rsidRPr="00FC445F">
        <w:rPr>
          <w:rFonts w:cstheme="minorHAnsi"/>
        </w:rPr>
        <w:t xml:space="preserve"> </w:t>
      </w:r>
      <w:r w:rsidR="008D324A">
        <w:rPr>
          <w:rFonts w:cstheme="minorHAnsi"/>
        </w:rPr>
        <w:t>For large systems</w:t>
      </w:r>
      <w:r w:rsidR="003D5FAC">
        <w:rPr>
          <w:rFonts w:cstheme="minorHAnsi"/>
        </w:rPr>
        <w:t xml:space="preserve">, </w:t>
      </w:r>
      <w:r w:rsidR="008D324A">
        <w:rPr>
          <w:rFonts w:cstheme="minorHAnsi"/>
        </w:rPr>
        <w:t>the lack of installation infrastructure, i.e. cranes, in remote locations is an issue. For lead-acid, its larger</w:t>
      </w:r>
      <w:r>
        <w:rPr>
          <w:rFonts w:cstheme="minorHAnsi"/>
        </w:rPr>
        <w:t xml:space="preserve"> </w:t>
      </w:r>
      <w:r w:rsidRPr="00FC445F">
        <w:rPr>
          <w:rFonts w:cstheme="minorHAnsi"/>
        </w:rPr>
        <w:t xml:space="preserve">size and </w:t>
      </w:r>
      <w:r w:rsidR="008D324A">
        <w:rPr>
          <w:rFonts w:cstheme="minorHAnsi"/>
        </w:rPr>
        <w:t xml:space="preserve">heavier </w:t>
      </w:r>
      <w:r w:rsidRPr="00FC445F">
        <w:rPr>
          <w:rFonts w:cstheme="minorHAnsi"/>
        </w:rPr>
        <w:t>weight</w:t>
      </w:r>
      <w:r w:rsidR="008D324A">
        <w:rPr>
          <w:rFonts w:cstheme="minorHAnsi"/>
        </w:rPr>
        <w:t xml:space="preserve"> than li-ion are also </w:t>
      </w:r>
      <w:r w:rsidR="00CD18D1">
        <w:rPr>
          <w:rFonts w:cstheme="minorHAnsi"/>
        </w:rPr>
        <w:t xml:space="preserve">an </w:t>
      </w:r>
      <w:r w:rsidR="00CD18D1" w:rsidRPr="00FC445F">
        <w:rPr>
          <w:rFonts w:cstheme="minorHAnsi"/>
        </w:rPr>
        <w:t xml:space="preserve">issue </w:t>
      </w:r>
      <w:r w:rsidR="008D324A">
        <w:rPr>
          <w:rFonts w:cstheme="minorHAnsi"/>
        </w:rPr>
        <w:t xml:space="preserve">for smaller systems </w:t>
      </w:r>
      <w:r w:rsidR="00CD18D1">
        <w:rPr>
          <w:rFonts w:cstheme="minorHAnsi"/>
        </w:rPr>
        <w:t xml:space="preserve">in terms of </w:t>
      </w:r>
      <w:r>
        <w:rPr>
          <w:rFonts w:cstheme="minorHAnsi"/>
        </w:rPr>
        <w:t xml:space="preserve">transport to remote areas, </w:t>
      </w:r>
      <w:r w:rsidRPr="00FC445F">
        <w:rPr>
          <w:rFonts w:cstheme="minorHAnsi"/>
        </w:rPr>
        <w:t xml:space="preserve">maneuvering and </w:t>
      </w:r>
      <w:r>
        <w:rPr>
          <w:rFonts w:cstheme="minorHAnsi"/>
        </w:rPr>
        <w:t>installation. This</w:t>
      </w:r>
      <w:r w:rsidRPr="00FC445F">
        <w:rPr>
          <w:rFonts w:cstheme="minorHAnsi"/>
        </w:rPr>
        <w:t xml:space="preserve"> was particularly challenging for mobile agricultural applications</w:t>
      </w:r>
      <w:r w:rsidR="00CD18D1">
        <w:rPr>
          <w:rFonts w:cstheme="minorHAnsi"/>
        </w:rPr>
        <w:t xml:space="preserve"> (</w:t>
      </w:r>
      <w:proofErr w:type="spellStart"/>
      <w:r w:rsidR="00CD18D1">
        <w:rPr>
          <w:rFonts w:cstheme="minorHAnsi"/>
        </w:rPr>
        <w:t>eg</w:t>
      </w:r>
      <w:proofErr w:type="spellEnd"/>
      <w:r w:rsidR="00CD18D1">
        <w:rPr>
          <w:rFonts w:cstheme="minorHAnsi"/>
        </w:rPr>
        <w:t>. solar irrigation pumps)</w:t>
      </w:r>
      <w:r w:rsidRPr="00FC445F">
        <w:rPr>
          <w:rFonts w:cstheme="minorHAnsi"/>
        </w:rPr>
        <w:t xml:space="preserve">. </w:t>
      </w:r>
    </w:p>
    <w:p w14:paraId="4755CE67" w14:textId="07A84EFE" w:rsidR="00F676F4" w:rsidRDefault="00F676F4" w:rsidP="00650415">
      <w:pPr>
        <w:spacing w:line="240" w:lineRule="auto"/>
        <w:rPr>
          <w:rFonts w:cstheme="minorHAnsi"/>
        </w:rPr>
      </w:pPr>
      <w:r w:rsidRPr="00FC445F">
        <w:rPr>
          <w:rFonts w:cstheme="minorHAnsi"/>
          <w:b/>
        </w:rPr>
        <w:t>Charge/discharge characteristics:</w:t>
      </w:r>
      <w:r w:rsidRPr="00FC445F">
        <w:rPr>
          <w:rFonts w:cstheme="minorHAnsi"/>
        </w:rPr>
        <w:t xml:space="preserve"> Technologies broadly performed as interviewees expected. However, one interviewee </w:t>
      </w:r>
      <w:r>
        <w:rPr>
          <w:rFonts w:cstheme="minorHAnsi"/>
        </w:rPr>
        <w:t>reported</w:t>
      </w:r>
      <w:r w:rsidRPr="00FC445F">
        <w:rPr>
          <w:rFonts w:cstheme="minorHAnsi"/>
        </w:rPr>
        <w:t xml:space="preserve"> </w:t>
      </w:r>
      <w:r>
        <w:rPr>
          <w:rFonts w:cstheme="minorHAnsi"/>
        </w:rPr>
        <w:t xml:space="preserve">limitations to current flow which meant </w:t>
      </w:r>
      <w:r w:rsidRPr="00FC445F">
        <w:rPr>
          <w:rFonts w:cstheme="minorHAnsi"/>
        </w:rPr>
        <w:t xml:space="preserve">that </w:t>
      </w:r>
      <w:r w:rsidR="00BD0D74">
        <w:rPr>
          <w:rFonts w:cstheme="minorHAnsi"/>
        </w:rPr>
        <w:t>lead-acid</w:t>
      </w:r>
      <w:r w:rsidR="00BD0D74" w:rsidRPr="00FC445F">
        <w:rPr>
          <w:rFonts w:cstheme="minorHAnsi"/>
        </w:rPr>
        <w:t xml:space="preserve"> </w:t>
      </w:r>
      <w:r w:rsidRPr="00FC445F">
        <w:rPr>
          <w:rFonts w:cstheme="minorHAnsi"/>
        </w:rPr>
        <w:t xml:space="preserve">batteries cannot be charged as fast as they would like. </w:t>
      </w:r>
    </w:p>
    <w:p w14:paraId="41DC2793" w14:textId="53DB5D16" w:rsidR="00F676F4" w:rsidRPr="00FC445F" w:rsidRDefault="00F676F4" w:rsidP="00650415">
      <w:pPr>
        <w:spacing w:line="240" w:lineRule="auto"/>
        <w:rPr>
          <w:rFonts w:cstheme="minorHAnsi"/>
        </w:rPr>
      </w:pPr>
      <w:r>
        <w:rPr>
          <w:rFonts w:cstheme="minorHAnsi"/>
          <w:b/>
        </w:rPr>
        <w:t>R</w:t>
      </w:r>
      <w:r w:rsidRPr="00FC445F">
        <w:rPr>
          <w:rFonts w:cstheme="minorHAnsi"/>
          <w:b/>
        </w:rPr>
        <w:t>ound trip efficiency</w:t>
      </w:r>
      <w:r w:rsidR="00CD18D1">
        <w:rPr>
          <w:rFonts w:cstheme="minorHAnsi"/>
          <w:b/>
        </w:rPr>
        <w:t>:</w:t>
      </w:r>
      <w:r w:rsidRPr="00FC445F">
        <w:rPr>
          <w:rFonts w:cstheme="minorHAnsi"/>
        </w:rPr>
        <w:t xml:space="preserve"> Most </w:t>
      </w:r>
      <w:r w:rsidR="00616666">
        <w:rPr>
          <w:rFonts w:cstheme="minorHAnsi"/>
        </w:rPr>
        <w:t>interviewee</w:t>
      </w:r>
      <w:r w:rsidRPr="00FC445F">
        <w:rPr>
          <w:rFonts w:cstheme="minorHAnsi"/>
        </w:rPr>
        <w:t xml:space="preserve">s </w:t>
      </w:r>
      <w:r>
        <w:rPr>
          <w:rFonts w:cstheme="minorHAnsi"/>
        </w:rPr>
        <w:t xml:space="preserve">were satisfied, and </w:t>
      </w:r>
      <w:r w:rsidRPr="00FC445F">
        <w:rPr>
          <w:rFonts w:cstheme="minorHAnsi"/>
        </w:rPr>
        <w:t xml:space="preserve">reported values of above 90% for </w:t>
      </w:r>
      <w:r w:rsidR="00BD0D74">
        <w:rPr>
          <w:rFonts w:cstheme="minorHAnsi"/>
        </w:rPr>
        <w:t>li-ion</w:t>
      </w:r>
      <w:r w:rsidRPr="00FC445F">
        <w:rPr>
          <w:rFonts w:cstheme="minorHAnsi"/>
        </w:rPr>
        <w:t xml:space="preserve">, and 75-85% for </w:t>
      </w:r>
      <w:r w:rsidR="00BD0D74">
        <w:rPr>
          <w:rFonts w:cstheme="minorHAnsi"/>
        </w:rPr>
        <w:t>lead-acid</w:t>
      </w:r>
      <w:r w:rsidRPr="00FC445F">
        <w:rPr>
          <w:rFonts w:cstheme="minorHAnsi"/>
        </w:rPr>
        <w:t xml:space="preserve">. One interviewee </w:t>
      </w:r>
      <w:r w:rsidR="00CD18D1">
        <w:rPr>
          <w:rFonts w:cstheme="minorHAnsi"/>
        </w:rPr>
        <w:t>i</w:t>
      </w:r>
      <w:r w:rsidRPr="00FC445F">
        <w:rPr>
          <w:rFonts w:cstheme="minorHAnsi"/>
        </w:rPr>
        <w:t xml:space="preserve">ndicated </w:t>
      </w:r>
      <w:r>
        <w:rPr>
          <w:rFonts w:cstheme="minorHAnsi"/>
        </w:rPr>
        <w:t xml:space="preserve">a 5-10% drop in </w:t>
      </w:r>
      <w:r w:rsidR="00CD18D1">
        <w:rPr>
          <w:rFonts w:cstheme="minorHAnsi"/>
        </w:rPr>
        <w:t xml:space="preserve">efficiency of </w:t>
      </w:r>
      <w:r w:rsidR="00BD0D74">
        <w:rPr>
          <w:rFonts w:cstheme="minorHAnsi"/>
        </w:rPr>
        <w:t xml:space="preserve">lead-acid </w:t>
      </w:r>
      <w:r w:rsidRPr="00FC445F">
        <w:rPr>
          <w:rFonts w:cstheme="minorHAnsi"/>
        </w:rPr>
        <w:t xml:space="preserve">at temperatures </w:t>
      </w:r>
      <w:r>
        <w:rPr>
          <w:rFonts w:cstheme="minorHAnsi"/>
        </w:rPr>
        <w:t xml:space="preserve">of </w:t>
      </w:r>
      <w:r w:rsidRPr="00FC445F">
        <w:rPr>
          <w:rFonts w:cstheme="minorHAnsi"/>
        </w:rPr>
        <w:t>around 45°C.</w:t>
      </w:r>
    </w:p>
    <w:p w14:paraId="35E70A4B" w14:textId="04BAA40E" w:rsidR="00F676F4" w:rsidRDefault="00F676F4" w:rsidP="00650415">
      <w:pPr>
        <w:spacing w:line="240" w:lineRule="auto"/>
        <w:rPr>
          <w:rFonts w:cstheme="minorHAnsi"/>
        </w:rPr>
      </w:pPr>
      <w:r w:rsidRPr="00FC445F">
        <w:rPr>
          <w:rFonts w:cstheme="minorHAnsi"/>
          <w:b/>
        </w:rPr>
        <w:t>Cycle life:</w:t>
      </w:r>
      <w:r>
        <w:rPr>
          <w:rFonts w:cstheme="minorHAnsi"/>
        </w:rPr>
        <w:t xml:space="preserve"> Full cycle life of batteries had not been tested by most </w:t>
      </w:r>
      <w:r w:rsidR="00616666">
        <w:rPr>
          <w:rFonts w:cstheme="minorHAnsi"/>
        </w:rPr>
        <w:t>interviewee</w:t>
      </w:r>
      <w:r>
        <w:rPr>
          <w:rFonts w:cstheme="minorHAnsi"/>
        </w:rPr>
        <w:t xml:space="preserve">s. </w:t>
      </w:r>
      <w:r w:rsidRPr="00FC445F">
        <w:rPr>
          <w:rFonts w:cstheme="minorHAnsi"/>
        </w:rPr>
        <w:t>However, those who had more experience provided some useful insights</w:t>
      </w:r>
      <w:r>
        <w:rPr>
          <w:rFonts w:cstheme="minorHAnsi"/>
        </w:rPr>
        <w:t xml:space="preserve">. </w:t>
      </w:r>
      <w:r w:rsidR="00616666">
        <w:rPr>
          <w:rFonts w:cstheme="minorHAnsi"/>
        </w:rPr>
        <w:t>Interviewee</w:t>
      </w:r>
      <w:r>
        <w:rPr>
          <w:rFonts w:cstheme="minorHAnsi"/>
        </w:rPr>
        <w:t>s indicated that:</w:t>
      </w:r>
    </w:p>
    <w:p w14:paraId="7B82BB8E" w14:textId="764BB718" w:rsidR="00F676F4" w:rsidRDefault="00F676F4" w:rsidP="00650415">
      <w:pPr>
        <w:pStyle w:val="ListParagraph"/>
        <w:numPr>
          <w:ilvl w:val="0"/>
          <w:numId w:val="5"/>
        </w:numPr>
        <w:spacing w:line="240" w:lineRule="auto"/>
        <w:ind w:left="760" w:hanging="357"/>
        <w:rPr>
          <w:rFonts w:cstheme="minorHAnsi"/>
        </w:rPr>
      </w:pPr>
      <w:r>
        <w:rPr>
          <w:rFonts w:cstheme="minorHAnsi"/>
        </w:rPr>
        <w:t>O</w:t>
      </w:r>
      <w:r w:rsidRPr="00CD06B0">
        <w:rPr>
          <w:rFonts w:cstheme="minorHAnsi"/>
        </w:rPr>
        <w:t xml:space="preserve">perating batteries at higher temperatures than those </w:t>
      </w:r>
      <w:r w:rsidR="003D5FAC">
        <w:rPr>
          <w:rFonts w:cstheme="minorHAnsi"/>
        </w:rPr>
        <w:t>in</w:t>
      </w:r>
      <w:r w:rsidR="003D5FAC" w:rsidRPr="00CD06B0">
        <w:rPr>
          <w:rFonts w:cstheme="minorHAnsi"/>
        </w:rPr>
        <w:t xml:space="preserve"> </w:t>
      </w:r>
      <w:r w:rsidRPr="00CD06B0">
        <w:rPr>
          <w:rFonts w:cstheme="minorHAnsi"/>
        </w:rPr>
        <w:t xml:space="preserve">which battery cells were developed significantly decreases cycle life, </w:t>
      </w:r>
      <w:r>
        <w:rPr>
          <w:rFonts w:cstheme="minorHAnsi"/>
        </w:rPr>
        <w:t xml:space="preserve">with </w:t>
      </w:r>
      <w:r w:rsidR="000C0A91">
        <w:rPr>
          <w:rFonts w:cstheme="minorHAnsi"/>
        </w:rPr>
        <w:t xml:space="preserve">one interviewee specifying </w:t>
      </w:r>
      <w:r w:rsidRPr="00CD06B0">
        <w:rPr>
          <w:rFonts w:cstheme="minorHAnsi"/>
        </w:rPr>
        <w:t>a</w:t>
      </w:r>
      <w:r w:rsidR="00CF5D46">
        <w:rPr>
          <w:rFonts w:cstheme="minorHAnsi"/>
        </w:rPr>
        <w:t xml:space="preserve"> </w:t>
      </w:r>
      <w:r w:rsidRPr="00CD06B0">
        <w:rPr>
          <w:rFonts w:cstheme="minorHAnsi"/>
        </w:rPr>
        <w:t xml:space="preserve">rule of thumb that lifetime typically decreases by approximately 50% for every </w:t>
      </w:r>
      <w:r w:rsidR="00CD18D1">
        <w:rPr>
          <w:rFonts w:cstheme="minorHAnsi"/>
        </w:rPr>
        <w:t>10°C</w:t>
      </w:r>
      <w:r w:rsidRPr="00CD06B0">
        <w:rPr>
          <w:rFonts w:cstheme="minorHAnsi"/>
        </w:rPr>
        <w:t xml:space="preserve"> above lab temperature across battery technologies</w:t>
      </w:r>
      <w:r w:rsidR="00CF5D46">
        <w:rPr>
          <w:rFonts w:cstheme="minorHAnsi"/>
        </w:rPr>
        <w:t>, based upon their experience with li-ion and lead-acid batteries.</w:t>
      </w:r>
    </w:p>
    <w:p w14:paraId="61622E65" w14:textId="1E2FCD6C" w:rsidR="00F676F4" w:rsidRDefault="00F676F4" w:rsidP="00650415">
      <w:pPr>
        <w:pStyle w:val="ListParagraph"/>
        <w:numPr>
          <w:ilvl w:val="0"/>
          <w:numId w:val="5"/>
        </w:numPr>
        <w:spacing w:line="240" w:lineRule="auto"/>
        <w:ind w:left="760" w:hanging="357"/>
        <w:rPr>
          <w:rFonts w:cstheme="minorHAnsi"/>
        </w:rPr>
      </w:pPr>
      <w:r w:rsidRPr="00CD06B0">
        <w:rPr>
          <w:rFonts w:cstheme="minorHAnsi"/>
        </w:rPr>
        <w:t xml:space="preserve">Rapid charging/discharging of </w:t>
      </w:r>
      <w:r w:rsidR="00BD0D74">
        <w:rPr>
          <w:rFonts w:cstheme="minorHAnsi"/>
        </w:rPr>
        <w:t>lead-acid</w:t>
      </w:r>
      <w:r w:rsidR="00BD0D74" w:rsidRPr="00CD06B0">
        <w:rPr>
          <w:rFonts w:cstheme="minorHAnsi"/>
        </w:rPr>
        <w:t xml:space="preserve"> </w:t>
      </w:r>
      <w:r w:rsidRPr="00CD06B0">
        <w:rPr>
          <w:rFonts w:cstheme="minorHAnsi"/>
        </w:rPr>
        <w:t>batteries, and deep discharge, significantly reduces their life</w:t>
      </w:r>
      <w:r w:rsidR="00BD0D74">
        <w:rPr>
          <w:rFonts w:cstheme="minorHAnsi"/>
        </w:rPr>
        <w:t xml:space="preserve">. Most </w:t>
      </w:r>
      <w:r w:rsidR="00616666">
        <w:rPr>
          <w:rFonts w:cstheme="minorHAnsi"/>
        </w:rPr>
        <w:t>interviewee</w:t>
      </w:r>
      <w:r w:rsidR="00BD0D74">
        <w:rPr>
          <w:rFonts w:cstheme="minorHAnsi"/>
        </w:rPr>
        <w:t xml:space="preserve">s </w:t>
      </w:r>
      <w:r w:rsidRPr="00CD06B0">
        <w:rPr>
          <w:rFonts w:cstheme="minorHAnsi"/>
        </w:rPr>
        <w:t xml:space="preserve">restricted </w:t>
      </w:r>
      <w:r w:rsidR="00BD0D74">
        <w:rPr>
          <w:rFonts w:cstheme="minorHAnsi"/>
        </w:rPr>
        <w:t>depth-of-</w:t>
      </w:r>
      <w:r w:rsidRPr="00CD06B0">
        <w:rPr>
          <w:rFonts w:cstheme="minorHAnsi"/>
        </w:rPr>
        <w:t xml:space="preserve">discharge to around 50%. </w:t>
      </w:r>
      <w:r>
        <w:rPr>
          <w:rFonts w:cstheme="minorHAnsi"/>
        </w:rPr>
        <w:t xml:space="preserve">For </w:t>
      </w:r>
      <w:r w:rsidR="00BD0D74">
        <w:rPr>
          <w:rFonts w:cstheme="minorHAnsi"/>
        </w:rPr>
        <w:t>li-ion</w:t>
      </w:r>
      <w:r>
        <w:rPr>
          <w:rFonts w:cstheme="minorHAnsi"/>
        </w:rPr>
        <w:t>, d</w:t>
      </w:r>
      <w:r w:rsidRPr="00CD06B0">
        <w:rPr>
          <w:rFonts w:cstheme="minorHAnsi"/>
        </w:rPr>
        <w:t>epth-of-discharge</w:t>
      </w:r>
      <w:r>
        <w:rPr>
          <w:rFonts w:cstheme="minorHAnsi"/>
        </w:rPr>
        <w:t xml:space="preserve"> of 80-90%</w:t>
      </w:r>
      <w:r w:rsidRPr="00CD06B0">
        <w:rPr>
          <w:rFonts w:cstheme="minorHAnsi"/>
        </w:rPr>
        <w:t xml:space="preserve"> </w:t>
      </w:r>
      <w:r>
        <w:rPr>
          <w:rFonts w:cstheme="minorHAnsi"/>
        </w:rPr>
        <w:t>appeared to have little</w:t>
      </w:r>
      <w:r w:rsidRPr="00CD06B0">
        <w:rPr>
          <w:rFonts w:cstheme="minorHAnsi"/>
        </w:rPr>
        <w:t xml:space="preserve"> impact on </w:t>
      </w:r>
      <w:r>
        <w:rPr>
          <w:rFonts w:cstheme="minorHAnsi"/>
        </w:rPr>
        <w:t xml:space="preserve">cycle life, </w:t>
      </w:r>
      <w:r w:rsidRPr="00CD06B0">
        <w:rPr>
          <w:rFonts w:cstheme="minorHAnsi"/>
        </w:rPr>
        <w:t>but one interviewee</w:t>
      </w:r>
      <w:r>
        <w:rPr>
          <w:rFonts w:cstheme="minorHAnsi"/>
        </w:rPr>
        <w:t xml:space="preserve"> indicated that high </w:t>
      </w:r>
      <w:r w:rsidR="00BD0D74">
        <w:rPr>
          <w:rFonts w:cstheme="minorHAnsi"/>
        </w:rPr>
        <w:t xml:space="preserve">charge/discharge </w:t>
      </w:r>
      <w:r>
        <w:rPr>
          <w:rFonts w:cstheme="minorHAnsi"/>
        </w:rPr>
        <w:t xml:space="preserve">rates </w:t>
      </w:r>
      <w:r w:rsidR="00BD0D74">
        <w:rPr>
          <w:rFonts w:cstheme="minorHAnsi"/>
        </w:rPr>
        <w:t xml:space="preserve">relative to storage capacity </w:t>
      </w:r>
      <w:r>
        <w:rPr>
          <w:rFonts w:cstheme="minorHAnsi"/>
        </w:rPr>
        <w:t>can</w:t>
      </w:r>
      <w:r w:rsidRPr="00CD06B0">
        <w:rPr>
          <w:rFonts w:cstheme="minorHAnsi"/>
        </w:rPr>
        <w:t xml:space="preserve"> accelerate degradation. </w:t>
      </w:r>
    </w:p>
    <w:p w14:paraId="0E9AC39E" w14:textId="68FAF7AA" w:rsidR="00F676F4" w:rsidRDefault="00F676F4" w:rsidP="00650415">
      <w:pPr>
        <w:pStyle w:val="ListParagraph"/>
        <w:numPr>
          <w:ilvl w:val="0"/>
          <w:numId w:val="5"/>
        </w:numPr>
        <w:spacing w:line="240" w:lineRule="auto"/>
        <w:ind w:left="760" w:hanging="357"/>
        <w:rPr>
          <w:rFonts w:cstheme="minorHAnsi"/>
        </w:rPr>
      </w:pPr>
      <w:r w:rsidRPr="00CD06B0">
        <w:rPr>
          <w:rFonts w:cstheme="minorHAnsi"/>
        </w:rPr>
        <w:t xml:space="preserve">Cycle life of battery technologies varies by manufacturer, particularly for </w:t>
      </w:r>
      <w:r w:rsidR="00BD0D74">
        <w:rPr>
          <w:rFonts w:cstheme="minorHAnsi"/>
        </w:rPr>
        <w:t>li-ion</w:t>
      </w:r>
      <w:r w:rsidR="00BD0D74" w:rsidRPr="00CD06B0">
        <w:rPr>
          <w:rFonts w:cstheme="minorHAnsi"/>
        </w:rPr>
        <w:t xml:space="preserve"> </w:t>
      </w:r>
      <w:r w:rsidRPr="00CD06B0">
        <w:rPr>
          <w:rFonts w:cstheme="minorHAnsi"/>
        </w:rPr>
        <w:t xml:space="preserve">with LFP cathodes, where the manufacturing sector is relatively immature and there are more players active than for </w:t>
      </w:r>
      <w:r w:rsidR="00BD0D74">
        <w:rPr>
          <w:rFonts w:cstheme="minorHAnsi"/>
        </w:rPr>
        <w:t>lead-acid</w:t>
      </w:r>
      <w:r w:rsidR="003D5FAC">
        <w:rPr>
          <w:rFonts w:cstheme="minorHAnsi"/>
        </w:rPr>
        <w:t>, where competition over a longer period of commercial viability has consolidated the market to a smaller number of manufacturers.</w:t>
      </w:r>
    </w:p>
    <w:p w14:paraId="624F3F97" w14:textId="618C2F0D" w:rsidR="00F676F4" w:rsidRPr="00CD06B0" w:rsidRDefault="00F676F4" w:rsidP="00D7567A">
      <w:pPr>
        <w:spacing w:line="240" w:lineRule="auto"/>
        <w:rPr>
          <w:rFonts w:cstheme="minorHAnsi"/>
        </w:rPr>
      </w:pPr>
      <w:r w:rsidRPr="00CD06B0">
        <w:rPr>
          <w:rFonts w:cstheme="minorHAnsi"/>
          <w:b/>
        </w:rPr>
        <w:t>Reliability:</w:t>
      </w:r>
      <w:r w:rsidRPr="00CD06B0">
        <w:rPr>
          <w:rFonts w:cstheme="minorHAnsi"/>
        </w:rPr>
        <w:t xml:space="preserve"> </w:t>
      </w:r>
      <w:r>
        <w:rPr>
          <w:rFonts w:cstheme="minorHAnsi"/>
        </w:rPr>
        <w:t>No significant issues</w:t>
      </w:r>
      <w:r w:rsidRPr="00CD06B0">
        <w:rPr>
          <w:rFonts w:cstheme="minorHAnsi"/>
        </w:rPr>
        <w:t xml:space="preserve">. One </w:t>
      </w:r>
      <w:r w:rsidR="00BD0D74">
        <w:rPr>
          <w:rFonts w:cstheme="minorHAnsi"/>
        </w:rPr>
        <w:t xml:space="preserve">lead-acid </w:t>
      </w:r>
      <w:r>
        <w:rPr>
          <w:rFonts w:cstheme="minorHAnsi"/>
        </w:rPr>
        <w:t>user</w:t>
      </w:r>
      <w:r w:rsidRPr="00CD06B0">
        <w:rPr>
          <w:rFonts w:cstheme="minorHAnsi"/>
        </w:rPr>
        <w:t xml:space="preserve"> indicated that they typically find either very sudden, abrupt failures or slow degradation with 1-2% fail</w:t>
      </w:r>
      <w:r w:rsidR="00BD0D74">
        <w:rPr>
          <w:rFonts w:cstheme="minorHAnsi"/>
        </w:rPr>
        <w:t>ure</w:t>
      </w:r>
      <w:r w:rsidRPr="00CD06B0">
        <w:rPr>
          <w:rFonts w:cstheme="minorHAnsi"/>
        </w:rPr>
        <w:t xml:space="preserve"> within </w:t>
      </w:r>
      <w:r w:rsidR="00BD0D74">
        <w:rPr>
          <w:rFonts w:cstheme="minorHAnsi"/>
        </w:rPr>
        <w:t xml:space="preserve">the </w:t>
      </w:r>
      <w:r w:rsidRPr="00CD06B0">
        <w:rPr>
          <w:rFonts w:cstheme="minorHAnsi"/>
        </w:rPr>
        <w:t xml:space="preserve">first 2 months. One LFP </w:t>
      </w:r>
      <w:r>
        <w:rPr>
          <w:rFonts w:cstheme="minorHAnsi"/>
        </w:rPr>
        <w:t xml:space="preserve">user </w:t>
      </w:r>
      <w:r w:rsidRPr="00CD06B0">
        <w:rPr>
          <w:rFonts w:cstheme="minorHAnsi"/>
        </w:rPr>
        <w:t>indicated that their previous manufacturer provided an additional 10% of batteries to account for failures, but that failure ra</w:t>
      </w:r>
      <w:r>
        <w:rPr>
          <w:rFonts w:cstheme="minorHAnsi"/>
        </w:rPr>
        <w:t>tes were in some cases higher.</w:t>
      </w:r>
      <w:r w:rsidR="00EC51AD">
        <w:rPr>
          <w:rFonts w:cstheme="minorHAnsi"/>
        </w:rPr>
        <w:t xml:space="preserve"> Some </w:t>
      </w:r>
      <w:r w:rsidR="00616666">
        <w:rPr>
          <w:rFonts w:cstheme="minorHAnsi"/>
        </w:rPr>
        <w:t>interviewee</w:t>
      </w:r>
      <w:r w:rsidR="00EC51AD">
        <w:rPr>
          <w:rFonts w:cstheme="minorHAnsi"/>
        </w:rPr>
        <w:t>s indicated that they had received li-ion batteries already degraded upon delivery, following transport at high temperatures (above ~</w:t>
      </w:r>
      <w:r w:rsidR="00EC51AD" w:rsidRPr="00FC445F">
        <w:rPr>
          <w:rFonts w:cstheme="minorHAnsi"/>
        </w:rPr>
        <w:t>45°</w:t>
      </w:r>
      <w:r w:rsidR="00EC51AD">
        <w:rPr>
          <w:rFonts w:cstheme="minorHAnsi"/>
        </w:rPr>
        <w:t>C</w:t>
      </w:r>
      <w:r w:rsidR="00616666">
        <w:rPr>
          <w:rFonts w:cstheme="minorHAnsi"/>
        </w:rPr>
        <w:t>), and/or in extreme states of charge</w:t>
      </w:r>
      <w:r w:rsidR="00EC51AD">
        <w:rPr>
          <w:rFonts w:cstheme="minorHAnsi"/>
        </w:rPr>
        <w:t>.</w:t>
      </w:r>
    </w:p>
    <w:p w14:paraId="154770BB" w14:textId="5CB8FC62" w:rsidR="00F676F4" w:rsidRPr="00FC445F" w:rsidRDefault="00F676F4" w:rsidP="00650415">
      <w:pPr>
        <w:spacing w:line="240" w:lineRule="auto"/>
        <w:rPr>
          <w:rFonts w:cstheme="minorHAnsi"/>
        </w:rPr>
      </w:pPr>
      <w:r w:rsidRPr="00FC445F">
        <w:rPr>
          <w:rFonts w:cstheme="minorHAnsi"/>
          <w:b/>
        </w:rPr>
        <w:lastRenderedPageBreak/>
        <w:t>Ease of expansion</w:t>
      </w:r>
      <w:r w:rsidRPr="00FC445F">
        <w:rPr>
          <w:rFonts w:cstheme="minorHAnsi"/>
        </w:rPr>
        <w:t>: In general, expansion of energy capacity is relatively simple and can be achieved by installing additional batteries. However, expansion to a larger power requirement is more challenging, requiring both</w:t>
      </w:r>
      <w:r w:rsidR="00BD0D74">
        <w:rPr>
          <w:rFonts w:cstheme="minorHAnsi"/>
        </w:rPr>
        <w:t>,</w:t>
      </w:r>
      <w:r w:rsidRPr="00FC445F">
        <w:rPr>
          <w:rFonts w:cstheme="minorHAnsi"/>
        </w:rPr>
        <w:t xml:space="preserve"> a larger battery and additional </w:t>
      </w:r>
      <w:r w:rsidR="00BD0D74">
        <w:rPr>
          <w:rFonts w:cstheme="minorHAnsi"/>
        </w:rPr>
        <w:t xml:space="preserve">power </w:t>
      </w:r>
      <w:r w:rsidRPr="00FC445F">
        <w:rPr>
          <w:rFonts w:cstheme="minorHAnsi"/>
        </w:rPr>
        <w:t>electronics.</w:t>
      </w:r>
    </w:p>
    <w:p w14:paraId="70BC667C" w14:textId="2AE85CD6" w:rsidR="00F676F4" w:rsidRDefault="00F676F4" w:rsidP="00650415">
      <w:pPr>
        <w:spacing w:line="240" w:lineRule="auto"/>
        <w:rPr>
          <w:rFonts w:cstheme="minorHAnsi"/>
        </w:rPr>
      </w:pPr>
      <w:r w:rsidRPr="00FC445F">
        <w:rPr>
          <w:rFonts w:cstheme="minorHAnsi"/>
          <w:b/>
        </w:rPr>
        <w:t>Safety:</w:t>
      </w:r>
      <w:r w:rsidRPr="00FC445F">
        <w:rPr>
          <w:rFonts w:cstheme="minorHAnsi"/>
        </w:rPr>
        <w:t xml:space="preserve"> </w:t>
      </w:r>
      <w:r>
        <w:rPr>
          <w:rFonts w:cstheme="minorHAnsi"/>
        </w:rPr>
        <w:t xml:space="preserve">Safety represented a concern for all technologies. </w:t>
      </w:r>
      <w:r w:rsidRPr="00FC445F">
        <w:rPr>
          <w:rFonts w:cstheme="minorHAnsi"/>
        </w:rPr>
        <w:t>One interviewee indicated a preference for LFP over other</w:t>
      </w:r>
      <w:r w:rsidR="00EA542F">
        <w:rPr>
          <w:rFonts w:cstheme="minorHAnsi"/>
        </w:rPr>
        <w:t xml:space="preserve"> </w:t>
      </w:r>
      <w:r w:rsidRPr="00FC445F">
        <w:rPr>
          <w:rFonts w:cstheme="minorHAnsi"/>
        </w:rPr>
        <w:t xml:space="preserve">cathode chemistries due to higher safety levels than NMC </w:t>
      </w:r>
      <w:r w:rsidR="00EA542F">
        <w:rPr>
          <w:rFonts w:cstheme="minorHAnsi"/>
        </w:rPr>
        <w:t xml:space="preserve">that are </w:t>
      </w:r>
      <w:proofErr w:type="spellStart"/>
      <w:r w:rsidR="00EA542F">
        <w:rPr>
          <w:rFonts w:cstheme="minorHAnsi"/>
        </w:rPr>
        <w:t>optimised</w:t>
      </w:r>
      <w:proofErr w:type="spellEnd"/>
      <w:r w:rsidR="00EA542F">
        <w:rPr>
          <w:rFonts w:cstheme="minorHAnsi"/>
        </w:rPr>
        <w:t xml:space="preserve"> for electric vehicles (</w:t>
      </w:r>
      <w:r w:rsidRPr="00FC445F">
        <w:rPr>
          <w:rFonts w:cstheme="minorHAnsi"/>
        </w:rPr>
        <w:t>EV</w:t>
      </w:r>
      <w:r w:rsidR="00EA542F">
        <w:rPr>
          <w:rFonts w:cstheme="minorHAnsi"/>
        </w:rPr>
        <w:t>)</w:t>
      </w:r>
      <w:r w:rsidR="009F4BC2">
        <w:rPr>
          <w:rFonts w:cstheme="minorHAnsi"/>
        </w:rPr>
        <w:t xml:space="preserve">, </w:t>
      </w:r>
      <w:r w:rsidRPr="00FC445F">
        <w:rPr>
          <w:rFonts w:cstheme="minorHAnsi"/>
        </w:rPr>
        <w:t>and expressed particular concern around</w:t>
      </w:r>
      <w:r w:rsidR="00EA542F">
        <w:rPr>
          <w:rFonts w:cstheme="minorHAnsi"/>
        </w:rPr>
        <w:t xml:space="preserve"> the</w:t>
      </w:r>
      <w:r w:rsidRPr="00FC445F">
        <w:rPr>
          <w:rFonts w:cstheme="minorHAnsi"/>
        </w:rPr>
        <w:t xml:space="preserve"> safety of second-life EV batteries.</w:t>
      </w:r>
      <w:r w:rsidRPr="003D4BFE">
        <w:rPr>
          <w:rFonts w:cstheme="minorHAnsi"/>
        </w:rPr>
        <w:t xml:space="preserve"> </w:t>
      </w:r>
      <w:r>
        <w:rPr>
          <w:rFonts w:cstheme="minorHAnsi"/>
        </w:rPr>
        <w:t>One</w:t>
      </w:r>
      <w:r w:rsidRPr="00FC445F">
        <w:rPr>
          <w:rFonts w:cstheme="minorHAnsi"/>
        </w:rPr>
        <w:t xml:space="preserve"> interviewee indicated that they had experienced more safety issues with </w:t>
      </w:r>
      <w:r w:rsidR="00EA542F">
        <w:rPr>
          <w:rFonts w:cstheme="minorHAnsi"/>
        </w:rPr>
        <w:t>lead-acid</w:t>
      </w:r>
      <w:r w:rsidR="00EA542F" w:rsidRPr="00FC445F">
        <w:rPr>
          <w:rFonts w:cstheme="minorHAnsi"/>
        </w:rPr>
        <w:t xml:space="preserve"> </w:t>
      </w:r>
      <w:r w:rsidRPr="00FC445F">
        <w:rPr>
          <w:rFonts w:cstheme="minorHAnsi"/>
        </w:rPr>
        <w:t xml:space="preserve">than </w:t>
      </w:r>
      <w:r w:rsidR="00EA542F">
        <w:rPr>
          <w:rFonts w:cstheme="minorHAnsi"/>
        </w:rPr>
        <w:t>lithium-ion</w:t>
      </w:r>
      <w:r w:rsidRPr="00FC445F">
        <w:rPr>
          <w:rFonts w:cstheme="minorHAnsi"/>
        </w:rPr>
        <w:t xml:space="preserve">, and two interviewees indicated that issues can occur with production of hydrogen gas if </w:t>
      </w:r>
      <w:r w:rsidR="00EA542F">
        <w:rPr>
          <w:rFonts w:cstheme="minorHAnsi"/>
        </w:rPr>
        <w:t>lead-acid</w:t>
      </w:r>
      <w:r w:rsidR="00EA542F" w:rsidRPr="00FC445F">
        <w:rPr>
          <w:rFonts w:cstheme="minorHAnsi"/>
        </w:rPr>
        <w:t xml:space="preserve"> </w:t>
      </w:r>
      <w:r w:rsidRPr="00FC445F">
        <w:rPr>
          <w:rFonts w:cstheme="minorHAnsi"/>
        </w:rPr>
        <w:t>batteries are charged too quickly, which can lead to explosions without sufficient ventilation.</w:t>
      </w:r>
    </w:p>
    <w:p w14:paraId="06B497DD" w14:textId="2F3E44DA" w:rsidR="00F676F4" w:rsidRPr="007A2ABC" w:rsidRDefault="00F676F4" w:rsidP="008B6F77">
      <w:pPr>
        <w:spacing w:line="240" w:lineRule="auto"/>
      </w:pPr>
      <w:r w:rsidRPr="007A2ABC">
        <w:t xml:space="preserve">Interviewees using both li-ion and </w:t>
      </w:r>
      <w:r w:rsidR="00EA542F">
        <w:t>lead-acid</w:t>
      </w:r>
      <w:r w:rsidR="00EA542F" w:rsidRPr="007A2ABC">
        <w:t xml:space="preserve"> </w:t>
      </w:r>
      <w:r w:rsidRPr="007A2ABC">
        <w:t xml:space="preserve">batteries had mixed experience in terms of how technical performance compared to manufacturer specifications, as indicated in Table </w:t>
      </w:r>
      <w:r w:rsidR="00C605EB">
        <w:t>1</w:t>
      </w:r>
      <w:r>
        <w:t>.</w:t>
      </w:r>
    </w:p>
    <w:p w14:paraId="533F972C" w14:textId="02E42123" w:rsidR="00EA542F" w:rsidRPr="00805348" w:rsidRDefault="00EA542F" w:rsidP="009F4BC2">
      <w:pPr>
        <w:pStyle w:val="Caption"/>
        <w:keepNext/>
        <w:rPr>
          <w:color w:val="000000" w:themeColor="text1"/>
        </w:rPr>
      </w:pPr>
      <w:r w:rsidRPr="00805348">
        <w:rPr>
          <w:color w:val="000000" w:themeColor="text1"/>
        </w:rPr>
        <w:t xml:space="preserve">Table </w:t>
      </w:r>
      <w:r w:rsidRPr="00805348">
        <w:rPr>
          <w:color w:val="000000" w:themeColor="text1"/>
        </w:rPr>
        <w:fldChar w:fldCharType="begin"/>
      </w:r>
      <w:r w:rsidRPr="00805348">
        <w:rPr>
          <w:color w:val="000000" w:themeColor="text1"/>
        </w:rPr>
        <w:instrText xml:space="preserve"> SEQ Table \* ARABIC </w:instrText>
      </w:r>
      <w:r w:rsidRPr="00805348">
        <w:rPr>
          <w:color w:val="000000" w:themeColor="text1"/>
        </w:rPr>
        <w:fldChar w:fldCharType="separate"/>
      </w:r>
      <w:r w:rsidR="007358EA">
        <w:rPr>
          <w:noProof/>
          <w:color w:val="000000" w:themeColor="text1"/>
        </w:rPr>
        <w:t>1</w:t>
      </w:r>
      <w:r w:rsidRPr="00805348">
        <w:rPr>
          <w:color w:val="000000" w:themeColor="text1"/>
        </w:rPr>
        <w:fldChar w:fldCharType="end"/>
      </w:r>
      <w:r w:rsidRPr="00805348">
        <w:rPr>
          <w:color w:val="000000" w:themeColor="text1"/>
        </w:rPr>
        <w:t xml:space="preserve"> - Technology experience of organisations interviewed in this study</w:t>
      </w:r>
    </w:p>
    <w:tbl>
      <w:tblPr>
        <w:tblStyle w:val="TableGrid"/>
        <w:tblW w:w="0" w:type="auto"/>
        <w:tblLook w:val="04A0" w:firstRow="1" w:lastRow="0" w:firstColumn="1" w:lastColumn="0" w:noHBand="0" w:noVBand="1"/>
      </w:tblPr>
      <w:tblGrid>
        <w:gridCol w:w="2811"/>
        <w:gridCol w:w="1804"/>
        <w:gridCol w:w="1592"/>
        <w:gridCol w:w="1684"/>
        <w:gridCol w:w="1685"/>
      </w:tblGrid>
      <w:tr w:rsidR="00F676F4" w:rsidRPr="007A2ABC" w14:paraId="6EE865A5" w14:textId="77777777" w:rsidTr="009F4BC2">
        <w:tc>
          <w:tcPr>
            <w:tcW w:w="2811" w:type="dxa"/>
            <w:vAlign w:val="bottom"/>
          </w:tcPr>
          <w:p w14:paraId="0922FA9E" w14:textId="77777777" w:rsidR="00F676F4" w:rsidRPr="007A2ABC" w:rsidRDefault="00F676F4" w:rsidP="003272B4">
            <w:pPr>
              <w:jc w:val="center"/>
              <w:outlineLvl w:val="0"/>
              <w:rPr>
                <w:rFonts w:cs="Times New Roman"/>
                <w:bCs/>
              </w:rPr>
            </w:pPr>
            <w:r w:rsidRPr="007A2ABC">
              <w:rPr>
                <w:rFonts w:cs="Times New Roman"/>
                <w:bCs/>
              </w:rPr>
              <w:t xml:space="preserve">Performance Experience/ Number of </w:t>
            </w:r>
            <w:r>
              <w:rPr>
                <w:rFonts w:cs="Times New Roman"/>
                <w:bCs/>
              </w:rPr>
              <w:t>Interviewees</w:t>
            </w:r>
          </w:p>
        </w:tc>
        <w:tc>
          <w:tcPr>
            <w:tcW w:w="1804" w:type="dxa"/>
            <w:vAlign w:val="bottom"/>
          </w:tcPr>
          <w:p w14:paraId="1DF536EC" w14:textId="77777777" w:rsidR="00F676F4" w:rsidRPr="007A2ABC" w:rsidRDefault="00F676F4" w:rsidP="003272B4">
            <w:pPr>
              <w:jc w:val="center"/>
              <w:outlineLvl w:val="0"/>
              <w:rPr>
                <w:rFonts w:cs="Times New Roman"/>
                <w:bCs/>
              </w:rPr>
            </w:pPr>
            <w:r w:rsidRPr="007A2ABC">
              <w:rPr>
                <w:rFonts w:cs="Times New Roman"/>
                <w:bCs/>
              </w:rPr>
              <w:t>Performance below expectations</w:t>
            </w:r>
          </w:p>
        </w:tc>
        <w:tc>
          <w:tcPr>
            <w:tcW w:w="1592" w:type="dxa"/>
            <w:vAlign w:val="bottom"/>
          </w:tcPr>
          <w:p w14:paraId="6348C610" w14:textId="77777777" w:rsidR="00F676F4" w:rsidRPr="007A2ABC" w:rsidRDefault="00F676F4" w:rsidP="003272B4">
            <w:pPr>
              <w:jc w:val="center"/>
              <w:outlineLvl w:val="0"/>
              <w:rPr>
                <w:rFonts w:cs="Times New Roman"/>
                <w:bCs/>
              </w:rPr>
            </w:pPr>
            <w:r w:rsidRPr="007A2ABC">
              <w:rPr>
                <w:rFonts w:cs="Times New Roman"/>
                <w:bCs/>
              </w:rPr>
              <w:t>Performance as expected</w:t>
            </w:r>
          </w:p>
        </w:tc>
        <w:tc>
          <w:tcPr>
            <w:tcW w:w="1684" w:type="dxa"/>
            <w:vAlign w:val="bottom"/>
          </w:tcPr>
          <w:p w14:paraId="79E334D7" w14:textId="77777777" w:rsidR="00F676F4" w:rsidRPr="007A2ABC" w:rsidRDefault="00F676F4" w:rsidP="003272B4">
            <w:pPr>
              <w:jc w:val="center"/>
              <w:outlineLvl w:val="0"/>
              <w:rPr>
                <w:rFonts w:cs="Times New Roman"/>
                <w:bCs/>
              </w:rPr>
            </w:pPr>
            <w:r w:rsidRPr="007A2ABC">
              <w:rPr>
                <w:rFonts w:cs="Times New Roman"/>
                <w:bCs/>
              </w:rPr>
              <w:t>Mixed experience</w:t>
            </w:r>
          </w:p>
        </w:tc>
        <w:tc>
          <w:tcPr>
            <w:tcW w:w="1685" w:type="dxa"/>
            <w:vAlign w:val="bottom"/>
          </w:tcPr>
          <w:p w14:paraId="1C6F24ED" w14:textId="77777777" w:rsidR="00F676F4" w:rsidRPr="007A2ABC" w:rsidRDefault="00F676F4" w:rsidP="003272B4">
            <w:pPr>
              <w:jc w:val="center"/>
              <w:outlineLvl w:val="0"/>
              <w:rPr>
                <w:rFonts w:cs="Times New Roman"/>
                <w:bCs/>
              </w:rPr>
            </w:pPr>
            <w:r w:rsidRPr="007A2ABC">
              <w:rPr>
                <w:rFonts w:cs="Times New Roman"/>
                <w:bCs/>
              </w:rPr>
              <w:t>Insufficient Experience</w:t>
            </w:r>
          </w:p>
        </w:tc>
      </w:tr>
      <w:tr w:rsidR="00F676F4" w:rsidRPr="007A2ABC" w14:paraId="02BFBE18" w14:textId="77777777" w:rsidTr="009F4BC2">
        <w:tc>
          <w:tcPr>
            <w:tcW w:w="2811" w:type="dxa"/>
            <w:vAlign w:val="bottom"/>
          </w:tcPr>
          <w:p w14:paraId="64906B11" w14:textId="77777777" w:rsidR="00F676F4" w:rsidRPr="007A2ABC" w:rsidRDefault="00F676F4" w:rsidP="003272B4">
            <w:pPr>
              <w:jc w:val="center"/>
              <w:outlineLvl w:val="0"/>
              <w:rPr>
                <w:rFonts w:cs="Times New Roman"/>
                <w:bCs/>
              </w:rPr>
            </w:pPr>
            <w:r w:rsidRPr="007A2ABC">
              <w:rPr>
                <w:rFonts w:cs="Times New Roman"/>
                <w:bCs/>
              </w:rPr>
              <w:t>Lithium-ion</w:t>
            </w:r>
          </w:p>
        </w:tc>
        <w:tc>
          <w:tcPr>
            <w:tcW w:w="1804" w:type="dxa"/>
            <w:vAlign w:val="bottom"/>
          </w:tcPr>
          <w:p w14:paraId="13685C65" w14:textId="77777777" w:rsidR="00F676F4" w:rsidRPr="007A2ABC" w:rsidRDefault="00F676F4" w:rsidP="003272B4">
            <w:pPr>
              <w:jc w:val="center"/>
              <w:outlineLvl w:val="0"/>
              <w:rPr>
                <w:rFonts w:cs="Times New Roman"/>
                <w:bCs/>
              </w:rPr>
            </w:pPr>
            <w:r w:rsidRPr="007A2ABC">
              <w:rPr>
                <w:rFonts w:cs="Times New Roman"/>
                <w:bCs/>
              </w:rPr>
              <w:t>1</w:t>
            </w:r>
          </w:p>
        </w:tc>
        <w:tc>
          <w:tcPr>
            <w:tcW w:w="1592" w:type="dxa"/>
            <w:vAlign w:val="bottom"/>
          </w:tcPr>
          <w:p w14:paraId="25AD53C7" w14:textId="77777777" w:rsidR="00F676F4" w:rsidRPr="007A2ABC" w:rsidRDefault="00F676F4" w:rsidP="003272B4">
            <w:pPr>
              <w:jc w:val="center"/>
              <w:outlineLvl w:val="0"/>
              <w:rPr>
                <w:rFonts w:cs="Times New Roman"/>
                <w:bCs/>
              </w:rPr>
            </w:pPr>
            <w:r w:rsidRPr="007A2ABC">
              <w:rPr>
                <w:rFonts w:cs="Times New Roman"/>
                <w:bCs/>
              </w:rPr>
              <w:t>1</w:t>
            </w:r>
          </w:p>
        </w:tc>
        <w:tc>
          <w:tcPr>
            <w:tcW w:w="1684" w:type="dxa"/>
            <w:vAlign w:val="bottom"/>
          </w:tcPr>
          <w:p w14:paraId="0573BEE8" w14:textId="77777777" w:rsidR="00F676F4" w:rsidRPr="007A2ABC" w:rsidRDefault="00F676F4" w:rsidP="003272B4">
            <w:pPr>
              <w:jc w:val="center"/>
              <w:outlineLvl w:val="0"/>
              <w:rPr>
                <w:rFonts w:cs="Times New Roman"/>
                <w:bCs/>
              </w:rPr>
            </w:pPr>
            <w:r w:rsidRPr="007A2ABC">
              <w:rPr>
                <w:rFonts w:cs="Times New Roman"/>
                <w:bCs/>
              </w:rPr>
              <w:t>1</w:t>
            </w:r>
          </w:p>
        </w:tc>
        <w:tc>
          <w:tcPr>
            <w:tcW w:w="1685" w:type="dxa"/>
            <w:vAlign w:val="bottom"/>
          </w:tcPr>
          <w:p w14:paraId="446F73F1" w14:textId="77777777" w:rsidR="00F676F4" w:rsidRPr="007A2ABC" w:rsidRDefault="00F676F4" w:rsidP="003272B4">
            <w:pPr>
              <w:jc w:val="center"/>
              <w:outlineLvl w:val="0"/>
              <w:rPr>
                <w:rFonts w:cs="Times New Roman"/>
                <w:bCs/>
              </w:rPr>
            </w:pPr>
            <w:r w:rsidRPr="007A2ABC">
              <w:rPr>
                <w:rFonts w:cs="Times New Roman"/>
                <w:bCs/>
              </w:rPr>
              <w:t>5</w:t>
            </w:r>
          </w:p>
        </w:tc>
      </w:tr>
      <w:tr w:rsidR="00F676F4" w:rsidRPr="007A2ABC" w14:paraId="5D630DA4" w14:textId="77777777" w:rsidTr="009F4BC2">
        <w:tc>
          <w:tcPr>
            <w:tcW w:w="2811" w:type="dxa"/>
            <w:vAlign w:val="bottom"/>
          </w:tcPr>
          <w:p w14:paraId="10EC5485" w14:textId="77777777" w:rsidR="00F676F4" w:rsidRPr="007A2ABC" w:rsidRDefault="00F676F4" w:rsidP="003272B4">
            <w:pPr>
              <w:jc w:val="center"/>
              <w:outlineLvl w:val="0"/>
              <w:rPr>
                <w:rFonts w:cs="Times New Roman"/>
                <w:bCs/>
              </w:rPr>
            </w:pPr>
            <w:r w:rsidRPr="007A2ABC">
              <w:rPr>
                <w:rFonts w:cs="Times New Roman"/>
                <w:bCs/>
              </w:rPr>
              <w:t>Lead-acid</w:t>
            </w:r>
          </w:p>
        </w:tc>
        <w:tc>
          <w:tcPr>
            <w:tcW w:w="1804" w:type="dxa"/>
            <w:vAlign w:val="bottom"/>
          </w:tcPr>
          <w:p w14:paraId="557335D4" w14:textId="77777777" w:rsidR="00F676F4" w:rsidRPr="007A2ABC" w:rsidRDefault="00F676F4" w:rsidP="003272B4">
            <w:pPr>
              <w:jc w:val="center"/>
              <w:outlineLvl w:val="0"/>
              <w:rPr>
                <w:rFonts w:cs="Times New Roman"/>
                <w:bCs/>
              </w:rPr>
            </w:pPr>
            <w:r w:rsidRPr="007A2ABC">
              <w:rPr>
                <w:rFonts w:cs="Times New Roman"/>
                <w:bCs/>
              </w:rPr>
              <w:t>2</w:t>
            </w:r>
          </w:p>
        </w:tc>
        <w:tc>
          <w:tcPr>
            <w:tcW w:w="1592" w:type="dxa"/>
            <w:vAlign w:val="bottom"/>
          </w:tcPr>
          <w:p w14:paraId="3FE4E9BF" w14:textId="77777777" w:rsidR="00F676F4" w:rsidRPr="007A2ABC" w:rsidRDefault="00F676F4" w:rsidP="003272B4">
            <w:pPr>
              <w:jc w:val="center"/>
              <w:outlineLvl w:val="0"/>
              <w:rPr>
                <w:rFonts w:cs="Times New Roman"/>
                <w:bCs/>
              </w:rPr>
            </w:pPr>
            <w:r w:rsidRPr="007A2ABC">
              <w:rPr>
                <w:rFonts w:cs="Times New Roman"/>
                <w:bCs/>
              </w:rPr>
              <w:t>2</w:t>
            </w:r>
          </w:p>
        </w:tc>
        <w:tc>
          <w:tcPr>
            <w:tcW w:w="1684" w:type="dxa"/>
            <w:vAlign w:val="bottom"/>
          </w:tcPr>
          <w:p w14:paraId="4BE81529" w14:textId="77777777" w:rsidR="00F676F4" w:rsidRPr="007A2ABC" w:rsidRDefault="00F676F4" w:rsidP="003272B4">
            <w:pPr>
              <w:jc w:val="center"/>
              <w:outlineLvl w:val="0"/>
              <w:rPr>
                <w:rFonts w:cs="Times New Roman"/>
                <w:bCs/>
              </w:rPr>
            </w:pPr>
            <w:r w:rsidRPr="007A2ABC">
              <w:rPr>
                <w:rFonts w:cs="Times New Roman"/>
                <w:bCs/>
              </w:rPr>
              <w:t>1</w:t>
            </w:r>
          </w:p>
        </w:tc>
        <w:tc>
          <w:tcPr>
            <w:tcW w:w="1685" w:type="dxa"/>
            <w:vAlign w:val="bottom"/>
          </w:tcPr>
          <w:p w14:paraId="21809865" w14:textId="77777777" w:rsidR="00F676F4" w:rsidRPr="007A2ABC" w:rsidRDefault="00F676F4" w:rsidP="003272B4">
            <w:pPr>
              <w:jc w:val="center"/>
              <w:outlineLvl w:val="0"/>
              <w:rPr>
                <w:rFonts w:cs="Times New Roman"/>
                <w:bCs/>
              </w:rPr>
            </w:pPr>
            <w:r w:rsidRPr="007A2ABC">
              <w:rPr>
                <w:rFonts w:cs="Times New Roman"/>
                <w:bCs/>
              </w:rPr>
              <w:t>3</w:t>
            </w:r>
          </w:p>
        </w:tc>
      </w:tr>
    </w:tbl>
    <w:p w14:paraId="044F9FB8" w14:textId="77777777" w:rsidR="00F676F4" w:rsidRDefault="00F676F4" w:rsidP="00F676F4"/>
    <w:p w14:paraId="48A1FF02" w14:textId="3401B65E" w:rsidR="00D675FC" w:rsidRDefault="00D675FC" w:rsidP="00805348">
      <w:pPr>
        <w:pStyle w:val="Heading4"/>
        <w:numPr>
          <w:ilvl w:val="1"/>
          <w:numId w:val="11"/>
        </w:numPr>
        <w:rPr>
          <w:rFonts w:asciiTheme="minorHAnsi" w:hAnsiTheme="minorHAnsi" w:cstheme="minorHAnsi"/>
          <w:color w:val="000000" w:themeColor="text1"/>
        </w:rPr>
      </w:pPr>
      <w:r w:rsidRPr="00AA4E4C">
        <w:rPr>
          <w:rFonts w:asciiTheme="minorHAnsi" w:hAnsiTheme="minorHAnsi" w:cstheme="minorHAnsi"/>
          <w:color w:val="000000" w:themeColor="text1"/>
        </w:rPr>
        <w:t>Value chain and full lifecycle</w:t>
      </w:r>
    </w:p>
    <w:p w14:paraId="33402C08" w14:textId="77777777" w:rsidR="00AA4E4C" w:rsidRPr="00AA4E4C" w:rsidRDefault="00AA4E4C" w:rsidP="00AA4E4C">
      <w:pPr>
        <w:pStyle w:val="NoSpacing"/>
      </w:pPr>
    </w:p>
    <w:p w14:paraId="349609F4" w14:textId="1CC6890C" w:rsidR="008C0E40" w:rsidRDefault="00D7567A" w:rsidP="008C0E40">
      <w:pPr>
        <w:rPr>
          <w:color w:val="000000" w:themeColor="text1"/>
          <w:szCs w:val="20"/>
        </w:rPr>
      </w:pPr>
      <w:r>
        <w:rPr>
          <w:color w:val="000000" w:themeColor="text1"/>
          <w:szCs w:val="20"/>
        </w:rPr>
        <w:t xml:space="preserve">The interviews revealed that value chains for </w:t>
      </w:r>
      <w:proofErr w:type="spellStart"/>
      <w:r>
        <w:rPr>
          <w:color w:val="000000" w:themeColor="text1"/>
          <w:szCs w:val="20"/>
        </w:rPr>
        <w:t>picosolar</w:t>
      </w:r>
      <w:proofErr w:type="spellEnd"/>
      <w:r>
        <w:rPr>
          <w:color w:val="000000" w:themeColor="text1"/>
          <w:szCs w:val="20"/>
        </w:rPr>
        <w:t xml:space="preserve">, solar home and productive use products are relatively similar. </w:t>
      </w:r>
      <w:r w:rsidR="00EA542F">
        <w:rPr>
          <w:color w:val="000000" w:themeColor="text1"/>
          <w:szCs w:val="20"/>
        </w:rPr>
        <w:t>Lead-acid</w:t>
      </w:r>
      <w:r w:rsidR="008D794E">
        <w:rPr>
          <w:color w:val="000000" w:themeColor="text1"/>
          <w:szCs w:val="20"/>
        </w:rPr>
        <w:t xml:space="preserve"> or </w:t>
      </w:r>
      <w:r w:rsidR="00EA542F">
        <w:rPr>
          <w:color w:val="000000" w:themeColor="text1"/>
          <w:szCs w:val="20"/>
        </w:rPr>
        <w:t>li-ion</w:t>
      </w:r>
      <w:r w:rsidR="006C3E41">
        <w:rPr>
          <w:color w:val="000000" w:themeColor="text1"/>
          <w:szCs w:val="20"/>
        </w:rPr>
        <w:t xml:space="preserve"> </w:t>
      </w:r>
      <w:r w:rsidR="0031460B">
        <w:rPr>
          <w:color w:val="000000" w:themeColor="text1"/>
          <w:szCs w:val="20"/>
        </w:rPr>
        <w:t xml:space="preserve">based </w:t>
      </w:r>
      <w:proofErr w:type="spellStart"/>
      <w:r w:rsidR="0031460B">
        <w:rPr>
          <w:color w:val="000000" w:themeColor="text1"/>
          <w:szCs w:val="20"/>
        </w:rPr>
        <w:t>picosolar</w:t>
      </w:r>
      <w:proofErr w:type="spellEnd"/>
      <w:r w:rsidR="006C3E41">
        <w:rPr>
          <w:color w:val="000000" w:themeColor="text1"/>
          <w:szCs w:val="20"/>
        </w:rPr>
        <w:t xml:space="preserve"> products or </w:t>
      </w:r>
      <w:r w:rsidR="0031460B">
        <w:rPr>
          <w:color w:val="000000" w:themeColor="text1"/>
          <w:szCs w:val="20"/>
        </w:rPr>
        <w:t xml:space="preserve">battery </w:t>
      </w:r>
      <w:r w:rsidR="006C3E41">
        <w:rPr>
          <w:color w:val="000000" w:themeColor="text1"/>
          <w:szCs w:val="20"/>
        </w:rPr>
        <w:t xml:space="preserve">packs are nearly always manufactured in South China (e.g. Guangdong), driven by manufacturing cost and skill </w:t>
      </w:r>
      <w:r w:rsidR="003D51ED">
        <w:rPr>
          <w:color w:val="000000" w:themeColor="text1"/>
          <w:szCs w:val="20"/>
        </w:rPr>
        <w:t>as well as existing company relations for related products in that region</w:t>
      </w:r>
      <w:r w:rsidR="006C3E41">
        <w:rPr>
          <w:color w:val="000000" w:themeColor="text1"/>
          <w:szCs w:val="20"/>
        </w:rPr>
        <w:t xml:space="preserve">. One exception is India, which has its own </w:t>
      </w:r>
      <w:r w:rsidR="00616666">
        <w:rPr>
          <w:color w:val="000000" w:themeColor="text1"/>
          <w:szCs w:val="20"/>
        </w:rPr>
        <w:t xml:space="preserve">lead-acid </w:t>
      </w:r>
      <w:r w:rsidR="006C3E41">
        <w:rPr>
          <w:color w:val="000000" w:themeColor="text1"/>
          <w:szCs w:val="20"/>
        </w:rPr>
        <w:t xml:space="preserve">battery suppliers serving the domestic market. </w:t>
      </w:r>
      <w:r w:rsidR="008D794E">
        <w:rPr>
          <w:color w:val="000000" w:themeColor="text1"/>
          <w:szCs w:val="20"/>
        </w:rPr>
        <w:t>Some i</w:t>
      </w:r>
      <w:r w:rsidR="003D51ED">
        <w:rPr>
          <w:color w:val="000000" w:themeColor="text1"/>
          <w:szCs w:val="20"/>
        </w:rPr>
        <w:t xml:space="preserve">nterviewees also argued that suppliers might move from south to mainland China or South East Asia </w:t>
      </w:r>
      <w:r w:rsidR="0053445A">
        <w:rPr>
          <w:color w:val="000000" w:themeColor="text1"/>
          <w:szCs w:val="20"/>
        </w:rPr>
        <w:t>as a result of tighter</w:t>
      </w:r>
      <w:r w:rsidR="003D51ED">
        <w:rPr>
          <w:color w:val="000000" w:themeColor="text1"/>
          <w:szCs w:val="20"/>
        </w:rPr>
        <w:t xml:space="preserve"> regulations and </w:t>
      </w:r>
      <w:r w:rsidR="0053445A">
        <w:rPr>
          <w:color w:val="000000" w:themeColor="text1"/>
          <w:szCs w:val="20"/>
        </w:rPr>
        <w:t xml:space="preserve">higher </w:t>
      </w:r>
      <w:r w:rsidR="003D51ED">
        <w:rPr>
          <w:color w:val="000000" w:themeColor="text1"/>
          <w:szCs w:val="20"/>
        </w:rPr>
        <w:t xml:space="preserve">wages. </w:t>
      </w:r>
      <w:r w:rsidR="008C0E40">
        <w:rPr>
          <w:color w:val="000000" w:themeColor="text1"/>
          <w:szCs w:val="20"/>
        </w:rPr>
        <w:t xml:space="preserve">Regarding </w:t>
      </w:r>
      <w:r w:rsidR="00EA542F">
        <w:rPr>
          <w:color w:val="000000" w:themeColor="text1"/>
          <w:szCs w:val="20"/>
        </w:rPr>
        <w:t>li-ion</w:t>
      </w:r>
      <w:r w:rsidR="008C0E40">
        <w:rPr>
          <w:color w:val="000000" w:themeColor="text1"/>
          <w:szCs w:val="20"/>
        </w:rPr>
        <w:t xml:space="preserve">, </w:t>
      </w:r>
      <w:r w:rsidR="008C0E40" w:rsidRPr="006762AB">
        <w:rPr>
          <w:color w:val="000000" w:themeColor="text1"/>
          <w:szCs w:val="20"/>
        </w:rPr>
        <w:t>China</w:t>
      </w:r>
      <w:r w:rsidR="008D794E">
        <w:rPr>
          <w:color w:val="000000" w:themeColor="text1"/>
          <w:szCs w:val="20"/>
        </w:rPr>
        <w:t>’s production</w:t>
      </w:r>
      <w:r w:rsidR="008C0E40" w:rsidRPr="006762AB">
        <w:rPr>
          <w:color w:val="000000" w:themeColor="text1"/>
          <w:szCs w:val="20"/>
        </w:rPr>
        <w:t xml:space="preserve"> is </w:t>
      </w:r>
      <w:r w:rsidR="00616666">
        <w:rPr>
          <w:color w:val="000000" w:themeColor="text1"/>
          <w:szCs w:val="20"/>
        </w:rPr>
        <w:t>predominantly</w:t>
      </w:r>
      <w:r w:rsidR="008C0E40" w:rsidRPr="006762AB">
        <w:rPr>
          <w:color w:val="000000" w:themeColor="text1"/>
          <w:szCs w:val="20"/>
        </w:rPr>
        <w:t xml:space="preserve"> LFP</w:t>
      </w:r>
      <w:r w:rsidR="00616666">
        <w:rPr>
          <w:color w:val="000000" w:themeColor="text1"/>
          <w:szCs w:val="20"/>
        </w:rPr>
        <w:t xml:space="preserve">, while </w:t>
      </w:r>
      <w:r w:rsidR="008C0E40" w:rsidRPr="006762AB">
        <w:rPr>
          <w:color w:val="000000" w:themeColor="text1"/>
          <w:szCs w:val="20"/>
        </w:rPr>
        <w:t>NMC</w:t>
      </w:r>
      <w:r w:rsidR="008C0E40">
        <w:rPr>
          <w:color w:val="000000" w:themeColor="text1"/>
          <w:szCs w:val="20"/>
        </w:rPr>
        <w:t xml:space="preserve"> tend</w:t>
      </w:r>
      <w:r w:rsidR="00EA542F">
        <w:rPr>
          <w:color w:val="000000" w:themeColor="text1"/>
          <w:szCs w:val="20"/>
        </w:rPr>
        <w:t>s</w:t>
      </w:r>
      <w:r w:rsidR="008C0E40" w:rsidRPr="006762AB">
        <w:rPr>
          <w:color w:val="000000" w:themeColor="text1"/>
          <w:szCs w:val="20"/>
        </w:rPr>
        <w:t xml:space="preserve"> to come from South Korea</w:t>
      </w:r>
      <w:r w:rsidR="008C0E40">
        <w:rPr>
          <w:color w:val="000000" w:themeColor="text1"/>
          <w:szCs w:val="20"/>
        </w:rPr>
        <w:t xml:space="preserve"> or</w:t>
      </w:r>
      <w:r w:rsidR="008C0E40" w:rsidRPr="006762AB">
        <w:rPr>
          <w:color w:val="000000" w:themeColor="text1"/>
          <w:szCs w:val="20"/>
        </w:rPr>
        <w:t xml:space="preserve"> Japan.</w:t>
      </w:r>
      <w:r w:rsidR="00A86C41">
        <w:rPr>
          <w:color w:val="000000" w:themeColor="text1"/>
          <w:szCs w:val="20"/>
        </w:rPr>
        <w:t xml:space="preserve"> Sourcing of materials for these devices fell outside of the scope of this study.</w:t>
      </w:r>
    </w:p>
    <w:p w14:paraId="2EB7FF07" w14:textId="71C8B1FE" w:rsidR="008C0E40" w:rsidRDefault="006C3E41" w:rsidP="008C0E40">
      <w:pPr>
        <w:rPr>
          <w:color w:val="000000" w:themeColor="text1"/>
          <w:szCs w:val="20"/>
        </w:rPr>
      </w:pPr>
      <w:r w:rsidRPr="006762AB">
        <w:rPr>
          <w:color w:val="000000" w:themeColor="text1"/>
          <w:szCs w:val="20"/>
        </w:rPr>
        <w:t xml:space="preserve">The </w:t>
      </w:r>
      <w:proofErr w:type="spellStart"/>
      <w:r>
        <w:rPr>
          <w:color w:val="000000" w:themeColor="text1"/>
          <w:szCs w:val="20"/>
        </w:rPr>
        <w:t>picosolar</w:t>
      </w:r>
      <w:proofErr w:type="spellEnd"/>
      <w:r>
        <w:rPr>
          <w:color w:val="000000" w:themeColor="text1"/>
          <w:szCs w:val="20"/>
        </w:rPr>
        <w:t xml:space="preserve"> products or battery packs </w:t>
      </w:r>
      <w:r w:rsidRPr="006762AB">
        <w:rPr>
          <w:color w:val="000000" w:themeColor="text1"/>
          <w:szCs w:val="20"/>
        </w:rPr>
        <w:t>are shipped</w:t>
      </w:r>
      <w:r w:rsidR="00616666">
        <w:rPr>
          <w:color w:val="000000" w:themeColor="text1"/>
          <w:szCs w:val="20"/>
        </w:rPr>
        <w:t xml:space="preserve"> by sea</w:t>
      </w:r>
      <w:r w:rsidRPr="006762AB">
        <w:rPr>
          <w:color w:val="000000" w:themeColor="text1"/>
          <w:szCs w:val="20"/>
        </w:rPr>
        <w:t xml:space="preserve"> to the</w:t>
      </w:r>
      <w:r w:rsidR="00616666">
        <w:rPr>
          <w:color w:val="000000" w:themeColor="text1"/>
          <w:szCs w:val="20"/>
        </w:rPr>
        <w:t>ir</w:t>
      </w:r>
      <w:r w:rsidRPr="006762AB">
        <w:rPr>
          <w:color w:val="000000" w:themeColor="text1"/>
          <w:szCs w:val="20"/>
        </w:rPr>
        <w:t xml:space="preserve"> target market, which </w:t>
      </w:r>
      <w:r w:rsidR="00616666">
        <w:rPr>
          <w:color w:val="000000" w:themeColor="text1"/>
          <w:szCs w:val="20"/>
        </w:rPr>
        <w:t xml:space="preserve">typically </w:t>
      </w:r>
      <w:r w:rsidRPr="006762AB">
        <w:rPr>
          <w:color w:val="000000" w:themeColor="text1"/>
          <w:szCs w:val="20"/>
        </w:rPr>
        <w:t xml:space="preserve">takes 6 to 8 weeks for East Africa. </w:t>
      </w:r>
      <w:r>
        <w:rPr>
          <w:color w:val="000000" w:themeColor="text1"/>
          <w:szCs w:val="20"/>
        </w:rPr>
        <w:t>They</w:t>
      </w:r>
      <w:r w:rsidRPr="006762AB">
        <w:rPr>
          <w:color w:val="000000" w:themeColor="text1"/>
          <w:szCs w:val="20"/>
        </w:rPr>
        <w:t xml:space="preserve"> cannot be air-shipped due to safety concerns (</w:t>
      </w:r>
      <w:r w:rsidR="00EA542F">
        <w:rPr>
          <w:color w:val="000000" w:themeColor="text1"/>
          <w:szCs w:val="20"/>
        </w:rPr>
        <w:t>li-ion</w:t>
      </w:r>
      <w:r w:rsidRPr="006762AB">
        <w:rPr>
          <w:color w:val="000000" w:themeColor="text1"/>
          <w:szCs w:val="20"/>
        </w:rPr>
        <w:t>) or weight (</w:t>
      </w:r>
      <w:r w:rsidR="00EA542F">
        <w:rPr>
          <w:color w:val="000000" w:themeColor="text1"/>
          <w:szCs w:val="20"/>
        </w:rPr>
        <w:t>lead-acid</w:t>
      </w:r>
      <w:r w:rsidRPr="006762AB">
        <w:rPr>
          <w:color w:val="000000" w:themeColor="text1"/>
          <w:szCs w:val="20"/>
        </w:rPr>
        <w:t xml:space="preserve">) and must be at around 30% </w:t>
      </w:r>
      <w:r>
        <w:rPr>
          <w:color w:val="000000" w:themeColor="text1"/>
          <w:szCs w:val="20"/>
        </w:rPr>
        <w:t>(</w:t>
      </w:r>
      <w:r w:rsidR="00EA542F">
        <w:rPr>
          <w:color w:val="000000" w:themeColor="text1"/>
          <w:szCs w:val="20"/>
        </w:rPr>
        <w:t>li-ion</w:t>
      </w:r>
      <w:r>
        <w:rPr>
          <w:color w:val="000000" w:themeColor="text1"/>
          <w:szCs w:val="20"/>
        </w:rPr>
        <w:t>) or 100% (</w:t>
      </w:r>
      <w:r w:rsidR="00EA542F">
        <w:rPr>
          <w:color w:val="000000" w:themeColor="text1"/>
          <w:szCs w:val="20"/>
        </w:rPr>
        <w:t>lead-acid</w:t>
      </w:r>
      <w:r>
        <w:rPr>
          <w:color w:val="000000" w:themeColor="text1"/>
          <w:szCs w:val="20"/>
        </w:rPr>
        <w:t xml:space="preserve">) </w:t>
      </w:r>
      <w:r w:rsidRPr="006762AB">
        <w:rPr>
          <w:color w:val="000000" w:themeColor="text1"/>
          <w:szCs w:val="20"/>
        </w:rPr>
        <w:t>state-of-charge during shipment to avoid degradati</w:t>
      </w:r>
      <w:r>
        <w:rPr>
          <w:color w:val="000000" w:themeColor="text1"/>
          <w:szCs w:val="20"/>
        </w:rPr>
        <w:t xml:space="preserve">on. Trucks cover the transport </w:t>
      </w:r>
      <w:r w:rsidRPr="006762AB">
        <w:rPr>
          <w:color w:val="000000" w:themeColor="text1"/>
          <w:szCs w:val="20"/>
        </w:rPr>
        <w:t xml:space="preserve">from any </w:t>
      </w:r>
      <w:proofErr w:type="spellStart"/>
      <w:r w:rsidRPr="006762AB">
        <w:rPr>
          <w:color w:val="000000" w:themeColor="text1"/>
          <w:szCs w:val="20"/>
        </w:rPr>
        <w:t>harbour</w:t>
      </w:r>
      <w:proofErr w:type="spellEnd"/>
      <w:r w:rsidRPr="006762AB">
        <w:rPr>
          <w:color w:val="000000" w:themeColor="text1"/>
          <w:szCs w:val="20"/>
        </w:rPr>
        <w:t xml:space="preserve"> to a central warehouse</w:t>
      </w:r>
      <w:r w:rsidR="008D794E">
        <w:rPr>
          <w:color w:val="000000" w:themeColor="text1"/>
          <w:szCs w:val="20"/>
        </w:rPr>
        <w:t xml:space="preserve">, whilst smaller </w:t>
      </w:r>
      <w:r w:rsidRPr="006762AB">
        <w:rPr>
          <w:color w:val="000000" w:themeColor="text1"/>
          <w:szCs w:val="20"/>
        </w:rPr>
        <w:t xml:space="preserve">vans continue to </w:t>
      </w:r>
      <w:r w:rsidR="0031460B">
        <w:rPr>
          <w:color w:val="000000" w:themeColor="text1"/>
          <w:szCs w:val="20"/>
        </w:rPr>
        <w:t xml:space="preserve">the </w:t>
      </w:r>
      <w:r w:rsidRPr="006762AB">
        <w:rPr>
          <w:color w:val="000000" w:themeColor="text1"/>
          <w:szCs w:val="20"/>
        </w:rPr>
        <w:t>shops in the target market. Last mile distribut</w:t>
      </w:r>
      <w:r w:rsidR="0031460B">
        <w:rPr>
          <w:color w:val="000000" w:themeColor="text1"/>
          <w:szCs w:val="20"/>
        </w:rPr>
        <w:t>ion</w:t>
      </w:r>
      <w:r>
        <w:rPr>
          <w:color w:val="000000" w:themeColor="text1"/>
          <w:szCs w:val="20"/>
        </w:rPr>
        <w:t xml:space="preserve"> is</w:t>
      </w:r>
      <w:r w:rsidRPr="006762AB">
        <w:rPr>
          <w:color w:val="000000" w:themeColor="text1"/>
          <w:szCs w:val="20"/>
        </w:rPr>
        <w:t xml:space="preserve"> usually done </w:t>
      </w:r>
      <w:r>
        <w:rPr>
          <w:color w:val="000000" w:themeColor="text1"/>
          <w:szCs w:val="20"/>
        </w:rPr>
        <w:t>via</w:t>
      </w:r>
      <w:r w:rsidRPr="006762AB">
        <w:rPr>
          <w:color w:val="000000" w:themeColor="text1"/>
          <w:szCs w:val="20"/>
        </w:rPr>
        <w:t xml:space="preserve"> door-to-door sales agents.</w:t>
      </w:r>
    </w:p>
    <w:p w14:paraId="10737C1A" w14:textId="75A877E4" w:rsidR="006C14EB" w:rsidRPr="00C82EB9" w:rsidRDefault="006C14EB" w:rsidP="006C14EB">
      <w:pPr>
        <w:rPr>
          <w:color w:val="000000" w:themeColor="text1"/>
          <w:szCs w:val="20"/>
          <w:lang w:val="en-GB"/>
        </w:rPr>
      </w:pPr>
      <w:r>
        <w:rPr>
          <w:color w:val="000000" w:themeColor="text1"/>
          <w:szCs w:val="20"/>
        </w:rPr>
        <w:t xml:space="preserve">Active companies are mostly based in the EU, US or China. They can be differentiated along their vertical integration in the value chain. One interviewee argued that vertically integrated companies for </w:t>
      </w:r>
      <w:proofErr w:type="spellStart"/>
      <w:r>
        <w:rPr>
          <w:color w:val="000000" w:themeColor="text1"/>
          <w:szCs w:val="20"/>
        </w:rPr>
        <w:t>picosolar</w:t>
      </w:r>
      <w:proofErr w:type="spellEnd"/>
      <w:r>
        <w:rPr>
          <w:color w:val="000000" w:themeColor="text1"/>
          <w:szCs w:val="20"/>
        </w:rPr>
        <w:t xml:space="preserve"> products that </w:t>
      </w:r>
      <w:r w:rsidRPr="006762AB">
        <w:rPr>
          <w:color w:val="000000" w:themeColor="text1"/>
          <w:szCs w:val="20"/>
        </w:rPr>
        <w:t>engage in product design, contract manufacturing</w:t>
      </w:r>
      <w:r>
        <w:rPr>
          <w:color w:val="000000" w:themeColor="text1"/>
          <w:szCs w:val="20"/>
        </w:rPr>
        <w:t>,</w:t>
      </w:r>
      <w:r w:rsidRPr="006762AB">
        <w:rPr>
          <w:color w:val="000000" w:themeColor="text1"/>
          <w:szCs w:val="20"/>
        </w:rPr>
        <w:t xml:space="preserve"> </w:t>
      </w:r>
      <w:r>
        <w:rPr>
          <w:color w:val="000000" w:themeColor="text1"/>
          <w:szCs w:val="20"/>
        </w:rPr>
        <w:t xml:space="preserve">and </w:t>
      </w:r>
      <w:r w:rsidR="008D794E">
        <w:rPr>
          <w:color w:val="000000" w:themeColor="text1"/>
          <w:szCs w:val="20"/>
        </w:rPr>
        <w:t xml:space="preserve">that </w:t>
      </w:r>
      <w:r>
        <w:rPr>
          <w:color w:val="000000" w:themeColor="text1"/>
          <w:szCs w:val="20"/>
        </w:rPr>
        <w:t>have own marketing</w:t>
      </w:r>
      <w:r w:rsidRPr="006762AB">
        <w:rPr>
          <w:color w:val="000000" w:themeColor="text1"/>
          <w:szCs w:val="20"/>
        </w:rPr>
        <w:t xml:space="preserve">, </w:t>
      </w:r>
      <w:r>
        <w:rPr>
          <w:color w:val="000000" w:themeColor="text1"/>
          <w:szCs w:val="20"/>
        </w:rPr>
        <w:t>distribution</w:t>
      </w:r>
      <w:r w:rsidRPr="006762AB">
        <w:rPr>
          <w:color w:val="000000" w:themeColor="text1"/>
          <w:szCs w:val="20"/>
        </w:rPr>
        <w:t xml:space="preserve"> and </w:t>
      </w:r>
      <w:r>
        <w:rPr>
          <w:color w:val="000000" w:themeColor="text1"/>
          <w:szCs w:val="20"/>
        </w:rPr>
        <w:t>retail operations</w:t>
      </w:r>
      <w:r w:rsidRPr="006762AB">
        <w:rPr>
          <w:color w:val="000000" w:themeColor="text1"/>
          <w:szCs w:val="20"/>
        </w:rPr>
        <w:t xml:space="preserve"> in their active markets</w:t>
      </w:r>
      <w:r>
        <w:rPr>
          <w:color w:val="000000" w:themeColor="text1"/>
          <w:szCs w:val="20"/>
        </w:rPr>
        <w:t xml:space="preserve"> operate more successfully than </w:t>
      </w:r>
      <w:r w:rsidRPr="006762AB">
        <w:rPr>
          <w:color w:val="000000" w:themeColor="text1"/>
          <w:szCs w:val="20"/>
        </w:rPr>
        <w:t xml:space="preserve">companies </w:t>
      </w:r>
      <w:r>
        <w:rPr>
          <w:color w:val="000000" w:themeColor="text1"/>
          <w:szCs w:val="20"/>
        </w:rPr>
        <w:t xml:space="preserve">that </w:t>
      </w:r>
      <w:r w:rsidRPr="006762AB">
        <w:rPr>
          <w:color w:val="000000" w:themeColor="text1"/>
          <w:szCs w:val="20"/>
        </w:rPr>
        <w:t xml:space="preserve">manufacture </w:t>
      </w:r>
      <w:r>
        <w:rPr>
          <w:color w:val="000000" w:themeColor="text1"/>
          <w:szCs w:val="20"/>
        </w:rPr>
        <w:t xml:space="preserve">the </w:t>
      </w:r>
      <w:r w:rsidRPr="006762AB">
        <w:rPr>
          <w:color w:val="000000" w:themeColor="text1"/>
          <w:szCs w:val="20"/>
        </w:rPr>
        <w:t>products and sell through traditional routes</w:t>
      </w:r>
      <w:r>
        <w:rPr>
          <w:color w:val="000000" w:themeColor="text1"/>
          <w:szCs w:val="20"/>
        </w:rPr>
        <w:t>.</w:t>
      </w:r>
      <w:r w:rsidRPr="0031460B">
        <w:rPr>
          <w:color w:val="000000" w:themeColor="text1"/>
          <w:szCs w:val="20"/>
        </w:rPr>
        <w:t xml:space="preserve"> </w:t>
      </w:r>
      <w:r>
        <w:rPr>
          <w:color w:val="000000" w:themeColor="text1"/>
          <w:szCs w:val="20"/>
        </w:rPr>
        <w:t xml:space="preserve">For retail, it is also common to have </w:t>
      </w:r>
      <w:r w:rsidRPr="006762AB">
        <w:rPr>
          <w:color w:val="000000" w:themeColor="text1"/>
          <w:szCs w:val="20"/>
        </w:rPr>
        <w:t xml:space="preserve">distribution offices </w:t>
      </w:r>
      <w:r>
        <w:rPr>
          <w:color w:val="000000" w:themeColor="text1"/>
          <w:szCs w:val="20"/>
        </w:rPr>
        <w:t>that</w:t>
      </w:r>
      <w:r w:rsidRPr="006762AB">
        <w:rPr>
          <w:color w:val="000000" w:themeColor="text1"/>
          <w:szCs w:val="20"/>
        </w:rPr>
        <w:t xml:space="preserve"> mange </w:t>
      </w:r>
      <w:r>
        <w:rPr>
          <w:color w:val="000000" w:themeColor="text1"/>
          <w:szCs w:val="20"/>
        </w:rPr>
        <w:t xml:space="preserve">an independent </w:t>
      </w:r>
      <w:r w:rsidRPr="006762AB">
        <w:rPr>
          <w:color w:val="000000" w:themeColor="text1"/>
          <w:szCs w:val="20"/>
        </w:rPr>
        <w:t>last</w:t>
      </w:r>
      <w:r>
        <w:rPr>
          <w:color w:val="000000" w:themeColor="text1"/>
          <w:szCs w:val="20"/>
        </w:rPr>
        <w:t>-</w:t>
      </w:r>
      <w:r w:rsidRPr="006762AB">
        <w:rPr>
          <w:color w:val="000000" w:themeColor="text1"/>
          <w:szCs w:val="20"/>
        </w:rPr>
        <w:t xml:space="preserve">mile </w:t>
      </w:r>
      <w:r>
        <w:rPr>
          <w:color w:val="000000" w:themeColor="text1"/>
          <w:szCs w:val="20"/>
        </w:rPr>
        <w:t>salesforce.</w:t>
      </w:r>
      <w:r w:rsidR="00C82EB9">
        <w:rPr>
          <w:color w:val="000000" w:themeColor="text1"/>
          <w:szCs w:val="20"/>
        </w:rPr>
        <w:t xml:space="preserve"> </w:t>
      </w:r>
      <w:r>
        <w:rPr>
          <w:color w:val="000000" w:themeColor="text1"/>
          <w:szCs w:val="20"/>
        </w:rPr>
        <w:t>For solar home and productive us</w:t>
      </w:r>
      <w:r w:rsidR="008D794E">
        <w:rPr>
          <w:color w:val="000000" w:themeColor="text1"/>
          <w:szCs w:val="20"/>
        </w:rPr>
        <w:t>e</w:t>
      </w:r>
      <w:r>
        <w:rPr>
          <w:color w:val="000000" w:themeColor="text1"/>
          <w:szCs w:val="20"/>
        </w:rPr>
        <w:t xml:space="preserve"> products, </w:t>
      </w:r>
      <w:r w:rsidRPr="006762AB">
        <w:rPr>
          <w:color w:val="000000" w:themeColor="text1"/>
          <w:szCs w:val="20"/>
        </w:rPr>
        <w:t>providers purchase battery packs</w:t>
      </w:r>
      <w:r>
        <w:rPr>
          <w:color w:val="000000" w:themeColor="text1"/>
          <w:szCs w:val="20"/>
        </w:rPr>
        <w:t xml:space="preserve"> and usually </w:t>
      </w:r>
      <w:r w:rsidRPr="006762AB">
        <w:rPr>
          <w:color w:val="000000" w:themeColor="text1"/>
          <w:szCs w:val="20"/>
        </w:rPr>
        <w:t xml:space="preserve">control the rest of the </w:t>
      </w:r>
      <w:r>
        <w:rPr>
          <w:color w:val="000000" w:themeColor="text1"/>
          <w:szCs w:val="20"/>
        </w:rPr>
        <w:t>value</w:t>
      </w:r>
      <w:r w:rsidRPr="006762AB">
        <w:rPr>
          <w:color w:val="000000" w:themeColor="text1"/>
          <w:szCs w:val="20"/>
        </w:rPr>
        <w:t xml:space="preserve"> chain down to last-</w:t>
      </w:r>
      <w:r w:rsidRPr="006762AB">
        <w:rPr>
          <w:color w:val="000000" w:themeColor="text1"/>
          <w:szCs w:val="20"/>
        </w:rPr>
        <w:lastRenderedPageBreak/>
        <w:t>mile delivery.</w:t>
      </w:r>
      <w:r w:rsidR="00C82EB9">
        <w:rPr>
          <w:color w:val="000000" w:themeColor="text1"/>
          <w:szCs w:val="20"/>
        </w:rPr>
        <w:t xml:space="preserve"> While some companies provide the finance for customers to buy their products, others partner with micro-finance providers or operate on a pay-as-you-go (PAYG) basis.  </w:t>
      </w:r>
    </w:p>
    <w:p w14:paraId="396CB4CE" w14:textId="2065ED6A" w:rsidR="006C14EB" w:rsidRPr="006762AB" w:rsidRDefault="006C14EB" w:rsidP="006C14EB">
      <w:pPr>
        <w:rPr>
          <w:color w:val="000000" w:themeColor="text1"/>
          <w:szCs w:val="20"/>
        </w:rPr>
      </w:pPr>
      <w:r>
        <w:rPr>
          <w:color w:val="000000" w:themeColor="text1"/>
          <w:szCs w:val="20"/>
        </w:rPr>
        <w:t xml:space="preserve">Interviewees argued that the lack of transparency around battery performance makes </w:t>
      </w:r>
      <w:r w:rsidR="00541BF6">
        <w:rPr>
          <w:color w:val="000000" w:themeColor="text1"/>
          <w:szCs w:val="20"/>
        </w:rPr>
        <w:t>choosing a</w:t>
      </w:r>
      <w:r>
        <w:rPr>
          <w:color w:val="000000" w:themeColor="text1"/>
          <w:szCs w:val="20"/>
        </w:rPr>
        <w:t xml:space="preserve"> supplier </w:t>
      </w:r>
      <w:r w:rsidR="00EA542F">
        <w:rPr>
          <w:color w:val="000000" w:themeColor="text1"/>
          <w:szCs w:val="20"/>
        </w:rPr>
        <w:t>difficult</w:t>
      </w:r>
      <w:r>
        <w:rPr>
          <w:color w:val="000000" w:themeColor="text1"/>
          <w:szCs w:val="20"/>
        </w:rPr>
        <w:t xml:space="preserve">. In addition, there is not always a direct correlation between performance and cost for battery packs. </w:t>
      </w:r>
      <w:r w:rsidRPr="006762AB">
        <w:rPr>
          <w:color w:val="000000" w:themeColor="text1"/>
          <w:szCs w:val="20"/>
        </w:rPr>
        <w:t xml:space="preserve">One interviewee </w:t>
      </w:r>
      <w:proofErr w:type="spellStart"/>
      <w:r w:rsidRPr="006762AB">
        <w:rPr>
          <w:color w:val="000000" w:themeColor="text1"/>
          <w:szCs w:val="20"/>
        </w:rPr>
        <w:t>categorised</w:t>
      </w:r>
      <w:proofErr w:type="spellEnd"/>
      <w:r w:rsidRPr="006762AB">
        <w:rPr>
          <w:color w:val="000000" w:themeColor="text1"/>
          <w:szCs w:val="20"/>
        </w:rPr>
        <w:t xml:space="preserve"> suppliers </w:t>
      </w:r>
      <w:r w:rsidR="008D794E">
        <w:rPr>
          <w:color w:val="000000" w:themeColor="text1"/>
          <w:szCs w:val="20"/>
        </w:rPr>
        <w:t>as follows</w:t>
      </w:r>
      <w:r w:rsidRPr="006762AB">
        <w:rPr>
          <w:color w:val="000000" w:themeColor="text1"/>
          <w:szCs w:val="20"/>
        </w:rPr>
        <w:t>:</w:t>
      </w:r>
    </w:p>
    <w:p w14:paraId="1A6127FE" w14:textId="77777777" w:rsidR="006C14EB" w:rsidRPr="006762AB" w:rsidRDefault="006C14EB" w:rsidP="006C14EB">
      <w:pPr>
        <w:pStyle w:val="ListParagraph"/>
        <w:numPr>
          <w:ilvl w:val="0"/>
          <w:numId w:val="7"/>
        </w:numPr>
        <w:spacing w:after="120"/>
        <w:rPr>
          <w:color w:val="000000" w:themeColor="text1"/>
          <w:szCs w:val="20"/>
        </w:rPr>
      </w:pPr>
      <w:r w:rsidRPr="006762AB">
        <w:rPr>
          <w:color w:val="000000" w:themeColor="text1"/>
          <w:szCs w:val="20"/>
        </w:rPr>
        <w:t>Top: High performance battery cells</w:t>
      </w:r>
      <w:r>
        <w:rPr>
          <w:color w:val="000000" w:themeColor="text1"/>
          <w:szCs w:val="20"/>
        </w:rPr>
        <w:t xml:space="preserve">; </w:t>
      </w:r>
      <w:r w:rsidRPr="006762AB">
        <w:rPr>
          <w:color w:val="000000" w:themeColor="text1"/>
          <w:szCs w:val="20"/>
        </w:rPr>
        <w:t>no integrated battery pack products</w:t>
      </w:r>
    </w:p>
    <w:p w14:paraId="1C47F6FE" w14:textId="0151CC49" w:rsidR="006C14EB" w:rsidRPr="006762AB" w:rsidRDefault="006C14EB" w:rsidP="006C14EB">
      <w:pPr>
        <w:pStyle w:val="ListParagraph"/>
        <w:numPr>
          <w:ilvl w:val="0"/>
          <w:numId w:val="7"/>
        </w:numPr>
        <w:spacing w:after="120"/>
        <w:rPr>
          <w:color w:val="000000" w:themeColor="text1"/>
          <w:szCs w:val="20"/>
        </w:rPr>
      </w:pPr>
      <w:r w:rsidRPr="006762AB">
        <w:rPr>
          <w:color w:val="000000" w:themeColor="text1"/>
          <w:szCs w:val="20"/>
        </w:rPr>
        <w:t xml:space="preserve">Middle: Mixed quality </w:t>
      </w:r>
      <w:r>
        <w:rPr>
          <w:color w:val="000000" w:themeColor="text1"/>
          <w:szCs w:val="20"/>
        </w:rPr>
        <w:t xml:space="preserve">battery packs; challenging to identify </w:t>
      </w:r>
      <w:r w:rsidR="00541BF6">
        <w:rPr>
          <w:color w:val="000000" w:themeColor="text1"/>
          <w:szCs w:val="20"/>
        </w:rPr>
        <w:t>high</w:t>
      </w:r>
      <w:r>
        <w:rPr>
          <w:color w:val="000000" w:themeColor="text1"/>
          <w:szCs w:val="20"/>
        </w:rPr>
        <w:t xml:space="preserve"> performance packs</w:t>
      </w:r>
    </w:p>
    <w:p w14:paraId="0FDB3F33" w14:textId="77777777" w:rsidR="006C14EB" w:rsidRDefault="006C14EB" w:rsidP="006C14EB">
      <w:pPr>
        <w:pStyle w:val="ListParagraph"/>
        <w:numPr>
          <w:ilvl w:val="0"/>
          <w:numId w:val="7"/>
        </w:numPr>
        <w:spacing w:after="120"/>
        <w:rPr>
          <w:color w:val="000000" w:themeColor="text1"/>
          <w:szCs w:val="20"/>
        </w:rPr>
      </w:pPr>
      <w:r w:rsidRPr="006762AB">
        <w:rPr>
          <w:color w:val="000000" w:themeColor="text1"/>
          <w:szCs w:val="20"/>
        </w:rPr>
        <w:t>Bottom:</w:t>
      </w:r>
      <w:r>
        <w:rPr>
          <w:color w:val="000000" w:themeColor="text1"/>
          <w:szCs w:val="20"/>
        </w:rPr>
        <w:t xml:space="preserve"> Low performance battery packs with high </w:t>
      </w:r>
      <w:r w:rsidRPr="006762AB">
        <w:rPr>
          <w:color w:val="000000" w:themeColor="text1"/>
          <w:szCs w:val="20"/>
        </w:rPr>
        <w:t xml:space="preserve">failure rates; 10% extra </w:t>
      </w:r>
      <w:r>
        <w:rPr>
          <w:color w:val="000000" w:themeColor="text1"/>
          <w:szCs w:val="20"/>
        </w:rPr>
        <w:t xml:space="preserve">packs </w:t>
      </w:r>
      <w:r w:rsidRPr="006762AB">
        <w:rPr>
          <w:color w:val="000000" w:themeColor="text1"/>
          <w:szCs w:val="20"/>
        </w:rPr>
        <w:t xml:space="preserve">as warranty </w:t>
      </w:r>
    </w:p>
    <w:p w14:paraId="69144198" w14:textId="3A16B8A7" w:rsidR="006C14EB" w:rsidRPr="00C709EE" w:rsidRDefault="006C14EB" w:rsidP="006C14EB">
      <w:pPr>
        <w:spacing w:after="120"/>
        <w:rPr>
          <w:color w:val="000000" w:themeColor="text1"/>
          <w:szCs w:val="20"/>
        </w:rPr>
      </w:pPr>
      <w:r>
        <w:rPr>
          <w:color w:val="000000" w:themeColor="text1"/>
          <w:szCs w:val="20"/>
        </w:rPr>
        <w:t>Interviewees confirmed that</w:t>
      </w:r>
      <w:r w:rsidRPr="00C709EE">
        <w:rPr>
          <w:color w:val="000000" w:themeColor="text1"/>
          <w:szCs w:val="20"/>
        </w:rPr>
        <w:t xml:space="preserve"> all desired battery types for these products are available.</w:t>
      </w:r>
      <w:r w:rsidR="00541BF6">
        <w:rPr>
          <w:color w:val="000000" w:themeColor="text1"/>
          <w:szCs w:val="20"/>
        </w:rPr>
        <w:t xml:space="preserve"> </w:t>
      </w:r>
      <w:r>
        <w:rPr>
          <w:color w:val="000000" w:themeColor="text1"/>
          <w:szCs w:val="20"/>
        </w:rPr>
        <w:t>T</w:t>
      </w:r>
      <w:r w:rsidRPr="00C709EE">
        <w:rPr>
          <w:color w:val="000000" w:themeColor="text1"/>
          <w:szCs w:val="20"/>
        </w:rPr>
        <w:t xml:space="preserve">elecommunication </w:t>
      </w:r>
      <w:r>
        <w:rPr>
          <w:color w:val="000000" w:themeColor="text1"/>
          <w:szCs w:val="20"/>
        </w:rPr>
        <w:t xml:space="preserve">infrastructure and mobile phone penetration are perceived as key enablers of the market, enabling safe and regular payments, communication with customers and device monitoring. In addition, the lack of </w:t>
      </w:r>
      <w:r w:rsidR="008D794E">
        <w:rPr>
          <w:color w:val="000000" w:themeColor="text1"/>
          <w:szCs w:val="20"/>
        </w:rPr>
        <w:t xml:space="preserve">value added tax (VAT) </w:t>
      </w:r>
      <w:r>
        <w:rPr>
          <w:color w:val="000000" w:themeColor="text1"/>
          <w:szCs w:val="20"/>
        </w:rPr>
        <w:t xml:space="preserve">on energy products in East Africa supports growth. </w:t>
      </w:r>
      <w:r w:rsidRPr="007444A5">
        <w:rPr>
          <w:color w:val="000000" w:themeColor="text1"/>
        </w:rPr>
        <w:t xml:space="preserve">A bottleneck is the availability of battery management systems (BMS) for higher voltage </w:t>
      </w:r>
      <w:r>
        <w:rPr>
          <w:color w:val="000000" w:themeColor="text1"/>
        </w:rPr>
        <w:t>systems like large solar home</w:t>
      </w:r>
      <w:r w:rsidR="00EA542F">
        <w:rPr>
          <w:color w:val="000000" w:themeColor="text1"/>
        </w:rPr>
        <w:t xml:space="preserve"> </w:t>
      </w:r>
      <w:r>
        <w:rPr>
          <w:color w:val="000000" w:themeColor="text1"/>
        </w:rPr>
        <w:t>or productive use products</w:t>
      </w:r>
      <w:r w:rsidRPr="007444A5">
        <w:rPr>
          <w:color w:val="000000" w:themeColor="text1"/>
        </w:rPr>
        <w:t>.</w:t>
      </w:r>
    </w:p>
    <w:p w14:paraId="785B6988" w14:textId="51BBFECA" w:rsidR="008C0E40" w:rsidRPr="00D57BBB" w:rsidRDefault="006C14EB" w:rsidP="008C0E40">
      <w:r>
        <w:rPr>
          <w:color w:val="000000" w:themeColor="text1"/>
          <w:szCs w:val="20"/>
        </w:rPr>
        <w:t xml:space="preserve">Value chains for battery systems used in </w:t>
      </w:r>
      <w:proofErr w:type="spellStart"/>
      <w:r>
        <w:rPr>
          <w:color w:val="000000" w:themeColor="text1"/>
          <w:szCs w:val="20"/>
        </w:rPr>
        <w:t>nano</w:t>
      </w:r>
      <w:proofErr w:type="spellEnd"/>
      <w:r>
        <w:rPr>
          <w:color w:val="000000" w:themeColor="text1"/>
          <w:szCs w:val="20"/>
        </w:rPr>
        <w:t xml:space="preserve">- or </w:t>
      </w:r>
      <w:r w:rsidR="00221A88">
        <w:rPr>
          <w:color w:val="000000" w:themeColor="text1"/>
          <w:szCs w:val="20"/>
        </w:rPr>
        <w:t>micro-grid</w:t>
      </w:r>
      <w:r>
        <w:rPr>
          <w:color w:val="000000" w:themeColor="text1"/>
          <w:szCs w:val="20"/>
        </w:rPr>
        <w:t>s are more complex due to the higher</w:t>
      </w:r>
      <w:r w:rsidR="00541BF6">
        <w:rPr>
          <w:color w:val="000000" w:themeColor="text1"/>
          <w:szCs w:val="20"/>
        </w:rPr>
        <w:t xml:space="preserve"> level of</w:t>
      </w:r>
      <w:r>
        <w:rPr>
          <w:color w:val="000000" w:themeColor="text1"/>
          <w:szCs w:val="20"/>
        </w:rPr>
        <w:t xml:space="preserve"> </w:t>
      </w:r>
      <w:proofErr w:type="spellStart"/>
      <w:r>
        <w:rPr>
          <w:color w:val="000000" w:themeColor="text1"/>
          <w:szCs w:val="20"/>
        </w:rPr>
        <w:t>customi</w:t>
      </w:r>
      <w:r w:rsidR="00EA542F">
        <w:rPr>
          <w:color w:val="000000" w:themeColor="text1"/>
          <w:szCs w:val="20"/>
        </w:rPr>
        <w:t>s</w:t>
      </w:r>
      <w:r>
        <w:rPr>
          <w:color w:val="000000" w:themeColor="text1"/>
          <w:szCs w:val="20"/>
        </w:rPr>
        <w:t>ation</w:t>
      </w:r>
      <w:proofErr w:type="spellEnd"/>
      <w:r>
        <w:rPr>
          <w:color w:val="000000" w:themeColor="text1"/>
          <w:szCs w:val="20"/>
        </w:rPr>
        <w:t xml:space="preserve"> </w:t>
      </w:r>
      <w:r w:rsidR="00541BF6">
        <w:rPr>
          <w:color w:val="000000" w:themeColor="text1"/>
          <w:szCs w:val="20"/>
        </w:rPr>
        <w:t>in</w:t>
      </w:r>
      <w:r>
        <w:rPr>
          <w:color w:val="000000" w:themeColor="text1"/>
          <w:szCs w:val="20"/>
        </w:rPr>
        <w:t xml:space="preserve"> these systems. </w:t>
      </w:r>
      <w:r w:rsidR="008C0E40">
        <w:t xml:space="preserve">Where standard systems are </w:t>
      </w:r>
      <w:r w:rsidR="00D57BBB">
        <w:t>used</w:t>
      </w:r>
      <w:r w:rsidR="008C0E40">
        <w:t>, they are sourced from South China or India (domestic customer).</w:t>
      </w:r>
      <w:r w:rsidR="00627802">
        <w:t xml:space="preserve"> In contrast, larger</w:t>
      </w:r>
      <w:r w:rsidR="008C0E40">
        <w:t xml:space="preserve">, capital-intensive systems </w:t>
      </w:r>
      <w:r w:rsidR="00D57BBB">
        <w:t>require close</w:t>
      </w:r>
      <w:r w:rsidR="008C0E40">
        <w:t xml:space="preserve"> collaboration between manufacturer and installer on business case and performance specifications, which </w:t>
      </w:r>
      <w:proofErr w:type="spellStart"/>
      <w:r w:rsidR="008C0E40">
        <w:t>favo</w:t>
      </w:r>
      <w:r w:rsidR="00B40F12">
        <w:t>u</w:t>
      </w:r>
      <w:r w:rsidR="008C0E40">
        <w:t>rs</w:t>
      </w:r>
      <w:proofErr w:type="spellEnd"/>
      <w:r w:rsidR="008C0E40">
        <w:t xml:space="preserve"> internationally diversified manufacturers. Th</w:t>
      </w:r>
      <w:r w:rsidR="000B39A2">
        <w:t>ey have experience with the</w:t>
      </w:r>
      <w:r w:rsidR="008C0E40">
        <w:t xml:space="preserve"> long lead</w:t>
      </w:r>
      <w:r w:rsidR="00EA542F">
        <w:t>-</w:t>
      </w:r>
      <w:r w:rsidR="008C0E40">
        <w:t>times of 12 to 24 months and</w:t>
      </w:r>
      <w:r w:rsidR="000B39A2">
        <w:t xml:space="preserve"> offer</w:t>
      </w:r>
      <w:r w:rsidR="008C0E40">
        <w:t xml:space="preserve"> fully packaged solutions with suitable warranties. </w:t>
      </w:r>
      <w:r w:rsidR="00D57BBB">
        <w:t xml:space="preserve">However, </w:t>
      </w:r>
      <w:r w:rsidR="000B39A2">
        <w:t xml:space="preserve">interviewees mentioned that </w:t>
      </w:r>
      <w:r w:rsidR="00D57BBB">
        <w:t>m</w:t>
      </w:r>
      <w:r w:rsidR="008C0E40" w:rsidRPr="00B065CC">
        <w:t xml:space="preserve">ost suppliers </w:t>
      </w:r>
      <w:r w:rsidR="008C0E40">
        <w:t xml:space="preserve">only </w:t>
      </w:r>
      <w:r w:rsidR="008C0E40" w:rsidRPr="00B065CC">
        <w:t xml:space="preserve">deliver </w:t>
      </w:r>
      <w:r w:rsidR="008C0E40">
        <w:t xml:space="preserve">the </w:t>
      </w:r>
      <w:r w:rsidR="008C0E40" w:rsidRPr="00B065CC">
        <w:t>core technology</w:t>
      </w:r>
      <w:r w:rsidR="008C0E40">
        <w:t>, i.e. battery packs</w:t>
      </w:r>
      <w:r w:rsidR="00D57BBB">
        <w:t xml:space="preserve">. </w:t>
      </w:r>
      <w:r w:rsidR="000B39A2">
        <w:t>S</w:t>
      </w:r>
      <w:r w:rsidR="008C0E40" w:rsidRPr="00B065CC">
        <w:t>ystem integrat</w:t>
      </w:r>
      <w:r w:rsidR="008C0E40">
        <w:t xml:space="preserve">ion has to be done </w:t>
      </w:r>
      <w:r w:rsidR="00541BF6">
        <w:t>at a company level</w:t>
      </w:r>
      <w:r w:rsidR="000B39A2">
        <w:t xml:space="preserve">, since </w:t>
      </w:r>
      <w:r w:rsidR="008C0E40" w:rsidRPr="00B065CC">
        <w:t>established</w:t>
      </w:r>
      <w:r w:rsidR="000B39A2">
        <w:t xml:space="preserve"> </w:t>
      </w:r>
      <w:r w:rsidR="008C0E40" w:rsidRPr="00B065CC">
        <w:t>system integrators</w:t>
      </w:r>
      <w:r w:rsidR="00B40F12">
        <w:t xml:space="preserve"> are </w:t>
      </w:r>
      <w:r w:rsidR="000B39A2">
        <w:t xml:space="preserve">too </w:t>
      </w:r>
      <w:r w:rsidR="00B40F12">
        <w:t>expensive</w:t>
      </w:r>
      <w:r w:rsidR="000B39A2">
        <w:t xml:space="preserve"> for </w:t>
      </w:r>
      <w:r w:rsidR="00EA542F">
        <w:t>energy access</w:t>
      </w:r>
      <w:r w:rsidR="000B39A2">
        <w:t xml:space="preserve"> applications</w:t>
      </w:r>
      <w:r w:rsidR="008C0E40">
        <w:t xml:space="preserve">. </w:t>
      </w:r>
      <w:r w:rsidR="00541BF6">
        <w:t xml:space="preserve"> However</w:t>
      </w:r>
      <w:r w:rsidR="000B39A2">
        <w:t xml:space="preserve">, </w:t>
      </w:r>
      <w:r w:rsidR="00541BF6">
        <w:t>such an approach</w:t>
      </w:r>
      <w:r w:rsidR="008C0E40">
        <w:t xml:space="preserve"> may lead to problems in batter</w:t>
      </w:r>
      <w:r w:rsidR="00B40F12">
        <w:t>y,</w:t>
      </w:r>
      <w:r w:rsidR="008C0E40">
        <w:t xml:space="preserve"> inverter </w:t>
      </w:r>
      <w:r w:rsidR="00B40F12">
        <w:t>and</w:t>
      </w:r>
      <w:r w:rsidR="008C0E40">
        <w:t xml:space="preserve"> BMS interaction. </w:t>
      </w:r>
      <w:r w:rsidR="000B39A2">
        <w:t xml:space="preserve">Thus, one interviewee had chosen </w:t>
      </w:r>
      <w:r w:rsidR="008C0E40">
        <w:t xml:space="preserve">to purchase the </w:t>
      </w:r>
      <w:r w:rsidR="000B39A2">
        <w:t xml:space="preserve">battery packs separately, </w:t>
      </w:r>
      <w:r w:rsidR="008C0E40">
        <w:t xml:space="preserve">commission a system integrator with the full </w:t>
      </w:r>
      <w:proofErr w:type="spellStart"/>
      <w:r w:rsidR="008C0E40">
        <w:t>containeri</w:t>
      </w:r>
      <w:r w:rsidR="00EA542F">
        <w:t>s</w:t>
      </w:r>
      <w:r w:rsidR="008C0E40">
        <w:t>ed</w:t>
      </w:r>
      <w:proofErr w:type="spellEnd"/>
      <w:r w:rsidR="008C0E40">
        <w:t xml:space="preserve"> solution</w:t>
      </w:r>
      <w:r w:rsidR="000B39A2">
        <w:t>, and ship the container to the target market</w:t>
      </w:r>
      <w:r w:rsidR="008C0E40">
        <w:t xml:space="preserve">. </w:t>
      </w:r>
    </w:p>
    <w:p w14:paraId="65EC8FBF" w14:textId="251D4A31" w:rsidR="008C0E40" w:rsidRPr="00F2168B" w:rsidRDefault="000B39A2" w:rsidP="008C0E40">
      <w:pPr>
        <w:spacing w:after="200" w:line="276" w:lineRule="auto"/>
        <w:rPr>
          <w:color w:val="000000" w:themeColor="text1"/>
        </w:rPr>
      </w:pPr>
      <w:r>
        <w:rPr>
          <w:color w:val="000000" w:themeColor="text1"/>
        </w:rPr>
        <w:t>In addition to the lack of affordable system integrators for fully packaged system-level solutions, most companies</w:t>
      </w:r>
      <w:r w:rsidR="008C0E40">
        <w:rPr>
          <w:color w:val="000000" w:themeColor="text1"/>
        </w:rPr>
        <w:t xml:space="preserve"> highlighted</w:t>
      </w:r>
      <w:r w:rsidR="008C0E40" w:rsidRPr="00BD39A0">
        <w:rPr>
          <w:color w:val="000000" w:themeColor="text1"/>
        </w:rPr>
        <w:t xml:space="preserve"> </w:t>
      </w:r>
      <w:r w:rsidR="008C0E40">
        <w:rPr>
          <w:color w:val="000000" w:themeColor="text1"/>
        </w:rPr>
        <w:t>high import duties and costly certificates required for li-ion battery imports</w:t>
      </w:r>
      <w:r w:rsidR="006A3157">
        <w:rPr>
          <w:color w:val="000000" w:themeColor="text1"/>
        </w:rPr>
        <w:t xml:space="preserve"> as barrier</w:t>
      </w:r>
      <w:r w:rsidR="008D794E">
        <w:rPr>
          <w:color w:val="000000" w:themeColor="text1"/>
        </w:rPr>
        <w:t>s</w:t>
      </w:r>
      <w:r w:rsidR="006A3157">
        <w:rPr>
          <w:color w:val="000000" w:themeColor="text1"/>
        </w:rPr>
        <w:t xml:space="preserve"> to market growth</w:t>
      </w:r>
      <w:r w:rsidR="008C0E40">
        <w:rPr>
          <w:color w:val="000000" w:themeColor="text1"/>
        </w:rPr>
        <w:t xml:space="preserve">. Lead-acid batteries might be </w:t>
      </w:r>
      <w:proofErr w:type="spellStart"/>
      <w:r w:rsidR="008C0E40">
        <w:rPr>
          <w:color w:val="000000" w:themeColor="text1"/>
        </w:rPr>
        <w:t>favoured</w:t>
      </w:r>
      <w:proofErr w:type="spellEnd"/>
      <w:r w:rsidR="008C0E40">
        <w:rPr>
          <w:color w:val="000000" w:themeColor="text1"/>
        </w:rPr>
        <w:t xml:space="preserve"> in some regions due to their incumbency</w:t>
      </w:r>
      <w:r w:rsidR="006A3157">
        <w:rPr>
          <w:color w:val="000000" w:themeColor="text1"/>
        </w:rPr>
        <w:t>, the</w:t>
      </w:r>
      <w:r w:rsidR="008C0E40">
        <w:rPr>
          <w:color w:val="000000" w:themeColor="text1"/>
        </w:rPr>
        <w:t xml:space="preserve"> skill availability</w:t>
      </w:r>
      <w:r w:rsidR="006A3157">
        <w:rPr>
          <w:color w:val="000000" w:themeColor="text1"/>
        </w:rPr>
        <w:t xml:space="preserve"> and existing lobby</w:t>
      </w:r>
      <w:r w:rsidR="008C0E40">
        <w:rPr>
          <w:color w:val="000000" w:themeColor="text1"/>
        </w:rPr>
        <w:t xml:space="preserve">. </w:t>
      </w:r>
      <w:r w:rsidR="006A3157">
        <w:rPr>
          <w:color w:val="000000" w:themeColor="text1"/>
        </w:rPr>
        <w:t>Tenders that specify one</w:t>
      </w:r>
      <w:r w:rsidR="00541BF6">
        <w:rPr>
          <w:color w:val="000000" w:themeColor="text1"/>
        </w:rPr>
        <w:t xml:space="preserve"> particular</w:t>
      </w:r>
      <w:r w:rsidR="006A3157">
        <w:rPr>
          <w:color w:val="000000" w:themeColor="text1"/>
        </w:rPr>
        <w:t xml:space="preserve"> technology are an additional barrier</w:t>
      </w:r>
      <w:r w:rsidR="008C0E40">
        <w:rPr>
          <w:color w:val="000000" w:themeColor="text1"/>
        </w:rPr>
        <w:t xml:space="preserve"> for hybrid battery solutions</w:t>
      </w:r>
      <w:r w:rsidR="006A3157">
        <w:rPr>
          <w:color w:val="000000" w:themeColor="text1"/>
        </w:rPr>
        <w:t>.</w:t>
      </w:r>
      <w:r w:rsidR="008C0E40">
        <w:rPr>
          <w:color w:val="000000" w:themeColor="text1"/>
        </w:rPr>
        <w:t xml:space="preserve"> </w:t>
      </w:r>
      <w:r w:rsidR="006A3157">
        <w:rPr>
          <w:color w:val="000000" w:themeColor="text1"/>
        </w:rPr>
        <w:t>Interviewees also mentioned s</w:t>
      </w:r>
      <w:r w:rsidR="008C0E40">
        <w:t xml:space="preserve">horter lead-times </w:t>
      </w:r>
      <w:r w:rsidR="006A3157">
        <w:t>due to improved project experience and faster import procedures as a potential driver for more projects</w:t>
      </w:r>
      <w:r w:rsidR="008C0E40">
        <w:t>.</w:t>
      </w:r>
      <w:r w:rsidR="00D57BBB">
        <w:t xml:space="preserve"> </w:t>
      </w:r>
    </w:p>
    <w:p w14:paraId="625A182F" w14:textId="4452C03F" w:rsidR="00B40F12" w:rsidRDefault="00B40F12" w:rsidP="00B40F12">
      <w:pPr>
        <w:keepNext/>
        <w:spacing w:line="360" w:lineRule="auto"/>
      </w:pPr>
      <w:r>
        <w:rPr>
          <w:noProof/>
        </w:rPr>
        <w:lastRenderedPageBreak/>
        <w:drawing>
          <wp:inline distT="0" distB="0" distL="0" distR="0" wp14:anchorId="35A61272" wp14:editId="3F1E65EC">
            <wp:extent cx="2834640" cy="20955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4640" cy="2095500"/>
                    </a:xfrm>
                    <a:prstGeom prst="rect">
                      <a:avLst/>
                    </a:prstGeom>
                    <a:noFill/>
                    <a:ln>
                      <a:noFill/>
                    </a:ln>
                  </pic:spPr>
                </pic:pic>
              </a:graphicData>
            </a:graphic>
          </wp:inline>
        </w:drawing>
      </w:r>
      <w:r>
        <w:rPr>
          <w:noProof/>
        </w:rPr>
        <w:drawing>
          <wp:inline distT="0" distB="0" distL="0" distR="0" wp14:anchorId="2D654DFD" wp14:editId="058E9907">
            <wp:extent cx="2880360" cy="22021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360" cy="2202180"/>
                    </a:xfrm>
                    <a:prstGeom prst="rect">
                      <a:avLst/>
                    </a:prstGeom>
                    <a:noFill/>
                    <a:ln>
                      <a:noFill/>
                    </a:ln>
                  </pic:spPr>
                </pic:pic>
              </a:graphicData>
            </a:graphic>
          </wp:inline>
        </w:drawing>
      </w:r>
    </w:p>
    <w:p w14:paraId="355EBC3C" w14:textId="342A7AF4" w:rsidR="00B40F12" w:rsidRPr="00B40F12" w:rsidRDefault="00B40F12" w:rsidP="00B40F12">
      <w:pPr>
        <w:pStyle w:val="Caption"/>
        <w:rPr>
          <w:color w:val="000000" w:themeColor="text1"/>
        </w:rPr>
      </w:pPr>
      <w:r w:rsidRPr="00B40F12">
        <w:rPr>
          <w:b/>
          <w:color w:val="000000" w:themeColor="text1"/>
        </w:rPr>
        <w:t xml:space="preserve">Figure </w:t>
      </w:r>
      <w:r w:rsidRPr="00B40F12">
        <w:rPr>
          <w:b/>
          <w:color w:val="000000" w:themeColor="text1"/>
        </w:rPr>
        <w:fldChar w:fldCharType="begin"/>
      </w:r>
      <w:r w:rsidRPr="00B40F12">
        <w:rPr>
          <w:b/>
          <w:color w:val="000000" w:themeColor="text1"/>
        </w:rPr>
        <w:instrText xml:space="preserve"> SEQ Figure \* ARABIC </w:instrText>
      </w:r>
      <w:r w:rsidRPr="00B40F12">
        <w:rPr>
          <w:b/>
          <w:color w:val="000000" w:themeColor="text1"/>
        </w:rPr>
        <w:fldChar w:fldCharType="separate"/>
      </w:r>
      <w:r w:rsidR="007358EA">
        <w:rPr>
          <w:b/>
          <w:noProof/>
          <w:color w:val="000000" w:themeColor="text1"/>
        </w:rPr>
        <w:t>2</w:t>
      </w:r>
      <w:r w:rsidRPr="00B40F12">
        <w:rPr>
          <w:b/>
          <w:color w:val="000000" w:themeColor="text1"/>
        </w:rPr>
        <w:fldChar w:fldCharType="end"/>
      </w:r>
      <w:r w:rsidRPr="00B40F12">
        <w:rPr>
          <w:b/>
          <w:color w:val="000000" w:themeColor="text1"/>
        </w:rPr>
        <w:t xml:space="preserve"> - </w:t>
      </w:r>
      <w:r w:rsidRPr="00B40F12">
        <w:rPr>
          <w:color w:val="000000" w:themeColor="text1"/>
        </w:rPr>
        <w:t>Sample supply chain</w:t>
      </w:r>
      <w:r w:rsidR="006A3157">
        <w:rPr>
          <w:color w:val="000000" w:themeColor="text1"/>
        </w:rPr>
        <w:t>s.</w:t>
      </w:r>
      <w:r w:rsidRPr="00B40F12">
        <w:rPr>
          <w:color w:val="000000" w:themeColor="text1"/>
        </w:rPr>
        <w:t xml:space="preserve"> Left: a solar home system technology provider in Kenya using lead-acid batteries. The batteries are manufactured in </w:t>
      </w:r>
      <w:r>
        <w:rPr>
          <w:color w:val="000000" w:themeColor="text1"/>
        </w:rPr>
        <w:t xml:space="preserve">Guangdong, </w:t>
      </w:r>
      <w:r w:rsidRPr="00B40F12">
        <w:rPr>
          <w:color w:val="000000" w:themeColor="text1"/>
        </w:rPr>
        <w:t>China</w:t>
      </w:r>
      <w:r>
        <w:rPr>
          <w:color w:val="000000" w:themeColor="text1"/>
        </w:rPr>
        <w:t>,</w:t>
      </w:r>
      <w:r w:rsidRPr="00B40F12">
        <w:rPr>
          <w:color w:val="000000" w:themeColor="text1"/>
        </w:rPr>
        <w:t xml:space="preserve"> and shipped to Mombasa, Kenya, from where they reach the shop via truck. Door-to-door delivery time is between 6-8 weeks. </w:t>
      </w:r>
      <w:r w:rsidR="00D57BBB">
        <w:rPr>
          <w:color w:val="000000" w:themeColor="text1"/>
        </w:rPr>
        <w:t xml:space="preserve">Last mile delivery to customer is by motorcycle. In case the battery is not refurbished and resold informally after its end-of-life, it gets shipped to India for commercial recycling. </w:t>
      </w:r>
      <w:r w:rsidRPr="00B40F12">
        <w:rPr>
          <w:color w:val="000000" w:themeColor="text1"/>
        </w:rPr>
        <w:t xml:space="preserve">Right: a </w:t>
      </w:r>
      <w:r w:rsidR="00221A88">
        <w:rPr>
          <w:color w:val="000000" w:themeColor="text1"/>
        </w:rPr>
        <w:t>micro-</w:t>
      </w:r>
      <w:r w:rsidRPr="00B40F12">
        <w:rPr>
          <w:color w:val="000000" w:themeColor="text1"/>
        </w:rPr>
        <w:t xml:space="preserve">grid supplier for rural electrification in Tanzania with a </w:t>
      </w:r>
      <w:r w:rsidR="00EA542F">
        <w:rPr>
          <w:color w:val="000000" w:themeColor="text1"/>
        </w:rPr>
        <w:t>l</w:t>
      </w:r>
      <w:r w:rsidRPr="00B40F12">
        <w:rPr>
          <w:color w:val="000000" w:themeColor="text1"/>
        </w:rPr>
        <w:t xml:space="preserve">i-ion battery. The </w:t>
      </w:r>
      <w:r w:rsidR="00EA542F">
        <w:rPr>
          <w:color w:val="000000" w:themeColor="text1"/>
        </w:rPr>
        <w:t>l</w:t>
      </w:r>
      <w:r w:rsidRPr="00B40F12">
        <w:rPr>
          <w:color w:val="000000" w:themeColor="text1"/>
        </w:rPr>
        <w:t>i-ion cells are shipped from South Korea to Germany where they are assembled to a containeri</w:t>
      </w:r>
      <w:r w:rsidR="00EA542F">
        <w:rPr>
          <w:color w:val="000000" w:themeColor="text1"/>
        </w:rPr>
        <w:t>s</w:t>
      </w:r>
      <w:r w:rsidRPr="00B40F12">
        <w:rPr>
          <w:color w:val="000000" w:themeColor="text1"/>
        </w:rPr>
        <w:t>ed AC</w:t>
      </w:r>
      <w:r w:rsidR="006A3157">
        <w:rPr>
          <w:color w:val="000000" w:themeColor="text1"/>
        </w:rPr>
        <w:t>-system</w:t>
      </w:r>
      <w:r w:rsidRPr="00B40F12">
        <w:rPr>
          <w:color w:val="000000" w:themeColor="text1"/>
        </w:rPr>
        <w:t>. This</w:t>
      </w:r>
      <w:r w:rsidR="006A3157">
        <w:rPr>
          <w:color w:val="000000" w:themeColor="text1"/>
        </w:rPr>
        <w:t xml:space="preserve"> is</w:t>
      </w:r>
      <w:r w:rsidRPr="00B40F12">
        <w:rPr>
          <w:color w:val="000000" w:themeColor="text1"/>
        </w:rPr>
        <w:t xml:space="preserve"> then shipped to Tanzania where it pass</w:t>
      </w:r>
      <w:r w:rsidR="006A3157">
        <w:rPr>
          <w:color w:val="000000" w:themeColor="text1"/>
        </w:rPr>
        <w:t>es</w:t>
      </w:r>
      <w:r w:rsidRPr="00B40F12">
        <w:rPr>
          <w:color w:val="000000" w:themeColor="text1"/>
        </w:rPr>
        <w:t xml:space="preserve"> customs and is delivered by truck. Ideally, at its end of life, the battery system is disassembled and shipped to Belgium for recycling. In </w:t>
      </w:r>
      <w:r w:rsidR="006A3157">
        <w:rPr>
          <w:color w:val="000000" w:themeColor="text1"/>
        </w:rPr>
        <w:t>most</w:t>
      </w:r>
      <w:r w:rsidRPr="00B40F12">
        <w:rPr>
          <w:color w:val="000000" w:themeColor="text1"/>
        </w:rPr>
        <w:t xml:space="preserve"> cases</w:t>
      </w:r>
      <w:r w:rsidR="00EA542F">
        <w:rPr>
          <w:color w:val="000000" w:themeColor="text1"/>
        </w:rPr>
        <w:t xml:space="preserve"> though</w:t>
      </w:r>
      <w:r w:rsidRPr="00B40F12">
        <w:rPr>
          <w:color w:val="000000" w:themeColor="text1"/>
        </w:rPr>
        <w:t xml:space="preserve">, </w:t>
      </w:r>
      <w:r w:rsidR="00EA542F">
        <w:rPr>
          <w:color w:val="000000" w:themeColor="text1"/>
        </w:rPr>
        <w:t>l</w:t>
      </w:r>
      <w:r w:rsidRPr="00B40F12">
        <w:rPr>
          <w:color w:val="000000" w:themeColor="text1"/>
        </w:rPr>
        <w:t xml:space="preserve">i-ion batteries are dumped on landfills. </w:t>
      </w:r>
    </w:p>
    <w:p w14:paraId="73EE8756" w14:textId="3FDA3B6F" w:rsidR="00DC7B86" w:rsidRDefault="006A3157" w:rsidP="0031460B">
      <w:r>
        <w:rPr>
          <w:color w:val="000000" w:themeColor="text1"/>
          <w:szCs w:val="20"/>
        </w:rPr>
        <w:t>End-of-life procedures vary among interviewed companies. Whil</w:t>
      </w:r>
      <w:r w:rsidR="00541BF6">
        <w:rPr>
          <w:color w:val="000000" w:themeColor="text1"/>
          <w:szCs w:val="20"/>
        </w:rPr>
        <w:t>st</w:t>
      </w:r>
      <w:r>
        <w:rPr>
          <w:color w:val="000000" w:themeColor="text1"/>
          <w:szCs w:val="20"/>
        </w:rPr>
        <w:t xml:space="preserve"> some return batteries to manufacturers and others contract recycling companies</w:t>
      </w:r>
      <w:r w:rsidR="00DC7B86">
        <w:rPr>
          <w:color w:val="000000" w:themeColor="text1"/>
          <w:szCs w:val="20"/>
        </w:rPr>
        <w:t>, the majority h</w:t>
      </w:r>
      <w:r w:rsidR="00541BF6">
        <w:rPr>
          <w:color w:val="000000" w:themeColor="text1"/>
          <w:szCs w:val="20"/>
        </w:rPr>
        <w:t>ave</w:t>
      </w:r>
      <w:r w:rsidR="00DC7B86">
        <w:rPr>
          <w:color w:val="000000" w:themeColor="text1"/>
          <w:szCs w:val="20"/>
        </w:rPr>
        <w:t xml:space="preserve"> no end-of-life procedure established or provided no details. </w:t>
      </w:r>
      <w:r w:rsidR="00DC7B86">
        <w:t xml:space="preserve">Efforts being made in this regard </w:t>
      </w:r>
      <w:r w:rsidR="00541BF6">
        <w:t xml:space="preserve">are </w:t>
      </w:r>
      <w:r w:rsidR="00DC7B86">
        <w:t>largely tied to companies’ ethos and reputatio</w:t>
      </w:r>
      <w:r w:rsidR="000921AE">
        <w:t>n</w:t>
      </w:r>
      <w:r w:rsidR="00DC7B86">
        <w:t xml:space="preserve"> or investor stipulations</w:t>
      </w:r>
      <w:r w:rsidR="00541BF6">
        <w:t>, and only</w:t>
      </w:r>
      <w:r w:rsidR="00DC7B86">
        <w:t xml:space="preserve"> one company </w:t>
      </w:r>
      <w:r w:rsidR="00541BF6">
        <w:t xml:space="preserve">specified </w:t>
      </w:r>
      <w:r w:rsidR="00DC7B86">
        <w:t xml:space="preserve">government regulations </w:t>
      </w:r>
      <w:r w:rsidR="00541BF6">
        <w:t>as</w:t>
      </w:r>
      <w:r w:rsidR="000921AE">
        <w:t xml:space="preserve"> </w:t>
      </w:r>
      <w:r w:rsidR="00DC7B86">
        <w:t xml:space="preserve">the driver to establish end-of-life procedures. </w:t>
      </w:r>
    </w:p>
    <w:p w14:paraId="06A33967" w14:textId="70AC88BF" w:rsidR="00E4224F" w:rsidRDefault="000921AE" w:rsidP="001305DC">
      <w:r>
        <w:rPr>
          <w:color w:val="000000" w:themeColor="text1"/>
          <w:szCs w:val="20"/>
        </w:rPr>
        <w:t>Lead-acid</w:t>
      </w:r>
      <w:r w:rsidR="00DC7B86">
        <w:rPr>
          <w:color w:val="000000" w:themeColor="text1"/>
          <w:szCs w:val="20"/>
        </w:rPr>
        <w:t xml:space="preserve"> battery recycling is relatively straightforward, but there is only one effluent treatment facility in East Africa. M</w:t>
      </w:r>
      <w:r w:rsidR="0031460B" w:rsidRPr="006762AB">
        <w:rPr>
          <w:color w:val="000000" w:themeColor="text1"/>
          <w:szCs w:val="20"/>
        </w:rPr>
        <w:t>ost lead-acid batteries are refurbished and re-sold informally</w:t>
      </w:r>
      <w:r w:rsidR="00DC7B86">
        <w:rPr>
          <w:color w:val="000000" w:themeColor="text1"/>
          <w:szCs w:val="20"/>
        </w:rPr>
        <w:t>. Lead poisoning due to a lack of proper safety equipment and dumping of sul</w:t>
      </w:r>
      <w:r>
        <w:rPr>
          <w:color w:val="000000" w:themeColor="text1"/>
          <w:szCs w:val="20"/>
        </w:rPr>
        <w:t>f</w:t>
      </w:r>
      <w:r w:rsidR="00DC7B86">
        <w:rPr>
          <w:color w:val="000000" w:themeColor="text1"/>
          <w:szCs w:val="20"/>
        </w:rPr>
        <w:t>uric acid is widespread according to some interviewees</w:t>
      </w:r>
      <w:r w:rsidR="00541BF6">
        <w:rPr>
          <w:color w:val="000000" w:themeColor="text1"/>
          <w:szCs w:val="20"/>
        </w:rPr>
        <w:t xml:space="preserve"> (in line with </w:t>
      </w:r>
      <w:r w:rsidR="00541BF6">
        <w:rPr>
          <w:color w:val="000000" w:themeColor="text1"/>
          <w:szCs w:val="20"/>
        </w:rPr>
        <w:fldChar w:fldCharType="begin" w:fldLock="1"/>
      </w:r>
      <w:r w:rsidR="000C0A91">
        <w:rPr>
          <w:color w:val="000000" w:themeColor="text1"/>
          <w:szCs w:val="20"/>
        </w:rPr>
        <w:instrText>ADDIN CSL_CITATION { "citationItems" : [ { "id" : "ITEM-1", "itemData" : { "URL" : "http://www.who.int/en/news-room/fact-sheets/detail/lead-poisoning-and-health", "author" : [ { "dropping-particle" : "", "family" : "World Health Organisation", "given" : "", "non-dropping-particle" : "", "parse-names" : false, "suffix" : "" } ], "id" : "ITEM-1", "issued" : { "date-parts" : [ [ "2018" ] ] }, "title" : "Lead Poisoning and Health", "type" : "webpage" }, "uris" : [ "http://www.mendeley.com/documents/?uuid=d8b00c94-df20-4bc7-a8ee-6178fa36c740" ] }, { "id" : "ITEM-2", "itemData" : { "DOI" : "10.1289/ehp.0900696", "ISBN" : "0091-6765", "ISSN" : "00916765", "PMID" : "20019903", "abstract" : "BACKGROUND AND OBJECTIVES: Between November 2007 and March 2008, 18 children died from a rapidly progressive central nervous system disease of unexplained origin in a community involved in the recycling of used lead-acid batteries (ULAB) in the suburbs of Dakar, Senegal. We investigated the cause of these deaths.\\n\\nMETHODS: Because autopsies were not possible, the investigation centered on clinical and laboratory assessments performed on 32 siblings of deceased children and 23 mothers and on 18 children and 8 adults living in the same area, complemented by environmental health investigations.\\n\\nRESULTS: All 81 individuals investigated were poisoned with lead, some of them severely. The blood lead level of the 50 children tested ranged from 39.8 to 613.9 microg/dL with a mean of 129.5 microg/dL. Seventeen children showed severe neurologic features of toxicity. Homes and soil in surrounding areas were heavily contaminated with lead (indoors, up to 14,000 mg/kg; outdoors, up to 302,000 mg/kg) as a result of informal ULAB recycling.\\n\\nCONCLUSIONS: Our investigations revealed a mass lead intoxication that occurred through inhalation and ingestion of soil and dust heavily contaminated with lead as a result of informal and unsafe ULAB recycling. Circumstantial evidence suggested that most or all of the 18 deaths were due to encephalopathy resulting from severe lead intoxication. Findings also suggest that most habitants of the contaminated area, estimated at 950, are also likely to be poisoned. This highlights the severe health risks posed by informal ULAB recycling, in particular in developing countries, and emphasizes the need to strengthen national and international efforts to address this global public health problem.", "author" : [ { "dropping-particle" : "", "family" : "Haefliger", "given" : "Pascal", "non-dropping-particle" : "", "parse-names" : false, "suffix" : "" }, { "dropping-particle" : "", "family" : "Mathieu-Nolf", "given" : "Monique", "non-dropping-particle" : "", "parse-names" : false, "suffix" : "" }, { "dropping-particle" : "", "family" : "Lociciro", "given" : "Stephanie", "non-dropping-particle" : "", "parse-names" : false, "suffix" : "" }, { "dropping-particle" : "", "family" : "Ndiaye", "given" : "Cheikh", "non-dropping-particle" : "", "parse-names" : false, "suffix" : "" }, { "dropping-particle" : "", "family" : "Coly", "given" : "Malang", "non-dropping-particle" : "", "parse-names" : false, "suffix" : "" }, { "dropping-particle" : "", "family" : "Diouf", "given" : "Amadou", "non-dropping-particle" : "", "parse-names" : false, "suffix" : "" }, { "dropping-particle" : "", "family" : "Faye", "given" : "Absa Lam", "non-dropping-particle" : "", "parse-names" : false, "suffix" : "" }, { "dropping-particle" : "", "family" : "Sow", "given" : "Aminata", "non-dropping-particle" : "", "parse-names" : false, "suffix" : "" }, { "dropping-particle" : "", "family" : "Tempowski", "given" : "Joanna", "non-dropping-particle" : "", "parse-names" : false, "suffix" : "" }, { "dropping-particle" : "", "family" : "Pronczuk", "given" : "Jenny", "non-dropping-particle" : "", "parse-names" : false, "suffix" : "" }, { "dropping-particle" : "", "family" : "Filipe", "given" : "Antonio Pedro", "non-dropping-particle" : "", "parse-names" : false, "suffix" : "" }, { "dropping-particle" : "", "family" : "Bertollini", "given" : "Roberto", "non-dropping-particle" : "", "parse-names" : false, "suffix" : "" }, { "dropping-particle" : "", "family" : "Neira", "given" : "Maria", "non-dropping-particle" : "", "parse-names" : false, "suffix" : "" } ], "container-title" : "Environmental Health Perspectives", "id" : "ITEM-2", "issue" : "10", "issued" : { "date-parts" : [ [ "2009" ] ] }, "page" : "1535-1540", "title" : "Mass lead intoxication from informal used lead-acid battery recycling in Dakar, Senegal", "type" : "article-journal", "volume" : "117" }, "uris" : [ "http://www.mendeley.com/documents/?uuid=d85d1a22-7ae0-4b91-8a3a-99d8932efb2d" ] }, { "id" : "ITEM-3", "itemData" : { "author" : [ { "dropping-particle" : "", "family" : "Worland", "given" : "Justin", "non-dropping-particle" : "", "parse-names" : false, "suffix" : "" } ], "container-title" : "Time Magazine", "id" : "ITEM-3", "issued" : { "date-parts" : [ [ "2016" ] ] }, "title" : "How Lead Poisoning Is Devastating Countries Around the World", "type" : "article-magazine" }, "uris" : [ "http://www.mendeley.com/documents/?uuid=343dd61a-36cf-41e1-a31b-eb8b91683fdc" ] } ], "mendeley" : { "formattedCitation" : "(Haefliger et al., 2009; Worland, 2016; World Health Organisation, 2018)", "plainTextFormattedCitation" : "(Haefliger et al., 2009; Worland, 2016; World Health Organisation, 2018)", "previouslyFormattedCitation" : "(Haefliger et al., 2009; Worland, 2016; World Health Organisation, 2018)" }, "properties" : { "noteIndex" : 0 }, "schema" : "https://github.com/citation-style-language/schema/raw/master/csl-citation.json" }</w:instrText>
      </w:r>
      <w:r w:rsidR="00541BF6">
        <w:rPr>
          <w:color w:val="000000" w:themeColor="text1"/>
          <w:szCs w:val="20"/>
        </w:rPr>
        <w:fldChar w:fldCharType="separate"/>
      </w:r>
      <w:r w:rsidR="009C393E" w:rsidRPr="009C393E">
        <w:rPr>
          <w:noProof/>
          <w:color w:val="000000" w:themeColor="text1"/>
          <w:szCs w:val="20"/>
        </w:rPr>
        <w:t>(Haefliger et al., 2009; Worland, 2016; World Health Organisation, 2018)</w:t>
      </w:r>
      <w:r w:rsidR="00541BF6">
        <w:rPr>
          <w:color w:val="000000" w:themeColor="text1"/>
          <w:szCs w:val="20"/>
        </w:rPr>
        <w:fldChar w:fldCharType="end"/>
      </w:r>
      <w:r w:rsidR="00541BF6">
        <w:rPr>
          <w:color w:val="000000" w:themeColor="text1"/>
          <w:szCs w:val="20"/>
        </w:rPr>
        <w:t>)</w:t>
      </w:r>
      <w:r w:rsidR="00DC7B86">
        <w:rPr>
          <w:color w:val="000000" w:themeColor="text1"/>
          <w:szCs w:val="20"/>
        </w:rPr>
        <w:t xml:space="preserve">. </w:t>
      </w:r>
      <w:r>
        <w:rPr>
          <w:color w:val="000000" w:themeColor="text1"/>
          <w:szCs w:val="20"/>
        </w:rPr>
        <w:t>Li-ion</w:t>
      </w:r>
      <w:r w:rsidR="00DC7B86">
        <w:rPr>
          <w:color w:val="000000" w:themeColor="text1"/>
          <w:szCs w:val="20"/>
        </w:rPr>
        <w:t xml:space="preserve"> recycling is more complex and costly due to the high number of materials used</w:t>
      </w:r>
      <w:r w:rsidR="006E1446">
        <w:rPr>
          <w:color w:val="000000" w:themeColor="text1"/>
          <w:szCs w:val="20"/>
        </w:rPr>
        <w:t xml:space="preserve"> and the differences in chemistry between various types</w:t>
      </w:r>
      <w:r w:rsidR="00541BF6">
        <w:rPr>
          <w:color w:val="000000" w:themeColor="text1"/>
          <w:szCs w:val="20"/>
        </w:rPr>
        <w:t xml:space="preserve"> </w:t>
      </w:r>
      <w:r w:rsidR="00541BF6">
        <w:rPr>
          <w:color w:val="000000" w:themeColor="text1"/>
          <w:szCs w:val="20"/>
        </w:rPr>
        <w:fldChar w:fldCharType="begin" w:fldLock="1"/>
      </w:r>
      <w:r w:rsidR="00221A88">
        <w:rPr>
          <w:color w:val="000000" w:themeColor="text1"/>
          <w:szCs w:val="20"/>
        </w:rPr>
        <w:instrText>ADDIN CSL_CITATION { "citationItems" : [ { "id" : "ITEM-1", "itemData" : { "DOI" : "10.1016/j.susmat.2014.10.001", "ISSN" : "2214-9937", "author" : [ { "dropping-particle" : "", "family" : "Gaines", "given" : "Linda", "non-dropping-particle" : "", "parse-names" : false, "suffix" : "" } ], "container-title" : "Sustainable Materials and Technologies", "id" : "ITEM-1", "issued" : { "date-parts" : [ [ "2014" ] ] }, "page" : "2-7", "publisher" : "Elsevier B.V.", "title" : "Sustainable Materials and Technologies The future of automotive lithium-ion battery recycling : Charting a sustainable course", "type" : "article-journal", "volume" : "1-2" }, "uris" : [ "http://www.mendeley.com/documents/?uuid=f577fc44-8299-4a97-a62e-7213f9a984ae" ] } ], "mendeley" : { "formattedCitation" : "(Gaines, 2014)", "plainTextFormattedCitation" : "(Gaines, 2014)", "previouslyFormattedCitation" : "(Gaines, 2014)" }, "properties" : { "noteIndex" : 0 }, "schema" : "https://github.com/citation-style-language/schema/raw/master/csl-citation.json" }</w:instrText>
      </w:r>
      <w:r w:rsidR="00541BF6">
        <w:rPr>
          <w:color w:val="000000" w:themeColor="text1"/>
          <w:szCs w:val="20"/>
        </w:rPr>
        <w:fldChar w:fldCharType="separate"/>
      </w:r>
      <w:r w:rsidR="00221A88" w:rsidRPr="00221A88">
        <w:rPr>
          <w:noProof/>
          <w:color w:val="000000" w:themeColor="text1"/>
          <w:szCs w:val="20"/>
        </w:rPr>
        <w:t>(Gaines, 2014)</w:t>
      </w:r>
      <w:r w:rsidR="00541BF6">
        <w:rPr>
          <w:color w:val="000000" w:themeColor="text1"/>
          <w:szCs w:val="20"/>
        </w:rPr>
        <w:fldChar w:fldCharType="end"/>
      </w:r>
      <w:r w:rsidR="00DC7B86">
        <w:rPr>
          <w:color w:val="000000" w:themeColor="text1"/>
          <w:szCs w:val="20"/>
        </w:rPr>
        <w:t xml:space="preserve">. As a result, the majority is currently </w:t>
      </w:r>
      <w:r w:rsidR="0031460B" w:rsidRPr="006762AB">
        <w:rPr>
          <w:color w:val="000000" w:themeColor="text1"/>
          <w:szCs w:val="20"/>
        </w:rPr>
        <w:t>dumped in landfill</w:t>
      </w:r>
      <w:r w:rsidR="006E1446">
        <w:rPr>
          <w:color w:val="000000" w:themeColor="text1"/>
          <w:szCs w:val="20"/>
        </w:rPr>
        <w:t xml:space="preserve">s as they are classified as harmful, rather than toxic like </w:t>
      </w:r>
      <w:r>
        <w:rPr>
          <w:color w:val="000000" w:themeColor="text1"/>
          <w:szCs w:val="20"/>
        </w:rPr>
        <w:t>lead-acid</w:t>
      </w:r>
      <w:r w:rsidR="006E1446">
        <w:rPr>
          <w:color w:val="000000" w:themeColor="text1"/>
          <w:szCs w:val="20"/>
        </w:rPr>
        <w:t xml:space="preserve"> batteries. </w:t>
      </w:r>
      <w:r w:rsidR="0031460B" w:rsidRPr="006762AB">
        <w:rPr>
          <w:color w:val="000000" w:themeColor="text1"/>
          <w:szCs w:val="20"/>
        </w:rPr>
        <w:t>Some</w:t>
      </w:r>
      <w:r w:rsidR="00DC7B86">
        <w:rPr>
          <w:color w:val="000000" w:themeColor="text1"/>
          <w:szCs w:val="20"/>
        </w:rPr>
        <w:t xml:space="preserve"> interviewed</w:t>
      </w:r>
      <w:r w:rsidR="0031460B" w:rsidRPr="006762AB">
        <w:rPr>
          <w:color w:val="000000" w:themeColor="text1"/>
          <w:szCs w:val="20"/>
        </w:rPr>
        <w:t xml:space="preserve"> companies are</w:t>
      </w:r>
      <w:r w:rsidR="0031460B">
        <w:rPr>
          <w:color w:val="000000" w:themeColor="text1"/>
          <w:szCs w:val="20"/>
        </w:rPr>
        <w:t xml:space="preserve"> starting to</w:t>
      </w:r>
      <w:r w:rsidR="0031460B" w:rsidRPr="006762AB">
        <w:rPr>
          <w:color w:val="000000" w:themeColor="text1"/>
          <w:szCs w:val="20"/>
        </w:rPr>
        <w:t xml:space="preserve"> shi</w:t>
      </w:r>
      <w:r w:rsidR="00DC7B86">
        <w:rPr>
          <w:color w:val="000000" w:themeColor="text1"/>
          <w:szCs w:val="20"/>
        </w:rPr>
        <w:t>p</w:t>
      </w:r>
      <w:r w:rsidR="0031460B" w:rsidRPr="006762AB">
        <w:rPr>
          <w:color w:val="000000" w:themeColor="text1"/>
          <w:szCs w:val="20"/>
        </w:rPr>
        <w:t xml:space="preserve"> used batteries to Belgium </w:t>
      </w:r>
      <w:r w:rsidR="008D794E">
        <w:rPr>
          <w:color w:val="000000" w:themeColor="text1"/>
          <w:szCs w:val="20"/>
        </w:rPr>
        <w:t>(</w:t>
      </w:r>
      <w:r>
        <w:rPr>
          <w:color w:val="000000" w:themeColor="text1"/>
          <w:szCs w:val="20"/>
        </w:rPr>
        <w:t>li-ion</w:t>
      </w:r>
      <w:r w:rsidR="0031460B" w:rsidRPr="006762AB">
        <w:rPr>
          <w:color w:val="000000" w:themeColor="text1"/>
          <w:szCs w:val="20"/>
        </w:rPr>
        <w:t>) or India (</w:t>
      </w:r>
      <w:r>
        <w:rPr>
          <w:color w:val="000000" w:themeColor="text1"/>
          <w:szCs w:val="20"/>
        </w:rPr>
        <w:t>lead-acid</w:t>
      </w:r>
      <w:r w:rsidR="0031460B" w:rsidRPr="006762AB">
        <w:rPr>
          <w:color w:val="000000" w:themeColor="text1"/>
          <w:szCs w:val="20"/>
        </w:rPr>
        <w:t xml:space="preserve">) for recycling. </w:t>
      </w:r>
      <w:r w:rsidR="001305DC">
        <w:rPr>
          <w:color w:val="000000" w:themeColor="text1"/>
          <w:szCs w:val="20"/>
        </w:rPr>
        <w:t>Existing b</w:t>
      </w:r>
      <w:r w:rsidR="00E4224F">
        <w:rPr>
          <w:color w:val="000000" w:themeColor="text1"/>
          <w:szCs w:val="20"/>
        </w:rPr>
        <w:t xml:space="preserve">est-practice end-of-life procedures </w:t>
      </w:r>
      <w:r w:rsidR="001305DC">
        <w:rPr>
          <w:color w:val="000000" w:themeColor="text1"/>
          <w:szCs w:val="20"/>
        </w:rPr>
        <w:t>entail the collection of</w:t>
      </w:r>
      <w:r w:rsidR="00E4224F">
        <w:t xml:space="preserve"> e-waste from customers for free</w:t>
      </w:r>
      <w:r w:rsidR="001305DC">
        <w:t>, d</w:t>
      </w:r>
      <w:r w:rsidR="00E4224F">
        <w:t>ismantl</w:t>
      </w:r>
      <w:r w:rsidR="001305DC">
        <w:t>ing, and d</w:t>
      </w:r>
      <w:r w:rsidR="00E4224F">
        <w:t>eliver</w:t>
      </w:r>
      <w:r w:rsidR="001305DC">
        <w:t>y of</w:t>
      </w:r>
      <w:r w:rsidR="00E4224F">
        <w:t xml:space="preserve"> batteries to recycling facilities with high environmental standards</w:t>
      </w:r>
      <w:r w:rsidR="001305DC">
        <w:t xml:space="preserve">. </w:t>
      </w:r>
    </w:p>
    <w:p w14:paraId="72C7D854" w14:textId="3367EC7A" w:rsidR="006E1446" w:rsidRDefault="006E1446" w:rsidP="0031460B">
      <w:pPr>
        <w:rPr>
          <w:color w:val="000000" w:themeColor="text1"/>
          <w:szCs w:val="20"/>
        </w:rPr>
      </w:pPr>
      <w:r>
        <w:rPr>
          <w:color w:val="000000" w:themeColor="text1"/>
          <w:szCs w:val="20"/>
        </w:rPr>
        <w:t>The key barriers to effective disposal procedures are the lack of responsibility and vague</w:t>
      </w:r>
      <w:r w:rsidR="00E4224F">
        <w:rPr>
          <w:color w:val="000000" w:themeColor="text1"/>
          <w:szCs w:val="20"/>
        </w:rPr>
        <w:t xml:space="preserve">, </w:t>
      </w:r>
      <w:r>
        <w:rPr>
          <w:color w:val="000000" w:themeColor="text1"/>
          <w:szCs w:val="20"/>
        </w:rPr>
        <w:t xml:space="preserve">ineffective regulations. </w:t>
      </w:r>
      <w:r w:rsidR="00A45FD1">
        <w:rPr>
          <w:color w:val="000000" w:themeColor="text1"/>
          <w:szCs w:val="20"/>
        </w:rPr>
        <w:t>One</w:t>
      </w:r>
      <w:r>
        <w:rPr>
          <w:color w:val="000000" w:themeColor="text1"/>
          <w:szCs w:val="20"/>
        </w:rPr>
        <w:t xml:space="preserve"> </w:t>
      </w:r>
      <w:r w:rsidR="00616666">
        <w:rPr>
          <w:color w:val="000000" w:themeColor="text1"/>
          <w:szCs w:val="20"/>
        </w:rPr>
        <w:t>interviewee</w:t>
      </w:r>
      <w:r>
        <w:rPr>
          <w:color w:val="000000" w:themeColor="text1"/>
          <w:szCs w:val="20"/>
        </w:rPr>
        <w:t xml:space="preserve"> outlined the institutions available to provide support in Tanzania, namely the Vice President’s division of environment, national environmental council for environmental impact assessment, ministry of industry and trade and </w:t>
      </w:r>
      <w:r w:rsidR="00E4224F">
        <w:rPr>
          <w:color w:val="000000" w:themeColor="text1"/>
          <w:szCs w:val="20"/>
        </w:rPr>
        <w:t>existing</w:t>
      </w:r>
      <w:r>
        <w:rPr>
          <w:color w:val="000000" w:themeColor="text1"/>
          <w:szCs w:val="20"/>
        </w:rPr>
        <w:t xml:space="preserve"> lead smelters</w:t>
      </w:r>
      <w:r w:rsidR="00A45FD1">
        <w:rPr>
          <w:color w:val="000000" w:themeColor="text1"/>
          <w:szCs w:val="20"/>
        </w:rPr>
        <w:t>, but indicated that none of these own overall responsibility for the issue.</w:t>
      </w:r>
    </w:p>
    <w:p w14:paraId="5410FD39" w14:textId="7951A441" w:rsidR="006E1446" w:rsidRDefault="00E4224F" w:rsidP="0031460B">
      <w:pPr>
        <w:rPr>
          <w:color w:val="000000" w:themeColor="text1"/>
          <w:szCs w:val="20"/>
        </w:rPr>
      </w:pPr>
      <w:r>
        <w:rPr>
          <w:color w:val="000000" w:themeColor="text1"/>
          <w:szCs w:val="20"/>
        </w:rPr>
        <w:t xml:space="preserve">The </w:t>
      </w:r>
      <w:r w:rsidR="000921AE">
        <w:rPr>
          <w:color w:val="000000" w:themeColor="text1"/>
          <w:szCs w:val="20"/>
        </w:rPr>
        <w:t xml:space="preserve">key </w:t>
      </w:r>
      <w:r>
        <w:rPr>
          <w:color w:val="000000" w:themeColor="text1"/>
          <w:szCs w:val="20"/>
        </w:rPr>
        <w:t>ecosystem gaps identified by interviewees are:</w:t>
      </w:r>
    </w:p>
    <w:p w14:paraId="07E82338" w14:textId="3D6266A7" w:rsidR="00E4224F" w:rsidRDefault="00E4224F" w:rsidP="00E4224F">
      <w:pPr>
        <w:pStyle w:val="ListParagraph"/>
        <w:numPr>
          <w:ilvl w:val="0"/>
          <w:numId w:val="9"/>
        </w:numPr>
        <w:rPr>
          <w:color w:val="000000" w:themeColor="text1"/>
          <w:szCs w:val="20"/>
        </w:rPr>
      </w:pPr>
      <w:r>
        <w:rPr>
          <w:color w:val="000000" w:themeColor="text1"/>
          <w:szCs w:val="20"/>
        </w:rPr>
        <w:lastRenderedPageBreak/>
        <w:t>Detailed regulation on e-waste</w:t>
      </w:r>
      <w:r w:rsidR="001305DC">
        <w:rPr>
          <w:color w:val="000000" w:themeColor="text1"/>
          <w:szCs w:val="20"/>
        </w:rPr>
        <w:t>, inc</w:t>
      </w:r>
      <w:r w:rsidR="00A45FD1">
        <w:rPr>
          <w:color w:val="000000" w:themeColor="text1"/>
          <w:szCs w:val="20"/>
        </w:rPr>
        <w:t>luding</w:t>
      </w:r>
      <w:r w:rsidR="001305DC">
        <w:rPr>
          <w:color w:val="000000" w:themeColor="text1"/>
          <w:szCs w:val="20"/>
        </w:rPr>
        <w:t xml:space="preserve"> import/export to </w:t>
      </w:r>
      <w:proofErr w:type="spellStart"/>
      <w:r w:rsidR="001305DC">
        <w:rPr>
          <w:color w:val="000000" w:themeColor="text1"/>
          <w:szCs w:val="20"/>
        </w:rPr>
        <w:t>maximise</w:t>
      </w:r>
      <w:proofErr w:type="spellEnd"/>
      <w:r w:rsidR="001305DC">
        <w:rPr>
          <w:color w:val="000000" w:themeColor="text1"/>
          <w:szCs w:val="20"/>
        </w:rPr>
        <w:t xml:space="preserve"> utilization of</w:t>
      </w:r>
      <w:r w:rsidR="00A45FD1">
        <w:rPr>
          <w:color w:val="000000" w:themeColor="text1"/>
          <w:szCs w:val="20"/>
        </w:rPr>
        <w:t xml:space="preserve"> existing</w:t>
      </w:r>
      <w:r w:rsidR="001305DC">
        <w:rPr>
          <w:color w:val="000000" w:themeColor="text1"/>
          <w:szCs w:val="20"/>
        </w:rPr>
        <w:t xml:space="preserve"> recycling facilities</w:t>
      </w:r>
    </w:p>
    <w:p w14:paraId="3100D16E" w14:textId="764502FE" w:rsidR="00E4224F" w:rsidRPr="00E4224F" w:rsidRDefault="00E4224F" w:rsidP="00E4224F">
      <w:pPr>
        <w:pStyle w:val="ListParagraph"/>
        <w:numPr>
          <w:ilvl w:val="0"/>
          <w:numId w:val="9"/>
        </w:numPr>
        <w:rPr>
          <w:color w:val="000000" w:themeColor="text1"/>
          <w:szCs w:val="20"/>
        </w:rPr>
      </w:pPr>
      <w:r>
        <w:rPr>
          <w:color w:val="000000" w:themeColor="text1"/>
          <w:szCs w:val="20"/>
        </w:rPr>
        <w:t>Reputable, responsible and safe recycling companies</w:t>
      </w:r>
    </w:p>
    <w:p w14:paraId="24E13EF3" w14:textId="0ACF2A97" w:rsidR="00DA509A" w:rsidRDefault="00DA509A" w:rsidP="00DA509A">
      <w:r>
        <w:t xml:space="preserve">One </w:t>
      </w:r>
      <w:r w:rsidR="00616666">
        <w:t>interviewee</w:t>
      </w:r>
      <w:r>
        <w:t xml:space="preserve"> noted that </w:t>
      </w:r>
      <w:r w:rsidR="00A45FD1">
        <w:t xml:space="preserve">these changes </w:t>
      </w:r>
      <w:r>
        <w:t>could be very hard to achieve</w:t>
      </w:r>
      <w:r w:rsidR="00E4224F">
        <w:t xml:space="preserve"> in certain regions of Africa</w:t>
      </w:r>
      <w:r>
        <w:t xml:space="preserve">, owing to the </w:t>
      </w:r>
      <w:r w:rsidR="00E4224F">
        <w:t xml:space="preserve">political </w:t>
      </w:r>
      <w:r>
        <w:t xml:space="preserve">influence </w:t>
      </w:r>
      <w:r w:rsidR="00E4224F">
        <w:t xml:space="preserve">of </w:t>
      </w:r>
      <w:r>
        <w:t xml:space="preserve">informal </w:t>
      </w:r>
      <w:r w:rsidR="000921AE">
        <w:t>lead-acid</w:t>
      </w:r>
      <w:r w:rsidR="008D794E">
        <w:t xml:space="preserve"> </w:t>
      </w:r>
      <w:r>
        <w:t>battery recycling companies.</w:t>
      </w:r>
    </w:p>
    <w:p w14:paraId="699A79A5" w14:textId="5514B821" w:rsidR="00CB1C34" w:rsidRDefault="00CB1C34" w:rsidP="00805348">
      <w:pPr>
        <w:pStyle w:val="Heading4"/>
        <w:numPr>
          <w:ilvl w:val="1"/>
          <w:numId w:val="11"/>
        </w:numPr>
        <w:rPr>
          <w:rFonts w:asciiTheme="minorHAnsi" w:hAnsiTheme="minorHAnsi" w:cstheme="minorHAnsi"/>
          <w:color w:val="000000" w:themeColor="text1"/>
        </w:rPr>
      </w:pPr>
      <w:r w:rsidRPr="00AA4E4C">
        <w:rPr>
          <w:rFonts w:asciiTheme="minorHAnsi" w:hAnsiTheme="minorHAnsi" w:cstheme="minorHAnsi"/>
          <w:color w:val="000000" w:themeColor="text1"/>
        </w:rPr>
        <w:t>Summary</w:t>
      </w:r>
    </w:p>
    <w:p w14:paraId="7349E2D4" w14:textId="77777777" w:rsidR="00AA4E4C" w:rsidRPr="00AA4E4C" w:rsidRDefault="00AA4E4C" w:rsidP="00AA4E4C">
      <w:pPr>
        <w:pStyle w:val="NoSpacing"/>
      </w:pPr>
    </w:p>
    <w:p w14:paraId="7D6A7C06" w14:textId="26240FEC" w:rsidR="00CB1C34" w:rsidRDefault="00CB1C34" w:rsidP="00CB1C34">
      <w:r>
        <w:t>Figur</w:t>
      </w:r>
      <w:r w:rsidR="00ED633C">
        <w:t xml:space="preserve">e </w:t>
      </w:r>
      <w:r w:rsidR="000921AE" w:rsidRPr="000921AE">
        <w:t>3</w:t>
      </w:r>
      <w:r w:rsidR="00ED633C" w:rsidRPr="00ED633C">
        <w:t xml:space="preserve"> </w:t>
      </w:r>
      <w:r w:rsidR="00ED633C">
        <w:t xml:space="preserve">qualitatively </w:t>
      </w:r>
      <w:proofErr w:type="spellStart"/>
      <w:r w:rsidR="00ED633C" w:rsidRPr="00ED633C">
        <w:t>summarises</w:t>
      </w:r>
      <w:proofErr w:type="spellEnd"/>
      <w:r w:rsidR="00ED633C">
        <w:t xml:space="preserve"> the study’s findings on </w:t>
      </w:r>
      <w:r w:rsidR="000921AE">
        <w:t xml:space="preserve">technology </w:t>
      </w:r>
      <w:r w:rsidR="00ED633C">
        <w:t xml:space="preserve">deployment status of electricity storage technologies and observed cost, performance and value-chain characteristics. </w:t>
      </w:r>
      <w:r w:rsidR="00A0523A">
        <w:t>Applications with balanced energy-to-power requirements (</w:t>
      </w:r>
      <w:proofErr w:type="spellStart"/>
      <w:r w:rsidR="00A0523A">
        <w:t>Picosolar</w:t>
      </w:r>
      <w:proofErr w:type="spellEnd"/>
      <w:r w:rsidR="00A0523A">
        <w:t>, Solar Home System, Productive Use) already deploy desired technologies. In contrast, applications with a higher need for energy capacity than for power (</w:t>
      </w:r>
      <w:r w:rsidR="00221A88">
        <w:t>N</w:t>
      </w:r>
      <w:r w:rsidR="00A0523A">
        <w:t>ano</w:t>
      </w:r>
      <w:r w:rsidR="00221A88">
        <w:t>-</w:t>
      </w:r>
      <w:r w:rsidR="00A0523A">
        <w:t xml:space="preserve">grid, </w:t>
      </w:r>
      <w:r w:rsidR="00221A88">
        <w:t>M</w:t>
      </w:r>
      <w:r w:rsidR="00A0523A">
        <w:t>icro</w:t>
      </w:r>
      <w:r w:rsidR="00221A88">
        <w:t>-</w:t>
      </w:r>
      <w:r w:rsidR="00A0523A">
        <w:t xml:space="preserve">grid / Industry) deploy available, cost-effective technologies with fixed energy-to-power ratios. However, desired technologies would offer more flexible designs. In general, li-ion deployment is growing across applications. This is largely driven by cost reductions and performance improvements achieved through increased battery manufacturing for </w:t>
      </w:r>
      <w:r w:rsidR="00A45FD1">
        <w:t>EVs</w:t>
      </w:r>
      <w:r w:rsidR="00A0523A">
        <w:t>.</w:t>
      </w:r>
      <w:r w:rsidR="00A45FD1">
        <w:t xml:space="preserve"> </w:t>
      </w:r>
      <w:r w:rsidR="00A0523A">
        <w:t xml:space="preserve">It should be noted that these findings only reflect the insights gained from the interviews with energy access stakeholders that were conducted in this study. </w:t>
      </w:r>
      <w:r w:rsidR="00355CCB">
        <w:t xml:space="preserve"> </w:t>
      </w:r>
    </w:p>
    <w:p w14:paraId="02C7654B" w14:textId="3685B1D5" w:rsidR="00CB1C34" w:rsidRDefault="00CB1C34" w:rsidP="00CB1C34"/>
    <w:p w14:paraId="7EAB9508" w14:textId="220AB7D4" w:rsidR="00CB1C34" w:rsidRDefault="006E25AB" w:rsidP="00CB1C34">
      <w:pPr>
        <w:keepNext/>
      </w:pPr>
      <w:r>
        <w:rPr>
          <w:noProof/>
        </w:rPr>
        <w:lastRenderedPageBreak/>
        <w:drawing>
          <wp:inline distT="0" distB="0" distL="0" distR="0" wp14:anchorId="351910F0" wp14:editId="524FD175">
            <wp:extent cx="5940000" cy="5427428"/>
            <wp:effectExtent l="0" t="0" r="3810" b="190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000" cy="5427428"/>
                    </a:xfrm>
                    <a:prstGeom prst="rect">
                      <a:avLst/>
                    </a:prstGeom>
                    <a:noFill/>
                  </pic:spPr>
                </pic:pic>
              </a:graphicData>
            </a:graphic>
          </wp:inline>
        </w:drawing>
      </w:r>
    </w:p>
    <w:p w14:paraId="42040C14" w14:textId="50839884" w:rsidR="00CB1C34" w:rsidRPr="004C7E21" w:rsidRDefault="00CB1C34" w:rsidP="00CB1C34">
      <w:pPr>
        <w:pStyle w:val="Caption"/>
        <w:rPr>
          <w:color w:val="000000" w:themeColor="text1"/>
        </w:rPr>
      </w:pPr>
      <w:r w:rsidRPr="00D60779">
        <w:rPr>
          <w:b/>
          <w:color w:val="000000" w:themeColor="text1"/>
        </w:rPr>
        <w:t xml:space="preserve">Figure </w:t>
      </w:r>
      <w:r w:rsidRPr="00D60779">
        <w:rPr>
          <w:b/>
          <w:color w:val="000000" w:themeColor="text1"/>
        </w:rPr>
        <w:fldChar w:fldCharType="begin"/>
      </w:r>
      <w:r w:rsidRPr="00D60779">
        <w:rPr>
          <w:b/>
          <w:color w:val="000000" w:themeColor="text1"/>
        </w:rPr>
        <w:instrText xml:space="preserve"> SEQ Figure \* ARABIC </w:instrText>
      </w:r>
      <w:r w:rsidRPr="00D60779">
        <w:rPr>
          <w:b/>
          <w:color w:val="000000" w:themeColor="text1"/>
        </w:rPr>
        <w:fldChar w:fldCharType="separate"/>
      </w:r>
      <w:r w:rsidR="007358EA">
        <w:rPr>
          <w:b/>
          <w:noProof/>
          <w:color w:val="000000" w:themeColor="text1"/>
        </w:rPr>
        <w:t>3</w:t>
      </w:r>
      <w:r w:rsidRPr="00D60779">
        <w:rPr>
          <w:b/>
          <w:color w:val="000000" w:themeColor="text1"/>
        </w:rPr>
        <w:fldChar w:fldCharType="end"/>
      </w:r>
      <w:r w:rsidRPr="004C7E21">
        <w:rPr>
          <w:color w:val="000000" w:themeColor="text1"/>
        </w:rPr>
        <w:t xml:space="preserve"> </w:t>
      </w:r>
      <w:r w:rsidR="004C7E21">
        <w:rPr>
          <w:color w:val="000000" w:themeColor="text1"/>
        </w:rPr>
        <w:t>–</w:t>
      </w:r>
      <w:r w:rsidRPr="004C7E21">
        <w:rPr>
          <w:color w:val="000000" w:themeColor="text1"/>
        </w:rPr>
        <w:t xml:space="preserve"> </w:t>
      </w:r>
      <w:r w:rsidR="004C7E21">
        <w:rPr>
          <w:color w:val="000000" w:themeColor="text1"/>
        </w:rPr>
        <w:t xml:space="preserve">Key findings </w:t>
      </w:r>
      <w:r w:rsidR="00D60779">
        <w:rPr>
          <w:color w:val="000000" w:themeColor="text1"/>
        </w:rPr>
        <w:t>for</w:t>
      </w:r>
      <w:r w:rsidR="004C7E21">
        <w:rPr>
          <w:color w:val="000000" w:themeColor="text1"/>
        </w:rPr>
        <w:t xml:space="preserve"> </w:t>
      </w:r>
      <w:r w:rsidR="00D60779">
        <w:rPr>
          <w:color w:val="000000" w:themeColor="text1"/>
        </w:rPr>
        <w:t>deployment status and observed technology characteristics (within Legend). Results displayed for each energy access application category (</w:t>
      </w:r>
      <w:proofErr w:type="spellStart"/>
      <w:r w:rsidR="00D60779">
        <w:rPr>
          <w:color w:val="000000" w:themeColor="text1"/>
        </w:rPr>
        <w:t>Picosolar</w:t>
      </w:r>
      <w:proofErr w:type="spellEnd"/>
      <w:r w:rsidR="00D60779">
        <w:rPr>
          <w:color w:val="000000" w:themeColor="text1"/>
        </w:rPr>
        <w:t>, Solar Home System, Nano</w:t>
      </w:r>
      <w:r w:rsidR="00221A88">
        <w:rPr>
          <w:color w:val="000000" w:themeColor="text1"/>
        </w:rPr>
        <w:t>-</w:t>
      </w:r>
      <w:r w:rsidR="00D60779">
        <w:rPr>
          <w:color w:val="000000" w:themeColor="text1"/>
        </w:rPr>
        <w:t>grid, Productive Use, Micro</w:t>
      </w:r>
      <w:r w:rsidR="00221A88">
        <w:rPr>
          <w:color w:val="000000" w:themeColor="text1"/>
        </w:rPr>
        <w:t>-</w:t>
      </w:r>
      <w:r w:rsidR="00D60779">
        <w:rPr>
          <w:color w:val="000000" w:themeColor="text1"/>
        </w:rPr>
        <w:t xml:space="preserve">grid / Industry) and deployment status (Deployed, Growing, Desired). Symbols reflect employed electricity storage technologies. </w:t>
      </w:r>
      <w:proofErr w:type="gramStart"/>
      <w:r w:rsidR="00D60779">
        <w:rPr>
          <w:color w:val="000000" w:themeColor="text1"/>
        </w:rPr>
        <w:t>E/P ratio – Energy-to-Power ratio, LFP – Lithium Iron Phosphate, NMC – Nickel Manganese Cobalt</w:t>
      </w:r>
      <w:r w:rsidR="00355CCB">
        <w:rPr>
          <w:color w:val="000000" w:themeColor="text1"/>
        </w:rPr>
        <w:t>.</w:t>
      </w:r>
      <w:proofErr w:type="gramEnd"/>
      <w:r w:rsidR="00355CCB">
        <w:rPr>
          <w:color w:val="000000" w:themeColor="text1"/>
        </w:rPr>
        <w:t xml:space="preserve"> Note</w:t>
      </w:r>
      <w:r w:rsidR="00051A6B">
        <w:rPr>
          <w:color w:val="000000" w:themeColor="text1"/>
        </w:rPr>
        <w:t xml:space="preserve"> that this figure </w:t>
      </w:r>
      <w:r w:rsidR="00355CCB">
        <w:rPr>
          <w:color w:val="000000" w:themeColor="text1"/>
        </w:rPr>
        <w:t xml:space="preserve">is </w:t>
      </w:r>
      <w:r w:rsidR="00051A6B">
        <w:rPr>
          <w:color w:val="000000" w:themeColor="text1"/>
        </w:rPr>
        <w:t xml:space="preserve">based upon interviewees’ </w:t>
      </w:r>
      <w:r w:rsidR="00355CCB">
        <w:rPr>
          <w:color w:val="000000" w:themeColor="text1"/>
        </w:rPr>
        <w:t>responses and is necessarily approximate. In practice, cost will vary with manufacturer, and cycle life will be strongly dependent on battery quality and how these systems are used.</w:t>
      </w:r>
    </w:p>
    <w:p w14:paraId="5F677229" w14:textId="77777777" w:rsidR="001305DC" w:rsidRPr="00D675FC" w:rsidRDefault="001305DC" w:rsidP="00AA4E4C"/>
    <w:p w14:paraId="6C8150AE" w14:textId="77777777" w:rsidR="00AA4E4C" w:rsidRDefault="00AA4E4C">
      <w:pPr>
        <w:rPr>
          <w:rFonts w:eastAsiaTheme="majorEastAsia" w:cstheme="minorHAnsi"/>
          <w:b/>
          <w:color w:val="000000" w:themeColor="text1"/>
          <w:szCs w:val="24"/>
          <w:lang w:val="en-GB"/>
        </w:rPr>
      </w:pPr>
      <w:r>
        <w:rPr>
          <w:rFonts w:cstheme="minorHAnsi"/>
          <w:b/>
          <w:color w:val="000000" w:themeColor="text1"/>
        </w:rPr>
        <w:br w:type="page"/>
      </w:r>
    </w:p>
    <w:p w14:paraId="43F05220" w14:textId="16E8AA6C" w:rsidR="00D675FC" w:rsidRDefault="00D675FC" w:rsidP="00805348">
      <w:pPr>
        <w:pStyle w:val="Heading3"/>
        <w:numPr>
          <w:ilvl w:val="0"/>
          <w:numId w:val="11"/>
        </w:numPr>
        <w:rPr>
          <w:rFonts w:asciiTheme="minorHAnsi" w:hAnsiTheme="minorHAnsi" w:cstheme="minorHAnsi"/>
          <w:b/>
          <w:color w:val="000000" w:themeColor="text1"/>
          <w:sz w:val="22"/>
        </w:rPr>
      </w:pPr>
      <w:r w:rsidRPr="00AA4E4C">
        <w:rPr>
          <w:rFonts w:asciiTheme="minorHAnsi" w:hAnsiTheme="minorHAnsi" w:cstheme="minorHAnsi"/>
          <w:b/>
          <w:color w:val="000000" w:themeColor="text1"/>
          <w:sz w:val="22"/>
        </w:rPr>
        <w:lastRenderedPageBreak/>
        <w:t xml:space="preserve">Discussion and recommendations for further research and investment </w:t>
      </w:r>
    </w:p>
    <w:p w14:paraId="66C8A6DA" w14:textId="77777777" w:rsidR="00AA4E4C" w:rsidRPr="00AA4E4C" w:rsidRDefault="00AA4E4C" w:rsidP="00AA4E4C">
      <w:pPr>
        <w:pStyle w:val="NoSpacing"/>
      </w:pPr>
    </w:p>
    <w:p w14:paraId="05DB3D3C" w14:textId="103B057A" w:rsidR="009E2EE8" w:rsidRPr="009E2EE8" w:rsidRDefault="009E2EE8" w:rsidP="009E2EE8">
      <w:pPr>
        <w:spacing w:after="240" w:line="276" w:lineRule="auto"/>
        <w:contextualSpacing/>
        <w:rPr>
          <w:rFonts w:cstheme="minorHAnsi"/>
          <w:szCs w:val="24"/>
        </w:rPr>
      </w:pPr>
      <w:r w:rsidRPr="009E2EE8">
        <w:rPr>
          <w:rFonts w:cstheme="minorHAnsi"/>
          <w:szCs w:val="24"/>
        </w:rPr>
        <w:t xml:space="preserve">Table </w:t>
      </w:r>
      <w:r w:rsidR="00A45FD1">
        <w:rPr>
          <w:rFonts w:cstheme="minorHAnsi"/>
          <w:szCs w:val="24"/>
        </w:rPr>
        <w:t>2</w:t>
      </w:r>
      <w:r w:rsidRPr="009E2EE8">
        <w:rPr>
          <w:rFonts w:cstheme="minorHAnsi"/>
          <w:szCs w:val="24"/>
        </w:rPr>
        <w:t xml:space="preserve"> </w:t>
      </w:r>
      <w:proofErr w:type="spellStart"/>
      <w:r w:rsidRPr="009E2EE8">
        <w:rPr>
          <w:rFonts w:cstheme="minorHAnsi"/>
          <w:szCs w:val="24"/>
        </w:rPr>
        <w:t>summarises</w:t>
      </w:r>
      <w:proofErr w:type="spellEnd"/>
      <w:r w:rsidRPr="009E2EE8">
        <w:rPr>
          <w:rFonts w:cstheme="minorHAnsi"/>
          <w:szCs w:val="24"/>
        </w:rPr>
        <w:t xml:space="preserve"> the major challenges facing the off-grid energy storage market at this time, as highlighted across the range of interviews undertaken. The table is </w:t>
      </w:r>
      <w:proofErr w:type="spellStart"/>
      <w:r w:rsidRPr="009E2EE8">
        <w:rPr>
          <w:rFonts w:cstheme="minorHAnsi"/>
          <w:szCs w:val="24"/>
        </w:rPr>
        <w:t>organised</w:t>
      </w:r>
      <w:proofErr w:type="spellEnd"/>
      <w:r w:rsidRPr="009E2EE8">
        <w:rPr>
          <w:rFonts w:cstheme="minorHAnsi"/>
          <w:szCs w:val="24"/>
        </w:rPr>
        <w:t xml:space="preserve"> according to the different stages of the storage technology and </w:t>
      </w:r>
      <w:r w:rsidR="00D94C18">
        <w:rPr>
          <w:rFonts w:cstheme="minorHAnsi"/>
          <w:szCs w:val="24"/>
        </w:rPr>
        <w:t>energy access</w:t>
      </w:r>
      <w:r w:rsidRPr="009E2EE8">
        <w:rPr>
          <w:rFonts w:cstheme="minorHAnsi"/>
          <w:szCs w:val="24"/>
        </w:rPr>
        <w:t xml:space="preserve"> system lifecycle, from initial technology choice, through to quality assurance and installation, performance and end-of-life procedures. In addition, the table highlights the degree of criticality of each challenge to the establishment of a cost-effective, diverse and safe storage market. </w:t>
      </w:r>
    </w:p>
    <w:p w14:paraId="46C8D973" w14:textId="77777777" w:rsidR="009E2EE8" w:rsidRPr="009E2EE8" w:rsidRDefault="009E2EE8" w:rsidP="009E2EE8">
      <w:pPr>
        <w:spacing w:after="240" w:line="276" w:lineRule="auto"/>
        <w:contextualSpacing/>
        <w:rPr>
          <w:rFonts w:cstheme="minorHAnsi"/>
          <w:szCs w:val="24"/>
        </w:rPr>
      </w:pPr>
    </w:p>
    <w:p w14:paraId="224AE287" w14:textId="08E03E6A" w:rsidR="009E2EE8" w:rsidRPr="009E2EE8" w:rsidRDefault="00D94C18" w:rsidP="009E2EE8">
      <w:pPr>
        <w:spacing w:after="240" w:line="276" w:lineRule="auto"/>
        <w:contextualSpacing/>
        <w:rPr>
          <w:rFonts w:cstheme="minorHAnsi"/>
          <w:szCs w:val="24"/>
        </w:rPr>
      </w:pPr>
      <w:r>
        <w:rPr>
          <w:rFonts w:cstheme="minorHAnsi"/>
          <w:szCs w:val="24"/>
        </w:rPr>
        <w:t>Regarding</w:t>
      </w:r>
      <w:r w:rsidR="009E2EE8" w:rsidRPr="009E2EE8">
        <w:rPr>
          <w:rFonts w:cstheme="minorHAnsi"/>
          <w:szCs w:val="24"/>
        </w:rPr>
        <w:t xml:space="preserve"> technology choice, whilst most interviewees had access to </w:t>
      </w:r>
      <w:r>
        <w:rPr>
          <w:rFonts w:cstheme="minorHAnsi"/>
          <w:szCs w:val="24"/>
        </w:rPr>
        <w:t>li-ion</w:t>
      </w:r>
      <w:r w:rsidR="009E2EE8" w:rsidRPr="009E2EE8">
        <w:rPr>
          <w:rFonts w:cstheme="minorHAnsi"/>
          <w:szCs w:val="24"/>
        </w:rPr>
        <w:t xml:space="preserve"> and </w:t>
      </w:r>
      <w:r>
        <w:rPr>
          <w:rFonts w:cstheme="minorHAnsi"/>
          <w:szCs w:val="24"/>
        </w:rPr>
        <w:t>lead-acid</w:t>
      </w:r>
      <w:r w:rsidR="009E2EE8" w:rsidRPr="009E2EE8">
        <w:rPr>
          <w:rFonts w:cstheme="minorHAnsi"/>
          <w:szCs w:val="24"/>
        </w:rPr>
        <w:t xml:space="preserve"> batteries, there is as-yet far less availability of less mature, yet potentially low-cost and high performing, technologies such as flow batteries and sodium</w:t>
      </w:r>
      <w:r>
        <w:rPr>
          <w:rFonts w:cstheme="minorHAnsi"/>
          <w:szCs w:val="24"/>
        </w:rPr>
        <w:t>-</w:t>
      </w:r>
      <w:r w:rsidR="009E2EE8" w:rsidRPr="009E2EE8">
        <w:rPr>
          <w:rFonts w:cstheme="minorHAnsi"/>
          <w:szCs w:val="24"/>
        </w:rPr>
        <w:t>ion batteries. It is thus important to stimulate greater technology availability through</w:t>
      </w:r>
      <w:r w:rsidR="00E96827">
        <w:rPr>
          <w:rFonts w:cstheme="minorHAnsi"/>
          <w:szCs w:val="24"/>
        </w:rPr>
        <w:t>,</w:t>
      </w:r>
      <w:r w:rsidR="009E2EE8" w:rsidRPr="009E2EE8">
        <w:rPr>
          <w:rFonts w:cstheme="minorHAnsi"/>
          <w:szCs w:val="24"/>
        </w:rPr>
        <w:t xml:space="preserve"> for example</w:t>
      </w:r>
      <w:r w:rsidR="00E96827">
        <w:rPr>
          <w:rFonts w:cstheme="minorHAnsi"/>
          <w:szCs w:val="24"/>
        </w:rPr>
        <w:t>,</w:t>
      </w:r>
      <w:r w:rsidR="009E2EE8" w:rsidRPr="009E2EE8">
        <w:rPr>
          <w:rFonts w:cstheme="minorHAnsi"/>
          <w:szCs w:val="24"/>
        </w:rPr>
        <w:t xml:space="preserve"> public funded trials and demonstrations of these less readily-available and (at this time) higher cost technologies. In addition, interviewees pointed to a lack of availability of </w:t>
      </w:r>
      <w:proofErr w:type="spellStart"/>
      <w:r w:rsidR="009E2EE8" w:rsidRPr="009E2EE8">
        <w:rPr>
          <w:rFonts w:cstheme="minorHAnsi"/>
          <w:szCs w:val="24"/>
        </w:rPr>
        <w:t>standardised</w:t>
      </w:r>
      <w:proofErr w:type="spellEnd"/>
      <w:r w:rsidR="009E2EE8" w:rsidRPr="009E2EE8">
        <w:rPr>
          <w:rFonts w:cstheme="minorHAnsi"/>
          <w:szCs w:val="24"/>
        </w:rPr>
        <w:t xml:space="preserve">, high quality peripheral components such as battery management systems, a situation which could be helped by the establishment of standards to guide the manufacture of specific components towards compatibility with specific batteries. </w:t>
      </w:r>
    </w:p>
    <w:p w14:paraId="2DE10F0A" w14:textId="77777777" w:rsidR="009E2EE8" w:rsidRPr="009E2EE8" w:rsidRDefault="009E2EE8" w:rsidP="009E2EE8">
      <w:pPr>
        <w:spacing w:after="240" w:line="276" w:lineRule="auto"/>
        <w:contextualSpacing/>
        <w:rPr>
          <w:rFonts w:cstheme="minorHAnsi"/>
          <w:szCs w:val="24"/>
        </w:rPr>
      </w:pPr>
    </w:p>
    <w:p w14:paraId="2E0ABCBD" w14:textId="77777777" w:rsidR="009E2EE8" w:rsidRPr="009E2EE8" w:rsidRDefault="009E2EE8" w:rsidP="009E2EE8">
      <w:pPr>
        <w:spacing w:after="240" w:line="276" w:lineRule="auto"/>
        <w:contextualSpacing/>
        <w:rPr>
          <w:rFonts w:cstheme="minorHAnsi"/>
          <w:szCs w:val="24"/>
        </w:rPr>
      </w:pPr>
      <w:r w:rsidRPr="009E2EE8">
        <w:rPr>
          <w:rFonts w:cstheme="minorHAnsi"/>
          <w:szCs w:val="24"/>
        </w:rPr>
        <w:t xml:space="preserve">Regarding product quality, there are already efforts to establish transparent standards of quality and safety, but these do not cover all products and there is scope for expansion towards more universal </w:t>
      </w:r>
      <w:proofErr w:type="spellStart"/>
      <w:r w:rsidRPr="009E2EE8">
        <w:rPr>
          <w:rFonts w:cstheme="minorHAnsi"/>
          <w:szCs w:val="24"/>
        </w:rPr>
        <w:t>standardisation</w:t>
      </w:r>
      <w:proofErr w:type="spellEnd"/>
      <w:r w:rsidRPr="009E2EE8">
        <w:rPr>
          <w:rFonts w:cstheme="minorHAnsi"/>
          <w:szCs w:val="24"/>
        </w:rPr>
        <w:t xml:space="preserve"> and quality assurance procedures. </w:t>
      </w:r>
    </w:p>
    <w:p w14:paraId="6CF76AC9" w14:textId="77777777" w:rsidR="009E2EE8" w:rsidRPr="009E2EE8" w:rsidRDefault="009E2EE8" w:rsidP="009E2EE8">
      <w:pPr>
        <w:spacing w:after="240" w:line="276" w:lineRule="auto"/>
        <w:contextualSpacing/>
        <w:rPr>
          <w:rFonts w:cstheme="minorHAnsi"/>
          <w:szCs w:val="24"/>
        </w:rPr>
      </w:pPr>
    </w:p>
    <w:p w14:paraId="6AC88FD6" w14:textId="3EEBBFCE" w:rsidR="009E2EE8" w:rsidRPr="009E2EE8" w:rsidRDefault="009E2EE8" w:rsidP="009E2EE8">
      <w:pPr>
        <w:spacing w:after="240" w:line="276" w:lineRule="auto"/>
        <w:contextualSpacing/>
        <w:rPr>
          <w:rFonts w:cstheme="minorHAnsi"/>
          <w:szCs w:val="24"/>
        </w:rPr>
      </w:pPr>
      <w:r w:rsidRPr="009E2EE8">
        <w:rPr>
          <w:rFonts w:cstheme="minorHAnsi"/>
          <w:szCs w:val="24"/>
        </w:rPr>
        <w:t xml:space="preserve">As pointed out by many interviewees, storage technology costs have fallen, and particularly for </w:t>
      </w:r>
      <w:r w:rsidR="00D94C18">
        <w:rPr>
          <w:rFonts w:cstheme="minorHAnsi"/>
          <w:szCs w:val="24"/>
        </w:rPr>
        <w:t>li-ion</w:t>
      </w:r>
      <w:r w:rsidRPr="009E2EE8">
        <w:rPr>
          <w:rFonts w:cstheme="minorHAnsi"/>
          <w:szCs w:val="24"/>
        </w:rPr>
        <w:t xml:space="preserve"> significantly in recent years. However, in order that the off-grid stationary storage market does not become a technology follower to the </w:t>
      </w:r>
      <w:r w:rsidR="009B6624">
        <w:rPr>
          <w:rFonts w:cstheme="minorHAnsi"/>
          <w:szCs w:val="24"/>
        </w:rPr>
        <w:t>EV</w:t>
      </w:r>
      <w:r w:rsidRPr="009E2EE8">
        <w:rPr>
          <w:rFonts w:cstheme="minorHAnsi"/>
          <w:szCs w:val="24"/>
        </w:rPr>
        <w:t xml:space="preserve"> industry, ultimately relying on the dominant technology variants therein, it is important that where possible off-grid system providers </w:t>
      </w:r>
      <w:proofErr w:type="spellStart"/>
      <w:r w:rsidRPr="009E2EE8">
        <w:rPr>
          <w:rFonts w:cstheme="minorHAnsi"/>
          <w:szCs w:val="24"/>
        </w:rPr>
        <w:t>capitalise</w:t>
      </w:r>
      <w:proofErr w:type="spellEnd"/>
      <w:r w:rsidRPr="009E2EE8">
        <w:rPr>
          <w:rFonts w:cstheme="minorHAnsi"/>
          <w:szCs w:val="24"/>
        </w:rPr>
        <w:t xml:space="preserve"> on their collective bargaining power to drive down prices for the most suitable storage technologies for their applications. </w:t>
      </w:r>
    </w:p>
    <w:p w14:paraId="2B42F776" w14:textId="77777777" w:rsidR="009E2EE8" w:rsidRPr="009E2EE8" w:rsidRDefault="009E2EE8" w:rsidP="009E2EE8">
      <w:pPr>
        <w:spacing w:after="240" w:line="276" w:lineRule="auto"/>
        <w:contextualSpacing/>
        <w:rPr>
          <w:rFonts w:cstheme="minorHAnsi"/>
          <w:szCs w:val="24"/>
        </w:rPr>
      </w:pPr>
    </w:p>
    <w:p w14:paraId="431C20F1" w14:textId="02C2112C" w:rsidR="009E2EE8" w:rsidRPr="009E2EE8" w:rsidRDefault="009E2EE8" w:rsidP="009E2EE8">
      <w:pPr>
        <w:spacing w:after="240" w:line="276" w:lineRule="auto"/>
        <w:contextualSpacing/>
        <w:rPr>
          <w:rFonts w:cstheme="minorHAnsi"/>
          <w:szCs w:val="24"/>
        </w:rPr>
      </w:pPr>
      <w:r w:rsidRPr="009E2EE8">
        <w:rPr>
          <w:rFonts w:cstheme="minorHAnsi"/>
          <w:szCs w:val="24"/>
        </w:rPr>
        <w:t xml:space="preserve">There is a potentially important role for governments and public funders in the establishment of dedicated transport and installation infrastructure, in the latter case for larger storage systems, as some interviewees noted the difficulty and delays in obtaining and installing some storage systems. In addition, given how nascent the </w:t>
      </w:r>
      <w:r w:rsidR="009B6624">
        <w:rPr>
          <w:rFonts w:cstheme="minorHAnsi"/>
          <w:szCs w:val="24"/>
        </w:rPr>
        <w:t>energy access</w:t>
      </w:r>
      <w:r w:rsidRPr="009E2EE8">
        <w:rPr>
          <w:rFonts w:cstheme="minorHAnsi"/>
          <w:szCs w:val="24"/>
        </w:rPr>
        <w:t xml:space="preserve"> storage market is, and the lack of operational experience of technology and system performance, governments and public funders could also support the accelerated testing of different technologies in real-world circumstances, to help identify faults and improve product quality. </w:t>
      </w:r>
    </w:p>
    <w:p w14:paraId="126D69B9" w14:textId="77777777" w:rsidR="009E2EE8" w:rsidRPr="009E2EE8" w:rsidRDefault="009E2EE8" w:rsidP="009E2EE8">
      <w:pPr>
        <w:spacing w:after="240" w:line="276" w:lineRule="auto"/>
        <w:contextualSpacing/>
        <w:rPr>
          <w:rFonts w:cstheme="minorHAnsi"/>
          <w:szCs w:val="24"/>
        </w:rPr>
      </w:pPr>
    </w:p>
    <w:p w14:paraId="0A7D980E" w14:textId="72F8C7EE" w:rsidR="009E2EE8" w:rsidRDefault="009E2EE8" w:rsidP="00F26832">
      <w:pPr>
        <w:spacing w:after="240" w:line="276" w:lineRule="auto"/>
        <w:contextualSpacing/>
        <w:rPr>
          <w:rFonts w:cstheme="minorHAnsi"/>
          <w:szCs w:val="24"/>
        </w:rPr>
      </w:pPr>
      <w:r w:rsidRPr="009E2EE8">
        <w:rPr>
          <w:rFonts w:cstheme="minorHAnsi"/>
          <w:szCs w:val="24"/>
        </w:rPr>
        <w:t>Of greatest importance as the off-grid, and other, energy storage markets grow is to ensure that end-of-life procedures are safe and environmentally responsible. This points to a need for explicit labelling of batteries and whole energy access systems (e.g. including solar PV panels) as e-waste, accompanied by appropriately set and enforced regulations and protocols and the availability of, or access to, high quality and safe recycling and disposal facilities.</w:t>
      </w:r>
      <w:r w:rsidR="00F26832">
        <w:rPr>
          <w:rFonts w:cstheme="minorHAnsi"/>
          <w:szCs w:val="24"/>
        </w:rPr>
        <w:t xml:space="preserve"> However, careful attention to the current and possible </w:t>
      </w:r>
      <w:r w:rsidR="00F26832">
        <w:rPr>
          <w:rFonts w:cstheme="minorHAnsi"/>
          <w:szCs w:val="24"/>
        </w:rPr>
        <w:lastRenderedPageBreak/>
        <w:t xml:space="preserve">future role of existing local repair networks in extending useful life of products (or </w:t>
      </w:r>
      <w:r w:rsidR="0094423C">
        <w:rPr>
          <w:rFonts w:cstheme="minorHAnsi"/>
          <w:szCs w:val="24"/>
        </w:rPr>
        <w:t xml:space="preserve">their </w:t>
      </w:r>
      <w:r w:rsidR="00F26832">
        <w:rPr>
          <w:rFonts w:cstheme="minorHAnsi"/>
          <w:szCs w:val="24"/>
        </w:rPr>
        <w:t xml:space="preserve">subcomponents) and generating local revenue is required in designing such regulations </w:t>
      </w:r>
      <w:r w:rsidR="00F26832">
        <w:rPr>
          <w:rFonts w:cstheme="minorHAnsi"/>
          <w:szCs w:val="24"/>
        </w:rPr>
        <w:fldChar w:fldCharType="begin" w:fldLock="1"/>
      </w:r>
      <w:r w:rsidR="00221A88">
        <w:rPr>
          <w:rFonts w:cstheme="minorHAnsi"/>
          <w:szCs w:val="24"/>
        </w:rPr>
        <w:instrText>ADDIN CSL_CITATION { "citationItems" : [ { "id" : "ITEM-1", "itemData" : { "DOI" : "10.1016/j.erss.2018.04.034", "ISSN" : "22146296", "author" : [ { "dropping-particle" : "", "family" : "Cross", "given" : "Jamie", "non-dropping-particle" : "", "parse-names" : false, "suffix" : "" }, { "dropping-particle" : "", "family" : "Murray", "given" : "Declan", "non-dropping-particle" : "", "parse-names" : false, "suffix" : "" } ], "container-title" : "Energy Research &amp; Social Science", "id" : "ITEM-1", "issue" : "April", "issued" : { "date-parts" : [ [ "2018" ] ] }, "page" : "100-109", "publisher" : "Elsevier", "title" : "The afterlives of solar power: Waste and repair off the grid in Kenya", "type" : "article-journal", "volume" : "44" }, "uris" : [ "http://www.mendeley.com/documents/?uuid=dc380c03-07a5-41fb-9004-de62810be222" ] } ], "mendeley" : { "formattedCitation" : "(Cross and Murray, 2018)", "plainTextFormattedCitation" : "(Cross and Murray, 2018)", "previouslyFormattedCitation" : "(Cross and Murray, 2018)" }, "properties" : { "noteIndex" : 0 }, "schema" : "https://github.com/citation-style-language/schema/raw/master/csl-citation.json" }</w:instrText>
      </w:r>
      <w:r w:rsidR="00F26832">
        <w:rPr>
          <w:rFonts w:cstheme="minorHAnsi"/>
          <w:szCs w:val="24"/>
        </w:rPr>
        <w:fldChar w:fldCharType="separate"/>
      </w:r>
      <w:r w:rsidR="00221A88" w:rsidRPr="00221A88">
        <w:rPr>
          <w:rFonts w:cstheme="minorHAnsi"/>
          <w:noProof/>
          <w:szCs w:val="24"/>
        </w:rPr>
        <w:t>(Cross and Murray, 2018)</w:t>
      </w:r>
      <w:r w:rsidR="00F26832">
        <w:rPr>
          <w:rFonts w:cstheme="minorHAnsi"/>
          <w:szCs w:val="24"/>
        </w:rPr>
        <w:fldChar w:fldCharType="end"/>
      </w:r>
      <w:r w:rsidR="00F26832">
        <w:rPr>
          <w:rFonts w:cstheme="minorHAnsi"/>
          <w:szCs w:val="24"/>
        </w:rPr>
        <w:t xml:space="preserve">. </w:t>
      </w:r>
      <w:r w:rsidR="0094423C">
        <w:rPr>
          <w:rFonts w:cstheme="minorHAnsi"/>
          <w:szCs w:val="24"/>
        </w:rPr>
        <w:t>I</w:t>
      </w:r>
      <w:r w:rsidR="00F26832">
        <w:rPr>
          <w:rFonts w:cstheme="minorHAnsi"/>
          <w:szCs w:val="24"/>
        </w:rPr>
        <w:t>nteracti</w:t>
      </w:r>
      <w:r w:rsidR="0094423C">
        <w:rPr>
          <w:rFonts w:cstheme="minorHAnsi"/>
          <w:szCs w:val="24"/>
        </w:rPr>
        <w:t>o</w:t>
      </w:r>
      <w:r w:rsidR="00F26832">
        <w:rPr>
          <w:rFonts w:cstheme="minorHAnsi"/>
          <w:szCs w:val="24"/>
        </w:rPr>
        <w:t>n with these networks to help to</w:t>
      </w:r>
      <w:r w:rsidR="00B573A3">
        <w:rPr>
          <w:rFonts w:cstheme="minorHAnsi"/>
          <w:szCs w:val="24"/>
        </w:rPr>
        <w:t xml:space="preserve"> facilitate eventual collection of end-of-life components for safe recycling,</w:t>
      </w:r>
      <w:r w:rsidR="0094423C">
        <w:rPr>
          <w:rFonts w:cstheme="minorHAnsi"/>
          <w:szCs w:val="24"/>
        </w:rPr>
        <w:t xml:space="preserve"> and ensuring availability of replacement components to extend products’ useful lifetimes,</w:t>
      </w:r>
      <w:r w:rsidR="00B573A3">
        <w:rPr>
          <w:rFonts w:cstheme="minorHAnsi"/>
          <w:szCs w:val="24"/>
        </w:rPr>
        <w:t xml:space="preserve"> </w:t>
      </w:r>
      <w:r w:rsidR="00F26832">
        <w:rPr>
          <w:rFonts w:cstheme="minorHAnsi"/>
          <w:szCs w:val="24"/>
        </w:rPr>
        <w:t>c</w:t>
      </w:r>
      <w:r w:rsidR="00B573A3">
        <w:rPr>
          <w:rFonts w:cstheme="minorHAnsi"/>
          <w:szCs w:val="24"/>
        </w:rPr>
        <w:t>ould also be beneficial</w:t>
      </w:r>
      <w:r w:rsidR="00F26832">
        <w:rPr>
          <w:rFonts w:cstheme="minorHAnsi"/>
          <w:szCs w:val="24"/>
        </w:rPr>
        <w:t>.</w:t>
      </w:r>
      <w:r w:rsidR="0089405D">
        <w:rPr>
          <w:rFonts w:cstheme="minorHAnsi"/>
          <w:szCs w:val="24"/>
        </w:rPr>
        <w:t xml:space="preserve"> </w:t>
      </w:r>
      <w:r w:rsidR="00F26832">
        <w:rPr>
          <w:rFonts w:cstheme="minorHAnsi"/>
          <w:szCs w:val="24"/>
        </w:rPr>
        <w:t>I</w:t>
      </w:r>
      <w:r w:rsidR="00C66C12">
        <w:rPr>
          <w:rFonts w:cstheme="minorHAnsi"/>
          <w:szCs w:val="24"/>
        </w:rPr>
        <w:t>n some cases this may conflict with companies’ desire to make devices ‘tamper-proof’, particularly for those using PAYG business models.</w:t>
      </w:r>
      <w:r w:rsidR="005C0AA3">
        <w:rPr>
          <w:rFonts w:cstheme="minorHAnsi"/>
          <w:szCs w:val="24"/>
        </w:rPr>
        <w:t xml:space="preserve"> Project such as the EPSRC-sponsored Off-Grid Solar Scorecard </w:t>
      </w:r>
      <w:r w:rsidR="00390559">
        <w:rPr>
          <w:rFonts w:cstheme="minorHAnsi"/>
          <w:szCs w:val="24"/>
        </w:rPr>
        <w:fldChar w:fldCharType="begin" w:fldLock="1"/>
      </w:r>
      <w:r w:rsidR="000D6695">
        <w:rPr>
          <w:rFonts w:cstheme="minorHAnsi"/>
          <w:szCs w:val="24"/>
        </w:rPr>
        <w:instrText>ADDIN CSL_CITATION { "citationItems" : [ { "id" : "ITEM-1", "itemData" : { "URL" : "http://www.offgridsolarscorecard.com", "author" : [ { "dropping-particle" : "", "family" : "Off Grid Solar Scorecard", "given" : "", "non-dropping-particle" : "", "parse-names" : false, "suffix" : "" } ], "id" : "ITEM-1", "issued" : { "date-parts" : [ [ "2018" ] ] }, "title" : "Off Grid Solar Scorecard", "type" : "webpage" }, "uris" : [ "http://www.mendeley.com/documents/?uuid=d407bb7e-5732-47df-8720-c61ab7842dfd", "http://www.mendeley.com/documents/?uuid=7d27dcbb-e8b8-486b-a0c8-058b836a5666" ] } ], "mendeley" : { "formattedCitation" : "(Off Grid Solar Scorecard, 2018)", "plainTextFormattedCitation" : "(Off Grid Solar Scorecard, 2018)", "previouslyFormattedCitation" : "(Off Grid Solar Scorecard, 2018)" }, "properties" : { "noteIndex" : 0 }, "schema" : "https://github.com/citation-style-language/schema/raw/master/csl-citation.json" }</w:instrText>
      </w:r>
      <w:r w:rsidR="00390559">
        <w:rPr>
          <w:rFonts w:cstheme="minorHAnsi"/>
          <w:szCs w:val="24"/>
        </w:rPr>
        <w:fldChar w:fldCharType="separate"/>
      </w:r>
      <w:r w:rsidR="00221A88" w:rsidRPr="00221A88">
        <w:rPr>
          <w:rFonts w:cstheme="minorHAnsi"/>
          <w:noProof/>
          <w:szCs w:val="24"/>
        </w:rPr>
        <w:t>(Off Grid Solar Scorecard, 2018)</w:t>
      </w:r>
      <w:r w:rsidR="00390559">
        <w:rPr>
          <w:rFonts w:cstheme="minorHAnsi"/>
          <w:szCs w:val="24"/>
        </w:rPr>
        <w:fldChar w:fldCharType="end"/>
      </w:r>
      <w:r w:rsidR="00390559">
        <w:rPr>
          <w:rFonts w:cstheme="minorHAnsi"/>
          <w:szCs w:val="24"/>
        </w:rPr>
        <w:t xml:space="preserve"> and the Better Solar Network </w:t>
      </w:r>
      <w:r w:rsidR="00390559">
        <w:rPr>
          <w:rFonts w:cstheme="minorHAnsi"/>
          <w:szCs w:val="24"/>
        </w:rPr>
        <w:fldChar w:fldCharType="begin" w:fldLock="1"/>
      </w:r>
      <w:r w:rsidR="00221A88">
        <w:rPr>
          <w:rFonts w:cstheme="minorHAnsi"/>
          <w:szCs w:val="24"/>
        </w:rPr>
        <w:instrText>ADDIN CSL_CITATION { "citationItems" : [ { "id" : "ITEM-1", "itemData" : { "author" : [ { "dropping-particle" : "", "family" : "Cover", "given" : "Mariana", "non-dropping-particle" : "", "parse-names" : false, "suffix" : "" } ], "container-title" : "7th Low Carbon Energy For Development Network Conference, Loughborough", "id" : "ITEM-1", "issued" : { "date-parts" : [ [ "2018" ] ] }, "title" : "Better Solar Network", "type" : "paper-conference" }, "uris" : [ "http://www.mendeley.com/documents/?uuid=eb9bf143-2c53-4e85-a9eb-b2070f9ad4af", "http://www.mendeley.com/documents/?uuid=75d91508-b326-4524-9798-b4572ef57acd" ] } ], "mendeley" : { "formattedCitation" : "(Cover, 2018)", "plainTextFormattedCitation" : "(Cover, 2018)", "previouslyFormattedCitation" : "(Cover, 2018)" }, "properties" : { "noteIndex" : 0 }, "schema" : "https://github.com/citation-style-language/schema/raw/master/csl-citation.json" }</w:instrText>
      </w:r>
      <w:r w:rsidR="00390559">
        <w:rPr>
          <w:rFonts w:cstheme="minorHAnsi"/>
          <w:szCs w:val="24"/>
        </w:rPr>
        <w:fldChar w:fldCharType="separate"/>
      </w:r>
      <w:r w:rsidR="00221A88" w:rsidRPr="00221A88">
        <w:rPr>
          <w:rFonts w:cstheme="minorHAnsi"/>
          <w:noProof/>
          <w:szCs w:val="24"/>
        </w:rPr>
        <w:t>(Cover, 2018)</w:t>
      </w:r>
      <w:r w:rsidR="00390559">
        <w:rPr>
          <w:rFonts w:cstheme="minorHAnsi"/>
          <w:szCs w:val="24"/>
        </w:rPr>
        <w:fldChar w:fldCharType="end"/>
      </w:r>
      <w:r w:rsidR="005C0AA3">
        <w:rPr>
          <w:rFonts w:cstheme="minorHAnsi"/>
          <w:szCs w:val="24"/>
        </w:rPr>
        <w:t xml:space="preserve"> </w:t>
      </w:r>
      <w:r w:rsidR="00390559">
        <w:rPr>
          <w:rFonts w:cstheme="minorHAnsi"/>
          <w:szCs w:val="24"/>
        </w:rPr>
        <w:t>aim to address some of these concerns.</w:t>
      </w:r>
    </w:p>
    <w:p w14:paraId="366FDCBC" w14:textId="77777777" w:rsidR="0089405D" w:rsidRPr="009E2EE8" w:rsidRDefault="0089405D" w:rsidP="009E2EE8">
      <w:pPr>
        <w:spacing w:after="240" w:line="276" w:lineRule="auto"/>
        <w:contextualSpacing/>
        <w:rPr>
          <w:rFonts w:cstheme="minorHAnsi"/>
          <w:szCs w:val="24"/>
        </w:rPr>
      </w:pPr>
    </w:p>
    <w:p w14:paraId="5F3D29EF" w14:textId="3E424BD5" w:rsidR="009E2EE8" w:rsidRDefault="009E2EE8" w:rsidP="00AA4E4C">
      <w:pPr>
        <w:spacing w:after="240" w:line="276" w:lineRule="auto"/>
        <w:contextualSpacing/>
        <w:rPr>
          <w:rFonts w:cstheme="minorHAnsi"/>
          <w:szCs w:val="24"/>
        </w:rPr>
      </w:pPr>
      <w:r w:rsidRPr="009E2EE8">
        <w:rPr>
          <w:rFonts w:cstheme="minorHAnsi"/>
          <w:szCs w:val="24"/>
        </w:rPr>
        <w:t xml:space="preserve">In summary, there is a critical role for governments, regulators, trade and standards bodies to intervene in the rapidly growing stationary off-grid storage market, in order to ensure safety, quality and cost-effectiveness are achieved as this market grows and develops. </w:t>
      </w:r>
    </w:p>
    <w:p w14:paraId="10640E09" w14:textId="77777777" w:rsidR="00AA4E4C" w:rsidRPr="009E2EE8" w:rsidRDefault="00AA4E4C" w:rsidP="00AA4E4C">
      <w:pPr>
        <w:spacing w:after="240" w:line="276" w:lineRule="auto"/>
        <w:contextualSpacing/>
        <w:rPr>
          <w:rFonts w:cstheme="minorHAnsi"/>
          <w:b/>
          <w:szCs w:val="24"/>
        </w:rPr>
      </w:pPr>
    </w:p>
    <w:p w14:paraId="7C1D0F56" w14:textId="77777777" w:rsidR="0083540F" w:rsidRDefault="0083540F" w:rsidP="009E2EE8">
      <w:pPr>
        <w:spacing w:after="240" w:line="360" w:lineRule="auto"/>
        <w:contextualSpacing/>
        <w:rPr>
          <w:rFonts w:cstheme="minorHAnsi"/>
          <w:b/>
          <w:i/>
          <w:sz w:val="18"/>
          <w:szCs w:val="24"/>
        </w:rPr>
      </w:pPr>
    </w:p>
    <w:p w14:paraId="01E23DB9" w14:textId="77777777" w:rsidR="0083540F" w:rsidRDefault="0083540F" w:rsidP="009E2EE8">
      <w:pPr>
        <w:spacing w:after="240" w:line="360" w:lineRule="auto"/>
        <w:contextualSpacing/>
        <w:rPr>
          <w:rFonts w:cstheme="minorHAnsi"/>
          <w:b/>
          <w:i/>
          <w:sz w:val="18"/>
          <w:szCs w:val="24"/>
        </w:rPr>
      </w:pPr>
    </w:p>
    <w:p w14:paraId="5F668FD6" w14:textId="77777777" w:rsidR="0083540F" w:rsidRDefault="0083540F" w:rsidP="009E2EE8">
      <w:pPr>
        <w:spacing w:after="240" w:line="360" w:lineRule="auto"/>
        <w:contextualSpacing/>
        <w:rPr>
          <w:rFonts w:cstheme="minorHAnsi"/>
          <w:b/>
          <w:i/>
          <w:sz w:val="18"/>
          <w:szCs w:val="24"/>
        </w:rPr>
      </w:pPr>
    </w:p>
    <w:p w14:paraId="7CA8F655" w14:textId="77777777" w:rsidR="0083540F" w:rsidRDefault="0083540F" w:rsidP="009E2EE8">
      <w:pPr>
        <w:spacing w:after="240" w:line="360" w:lineRule="auto"/>
        <w:contextualSpacing/>
        <w:rPr>
          <w:rFonts w:cstheme="minorHAnsi"/>
          <w:b/>
          <w:i/>
          <w:sz w:val="18"/>
          <w:szCs w:val="24"/>
        </w:rPr>
      </w:pPr>
    </w:p>
    <w:p w14:paraId="78FF19CE" w14:textId="77777777" w:rsidR="0083540F" w:rsidRDefault="0083540F" w:rsidP="009E2EE8">
      <w:pPr>
        <w:spacing w:after="240" w:line="360" w:lineRule="auto"/>
        <w:contextualSpacing/>
        <w:rPr>
          <w:rFonts w:cstheme="minorHAnsi"/>
          <w:b/>
          <w:i/>
          <w:sz w:val="18"/>
          <w:szCs w:val="24"/>
        </w:rPr>
      </w:pPr>
    </w:p>
    <w:p w14:paraId="6D8DE8A6" w14:textId="77777777" w:rsidR="0083540F" w:rsidRDefault="0083540F" w:rsidP="009E2EE8">
      <w:pPr>
        <w:spacing w:after="240" w:line="360" w:lineRule="auto"/>
        <w:contextualSpacing/>
        <w:rPr>
          <w:rFonts w:cstheme="minorHAnsi"/>
          <w:b/>
          <w:i/>
          <w:sz w:val="18"/>
          <w:szCs w:val="24"/>
        </w:rPr>
      </w:pPr>
    </w:p>
    <w:p w14:paraId="78230909" w14:textId="77777777" w:rsidR="0083540F" w:rsidRDefault="0083540F" w:rsidP="009E2EE8">
      <w:pPr>
        <w:spacing w:after="240" w:line="360" w:lineRule="auto"/>
        <w:contextualSpacing/>
        <w:rPr>
          <w:rFonts w:cstheme="minorHAnsi"/>
          <w:b/>
          <w:i/>
          <w:sz w:val="18"/>
          <w:szCs w:val="24"/>
        </w:rPr>
      </w:pPr>
    </w:p>
    <w:p w14:paraId="731E8B4A" w14:textId="77777777" w:rsidR="0083540F" w:rsidRDefault="0083540F" w:rsidP="009E2EE8">
      <w:pPr>
        <w:spacing w:after="240" w:line="360" w:lineRule="auto"/>
        <w:contextualSpacing/>
        <w:rPr>
          <w:rFonts w:cstheme="minorHAnsi"/>
          <w:b/>
          <w:i/>
          <w:sz w:val="18"/>
          <w:szCs w:val="24"/>
        </w:rPr>
      </w:pPr>
    </w:p>
    <w:p w14:paraId="75D27ACF" w14:textId="77777777" w:rsidR="0083540F" w:rsidRDefault="0083540F" w:rsidP="009E2EE8">
      <w:pPr>
        <w:spacing w:after="240" w:line="360" w:lineRule="auto"/>
        <w:contextualSpacing/>
        <w:rPr>
          <w:rFonts w:cstheme="minorHAnsi"/>
          <w:b/>
          <w:i/>
          <w:sz w:val="18"/>
          <w:szCs w:val="24"/>
        </w:rPr>
      </w:pPr>
    </w:p>
    <w:p w14:paraId="26BE4AD1" w14:textId="77777777" w:rsidR="0083540F" w:rsidRDefault="0083540F" w:rsidP="009E2EE8">
      <w:pPr>
        <w:spacing w:after="240" w:line="360" w:lineRule="auto"/>
        <w:contextualSpacing/>
        <w:rPr>
          <w:rFonts w:cstheme="minorHAnsi"/>
          <w:b/>
          <w:i/>
          <w:sz w:val="18"/>
          <w:szCs w:val="24"/>
        </w:rPr>
      </w:pPr>
    </w:p>
    <w:p w14:paraId="6D48F1E4" w14:textId="77777777" w:rsidR="0083540F" w:rsidRDefault="0083540F" w:rsidP="009E2EE8">
      <w:pPr>
        <w:spacing w:after="240" w:line="360" w:lineRule="auto"/>
        <w:contextualSpacing/>
        <w:rPr>
          <w:rFonts w:cstheme="minorHAnsi"/>
          <w:b/>
          <w:i/>
          <w:sz w:val="18"/>
          <w:szCs w:val="24"/>
        </w:rPr>
      </w:pPr>
    </w:p>
    <w:p w14:paraId="227499FD" w14:textId="77777777" w:rsidR="0083540F" w:rsidRDefault="0083540F" w:rsidP="009E2EE8">
      <w:pPr>
        <w:spacing w:after="240" w:line="360" w:lineRule="auto"/>
        <w:contextualSpacing/>
        <w:rPr>
          <w:rFonts w:cstheme="minorHAnsi"/>
          <w:b/>
          <w:i/>
          <w:sz w:val="18"/>
          <w:szCs w:val="24"/>
        </w:rPr>
      </w:pPr>
    </w:p>
    <w:p w14:paraId="6E443096" w14:textId="77777777" w:rsidR="0083540F" w:rsidRDefault="0083540F" w:rsidP="009E2EE8">
      <w:pPr>
        <w:spacing w:after="240" w:line="360" w:lineRule="auto"/>
        <w:contextualSpacing/>
        <w:rPr>
          <w:rFonts w:cstheme="minorHAnsi"/>
          <w:b/>
          <w:i/>
          <w:sz w:val="18"/>
          <w:szCs w:val="24"/>
        </w:rPr>
      </w:pPr>
    </w:p>
    <w:p w14:paraId="4908D4BE" w14:textId="77777777" w:rsidR="0083540F" w:rsidRDefault="0083540F" w:rsidP="009E2EE8">
      <w:pPr>
        <w:spacing w:after="240" w:line="360" w:lineRule="auto"/>
        <w:contextualSpacing/>
        <w:rPr>
          <w:rFonts w:cstheme="minorHAnsi"/>
          <w:b/>
          <w:i/>
          <w:sz w:val="18"/>
          <w:szCs w:val="24"/>
        </w:rPr>
      </w:pPr>
    </w:p>
    <w:p w14:paraId="72D64660" w14:textId="77777777" w:rsidR="0083540F" w:rsidRDefault="0083540F" w:rsidP="009E2EE8">
      <w:pPr>
        <w:spacing w:after="240" w:line="360" w:lineRule="auto"/>
        <w:contextualSpacing/>
        <w:rPr>
          <w:rFonts w:cstheme="minorHAnsi"/>
          <w:b/>
          <w:i/>
          <w:sz w:val="18"/>
          <w:szCs w:val="24"/>
        </w:rPr>
      </w:pPr>
    </w:p>
    <w:p w14:paraId="2156CA69" w14:textId="77777777" w:rsidR="0083540F" w:rsidRDefault="0083540F" w:rsidP="009E2EE8">
      <w:pPr>
        <w:spacing w:after="240" w:line="360" w:lineRule="auto"/>
        <w:contextualSpacing/>
        <w:rPr>
          <w:rFonts w:cstheme="minorHAnsi"/>
          <w:b/>
          <w:i/>
          <w:sz w:val="18"/>
          <w:szCs w:val="24"/>
        </w:rPr>
      </w:pPr>
    </w:p>
    <w:p w14:paraId="199FE99A" w14:textId="77777777" w:rsidR="0083540F" w:rsidRDefault="0083540F" w:rsidP="009E2EE8">
      <w:pPr>
        <w:spacing w:after="240" w:line="360" w:lineRule="auto"/>
        <w:contextualSpacing/>
        <w:rPr>
          <w:rFonts w:cstheme="minorHAnsi"/>
          <w:b/>
          <w:i/>
          <w:sz w:val="18"/>
          <w:szCs w:val="24"/>
        </w:rPr>
      </w:pPr>
    </w:p>
    <w:p w14:paraId="26D1690D" w14:textId="77777777" w:rsidR="0083540F" w:rsidRDefault="0083540F" w:rsidP="009E2EE8">
      <w:pPr>
        <w:spacing w:after="240" w:line="360" w:lineRule="auto"/>
        <w:contextualSpacing/>
        <w:rPr>
          <w:rFonts w:cstheme="minorHAnsi"/>
          <w:b/>
          <w:i/>
          <w:sz w:val="18"/>
          <w:szCs w:val="24"/>
        </w:rPr>
      </w:pPr>
    </w:p>
    <w:p w14:paraId="4AB7E2BA" w14:textId="77777777" w:rsidR="0083540F" w:rsidRDefault="0083540F" w:rsidP="009E2EE8">
      <w:pPr>
        <w:spacing w:after="240" w:line="360" w:lineRule="auto"/>
        <w:contextualSpacing/>
        <w:rPr>
          <w:rFonts w:cstheme="minorHAnsi"/>
          <w:b/>
          <w:i/>
          <w:sz w:val="18"/>
          <w:szCs w:val="24"/>
        </w:rPr>
      </w:pPr>
    </w:p>
    <w:p w14:paraId="0B81CC98" w14:textId="77777777" w:rsidR="0083540F" w:rsidRDefault="0083540F" w:rsidP="009E2EE8">
      <w:pPr>
        <w:spacing w:after="240" w:line="360" w:lineRule="auto"/>
        <w:contextualSpacing/>
        <w:rPr>
          <w:rFonts w:cstheme="minorHAnsi"/>
          <w:b/>
          <w:i/>
          <w:sz w:val="18"/>
          <w:szCs w:val="24"/>
        </w:rPr>
      </w:pPr>
    </w:p>
    <w:p w14:paraId="0D92A097" w14:textId="77777777" w:rsidR="0083540F" w:rsidRDefault="0083540F" w:rsidP="009E2EE8">
      <w:pPr>
        <w:spacing w:after="240" w:line="360" w:lineRule="auto"/>
        <w:contextualSpacing/>
        <w:rPr>
          <w:rFonts w:cstheme="minorHAnsi"/>
          <w:b/>
          <w:i/>
          <w:sz w:val="18"/>
          <w:szCs w:val="24"/>
        </w:rPr>
      </w:pPr>
    </w:p>
    <w:p w14:paraId="4D276B44" w14:textId="77777777" w:rsidR="0083540F" w:rsidRDefault="0083540F" w:rsidP="009E2EE8">
      <w:pPr>
        <w:spacing w:after="240" w:line="360" w:lineRule="auto"/>
        <w:contextualSpacing/>
        <w:rPr>
          <w:rFonts w:cstheme="minorHAnsi"/>
          <w:b/>
          <w:i/>
          <w:sz w:val="18"/>
          <w:szCs w:val="24"/>
        </w:rPr>
      </w:pPr>
    </w:p>
    <w:p w14:paraId="7C4AE232" w14:textId="77777777" w:rsidR="0083540F" w:rsidRDefault="0083540F" w:rsidP="009E2EE8">
      <w:pPr>
        <w:spacing w:after="240" w:line="360" w:lineRule="auto"/>
        <w:contextualSpacing/>
        <w:rPr>
          <w:rFonts w:cstheme="minorHAnsi"/>
          <w:b/>
          <w:i/>
          <w:sz w:val="18"/>
          <w:szCs w:val="24"/>
        </w:rPr>
      </w:pPr>
    </w:p>
    <w:p w14:paraId="5FD497D7" w14:textId="77777777" w:rsidR="0083540F" w:rsidRDefault="0083540F" w:rsidP="009E2EE8">
      <w:pPr>
        <w:spacing w:after="240" w:line="360" w:lineRule="auto"/>
        <w:contextualSpacing/>
        <w:rPr>
          <w:rFonts w:cstheme="minorHAnsi"/>
          <w:b/>
          <w:i/>
          <w:sz w:val="18"/>
          <w:szCs w:val="24"/>
        </w:rPr>
      </w:pPr>
    </w:p>
    <w:p w14:paraId="79D200B9" w14:textId="77777777" w:rsidR="0083540F" w:rsidRDefault="0083540F" w:rsidP="009E2EE8">
      <w:pPr>
        <w:spacing w:after="240" w:line="360" w:lineRule="auto"/>
        <w:contextualSpacing/>
        <w:rPr>
          <w:rFonts w:cstheme="minorHAnsi"/>
          <w:b/>
          <w:i/>
          <w:sz w:val="18"/>
          <w:szCs w:val="24"/>
        </w:rPr>
      </w:pPr>
    </w:p>
    <w:p w14:paraId="58C52E39" w14:textId="77777777" w:rsidR="007358EA" w:rsidRDefault="007358EA" w:rsidP="009E2EE8">
      <w:pPr>
        <w:spacing w:after="240" w:line="360" w:lineRule="auto"/>
        <w:contextualSpacing/>
        <w:rPr>
          <w:rFonts w:cstheme="minorHAnsi"/>
          <w:b/>
          <w:i/>
          <w:sz w:val="18"/>
          <w:szCs w:val="24"/>
        </w:rPr>
      </w:pPr>
    </w:p>
    <w:p w14:paraId="0872AF73" w14:textId="77777777" w:rsidR="0083540F" w:rsidRDefault="0083540F" w:rsidP="009E2EE8">
      <w:pPr>
        <w:spacing w:after="240" w:line="360" w:lineRule="auto"/>
        <w:contextualSpacing/>
        <w:rPr>
          <w:rFonts w:cstheme="minorHAnsi"/>
          <w:b/>
          <w:i/>
          <w:sz w:val="18"/>
          <w:szCs w:val="24"/>
        </w:rPr>
      </w:pPr>
    </w:p>
    <w:p w14:paraId="32C1742B" w14:textId="77777777" w:rsidR="0083540F" w:rsidRDefault="0083540F" w:rsidP="009E2EE8">
      <w:pPr>
        <w:spacing w:after="240" w:line="360" w:lineRule="auto"/>
        <w:contextualSpacing/>
        <w:rPr>
          <w:rFonts w:cstheme="minorHAnsi"/>
          <w:b/>
          <w:i/>
          <w:sz w:val="18"/>
          <w:szCs w:val="24"/>
        </w:rPr>
      </w:pPr>
    </w:p>
    <w:p w14:paraId="487E9A8F" w14:textId="434DDB68" w:rsidR="009E2EE8" w:rsidRPr="00D94C18" w:rsidRDefault="009E2EE8" w:rsidP="009E2EE8">
      <w:pPr>
        <w:spacing w:after="240" w:line="360" w:lineRule="auto"/>
        <w:contextualSpacing/>
        <w:rPr>
          <w:rFonts w:cstheme="minorHAnsi"/>
          <w:i/>
          <w:sz w:val="18"/>
          <w:szCs w:val="24"/>
        </w:rPr>
      </w:pPr>
      <w:r w:rsidRPr="00D94C18">
        <w:rPr>
          <w:rFonts w:cstheme="minorHAnsi"/>
          <w:b/>
          <w:i/>
          <w:sz w:val="18"/>
          <w:szCs w:val="24"/>
        </w:rPr>
        <w:t xml:space="preserve">Table </w:t>
      </w:r>
      <w:r w:rsidR="00D94C18" w:rsidRPr="00D94C18">
        <w:rPr>
          <w:b/>
          <w:i/>
          <w:color w:val="000000" w:themeColor="text1"/>
          <w:sz w:val="18"/>
        </w:rPr>
        <w:fldChar w:fldCharType="begin"/>
      </w:r>
      <w:r w:rsidR="00D94C18" w:rsidRPr="00D94C18">
        <w:rPr>
          <w:b/>
          <w:i/>
          <w:color w:val="000000" w:themeColor="text1"/>
          <w:sz w:val="18"/>
        </w:rPr>
        <w:instrText xml:space="preserve"> SEQ Table \* ARABIC </w:instrText>
      </w:r>
      <w:r w:rsidR="00D94C18" w:rsidRPr="00D94C18">
        <w:rPr>
          <w:b/>
          <w:i/>
          <w:color w:val="000000" w:themeColor="text1"/>
          <w:sz w:val="18"/>
        </w:rPr>
        <w:fldChar w:fldCharType="separate"/>
      </w:r>
      <w:r w:rsidR="007358EA">
        <w:rPr>
          <w:b/>
          <w:i/>
          <w:noProof/>
          <w:color w:val="000000" w:themeColor="text1"/>
          <w:sz w:val="18"/>
        </w:rPr>
        <w:t>2</w:t>
      </w:r>
      <w:r w:rsidR="00D94C18" w:rsidRPr="00D94C18">
        <w:rPr>
          <w:b/>
          <w:i/>
          <w:color w:val="000000" w:themeColor="text1"/>
          <w:sz w:val="18"/>
        </w:rPr>
        <w:fldChar w:fldCharType="end"/>
      </w:r>
      <w:r w:rsidR="009B6624">
        <w:rPr>
          <w:b/>
          <w:i/>
          <w:color w:val="000000" w:themeColor="text1"/>
          <w:sz w:val="18"/>
        </w:rPr>
        <w:t xml:space="preserve"> - </w:t>
      </w:r>
      <w:r w:rsidRPr="00D94C18">
        <w:rPr>
          <w:rFonts w:cstheme="minorHAnsi"/>
          <w:i/>
          <w:sz w:val="18"/>
          <w:szCs w:val="24"/>
        </w:rPr>
        <w:t xml:space="preserve">Specific challenges for the </w:t>
      </w:r>
      <w:r w:rsidR="00D94C18">
        <w:rPr>
          <w:rFonts w:cstheme="minorHAnsi"/>
          <w:i/>
          <w:sz w:val="18"/>
          <w:szCs w:val="24"/>
        </w:rPr>
        <w:t>energy access</w:t>
      </w:r>
      <w:r w:rsidRPr="00D94C18">
        <w:rPr>
          <w:rFonts w:cstheme="minorHAnsi"/>
          <w:i/>
          <w:sz w:val="18"/>
          <w:szCs w:val="24"/>
        </w:rPr>
        <w:t xml:space="preserve"> energy storage market and proposed solutions</w:t>
      </w:r>
    </w:p>
    <w:p w14:paraId="5F328E9F" w14:textId="26F895FB" w:rsidR="007D31BD" w:rsidRPr="00700C93" w:rsidRDefault="007D31BD" w:rsidP="009E2EE8">
      <w:pPr>
        <w:spacing w:after="240" w:line="360" w:lineRule="auto"/>
        <w:contextualSpacing/>
        <w:rPr>
          <w:rFonts w:ascii="Arial" w:hAnsi="Arial" w:cs="Arial"/>
          <w:lang w:val="en-GB"/>
        </w:rPr>
      </w:pPr>
    </w:p>
    <w:p w14:paraId="1D5B185A" w14:textId="04BD986A" w:rsidR="007D31BD" w:rsidRDefault="007D31BD" w:rsidP="00C03B6C">
      <w:pPr>
        <w:spacing w:after="240" w:line="240" w:lineRule="auto"/>
        <w:contextualSpacing/>
        <w:rPr>
          <w:rFonts w:cstheme="minorHAnsi"/>
          <w:i/>
          <w:sz w:val="18"/>
        </w:rPr>
      </w:pPr>
      <w:r w:rsidRPr="007D31BD">
        <w:rPr>
          <w:noProof/>
        </w:rPr>
        <w:drawing>
          <wp:inline distT="0" distB="0" distL="0" distR="0" wp14:anchorId="62975A75" wp14:editId="3770589A">
            <wp:extent cx="5943600" cy="637874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6378741"/>
                    </a:xfrm>
                    <a:prstGeom prst="rect">
                      <a:avLst/>
                    </a:prstGeom>
                    <a:noFill/>
                    <a:ln>
                      <a:noFill/>
                    </a:ln>
                  </pic:spPr>
                </pic:pic>
              </a:graphicData>
            </a:graphic>
          </wp:inline>
        </w:drawing>
      </w:r>
    </w:p>
    <w:p w14:paraId="593B89C8" w14:textId="77777777" w:rsidR="009E2EE8" w:rsidRPr="009E2EE8" w:rsidRDefault="009E2EE8" w:rsidP="00C03B6C">
      <w:pPr>
        <w:spacing w:after="240" w:line="240" w:lineRule="auto"/>
        <w:contextualSpacing/>
        <w:rPr>
          <w:rFonts w:cstheme="minorHAnsi"/>
          <w:i/>
          <w:sz w:val="18"/>
        </w:rPr>
      </w:pPr>
      <w:r w:rsidRPr="009E2EE8">
        <w:rPr>
          <w:rFonts w:cstheme="minorHAnsi"/>
          <w:i/>
          <w:sz w:val="18"/>
        </w:rPr>
        <w:t xml:space="preserve">Notes: Table </w:t>
      </w:r>
      <w:proofErr w:type="spellStart"/>
      <w:r w:rsidRPr="009E2EE8">
        <w:rPr>
          <w:rFonts w:cstheme="minorHAnsi"/>
          <w:i/>
          <w:sz w:val="18"/>
        </w:rPr>
        <w:t>organises</w:t>
      </w:r>
      <w:proofErr w:type="spellEnd"/>
      <w:r w:rsidRPr="009E2EE8">
        <w:rPr>
          <w:rFonts w:cstheme="minorHAnsi"/>
          <w:i/>
          <w:sz w:val="18"/>
        </w:rPr>
        <w:t xml:space="preserve"> the challenges according to the stage in the lifecycle, from initial technology choice, through to end of life treatment. Text for “challenges” is </w:t>
      </w:r>
      <w:proofErr w:type="spellStart"/>
      <w:r w:rsidRPr="009E2EE8">
        <w:rPr>
          <w:rFonts w:cstheme="minorHAnsi"/>
          <w:i/>
          <w:sz w:val="18"/>
        </w:rPr>
        <w:t>coloured</w:t>
      </w:r>
      <w:proofErr w:type="spellEnd"/>
      <w:r w:rsidRPr="009E2EE8">
        <w:rPr>
          <w:rFonts w:cstheme="minorHAnsi"/>
          <w:i/>
          <w:sz w:val="18"/>
        </w:rPr>
        <w:t xml:space="preserve"> according to the authors’ subjective </w:t>
      </w:r>
      <w:proofErr w:type="spellStart"/>
      <w:r w:rsidRPr="009E2EE8">
        <w:rPr>
          <w:rFonts w:cstheme="minorHAnsi"/>
          <w:i/>
          <w:sz w:val="18"/>
        </w:rPr>
        <w:t>judgement</w:t>
      </w:r>
      <w:proofErr w:type="spellEnd"/>
      <w:r w:rsidRPr="009E2EE8">
        <w:rPr>
          <w:rFonts w:cstheme="minorHAnsi"/>
          <w:i/>
          <w:sz w:val="18"/>
        </w:rPr>
        <w:t xml:space="preserve"> (based on all interview responses) of the degree of criticality of the challenge to the development of a cost-effective, diverse and safe storage market, where green = least critical and red = most critical. </w:t>
      </w:r>
    </w:p>
    <w:p w14:paraId="3BFAD185" w14:textId="77777777" w:rsidR="009E2EE8" w:rsidRDefault="009E2EE8" w:rsidP="009E2EE8">
      <w:pPr>
        <w:rPr>
          <w:b/>
        </w:rPr>
      </w:pPr>
    </w:p>
    <w:p w14:paraId="5EB28A83" w14:textId="77777777" w:rsidR="009E2EE8" w:rsidRDefault="009E2EE8">
      <w:pPr>
        <w:rPr>
          <w:b/>
        </w:rPr>
      </w:pPr>
      <w:r>
        <w:rPr>
          <w:b/>
        </w:rPr>
        <w:br w:type="page"/>
      </w:r>
    </w:p>
    <w:p w14:paraId="109755C0" w14:textId="5AD118B4" w:rsidR="009E2EE8" w:rsidRDefault="00D675FC" w:rsidP="00805348">
      <w:pPr>
        <w:pStyle w:val="Heading3"/>
        <w:numPr>
          <w:ilvl w:val="0"/>
          <w:numId w:val="11"/>
        </w:numPr>
        <w:rPr>
          <w:rFonts w:asciiTheme="minorHAnsi" w:hAnsiTheme="minorHAnsi" w:cstheme="minorHAnsi"/>
          <w:b/>
          <w:color w:val="000000" w:themeColor="text1"/>
          <w:sz w:val="22"/>
        </w:rPr>
      </w:pPr>
      <w:r w:rsidRPr="00AA4E4C">
        <w:rPr>
          <w:rFonts w:asciiTheme="minorHAnsi" w:hAnsiTheme="minorHAnsi" w:cstheme="minorHAnsi"/>
          <w:b/>
          <w:color w:val="000000" w:themeColor="text1"/>
          <w:sz w:val="22"/>
        </w:rPr>
        <w:lastRenderedPageBreak/>
        <w:t>Conclusions</w:t>
      </w:r>
    </w:p>
    <w:p w14:paraId="37496485" w14:textId="77777777" w:rsidR="00AA4E4C" w:rsidRPr="00AA4E4C" w:rsidRDefault="00AA4E4C" w:rsidP="00AA4E4C">
      <w:pPr>
        <w:pStyle w:val="NoSpacing"/>
      </w:pPr>
    </w:p>
    <w:p w14:paraId="5095CACB" w14:textId="637EDA3D" w:rsidR="009E2EE8" w:rsidRPr="009E2EE8" w:rsidRDefault="009E2EE8" w:rsidP="009E2EE8">
      <w:pPr>
        <w:spacing w:line="276" w:lineRule="auto"/>
        <w:rPr>
          <w:b/>
        </w:rPr>
      </w:pPr>
      <w:r w:rsidRPr="009E2EE8">
        <w:rPr>
          <w:rFonts w:cstheme="minorHAnsi"/>
        </w:rPr>
        <w:t xml:space="preserve">The off-grid electricity storage market is developing rapidly, with a number of providers offering solutions for a range of applications, using a variety of storage technology products and sizes. These applications include (at the smaller end) </w:t>
      </w:r>
      <w:proofErr w:type="spellStart"/>
      <w:r w:rsidRPr="009E2EE8">
        <w:rPr>
          <w:rFonts w:cstheme="minorHAnsi"/>
        </w:rPr>
        <w:t>pico</w:t>
      </w:r>
      <w:proofErr w:type="spellEnd"/>
      <w:r w:rsidRPr="009E2EE8">
        <w:rPr>
          <w:rFonts w:cstheme="minorHAnsi"/>
        </w:rPr>
        <w:t xml:space="preserve">-systems which provide basic home services such as lighting and mobile phone charging, and at the larger end </w:t>
      </w:r>
      <w:r w:rsidR="00221A88">
        <w:rPr>
          <w:rFonts w:cstheme="minorHAnsi"/>
        </w:rPr>
        <w:t>micro-grid</w:t>
      </w:r>
      <w:r w:rsidR="000069AA">
        <w:rPr>
          <w:rFonts w:cstheme="minorHAnsi"/>
        </w:rPr>
        <w:t xml:space="preserve"> and </w:t>
      </w:r>
      <w:r w:rsidRPr="009E2EE8">
        <w:rPr>
          <w:rFonts w:cstheme="minorHAnsi"/>
        </w:rPr>
        <w:t>industrial applications such as power for</w:t>
      </w:r>
      <w:r w:rsidR="000069AA">
        <w:rPr>
          <w:rFonts w:cstheme="minorHAnsi"/>
        </w:rPr>
        <w:t xml:space="preserve"> up to 100 households, for</w:t>
      </w:r>
      <w:r w:rsidRPr="009E2EE8">
        <w:rPr>
          <w:rFonts w:cstheme="minorHAnsi"/>
        </w:rPr>
        <w:t xml:space="preserve"> telecommunications towers</w:t>
      </w:r>
      <w:r w:rsidR="000069AA">
        <w:rPr>
          <w:rFonts w:cstheme="minorHAnsi"/>
        </w:rPr>
        <w:t xml:space="preserve">, and </w:t>
      </w:r>
      <w:r w:rsidRPr="009E2EE8">
        <w:rPr>
          <w:rFonts w:cstheme="minorHAnsi"/>
        </w:rPr>
        <w:t xml:space="preserve">spinning reserve backup services for mines. </w:t>
      </w:r>
    </w:p>
    <w:p w14:paraId="76D722AC" w14:textId="2BA2FDEC" w:rsidR="009E2EE8" w:rsidRPr="009E2EE8" w:rsidRDefault="009E2EE8" w:rsidP="009E2EE8">
      <w:pPr>
        <w:spacing w:after="240" w:line="276" w:lineRule="auto"/>
        <w:rPr>
          <w:rFonts w:cstheme="minorHAnsi"/>
        </w:rPr>
      </w:pPr>
      <w:r w:rsidRPr="009E2EE8">
        <w:rPr>
          <w:rFonts w:cstheme="minorHAnsi"/>
        </w:rPr>
        <w:t>The market is currently dominated by two storage technology groups – lithium</w:t>
      </w:r>
      <w:r w:rsidR="000069AA">
        <w:rPr>
          <w:rFonts w:cstheme="minorHAnsi"/>
        </w:rPr>
        <w:t>-</w:t>
      </w:r>
      <w:r w:rsidRPr="009E2EE8">
        <w:rPr>
          <w:rFonts w:cstheme="minorHAnsi"/>
        </w:rPr>
        <w:t>ion</w:t>
      </w:r>
      <w:r w:rsidR="00575EF1">
        <w:rPr>
          <w:rFonts w:cstheme="minorHAnsi"/>
        </w:rPr>
        <w:t xml:space="preserve"> (li-ion)</w:t>
      </w:r>
      <w:r w:rsidRPr="009E2EE8">
        <w:rPr>
          <w:rFonts w:cstheme="minorHAnsi"/>
        </w:rPr>
        <w:t xml:space="preserve"> and lead</w:t>
      </w:r>
      <w:r w:rsidR="000069AA">
        <w:rPr>
          <w:rFonts w:cstheme="minorHAnsi"/>
        </w:rPr>
        <w:t>-a</w:t>
      </w:r>
      <w:r w:rsidRPr="009E2EE8">
        <w:rPr>
          <w:rFonts w:cstheme="minorHAnsi"/>
        </w:rPr>
        <w:t xml:space="preserve">cid batteries. In general the </w:t>
      </w:r>
      <w:r w:rsidR="000069AA">
        <w:rPr>
          <w:rFonts w:cstheme="minorHAnsi"/>
        </w:rPr>
        <w:t>li-ion</w:t>
      </w:r>
      <w:r w:rsidRPr="009E2EE8">
        <w:rPr>
          <w:rFonts w:cstheme="minorHAnsi"/>
        </w:rPr>
        <w:t xml:space="preserve"> off-grid market is dominated by lithium iron phosphate (LFP) and </w:t>
      </w:r>
      <w:r w:rsidR="000069AA">
        <w:rPr>
          <w:rFonts w:cstheme="minorHAnsi"/>
        </w:rPr>
        <w:t>n</w:t>
      </w:r>
      <w:r w:rsidRPr="009E2EE8">
        <w:rPr>
          <w:rFonts w:cstheme="minorHAnsi"/>
        </w:rPr>
        <w:t xml:space="preserve">ickel </w:t>
      </w:r>
      <w:r w:rsidR="000069AA">
        <w:rPr>
          <w:rFonts w:cstheme="minorHAnsi"/>
        </w:rPr>
        <w:t>m</w:t>
      </w:r>
      <w:r w:rsidRPr="009E2EE8">
        <w:rPr>
          <w:rFonts w:cstheme="minorHAnsi"/>
        </w:rPr>
        <w:t xml:space="preserve">anganese </w:t>
      </w:r>
      <w:r w:rsidR="000069AA">
        <w:rPr>
          <w:rFonts w:cstheme="minorHAnsi"/>
        </w:rPr>
        <w:t>c</w:t>
      </w:r>
      <w:r w:rsidRPr="009E2EE8">
        <w:rPr>
          <w:rFonts w:cstheme="minorHAnsi"/>
        </w:rPr>
        <w:t xml:space="preserve">obalt (NMC) variants, whilst </w:t>
      </w:r>
      <w:r w:rsidR="000069AA">
        <w:rPr>
          <w:rFonts w:cstheme="minorHAnsi"/>
        </w:rPr>
        <w:t>lead-acid</w:t>
      </w:r>
      <w:r w:rsidRPr="009E2EE8">
        <w:rPr>
          <w:rFonts w:cstheme="minorHAnsi"/>
        </w:rPr>
        <w:t xml:space="preserve"> are available in flooded and sealed varieties. Other, less mature, technologies, including </w:t>
      </w:r>
      <w:r w:rsidR="00575EF1">
        <w:rPr>
          <w:rFonts w:cstheme="minorHAnsi"/>
        </w:rPr>
        <w:t>r</w:t>
      </w:r>
      <w:r w:rsidRPr="009E2EE8">
        <w:rPr>
          <w:rFonts w:cstheme="minorHAnsi"/>
        </w:rPr>
        <w:t>edox</w:t>
      </w:r>
      <w:r w:rsidR="00575EF1">
        <w:rPr>
          <w:rFonts w:cstheme="minorHAnsi"/>
        </w:rPr>
        <w:t>-f</w:t>
      </w:r>
      <w:r w:rsidRPr="009E2EE8">
        <w:rPr>
          <w:rFonts w:cstheme="minorHAnsi"/>
        </w:rPr>
        <w:t>low batteries and saltwater (sodium</w:t>
      </w:r>
      <w:r w:rsidR="00575EF1">
        <w:rPr>
          <w:rFonts w:cstheme="minorHAnsi"/>
        </w:rPr>
        <w:t>-</w:t>
      </w:r>
      <w:r w:rsidRPr="009E2EE8">
        <w:rPr>
          <w:rFonts w:cstheme="minorHAnsi"/>
        </w:rPr>
        <w:t xml:space="preserve">ion) batteries, have also been used in limited circumstances, but further development and cost reduction is required before they gain significant market share. Although </w:t>
      </w:r>
      <w:r w:rsidR="00575EF1">
        <w:rPr>
          <w:rFonts w:cstheme="minorHAnsi"/>
        </w:rPr>
        <w:t>li-ion</w:t>
      </w:r>
      <w:r w:rsidRPr="009E2EE8">
        <w:rPr>
          <w:rFonts w:cstheme="minorHAnsi"/>
        </w:rPr>
        <w:t xml:space="preserve"> are in general still more expensive than </w:t>
      </w:r>
      <w:r w:rsidR="00575EF1">
        <w:rPr>
          <w:rFonts w:cstheme="minorHAnsi"/>
        </w:rPr>
        <w:t>lead-acid</w:t>
      </w:r>
      <w:r w:rsidRPr="009E2EE8">
        <w:rPr>
          <w:rFonts w:cstheme="minorHAnsi"/>
        </w:rPr>
        <w:t xml:space="preserve"> batteries on a capital cost per unit energy capacity (</w:t>
      </w:r>
      <w:r w:rsidR="00575EF1">
        <w:rPr>
          <w:rFonts w:cstheme="minorHAnsi"/>
        </w:rPr>
        <w:t>US</w:t>
      </w:r>
      <w:r w:rsidRPr="009E2EE8">
        <w:rPr>
          <w:rFonts w:cstheme="minorHAnsi"/>
        </w:rPr>
        <w:t xml:space="preserve">$/kWh) basis, according to the majority of interviewees, </w:t>
      </w:r>
      <w:r w:rsidR="00575EF1">
        <w:rPr>
          <w:rFonts w:cstheme="minorHAnsi"/>
        </w:rPr>
        <w:t>li-ion</w:t>
      </w:r>
      <w:r w:rsidRPr="009E2EE8">
        <w:rPr>
          <w:rFonts w:cstheme="minorHAnsi"/>
        </w:rPr>
        <w:t xml:space="preserve"> variants are beginning to match</w:t>
      </w:r>
      <w:r w:rsidR="00575EF1">
        <w:rPr>
          <w:rFonts w:cstheme="minorHAnsi"/>
        </w:rPr>
        <w:t>,</w:t>
      </w:r>
      <w:r w:rsidRPr="009E2EE8">
        <w:rPr>
          <w:rFonts w:cstheme="minorHAnsi"/>
        </w:rPr>
        <w:t xml:space="preserve"> and in some circumstances</w:t>
      </w:r>
      <w:r w:rsidR="00575EF1">
        <w:rPr>
          <w:rFonts w:cstheme="minorHAnsi"/>
        </w:rPr>
        <w:t>,</w:t>
      </w:r>
      <w:r w:rsidRPr="009E2EE8">
        <w:rPr>
          <w:rFonts w:cstheme="minorHAnsi"/>
        </w:rPr>
        <w:t xml:space="preserve"> outcompete </w:t>
      </w:r>
      <w:r w:rsidR="00575EF1">
        <w:rPr>
          <w:rFonts w:cstheme="minorHAnsi"/>
        </w:rPr>
        <w:t>lead-acid</w:t>
      </w:r>
      <w:r w:rsidRPr="009E2EE8">
        <w:rPr>
          <w:rFonts w:cstheme="minorHAnsi"/>
        </w:rPr>
        <w:t xml:space="preserve"> on cost and performance which points to their growing future dominance across all application types. </w:t>
      </w:r>
    </w:p>
    <w:p w14:paraId="380CCF7C" w14:textId="3755B8D7" w:rsidR="009E2EE8" w:rsidRPr="009E2EE8" w:rsidRDefault="009E2EE8" w:rsidP="009E2EE8">
      <w:pPr>
        <w:spacing w:after="240" w:line="276" w:lineRule="auto"/>
        <w:rPr>
          <w:rFonts w:cstheme="minorHAnsi"/>
        </w:rPr>
      </w:pPr>
      <w:r w:rsidRPr="009E2EE8">
        <w:rPr>
          <w:rFonts w:cstheme="minorHAnsi"/>
        </w:rPr>
        <w:t xml:space="preserve">There has so far been relatively limited experience of both </w:t>
      </w:r>
      <w:r w:rsidR="00575EF1">
        <w:rPr>
          <w:rFonts w:cstheme="minorHAnsi"/>
        </w:rPr>
        <w:t>lead-acid</w:t>
      </w:r>
      <w:r w:rsidRPr="009E2EE8">
        <w:rPr>
          <w:rFonts w:cstheme="minorHAnsi"/>
        </w:rPr>
        <w:t xml:space="preserve"> and </w:t>
      </w:r>
      <w:r w:rsidR="00575EF1">
        <w:rPr>
          <w:rFonts w:cstheme="minorHAnsi"/>
        </w:rPr>
        <w:t>li-ion</w:t>
      </w:r>
      <w:r w:rsidRPr="009E2EE8">
        <w:rPr>
          <w:rFonts w:cstheme="minorHAnsi"/>
        </w:rPr>
        <w:t xml:space="preserve"> performance in real-world applications, owing to the relatively new nature of off-grid systems, although no major problems were identified by interviewees, with some exceptions such as performance degradation at higher temperatures. Whilst some quality assurance procedures do exist, they are not yet sufficiently widespread. </w:t>
      </w:r>
      <w:r w:rsidR="00253BF2">
        <w:rPr>
          <w:rFonts w:cstheme="minorHAnsi"/>
        </w:rPr>
        <w:t>Developing a better understanding of criteria adopted by companies to determine the end of life of storage devices could be an additional area of fruitful research.</w:t>
      </w:r>
    </w:p>
    <w:p w14:paraId="06AD0034" w14:textId="6A7F09FA" w:rsidR="009E2EE8" w:rsidRPr="009E2EE8" w:rsidRDefault="009E2EE8" w:rsidP="009E2EE8">
      <w:pPr>
        <w:spacing w:after="240" w:line="276" w:lineRule="auto"/>
        <w:rPr>
          <w:rFonts w:cstheme="minorHAnsi"/>
        </w:rPr>
      </w:pPr>
      <w:r w:rsidRPr="009E2EE8">
        <w:rPr>
          <w:rFonts w:cstheme="minorHAnsi"/>
        </w:rPr>
        <w:t xml:space="preserve">Both </w:t>
      </w:r>
      <w:r w:rsidR="00575EF1">
        <w:rPr>
          <w:rFonts w:cstheme="minorHAnsi"/>
        </w:rPr>
        <w:t>li-ion</w:t>
      </w:r>
      <w:r w:rsidRPr="009E2EE8">
        <w:rPr>
          <w:rFonts w:cstheme="minorHAnsi"/>
        </w:rPr>
        <w:t xml:space="preserve"> and </w:t>
      </w:r>
      <w:r w:rsidR="00575EF1">
        <w:rPr>
          <w:rFonts w:cstheme="minorHAnsi"/>
        </w:rPr>
        <w:t>lead-acid</w:t>
      </w:r>
      <w:r w:rsidRPr="009E2EE8">
        <w:rPr>
          <w:rFonts w:cstheme="minorHAnsi"/>
        </w:rPr>
        <w:t xml:space="preserve"> batteries are commonly sourced from China when dealing with smaller (</w:t>
      </w:r>
      <w:proofErr w:type="spellStart"/>
      <w:r w:rsidRPr="009E2EE8">
        <w:rPr>
          <w:rFonts w:cstheme="minorHAnsi"/>
        </w:rPr>
        <w:t>pico</w:t>
      </w:r>
      <w:proofErr w:type="spellEnd"/>
      <w:r w:rsidRPr="009E2EE8">
        <w:rPr>
          <w:rFonts w:cstheme="minorHAnsi"/>
        </w:rPr>
        <w:t xml:space="preserve">) applications, although India has its own </w:t>
      </w:r>
      <w:r w:rsidR="00BF0D15">
        <w:rPr>
          <w:color w:val="000000" w:themeColor="text1"/>
          <w:szCs w:val="20"/>
        </w:rPr>
        <w:t xml:space="preserve">lead-acid </w:t>
      </w:r>
      <w:r w:rsidRPr="009E2EE8">
        <w:rPr>
          <w:rFonts w:cstheme="minorHAnsi"/>
        </w:rPr>
        <w:t xml:space="preserve">battery suppliers serving the domestic market. It is expected that China’s dominance in manufacture could decrease over time owing to tighter regulations and increasing wages. Whereas </w:t>
      </w:r>
      <w:proofErr w:type="spellStart"/>
      <w:r w:rsidRPr="009E2EE8">
        <w:rPr>
          <w:rFonts w:cstheme="minorHAnsi"/>
        </w:rPr>
        <w:t>pico</w:t>
      </w:r>
      <w:proofErr w:type="spellEnd"/>
      <w:r w:rsidRPr="009E2EE8">
        <w:rPr>
          <w:rFonts w:cstheme="minorHAnsi"/>
        </w:rPr>
        <w:t xml:space="preserve">-size products are often sold as integrated systems, larger systems tend to be less readily available as integrated products, since they require higher levels of </w:t>
      </w:r>
      <w:proofErr w:type="spellStart"/>
      <w:r w:rsidRPr="009E2EE8">
        <w:rPr>
          <w:rFonts w:cstheme="minorHAnsi"/>
        </w:rPr>
        <w:t>customisation</w:t>
      </w:r>
      <w:proofErr w:type="spellEnd"/>
      <w:r w:rsidRPr="009E2EE8">
        <w:rPr>
          <w:rFonts w:cstheme="minorHAnsi"/>
        </w:rPr>
        <w:t xml:space="preserve">, which can lead to a variety of problems around ensuring full compatibility between different system components such as battery packs, management systems and inverters. </w:t>
      </w:r>
    </w:p>
    <w:p w14:paraId="7227188D" w14:textId="77777777" w:rsidR="009E2EE8" w:rsidRPr="009E2EE8" w:rsidRDefault="009E2EE8" w:rsidP="009E2EE8">
      <w:pPr>
        <w:spacing w:after="240" w:line="276" w:lineRule="auto"/>
        <w:rPr>
          <w:rFonts w:cstheme="minorHAnsi"/>
        </w:rPr>
      </w:pPr>
      <w:r w:rsidRPr="009E2EE8">
        <w:rPr>
          <w:rFonts w:cstheme="minorHAnsi"/>
        </w:rPr>
        <w:t xml:space="preserve">In spite of there being a growing and increasingly cost-effective market for off-grid storage systems of many sizes to suit many applications, a number of government and other public interventions are recommended so as to further develop this market. Of most concern is the widespread lack of end-of-life procedures and protocols to either dispose of or recycle batteries, an area which requires immediate focus and attention. </w:t>
      </w:r>
    </w:p>
    <w:p w14:paraId="15CC1030" w14:textId="77777777" w:rsidR="009E2EE8" w:rsidRDefault="009E2EE8" w:rsidP="00C82A25">
      <w:pPr>
        <w:rPr>
          <w:b/>
        </w:rPr>
      </w:pPr>
    </w:p>
    <w:p w14:paraId="6513A760" w14:textId="77777777" w:rsidR="00C03B6C" w:rsidRDefault="00C03B6C" w:rsidP="00C82A25">
      <w:pPr>
        <w:rPr>
          <w:b/>
        </w:rPr>
      </w:pPr>
    </w:p>
    <w:p w14:paraId="3E08F3B4" w14:textId="77777777" w:rsidR="00C03B6C" w:rsidRDefault="00C03B6C" w:rsidP="00C82A25">
      <w:pPr>
        <w:rPr>
          <w:b/>
        </w:rPr>
      </w:pPr>
    </w:p>
    <w:p w14:paraId="270ECEDD" w14:textId="77777777" w:rsidR="00635778" w:rsidRDefault="00635778" w:rsidP="00805348">
      <w:pPr>
        <w:widowControl w:val="0"/>
        <w:autoSpaceDE w:val="0"/>
        <w:autoSpaceDN w:val="0"/>
        <w:adjustRightInd w:val="0"/>
        <w:spacing w:line="240" w:lineRule="auto"/>
        <w:rPr>
          <w:rFonts w:cstheme="minorHAnsi"/>
          <w:b/>
          <w:color w:val="000000" w:themeColor="text1"/>
        </w:rPr>
      </w:pPr>
      <w:r>
        <w:rPr>
          <w:rFonts w:cstheme="minorHAnsi"/>
          <w:b/>
          <w:color w:val="000000" w:themeColor="text1"/>
        </w:rPr>
        <w:t>Acknowledgements</w:t>
      </w:r>
    </w:p>
    <w:p w14:paraId="143CC1FD" w14:textId="2267D3F8" w:rsidR="00635778" w:rsidRPr="00635778" w:rsidRDefault="00635778" w:rsidP="00805348">
      <w:pPr>
        <w:widowControl w:val="0"/>
        <w:autoSpaceDE w:val="0"/>
        <w:autoSpaceDN w:val="0"/>
        <w:adjustRightInd w:val="0"/>
        <w:spacing w:line="240" w:lineRule="auto"/>
        <w:rPr>
          <w:rFonts w:cstheme="minorHAnsi"/>
          <w:color w:val="000000" w:themeColor="text1"/>
        </w:rPr>
      </w:pPr>
      <w:r>
        <w:rPr>
          <w:rFonts w:cstheme="minorHAnsi"/>
          <w:color w:val="000000" w:themeColor="text1"/>
        </w:rPr>
        <w:t xml:space="preserve">The authors would like to acknowledge Shell Foundation </w:t>
      </w:r>
      <w:r w:rsidR="00F83AAC">
        <w:rPr>
          <w:rFonts w:cstheme="minorHAnsi"/>
          <w:color w:val="000000" w:themeColor="text1"/>
        </w:rPr>
        <w:t xml:space="preserve">and </w:t>
      </w:r>
      <w:r w:rsidR="00F83AAC">
        <w:t xml:space="preserve">Imperial College Grantham Institute </w:t>
      </w:r>
      <w:r>
        <w:rPr>
          <w:rFonts w:cstheme="minorHAnsi"/>
          <w:color w:val="000000" w:themeColor="text1"/>
        </w:rPr>
        <w:t>for their support of this research</w:t>
      </w:r>
      <w:r w:rsidR="00F83AAC">
        <w:rPr>
          <w:rFonts w:cstheme="minorHAnsi"/>
          <w:color w:val="000000" w:themeColor="text1"/>
        </w:rPr>
        <w:t>. SF would like to acknowledge</w:t>
      </w:r>
      <w:r w:rsidR="00F83AAC" w:rsidRPr="00F83AAC">
        <w:rPr>
          <w:rFonts w:cstheme="minorHAnsi"/>
          <w:color w:val="000000" w:themeColor="text1"/>
        </w:rPr>
        <w:t xml:space="preserve"> the support of</w:t>
      </w:r>
      <w:r w:rsidR="00F83AAC">
        <w:rPr>
          <w:rFonts w:cstheme="minorHAnsi"/>
          <w:color w:val="000000" w:themeColor="text1"/>
        </w:rPr>
        <w:t xml:space="preserve"> </w:t>
      </w:r>
      <w:r w:rsidR="00F83AAC" w:rsidRPr="00F83AAC">
        <w:rPr>
          <w:rFonts w:cstheme="minorHAnsi"/>
          <w:color w:val="000000" w:themeColor="text1"/>
        </w:rPr>
        <w:t>the UK Engineering and Physical Sciences Research Council through the</w:t>
      </w:r>
      <w:r w:rsidR="00F83AAC">
        <w:rPr>
          <w:rFonts w:cstheme="minorHAnsi"/>
          <w:color w:val="000000" w:themeColor="text1"/>
        </w:rPr>
        <w:t xml:space="preserve"> </w:t>
      </w:r>
      <w:r w:rsidR="00F83AAC" w:rsidRPr="00F83AAC">
        <w:rPr>
          <w:rFonts w:cstheme="minorHAnsi"/>
          <w:color w:val="000000" w:themeColor="text1"/>
        </w:rPr>
        <w:t>Joint UK-India Clean Energy</w:t>
      </w:r>
      <w:r w:rsidR="00F83AAC">
        <w:rPr>
          <w:rFonts w:cstheme="minorHAnsi"/>
          <w:color w:val="000000" w:themeColor="text1"/>
        </w:rPr>
        <w:t xml:space="preserve"> C</w:t>
      </w:r>
      <w:r w:rsidR="00F83AAC" w:rsidRPr="00F83AAC">
        <w:rPr>
          <w:rFonts w:cstheme="minorHAnsi"/>
          <w:color w:val="000000" w:themeColor="text1"/>
        </w:rPr>
        <w:t>entre (EP/P003605).</w:t>
      </w:r>
      <w:r w:rsidR="00464CD1">
        <w:rPr>
          <w:rFonts w:cstheme="minorHAnsi"/>
          <w:color w:val="000000" w:themeColor="text1"/>
        </w:rPr>
        <w:t xml:space="preserve"> </w:t>
      </w:r>
      <w:r w:rsidR="00464CD1">
        <w:rPr>
          <w:rFonts w:ascii="Calibri" w:eastAsia="Times New Roman" w:hAnsi="Calibri" w:cs="Times New Roman"/>
        </w:rPr>
        <w:t>OS would like to acknowledge support from the Imperial College Grantham Institute for his PhD research.</w:t>
      </w:r>
      <w:r w:rsidR="00F83AAC">
        <w:rPr>
          <w:rFonts w:cstheme="minorHAnsi"/>
          <w:color w:val="000000" w:themeColor="text1"/>
        </w:rPr>
        <w:t xml:space="preserve"> We</w:t>
      </w:r>
      <w:r>
        <w:rPr>
          <w:rFonts w:cstheme="minorHAnsi"/>
          <w:color w:val="000000" w:themeColor="text1"/>
        </w:rPr>
        <w:t xml:space="preserve"> would like to thank Emma Stephenson, Amanda </w:t>
      </w:r>
      <w:proofErr w:type="spellStart"/>
      <w:r>
        <w:rPr>
          <w:rFonts w:cstheme="minorHAnsi"/>
          <w:color w:val="000000" w:themeColor="text1"/>
        </w:rPr>
        <w:t>Delcore</w:t>
      </w:r>
      <w:proofErr w:type="spellEnd"/>
      <w:r>
        <w:rPr>
          <w:rFonts w:cstheme="minorHAnsi"/>
          <w:color w:val="000000" w:themeColor="text1"/>
        </w:rPr>
        <w:t>, Phil</w:t>
      </w:r>
      <w:r w:rsidR="00F83AAC">
        <w:rPr>
          <w:rFonts w:cstheme="minorHAnsi"/>
          <w:color w:val="000000" w:themeColor="text1"/>
        </w:rPr>
        <w:t>lip</w:t>
      </w:r>
      <w:r>
        <w:rPr>
          <w:rFonts w:cstheme="minorHAnsi"/>
          <w:color w:val="000000" w:themeColor="text1"/>
        </w:rPr>
        <w:t xml:space="preserve"> Sandwell, and Alyssa Gilbert for useful discussions helping to frame an</w:t>
      </w:r>
      <w:r w:rsidR="00F83AAC">
        <w:rPr>
          <w:rFonts w:cstheme="minorHAnsi"/>
          <w:color w:val="000000" w:themeColor="text1"/>
        </w:rPr>
        <w:t>d interpret research questions. Finally, we would like to thank all interviewees for kindly giving their time for this study.</w:t>
      </w:r>
    </w:p>
    <w:p w14:paraId="74986613" w14:textId="1CE70691" w:rsidR="00813D21" w:rsidRDefault="00C82A25" w:rsidP="00AA4E4C">
      <w:pPr>
        <w:pStyle w:val="Heading3"/>
        <w:rPr>
          <w:rFonts w:asciiTheme="minorHAnsi" w:eastAsiaTheme="minorHAnsi" w:hAnsiTheme="minorHAnsi" w:cstheme="minorHAnsi"/>
          <w:b/>
          <w:color w:val="000000" w:themeColor="text1"/>
          <w:sz w:val="22"/>
          <w:szCs w:val="22"/>
          <w:lang w:val="en-US"/>
        </w:rPr>
      </w:pPr>
      <w:r w:rsidRPr="00AA4E4C">
        <w:rPr>
          <w:rFonts w:cstheme="minorHAnsi"/>
          <w:b/>
          <w:color w:val="000000" w:themeColor="text1"/>
        </w:rPr>
        <w:t>References</w:t>
      </w:r>
    </w:p>
    <w:p w14:paraId="1590CDEF" w14:textId="77777777" w:rsidR="00813D21" w:rsidRPr="00805348" w:rsidRDefault="00813D21" w:rsidP="00805348"/>
    <w:p w14:paraId="5858DDF9" w14:textId="6E6A3586" w:rsidR="000D6695" w:rsidRPr="000D6695" w:rsidRDefault="00813D21" w:rsidP="000D6695">
      <w:pPr>
        <w:widowControl w:val="0"/>
        <w:autoSpaceDE w:val="0"/>
        <w:autoSpaceDN w:val="0"/>
        <w:adjustRightInd w:val="0"/>
        <w:spacing w:line="240" w:lineRule="auto"/>
        <w:ind w:left="480" w:hanging="480"/>
        <w:rPr>
          <w:rFonts w:ascii="Calibri" w:hAnsi="Calibri" w:cs="Times New Roman"/>
          <w:noProof/>
          <w:szCs w:val="24"/>
        </w:rPr>
      </w:pPr>
      <w:r>
        <w:rPr>
          <w:b/>
        </w:rPr>
        <w:fldChar w:fldCharType="begin" w:fldLock="1"/>
      </w:r>
      <w:r>
        <w:rPr>
          <w:b/>
        </w:rPr>
        <w:instrText xml:space="preserve">ADDIN Mendeley Bibliography CSL_BIBLIOGRAPHY </w:instrText>
      </w:r>
      <w:r>
        <w:rPr>
          <w:b/>
        </w:rPr>
        <w:fldChar w:fldCharType="separate"/>
      </w:r>
      <w:r w:rsidR="000D6695" w:rsidRPr="000D6695">
        <w:rPr>
          <w:rFonts w:ascii="Calibri" w:hAnsi="Calibri" w:cs="Times New Roman"/>
          <w:noProof/>
          <w:szCs w:val="24"/>
        </w:rPr>
        <w:t>Aneke, M., Wang, M., 2016. Energy storage technologies and real life applications – A state of the art review. Appl. Energy 179, 350–377. doi:10.1016/j.apenergy.2016.06.097</w:t>
      </w:r>
    </w:p>
    <w:p w14:paraId="64487B63"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Balance of Storage Systems, 2018. DC Hybrid Storage Systems [WWW Document]. URL https://www.bos-ag.com/products/dc-hybrid-storage-systems (accessed 9.25.18).</w:t>
      </w:r>
    </w:p>
    <w:p w14:paraId="4BB26E50"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Cluzel, C., Douglas, C., 2012. Cost and performance of EV batteries: Final report for The Committee on Climate Change 21.</w:t>
      </w:r>
    </w:p>
    <w:p w14:paraId="173EDBBD"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Cover, M., 2018. Better Solar Network, in: 7th Low Carbon Energy For Development Network Conference, Loughborough.</w:t>
      </w:r>
    </w:p>
    <w:p w14:paraId="6180B1FB"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Cross, J., Murray, D., 2018. The afterlives of solar power: Waste and repair off the grid in Kenya. Energy Res. Soc. Sci. 44, 100–109. doi:10.1016/j.erss.2018.04.034</w:t>
      </w:r>
    </w:p>
    <w:p w14:paraId="2138DF99"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Dinger, A., Martin, R., Mosquet, X., Rabl, M., Rizoulis, D., Russo, M., Sticher, G., 2010. Focus Batteries for Electric Cars. Bost. Consult. Gr. 1–18.</w:t>
      </w:r>
    </w:p>
    <w:p w14:paraId="1DE6BC43"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Few, S., Schmidt, O., Offer, G.J., Brandon, N., Nelson, J., Gambhir, A., 2018. Prospective improvements in cost and cycle life of off-grid lithium-ion battery packs: An analysis informed by expert elicitations. Energy Policy 114, 578–590. doi:10.1016/j.enpol.2017.12.033</w:t>
      </w:r>
    </w:p>
    <w:p w14:paraId="37D11B5A"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Frith, J., 2017. 2017 Lithium-ion Battery Price Survey. Bloom. New Energy Financ.</w:t>
      </w:r>
    </w:p>
    <w:p w14:paraId="6C130A55"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Gaines, L., 2014. Sustainable Materials and Technologies The future of automotive lithium-ion battery recycling : Charting a sustainable course. Sustain. Mater. Technol. 1–2, 2–7. doi:10.1016/j.susmat.2014.10.001</w:t>
      </w:r>
    </w:p>
    <w:p w14:paraId="31805963"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Gustavsson, M., 2007. Educational benefits from solar technology—Access to solar electric services and changes in children’s study routines, experiences from eastern province Zambia. Energy Policy 35, 1292–1299. doi:10.1016/J.ENPOL.2006.03.019</w:t>
      </w:r>
    </w:p>
    <w:p w14:paraId="23F20435"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Haefliger, P., Mathieu-Nolf, M., Lociciro, S., Ndiaye, C., Coly, M., Diouf, A., Faye, A.L., Sow, A., Tempowski, J., Pronczuk, J., Filipe, A.P., Bertollini, R., Neira, M., 2009. Mass lead intoxication from informal used lead-acid battery recycling in Dakar, Senegal. Environ. Health Perspect. 117, 1535–1540. doi:10.1289/ehp.0900696</w:t>
      </w:r>
    </w:p>
    <w:p w14:paraId="1698258C"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 xml:space="preserve">Hanna, R., Gross, R., Speirs, J., Heptonstall, P., Gambhir, A., 2015. Assessment Innovation timelines from </w:t>
      </w:r>
      <w:r w:rsidRPr="000D6695">
        <w:rPr>
          <w:rFonts w:ascii="Calibri" w:hAnsi="Calibri" w:cs="Times New Roman"/>
          <w:noProof/>
          <w:szCs w:val="24"/>
        </w:rPr>
        <w:lastRenderedPageBreak/>
        <w:t>invention to maturity. UKERC Technol. Policy Assess.</w:t>
      </w:r>
    </w:p>
    <w:p w14:paraId="65E5197D"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Holmes, J., 2017. The Smart Villages Initiative: Findings 2014-2017, Smart Villages Program: Energy as a catalyst for development.</w:t>
      </w:r>
    </w:p>
    <w:p w14:paraId="210FC201"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International Energy Agency, 2014. Electricity Storage: Costs, Value, and Competitiveness. Energy Technol. Perspect. 239–276.</w:t>
      </w:r>
    </w:p>
    <w:p w14:paraId="749261EC"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Kempener, R., Lavagne, O., Saygin, D., Skeer, J., Vinci, S., Gielen, D., 2015. Off-Grid Renewable Energy Systems: Status And Methodological Issues. IRENA Work. Pap.</w:t>
      </w:r>
    </w:p>
    <w:p w14:paraId="2EC39877"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Ketelson, T., 2018. The potential for advanced battery storage in minigrids (AMPERES). 7th Low Carbon energy Dev. Netw. Conf. Loughbrgh.</w:t>
      </w:r>
    </w:p>
    <w:p w14:paraId="20BCDF21"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Kleinberg, M., 2016. Battery Energy Storage Study for the 2017 IRP. Pacificorp.</w:t>
      </w:r>
    </w:p>
    <w:p w14:paraId="08C8BCEC"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Kumar, A., 2018. Energy Research &amp; Social Science Justice and politics in energy access for education , livelihoods and health : How socio-cultural processes mediate the winners and losers. Energy Res. Soc. Sci. 40, 3–13. doi:10.1016/j.erss.2017.11.029</w:t>
      </w:r>
    </w:p>
    <w:p w14:paraId="18046B99"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Lepicard, F., Kayser, O., Graf, J., Brossard, S., Darodes de Tailly, A., McGrath, L.K., 2017. Reaching scale in access to energy: Lessons from practitioners. Hystra.</w:t>
      </w:r>
    </w:p>
    <w:p w14:paraId="7CA09975"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Luo, X., Wang, J., Dooner, M., Clarke, J., 2015. Overview of current development in electrical energy storage technologies and the application potential in power system operation. Appl. Energy 137, 511–536. doi:10.1016/j.apenergy.2014.09.081</w:t>
      </w:r>
    </w:p>
    <w:p w14:paraId="382C0548"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Mahlia, T.M.I., Saktisahdan, T.J., Jannifar, A., Hasan, M.H., Matseelar, H.S.C., 2014. A review of available methods and development on energy storage; technology update. Renew. Sustain. Energy Rev. 33, 532–545. doi:10.1016/j.rser.2014.01.068</w:t>
      </w:r>
    </w:p>
    <w:p w14:paraId="0BD364AA"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Mandelli, S., Barbieri, J., Mereu, R., Colombo, E., 2016. Off-grid systems for rural electrification in developing countries: Definitions, classification and a comprehensive literature review. Renew. Sustain. Energy Rev. 58, 1621–1646. doi:10.1016/j.rser.2015.12.338</w:t>
      </w:r>
    </w:p>
    <w:p w14:paraId="47C98880"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Matteson, S., Williams, E., 2015. Residual learning rates in lead-acid batteries: Effects on emerging technologies. Energy Policy 85, 71–79. doi:http://dx.doi.org/10.1016/j.enpol.2015.05.014</w:t>
      </w:r>
    </w:p>
    <w:p w14:paraId="19867FED"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Nykvist, B., Nilsson, M., 2015. Rapidly falling costs of battery packs for electric vehicles. Nat. Clim. Chang. 5, 329–332. doi:10.1038/nclimate2564</w:t>
      </w:r>
    </w:p>
    <w:p w14:paraId="57E67060"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Obeng, G.Y., Akuffo, F.O., Braimah, I., Evers, H.-D., Mensah, E., 2008. Impact of solar photovoltaic lighting on indoor air smoke in off-grid rural Ghana. Energy Sustain. Dev. 12, 55–61. doi:10.1016/S0973-0826(08)60419-6</w:t>
      </w:r>
    </w:p>
    <w:p w14:paraId="3E720571"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Off Grid Solar Scorecard, 2018. Off Grid Solar Scorecard [WWW Document]. URL http://www.offgridsolarscorecard.com</w:t>
      </w:r>
    </w:p>
    <w:p w14:paraId="37478F7A"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Palit, D., 2013. Solar energy programs for rural electrification: Experiences and lessons from South Asia. Energy Sustain. Dev. 17, 270–279. doi:10.1016/j.esd.2013.01.002</w:t>
      </w:r>
    </w:p>
    <w:p w14:paraId="4F58037A"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Palomares, V., Casas-cabanas, M., Catillo-Martinez, E., Han, M.H., Rojo, T., 2013. Update on Na-based battery materials. A growing research path. Energy Environ. Sci. 2312. doi:10.1039/c3ee41031e</w:t>
      </w:r>
    </w:p>
    <w:p w14:paraId="7E8A3615"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 xml:space="preserve">Pang, Q., Liang, X., Kwok, C.Y., Nazar, L.F., 2016. Advances in lithium–sulfur batteries based on </w:t>
      </w:r>
      <w:r w:rsidRPr="000D6695">
        <w:rPr>
          <w:rFonts w:ascii="Calibri" w:hAnsi="Calibri" w:cs="Times New Roman"/>
          <w:noProof/>
          <w:szCs w:val="24"/>
        </w:rPr>
        <w:lastRenderedPageBreak/>
        <w:t>multifunctional cathodes and electrolytes. Nat. Energy 1, 16132. doi:10.1038/nenergy.2016.132</w:t>
      </w:r>
    </w:p>
    <w:p w14:paraId="1749D0DF"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Pelz, S., Pachauri, S., Groh, S., 2018. A critical review of modern approaches for multidimensional energy poverty measurement. Wiley Interdiscip. Rev. Energy Environ. e304. doi:10.1002/wene.304</w:t>
      </w:r>
    </w:p>
    <w:p w14:paraId="05DEBDA0"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Réseau sur le stockage électrochimique de l’énergie (RS2E), 2015. Na-ion batteries: a promising prototype! [WWW Document]. RS2E News. URL http://www.energie-rs2e.com/en/news/na-ion-batteries-promising-prototype (accessed 1.24.17).</w:t>
      </w:r>
    </w:p>
    <w:p w14:paraId="4D1D68F5"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Riva, F., Ahlborg, H., Hartvigsson, E., Pachauri, S., Colombo, E., 2018. Electricity access and rural development: Review of complex socio-economic dynamics and causal diagrams for more appropriate energy modelling. Energy Sustain. Dev. 43, 203–223. doi:10.1016/J.ESD.2018.02.003</w:t>
      </w:r>
    </w:p>
    <w:p w14:paraId="7C5063EE"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Rollin, H.B., Mathee, A., Bruce, N., Levin, J., von Schirnding, Y.E.R., 2004. Comparison of indoor air quality in electrified and un-electrified dwellings in rural South African villages. Indoor Air 14, 208–216. doi:10.1111/j.1600-0668.2004.00238.x</w:t>
      </w:r>
    </w:p>
    <w:p w14:paraId="33169500"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Sandwell, P., Chan, N.L.A., Foster, S., Nagpal, D., Emmott, C.J.M., Candelise, C., Buckle, S.J., Ekins-Daukes, N., Gambhir, A., Nelson, J., 2016. Off-grid solar photovoltaic systems for rural electrification and emissions mitigation in India. Sol. Energy Mater. Sol. Cells 156, 147–156. doi:10.1016/j.solmat.2016.04.030</w:t>
      </w:r>
    </w:p>
    <w:p w14:paraId="045EFE4A"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Schmidt, O., Hawkes, A., Gambhir, A., Staffell, I., 2017. The future cost of electrical energy storage based on experience curves. Nat. Energy 2, 17110. doi:10.1038/nenergy.2017.110</w:t>
      </w:r>
    </w:p>
    <w:p w14:paraId="4B4E15D4"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Siemens, 2014. Safe Lithium Batteries with a Long Service Life [WWW Document]. URL www.siemens.com/press/en/presspicture/innovationnews/2014/in20140901-01.htm</w:t>
      </w:r>
    </w:p>
    <w:p w14:paraId="0DA841A8"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Sovacool, B.K., Ryan, S.E., 2016. The geography of energy and education: Leaders, laggards, and lessons for achieving primary and secondary school electrification. Renew. Sustain. Energy Rev. 58, 107–123. doi:10.1016/J.RSER.2015.12.219</w:t>
      </w:r>
    </w:p>
    <w:p w14:paraId="0AEB8321"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Szabó, S., Bódis, K., Huld, T., Moner-Girona, M., 2011. Energy solutions in rural Africa: mapping electrification costs of distributed solar and diesel generation versus grid extension. Environ. Res. Lett. 6, 34002. doi:10.1088/1748-9326/6/3/034002</w:t>
      </w:r>
    </w:p>
    <w:p w14:paraId="08124C34"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Winskel, M., Radcliffe, J., 2014. The rise of accelerated energy innovation and its implications for sustainable innovation studies: A UK perspective. Sci. Technol. Stud. 27, 8–33.</w:t>
      </w:r>
    </w:p>
    <w:p w14:paraId="410217BE"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Worland, J., 2016. How Lead Poisoning Is Devastating Countries Around the World. Time Mag.</w:t>
      </w:r>
    </w:p>
    <w:p w14:paraId="0855BE5A"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World Economic Forum, 2016. Internet for All: A Framework for Accelerating Internet Access and Adoption.</w:t>
      </w:r>
    </w:p>
    <w:p w14:paraId="5C742C81" w14:textId="77777777" w:rsidR="000D6695" w:rsidRPr="000D6695" w:rsidRDefault="000D6695" w:rsidP="000D6695">
      <w:pPr>
        <w:widowControl w:val="0"/>
        <w:autoSpaceDE w:val="0"/>
        <w:autoSpaceDN w:val="0"/>
        <w:adjustRightInd w:val="0"/>
        <w:spacing w:line="240" w:lineRule="auto"/>
        <w:ind w:left="480" w:hanging="480"/>
        <w:rPr>
          <w:rFonts w:ascii="Calibri" w:hAnsi="Calibri" w:cs="Times New Roman"/>
          <w:noProof/>
          <w:szCs w:val="24"/>
        </w:rPr>
      </w:pPr>
      <w:r w:rsidRPr="000D6695">
        <w:rPr>
          <w:rFonts w:ascii="Calibri" w:hAnsi="Calibri" w:cs="Times New Roman"/>
          <w:noProof/>
          <w:szCs w:val="24"/>
        </w:rPr>
        <w:t>World Health Organisation, 2018. Lead Poisoning and Health [WWW Document]. URL http://www.who.int/en/news-room/fact-sheets/detail/lead-poisoning-and-health</w:t>
      </w:r>
    </w:p>
    <w:p w14:paraId="6FDC3856" w14:textId="77777777" w:rsidR="000D6695" w:rsidRPr="000D6695" w:rsidRDefault="000D6695" w:rsidP="000D6695">
      <w:pPr>
        <w:widowControl w:val="0"/>
        <w:autoSpaceDE w:val="0"/>
        <w:autoSpaceDN w:val="0"/>
        <w:adjustRightInd w:val="0"/>
        <w:spacing w:line="240" w:lineRule="auto"/>
        <w:ind w:left="480" w:hanging="480"/>
        <w:rPr>
          <w:rFonts w:ascii="Calibri" w:hAnsi="Calibri"/>
          <w:noProof/>
        </w:rPr>
      </w:pPr>
      <w:r w:rsidRPr="000D6695">
        <w:rPr>
          <w:rFonts w:ascii="Calibri" w:hAnsi="Calibri" w:cs="Times New Roman"/>
          <w:noProof/>
          <w:szCs w:val="24"/>
        </w:rPr>
        <w:t>Zahnd, A., Kimber, H.M., 2009. Benefits from a renewable energy village electrification system. Renew. Energy 34, 362–368. doi:10.1016/J.RENENE.2008.05.011</w:t>
      </w:r>
    </w:p>
    <w:p w14:paraId="61C6B6C8" w14:textId="4D1AF85C" w:rsidR="00AA4E4C" w:rsidRDefault="00813D21" w:rsidP="000D6695">
      <w:pPr>
        <w:widowControl w:val="0"/>
        <w:autoSpaceDE w:val="0"/>
        <w:autoSpaceDN w:val="0"/>
        <w:adjustRightInd w:val="0"/>
        <w:spacing w:line="240" w:lineRule="auto"/>
        <w:ind w:left="480" w:hanging="480"/>
      </w:pPr>
      <w:r>
        <w:fldChar w:fldCharType="end"/>
      </w:r>
    </w:p>
    <w:p w14:paraId="76F5D4AE" w14:textId="77777777" w:rsidR="00813D21" w:rsidRDefault="00813D21">
      <w:pPr>
        <w:rPr>
          <w:rFonts w:eastAsiaTheme="majorEastAsia" w:cstheme="minorHAnsi"/>
          <w:b/>
          <w:color w:val="000000" w:themeColor="text1"/>
          <w:szCs w:val="24"/>
          <w:lang w:val="en-GB"/>
        </w:rPr>
      </w:pPr>
      <w:r>
        <w:rPr>
          <w:rFonts w:cstheme="minorHAnsi"/>
          <w:b/>
          <w:color w:val="000000" w:themeColor="text1"/>
        </w:rPr>
        <w:br w:type="page"/>
      </w:r>
    </w:p>
    <w:p w14:paraId="55BB45F2" w14:textId="6F38F402" w:rsidR="00C82A25" w:rsidRDefault="00217746" w:rsidP="00AA4E4C">
      <w:pPr>
        <w:pStyle w:val="Heading3"/>
        <w:rPr>
          <w:rFonts w:asciiTheme="minorHAnsi" w:hAnsiTheme="minorHAnsi" w:cstheme="minorHAnsi"/>
          <w:b/>
          <w:color w:val="000000" w:themeColor="text1"/>
          <w:sz w:val="22"/>
        </w:rPr>
      </w:pPr>
      <w:r>
        <w:rPr>
          <w:rFonts w:asciiTheme="minorHAnsi" w:hAnsiTheme="minorHAnsi" w:cstheme="minorHAnsi"/>
          <w:b/>
          <w:color w:val="000000" w:themeColor="text1"/>
          <w:sz w:val="22"/>
        </w:rPr>
        <w:lastRenderedPageBreak/>
        <w:t>Annex</w:t>
      </w:r>
      <w:r w:rsidR="00AA4E4C" w:rsidRPr="00AA4E4C">
        <w:rPr>
          <w:rFonts w:asciiTheme="minorHAnsi" w:hAnsiTheme="minorHAnsi" w:cstheme="minorHAnsi"/>
          <w:b/>
          <w:color w:val="000000" w:themeColor="text1"/>
          <w:sz w:val="22"/>
        </w:rPr>
        <w:t xml:space="preserve"> A</w:t>
      </w:r>
    </w:p>
    <w:p w14:paraId="0C75D684" w14:textId="77777777" w:rsidR="00AA4E4C" w:rsidRPr="00AA4E4C" w:rsidRDefault="00AA4E4C" w:rsidP="00AA4E4C">
      <w:pPr>
        <w:pStyle w:val="NoSpacing"/>
      </w:pPr>
    </w:p>
    <w:tbl>
      <w:tblPr>
        <w:tblStyle w:val="TableGridLight1"/>
        <w:tblW w:w="9345" w:type="dxa"/>
        <w:tblLayout w:type="fixed"/>
        <w:tblLook w:val="04A0" w:firstRow="1" w:lastRow="0" w:firstColumn="1" w:lastColumn="0" w:noHBand="0" w:noVBand="1"/>
      </w:tblPr>
      <w:tblGrid>
        <w:gridCol w:w="1695"/>
        <w:gridCol w:w="5359"/>
        <w:gridCol w:w="2291"/>
      </w:tblGrid>
      <w:tr w:rsidR="00AA4E4C" w:rsidRPr="008A4EC9" w14:paraId="6FDCE36B" w14:textId="77777777" w:rsidTr="008A4EC9">
        <w:trPr>
          <w:trHeight w:val="300"/>
        </w:trPr>
        <w:tc>
          <w:tcPr>
            <w:tcW w:w="1695" w:type="dxa"/>
            <w:noWrap/>
            <w:hideMark/>
          </w:tcPr>
          <w:p w14:paraId="429F3829" w14:textId="77777777" w:rsidR="00AA4E4C" w:rsidRPr="008A4EC9" w:rsidRDefault="00AA4E4C">
            <w:pPr>
              <w:rPr>
                <w:rFonts w:eastAsia="Times New Roman" w:cstheme="minorHAnsi"/>
                <w:b/>
                <w:sz w:val="20"/>
                <w:szCs w:val="20"/>
                <w:lang w:eastAsia="en-GB"/>
              </w:rPr>
            </w:pPr>
            <w:proofErr w:type="spellStart"/>
            <w:r w:rsidRPr="008A4EC9">
              <w:rPr>
                <w:rFonts w:eastAsia="Times New Roman" w:cstheme="minorHAnsi"/>
                <w:b/>
                <w:sz w:val="20"/>
                <w:szCs w:val="20"/>
                <w:lang w:eastAsia="en-GB"/>
              </w:rPr>
              <w:t>Organisation</w:t>
            </w:r>
            <w:proofErr w:type="spellEnd"/>
          </w:p>
        </w:tc>
        <w:tc>
          <w:tcPr>
            <w:tcW w:w="5359" w:type="dxa"/>
            <w:noWrap/>
            <w:hideMark/>
          </w:tcPr>
          <w:p w14:paraId="713A5A41" w14:textId="77777777" w:rsidR="00AA4E4C" w:rsidRPr="008A4EC9" w:rsidRDefault="00AA4E4C">
            <w:pPr>
              <w:rPr>
                <w:rFonts w:eastAsia="Times New Roman" w:cstheme="minorHAnsi"/>
                <w:b/>
                <w:sz w:val="20"/>
                <w:szCs w:val="20"/>
                <w:lang w:eastAsia="en-GB"/>
              </w:rPr>
            </w:pPr>
            <w:r w:rsidRPr="008A4EC9">
              <w:rPr>
                <w:rFonts w:eastAsia="Times New Roman" w:cstheme="minorHAnsi"/>
                <w:b/>
                <w:sz w:val="20"/>
                <w:szCs w:val="20"/>
                <w:lang w:eastAsia="en-GB"/>
              </w:rPr>
              <w:t>Description</w:t>
            </w:r>
          </w:p>
        </w:tc>
        <w:tc>
          <w:tcPr>
            <w:tcW w:w="2291" w:type="dxa"/>
            <w:noWrap/>
            <w:hideMark/>
          </w:tcPr>
          <w:p w14:paraId="66A555E3" w14:textId="77777777" w:rsidR="00AA4E4C" w:rsidRPr="008A4EC9" w:rsidRDefault="00AA4E4C">
            <w:pPr>
              <w:rPr>
                <w:rFonts w:eastAsia="Times New Roman" w:cstheme="minorHAnsi"/>
                <w:b/>
                <w:color w:val="000000"/>
                <w:sz w:val="20"/>
                <w:szCs w:val="20"/>
                <w:lang w:eastAsia="en-GB"/>
              </w:rPr>
            </w:pPr>
            <w:r w:rsidRPr="008A4EC9">
              <w:rPr>
                <w:rFonts w:eastAsia="Times New Roman" w:cstheme="minorHAnsi"/>
                <w:b/>
                <w:color w:val="000000"/>
                <w:sz w:val="20"/>
                <w:szCs w:val="20"/>
                <w:lang w:eastAsia="en-GB"/>
              </w:rPr>
              <w:t>Location</w:t>
            </w:r>
          </w:p>
        </w:tc>
      </w:tr>
      <w:tr w:rsidR="00AA4E4C" w:rsidRPr="008A4EC9" w14:paraId="201A5F3C" w14:textId="77777777" w:rsidTr="008A4EC9">
        <w:trPr>
          <w:trHeight w:val="300"/>
        </w:trPr>
        <w:tc>
          <w:tcPr>
            <w:tcW w:w="1695" w:type="dxa"/>
            <w:noWrap/>
            <w:hideMark/>
          </w:tcPr>
          <w:p w14:paraId="080D66AD" w14:textId="77777777" w:rsidR="00AA4E4C" w:rsidRPr="008A4EC9" w:rsidRDefault="00AA4E4C">
            <w:pPr>
              <w:rPr>
                <w:rFonts w:eastAsia="Times New Roman" w:cstheme="minorHAnsi"/>
                <w:sz w:val="20"/>
                <w:szCs w:val="20"/>
                <w:lang w:eastAsia="en-GB"/>
              </w:rPr>
            </w:pPr>
            <w:r w:rsidRPr="008A4EC9">
              <w:rPr>
                <w:rFonts w:eastAsia="Times New Roman" w:cstheme="minorHAnsi"/>
                <w:sz w:val="20"/>
                <w:szCs w:val="20"/>
                <w:lang w:eastAsia="en-GB"/>
              </w:rPr>
              <w:t>BBOXX</w:t>
            </w:r>
          </w:p>
        </w:tc>
        <w:tc>
          <w:tcPr>
            <w:tcW w:w="5359" w:type="dxa"/>
            <w:noWrap/>
            <w:hideMark/>
          </w:tcPr>
          <w:p w14:paraId="0528B66B"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Designs, manufactures and distributes solar home systems and larger solar systems for productive and business use, including consumer finance component (PAYG). Operates a true data driven business model and aims to replicate this globally. Approach to expansion into new markets; ‘Build-Transfer-Operate’ model takes equity stake in local partner for strategic alignment.</w:t>
            </w:r>
          </w:p>
        </w:tc>
        <w:tc>
          <w:tcPr>
            <w:tcW w:w="2291" w:type="dxa"/>
            <w:noWrap/>
            <w:hideMark/>
          </w:tcPr>
          <w:p w14:paraId="05EAE9DC"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bCs/>
                <w:color w:val="000000"/>
                <w:sz w:val="20"/>
                <w:szCs w:val="20"/>
                <w:lang w:eastAsia="en-GB"/>
              </w:rPr>
              <w:t xml:space="preserve">UK based, sales in 14 countries including experience across East Africa </w:t>
            </w:r>
          </w:p>
        </w:tc>
      </w:tr>
      <w:tr w:rsidR="00AA4E4C" w:rsidRPr="008A4EC9" w14:paraId="5C4F8F08" w14:textId="77777777" w:rsidTr="008A4EC9">
        <w:trPr>
          <w:trHeight w:val="300"/>
        </w:trPr>
        <w:tc>
          <w:tcPr>
            <w:tcW w:w="1695" w:type="dxa"/>
            <w:noWrap/>
            <w:hideMark/>
          </w:tcPr>
          <w:p w14:paraId="2EC4511F" w14:textId="14B197FD" w:rsidR="00AA4E4C" w:rsidRPr="008A4EC9" w:rsidRDefault="00AA4E4C">
            <w:pPr>
              <w:rPr>
                <w:rFonts w:eastAsia="Times New Roman" w:cstheme="minorHAnsi"/>
                <w:sz w:val="20"/>
                <w:szCs w:val="20"/>
                <w:lang w:eastAsia="en-GB"/>
              </w:rPr>
            </w:pPr>
            <w:r w:rsidRPr="008A4EC9">
              <w:rPr>
                <w:rFonts w:eastAsia="Times New Roman" w:cstheme="minorHAnsi"/>
                <w:sz w:val="20"/>
                <w:szCs w:val="20"/>
                <w:lang w:eastAsia="en-GB"/>
              </w:rPr>
              <w:t xml:space="preserve">BOS AG      </w:t>
            </w:r>
            <w:r w:rsidR="001B26B9" w:rsidRPr="008A4EC9">
              <w:rPr>
                <w:rFonts w:eastAsia="Times New Roman" w:cstheme="minorHAnsi"/>
                <w:sz w:val="20"/>
                <w:szCs w:val="20"/>
                <w:lang w:eastAsia="en-GB"/>
              </w:rPr>
              <w:t>(</w:t>
            </w:r>
            <w:r w:rsidRPr="008A4EC9">
              <w:rPr>
                <w:rFonts w:eastAsia="Times New Roman" w:cstheme="minorHAnsi"/>
                <w:sz w:val="20"/>
                <w:szCs w:val="20"/>
                <w:lang w:eastAsia="en-GB"/>
              </w:rPr>
              <w:t>Balance of Storage Systems AG</w:t>
            </w:r>
            <w:r w:rsidR="001B26B9" w:rsidRPr="008A4EC9">
              <w:rPr>
                <w:rFonts w:eastAsia="Times New Roman" w:cstheme="minorHAnsi"/>
                <w:sz w:val="20"/>
                <w:szCs w:val="20"/>
                <w:lang w:eastAsia="en-GB"/>
              </w:rPr>
              <w:t>)</w:t>
            </w:r>
            <w:r w:rsidRPr="008A4EC9">
              <w:rPr>
                <w:rFonts w:eastAsia="Times New Roman" w:cstheme="minorHAnsi"/>
                <w:sz w:val="20"/>
                <w:szCs w:val="20"/>
                <w:lang w:eastAsia="en-GB"/>
              </w:rPr>
              <w:t xml:space="preserve"> </w:t>
            </w:r>
          </w:p>
        </w:tc>
        <w:tc>
          <w:tcPr>
            <w:tcW w:w="5359" w:type="dxa"/>
            <w:noWrap/>
            <w:hideMark/>
          </w:tcPr>
          <w:p w14:paraId="3C68E150"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 xml:space="preserve">BOS offers smart hybrid energy storage solutions and DC grid technology. With their technologies, large parts of the off-grid community in developing and </w:t>
            </w:r>
            <w:proofErr w:type="spellStart"/>
            <w:r w:rsidRPr="008A4EC9">
              <w:rPr>
                <w:rFonts w:eastAsia="Times New Roman" w:cstheme="minorHAnsi"/>
                <w:color w:val="000000"/>
                <w:sz w:val="20"/>
                <w:szCs w:val="20"/>
                <w:lang w:eastAsia="en-GB"/>
              </w:rPr>
              <w:t>industrialised</w:t>
            </w:r>
            <w:proofErr w:type="spellEnd"/>
            <w:r w:rsidRPr="008A4EC9">
              <w:rPr>
                <w:rFonts w:eastAsia="Times New Roman" w:cstheme="minorHAnsi"/>
                <w:color w:val="000000"/>
                <w:sz w:val="20"/>
                <w:szCs w:val="20"/>
                <w:lang w:eastAsia="en-GB"/>
              </w:rPr>
              <w:t xml:space="preserve"> countries get access to high-quality, long-lasting and affordable energy solutions.</w:t>
            </w:r>
          </w:p>
        </w:tc>
        <w:tc>
          <w:tcPr>
            <w:tcW w:w="2291" w:type="dxa"/>
            <w:noWrap/>
            <w:hideMark/>
          </w:tcPr>
          <w:p w14:paraId="1E9885BE"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bCs/>
                <w:color w:val="000000"/>
                <w:sz w:val="20"/>
                <w:szCs w:val="20"/>
                <w:lang w:eastAsia="en-GB"/>
              </w:rPr>
              <w:t>Based in Germany with system deployed across Africa and India</w:t>
            </w:r>
            <w:r w:rsidRPr="008A4EC9">
              <w:rPr>
                <w:rFonts w:cstheme="minorHAnsi"/>
                <w:color w:val="666666"/>
                <w:sz w:val="20"/>
                <w:szCs w:val="20"/>
                <w:shd w:val="clear" w:color="auto" w:fill="FFFFFF"/>
              </w:rPr>
              <w:t xml:space="preserve"> </w:t>
            </w:r>
          </w:p>
        </w:tc>
      </w:tr>
      <w:tr w:rsidR="00AA4E4C" w:rsidRPr="008A4EC9" w14:paraId="77C0007C" w14:textId="77777777" w:rsidTr="008A4EC9">
        <w:trPr>
          <w:trHeight w:val="300"/>
        </w:trPr>
        <w:tc>
          <w:tcPr>
            <w:tcW w:w="1695" w:type="dxa"/>
            <w:noWrap/>
            <w:hideMark/>
          </w:tcPr>
          <w:p w14:paraId="732F0AE8" w14:textId="77777777" w:rsidR="00AA4E4C" w:rsidRPr="008A4EC9" w:rsidRDefault="00AA4E4C">
            <w:pPr>
              <w:rPr>
                <w:rFonts w:eastAsia="Times New Roman" w:cstheme="minorHAnsi"/>
                <w:sz w:val="20"/>
                <w:szCs w:val="20"/>
                <w:lang w:eastAsia="en-GB"/>
              </w:rPr>
            </w:pPr>
            <w:proofErr w:type="spellStart"/>
            <w:r w:rsidRPr="008A4EC9">
              <w:rPr>
                <w:rFonts w:eastAsia="Times New Roman" w:cstheme="minorHAnsi"/>
                <w:sz w:val="20"/>
                <w:szCs w:val="20"/>
                <w:lang w:eastAsia="en-GB"/>
              </w:rPr>
              <w:t>Crossboundary</w:t>
            </w:r>
            <w:proofErr w:type="spellEnd"/>
            <w:r w:rsidRPr="008A4EC9">
              <w:rPr>
                <w:rFonts w:eastAsia="Times New Roman" w:cstheme="minorHAnsi"/>
                <w:sz w:val="20"/>
                <w:szCs w:val="20"/>
                <w:lang w:eastAsia="en-GB"/>
              </w:rPr>
              <w:t xml:space="preserve"> Energy</w:t>
            </w:r>
          </w:p>
        </w:tc>
        <w:tc>
          <w:tcPr>
            <w:tcW w:w="5359" w:type="dxa"/>
            <w:noWrap/>
            <w:hideMark/>
          </w:tcPr>
          <w:p w14:paraId="6EC260C9"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Invests, builds and operates solar installations for commercial and industrial uses – 0.05Mw-10Mw. Provides long-term power purchase agreements to supply cleaner and cheaper solar energy to established businesses. Aims to reduce buyers electricity cost by 30%+.</w:t>
            </w:r>
          </w:p>
        </w:tc>
        <w:tc>
          <w:tcPr>
            <w:tcW w:w="2291" w:type="dxa"/>
            <w:noWrap/>
            <w:hideMark/>
          </w:tcPr>
          <w:p w14:paraId="3207FEA0"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bCs/>
                <w:color w:val="000000"/>
                <w:sz w:val="20"/>
                <w:szCs w:val="20"/>
                <w:lang w:eastAsia="en-GB"/>
              </w:rPr>
              <w:t>Kenya, Rwanda, Ghana, Nigeria</w:t>
            </w:r>
          </w:p>
        </w:tc>
      </w:tr>
      <w:tr w:rsidR="00AA4E4C" w:rsidRPr="008A4EC9" w14:paraId="1FEAACD3" w14:textId="77777777" w:rsidTr="008A4EC9">
        <w:trPr>
          <w:trHeight w:val="300"/>
        </w:trPr>
        <w:tc>
          <w:tcPr>
            <w:tcW w:w="1695" w:type="dxa"/>
            <w:noWrap/>
            <w:hideMark/>
          </w:tcPr>
          <w:p w14:paraId="1BDF9660" w14:textId="77777777" w:rsidR="00AA4E4C" w:rsidRPr="008A4EC9" w:rsidRDefault="00AA4E4C">
            <w:pPr>
              <w:rPr>
                <w:rFonts w:eastAsia="Times New Roman" w:cstheme="minorHAnsi"/>
                <w:sz w:val="20"/>
                <w:szCs w:val="20"/>
                <w:lang w:eastAsia="en-GB"/>
              </w:rPr>
            </w:pPr>
            <w:proofErr w:type="spellStart"/>
            <w:r w:rsidRPr="008A4EC9">
              <w:rPr>
                <w:rFonts w:eastAsia="Times New Roman" w:cstheme="minorHAnsi"/>
                <w:sz w:val="20"/>
                <w:szCs w:val="20"/>
                <w:lang w:eastAsia="en-GB"/>
              </w:rPr>
              <w:t>D.Light</w:t>
            </w:r>
            <w:proofErr w:type="spellEnd"/>
          </w:p>
        </w:tc>
        <w:tc>
          <w:tcPr>
            <w:tcW w:w="5359" w:type="dxa"/>
            <w:noWrap/>
            <w:hideMark/>
          </w:tcPr>
          <w:p w14:paraId="6B98A821" w14:textId="66511596" w:rsidR="00AA4E4C" w:rsidRPr="008A4EC9" w:rsidRDefault="00AA4E4C" w:rsidP="002A1B67">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 xml:space="preserve">Design and manufacture affordable </w:t>
            </w:r>
            <w:proofErr w:type="spellStart"/>
            <w:r w:rsidRPr="008A4EC9">
              <w:rPr>
                <w:rFonts w:eastAsia="Times New Roman" w:cstheme="minorHAnsi"/>
                <w:color w:val="000000"/>
                <w:sz w:val="20"/>
                <w:szCs w:val="20"/>
                <w:lang w:eastAsia="en-GB"/>
              </w:rPr>
              <w:t>pico</w:t>
            </w:r>
            <w:proofErr w:type="spellEnd"/>
            <w:r w:rsidRPr="008A4EC9">
              <w:rPr>
                <w:rFonts w:eastAsia="Times New Roman" w:cstheme="minorHAnsi"/>
                <w:color w:val="000000"/>
                <w:sz w:val="20"/>
                <w:szCs w:val="20"/>
                <w:lang w:eastAsia="en-GB"/>
              </w:rPr>
              <w:t xml:space="preserve"> solar energy products, including P</w:t>
            </w:r>
            <w:r w:rsidR="003E0E39">
              <w:rPr>
                <w:rFonts w:eastAsia="Times New Roman" w:cstheme="minorHAnsi"/>
                <w:color w:val="000000"/>
                <w:sz w:val="20"/>
                <w:szCs w:val="20"/>
                <w:lang w:eastAsia="en-GB"/>
              </w:rPr>
              <w:t xml:space="preserve">AYG option. Expanding range to </w:t>
            </w:r>
            <w:r w:rsidRPr="008A4EC9">
              <w:rPr>
                <w:rFonts w:eastAsia="Times New Roman" w:cstheme="minorHAnsi"/>
                <w:color w:val="000000"/>
                <w:sz w:val="20"/>
                <w:szCs w:val="20"/>
                <w:lang w:eastAsia="en-GB"/>
              </w:rPr>
              <w:t xml:space="preserve">TVs. Innovative distribution models to reach low-income consumers &amp; businesses. </w:t>
            </w:r>
          </w:p>
        </w:tc>
        <w:tc>
          <w:tcPr>
            <w:tcW w:w="2291" w:type="dxa"/>
            <w:noWrap/>
            <w:hideMark/>
          </w:tcPr>
          <w:p w14:paraId="5A76F039"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Global</w:t>
            </w:r>
          </w:p>
        </w:tc>
      </w:tr>
      <w:tr w:rsidR="00AA4E4C" w:rsidRPr="008A4EC9" w14:paraId="6BAC7C8C" w14:textId="77777777" w:rsidTr="008A4EC9">
        <w:trPr>
          <w:trHeight w:val="300"/>
        </w:trPr>
        <w:tc>
          <w:tcPr>
            <w:tcW w:w="1695" w:type="dxa"/>
            <w:noWrap/>
            <w:hideMark/>
          </w:tcPr>
          <w:p w14:paraId="08F4E6A2" w14:textId="77777777" w:rsidR="00AA4E4C" w:rsidRPr="008A4EC9" w:rsidRDefault="00AA4E4C">
            <w:pPr>
              <w:rPr>
                <w:rFonts w:eastAsia="Times New Roman" w:cstheme="minorHAnsi"/>
                <w:sz w:val="20"/>
                <w:szCs w:val="20"/>
                <w:lang w:eastAsia="en-GB"/>
              </w:rPr>
            </w:pPr>
            <w:r w:rsidRPr="008A4EC9">
              <w:rPr>
                <w:rFonts w:eastAsia="Times New Roman" w:cstheme="minorHAnsi"/>
                <w:sz w:val="20"/>
                <w:szCs w:val="20"/>
                <w:lang w:eastAsia="en-GB"/>
              </w:rPr>
              <w:t>GOGLA</w:t>
            </w:r>
          </w:p>
        </w:tc>
        <w:tc>
          <w:tcPr>
            <w:tcW w:w="5359" w:type="dxa"/>
            <w:noWrap/>
            <w:hideMark/>
          </w:tcPr>
          <w:p w14:paraId="36408F5F" w14:textId="77777777" w:rsidR="00AA4E4C" w:rsidRPr="008A4EC9" w:rsidRDefault="00AA4E4C">
            <w:pPr>
              <w:rPr>
                <w:rFonts w:eastAsia="Times New Roman" w:cstheme="minorHAnsi"/>
                <w:sz w:val="20"/>
                <w:szCs w:val="20"/>
                <w:lang w:eastAsia="en-GB"/>
              </w:rPr>
            </w:pPr>
            <w:r w:rsidRPr="008A4EC9">
              <w:rPr>
                <w:rFonts w:eastAsia="Times New Roman" w:cstheme="minorHAnsi"/>
                <w:sz w:val="20"/>
                <w:szCs w:val="20"/>
                <w:lang w:eastAsia="en-GB"/>
              </w:rPr>
              <w:t>Not-for-profit industry association created to accelerate the growth of off-grid energy providers serving low-income households.</w:t>
            </w:r>
          </w:p>
        </w:tc>
        <w:tc>
          <w:tcPr>
            <w:tcW w:w="2291" w:type="dxa"/>
            <w:noWrap/>
            <w:hideMark/>
          </w:tcPr>
          <w:p w14:paraId="65C90407"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 xml:space="preserve">Global </w:t>
            </w:r>
          </w:p>
        </w:tc>
      </w:tr>
      <w:tr w:rsidR="00AA4E4C" w:rsidRPr="008A4EC9" w14:paraId="38B3FAC0" w14:textId="77777777" w:rsidTr="008A4EC9">
        <w:trPr>
          <w:trHeight w:val="300"/>
        </w:trPr>
        <w:tc>
          <w:tcPr>
            <w:tcW w:w="1695" w:type="dxa"/>
            <w:noWrap/>
            <w:hideMark/>
          </w:tcPr>
          <w:p w14:paraId="5332F84D" w14:textId="77777777" w:rsidR="00AA4E4C" w:rsidRPr="008A4EC9" w:rsidRDefault="00AA4E4C">
            <w:pPr>
              <w:rPr>
                <w:rFonts w:eastAsia="Times New Roman" w:cstheme="minorHAnsi"/>
                <w:sz w:val="20"/>
                <w:szCs w:val="20"/>
                <w:lang w:eastAsia="en-GB"/>
              </w:rPr>
            </w:pPr>
            <w:r w:rsidRPr="008A4EC9">
              <w:rPr>
                <w:rFonts w:eastAsia="Times New Roman" w:cstheme="minorHAnsi"/>
                <w:sz w:val="20"/>
                <w:szCs w:val="20"/>
                <w:lang w:eastAsia="en-GB"/>
              </w:rPr>
              <w:t>Husk Power Systems</w:t>
            </w:r>
          </w:p>
        </w:tc>
        <w:tc>
          <w:tcPr>
            <w:tcW w:w="5359" w:type="dxa"/>
            <w:noWrap/>
            <w:hideMark/>
          </w:tcPr>
          <w:p w14:paraId="656C7C1C" w14:textId="77777777" w:rsidR="00AA4E4C" w:rsidRPr="008A4EC9" w:rsidRDefault="00AA4E4C">
            <w:pPr>
              <w:rPr>
                <w:rFonts w:eastAsia="Times New Roman" w:cstheme="minorHAnsi"/>
                <w:sz w:val="20"/>
                <w:szCs w:val="20"/>
                <w:lang w:eastAsia="en-GB"/>
              </w:rPr>
            </w:pPr>
            <w:r w:rsidRPr="008A4EC9">
              <w:rPr>
                <w:rFonts w:eastAsia="Times New Roman" w:cstheme="minorHAnsi"/>
                <w:sz w:val="20"/>
                <w:szCs w:val="20"/>
                <w:lang w:eastAsia="en-GB"/>
              </w:rPr>
              <w:t xml:space="preserve">Designs, builds, owns &amp; operates Solar/Biomass, grid compatible plants, providing 24 hour affordable power to households and businesses. Leader in the sector on experience, scale and unit economics. </w:t>
            </w:r>
          </w:p>
        </w:tc>
        <w:tc>
          <w:tcPr>
            <w:tcW w:w="2291" w:type="dxa"/>
            <w:noWrap/>
            <w:hideMark/>
          </w:tcPr>
          <w:p w14:paraId="0DE22BB8"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 xml:space="preserve">India, Tanzania </w:t>
            </w:r>
          </w:p>
        </w:tc>
      </w:tr>
      <w:tr w:rsidR="00AA4E4C" w:rsidRPr="008A4EC9" w14:paraId="376A000C" w14:textId="77777777" w:rsidTr="008A4EC9">
        <w:trPr>
          <w:trHeight w:val="300"/>
        </w:trPr>
        <w:tc>
          <w:tcPr>
            <w:tcW w:w="1695" w:type="dxa"/>
            <w:noWrap/>
            <w:hideMark/>
          </w:tcPr>
          <w:p w14:paraId="6BA76779" w14:textId="77777777" w:rsidR="00AA4E4C" w:rsidRPr="008A4EC9" w:rsidRDefault="00AA4E4C">
            <w:pPr>
              <w:rPr>
                <w:rFonts w:eastAsia="Times New Roman" w:cstheme="minorHAnsi"/>
                <w:sz w:val="20"/>
                <w:szCs w:val="20"/>
                <w:lang w:eastAsia="en-GB"/>
              </w:rPr>
            </w:pPr>
            <w:proofErr w:type="spellStart"/>
            <w:r w:rsidRPr="008A4EC9">
              <w:rPr>
                <w:rFonts w:eastAsia="Times New Roman" w:cstheme="minorHAnsi"/>
                <w:sz w:val="20"/>
                <w:szCs w:val="20"/>
                <w:lang w:eastAsia="en-GB"/>
              </w:rPr>
              <w:t>Inficold</w:t>
            </w:r>
            <w:proofErr w:type="spellEnd"/>
          </w:p>
        </w:tc>
        <w:tc>
          <w:tcPr>
            <w:tcW w:w="5359" w:type="dxa"/>
            <w:noWrap/>
            <w:hideMark/>
          </w:tcPr>
          <w:p w14:paraId="103970FD" w14:textId="77777777" w:rsidR="00AA4E4C" w:rsidRPr="008A4EC9" w:rsidRDefault="00AA4E4C">
            <w:pPr>
              <w:rPr>
                <w:rFonts w:eastAsia="Times New Roman" w:cstheme="minorHAnsi"/>
                <w:sz w:val="20"/>
                <w:szCs w:val="20"/>
                <w:lang w:eastAsia="en-GB"/>
              </w:rPr>
            </w:pPr>
            <w:r w:rsidRPr="008A4EC9">
              <w:rPr>
                <w:rFonts w:eastAsia="Times New Roman" w:cstheme="minorHAnsi"/>
                <w:sz w:val="20"/>
                <w:szCs w:val="20"/>
                <w:lang w:eastAsia="en-GB"/>
              </w:rPr>
              <w:t>Deploys uninterrupted cooling systems operating on 5 to 8 hours electricity per day for milk cooling and agricultural produce. The systems are suited to bridge power outages or for coupling with intermittent power generation off-grid and can be retrofitted to any existing cooling system, thereby replacing diesel generators.</w:t>
            </w:r>
          </w:p>
        </w:tc>
        <w:tc>
          <w:tcPr>
            <w:tcW w:w="2291" w:type="dxa"/>
            <w:noWrap/>
            <w:hideMark/>
          </w:tcPr>
          <w:p w14:paraId="06B06046"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India</w:t>
            </w:r>
          </w:p>
        </w:tc>
      </w:tr>
      <w:tr w:rsidR="00AA4E4C" w:rsidRPr="008A4EC9" w14:paraId="085C2A15" w14:textId="77777777" w:rsidTr="008A4EC9">
        <w:trPr>
          <w:trHeight w:val="300"/>
        </w:trPr>
        <w:tc>
          <w:tcPr>
            <w:tcW w:w="1695" w:type="dxa"/>
            <w:noWrap/>
            <w:hideMark/>
          </w:tcPr>
          <w:p w14:paraId="7890A30C" w14:textId="77777777" w:rsidR="00AA4E4C" w:rsidRPr="008A4EC9" w:rsidRDefault="00AA4E4C">
            <w:pPr>
              <w:rPr>
                <w:rFonts w:eastAsia="Times New Roman" w:cstheme="minorHAnsi"/>
                <w:sz w:val="20"/>
                <w:szCs w:val="20"/>
                <w:lang w:eastAsia="en-GB"/>
              </w:rPr>
            </w:pPr>
            <w:r w:rsidRPr="008A4EC9">
              <w:rPr>
                <w:rFonts w:eastAsia="Times New Roman" w:cstheme="minorHAnsi"/>
                <w:sz w:val="20"/>
                <w:szCs w:val="20"/>
                <w:lang w:eastAsia="en-GB"/>
              </w:rPr>
              <w:t>M-</w:t>
            </w:r>
            <w:proofErr w:type="spellStart"/>
            <w:r w:rsidRPr="008A4EC9">
              <w:rPr>
                <w:rFonts w:eastAsia="Times New Roman" w:cstheme="minorHAnsi"/>
                <w:sz w:val="20"/>
                <w:szCs w:val="20"/>
                <w:lang w:eastAsia="en-GB"/>
              </w:rPr>
              <w:t>Kopa</w:t>
            </w:r>
            <w:proofErr w:type="spellEnd"/>
          </w:p>
        </w:tc>
        <w:tc>
          <w:tcPr>
            <w:tcW w:w="5359" w:type="dxa"/>
            <w:noWrap/>
            <w:hideMark/>
          </w:tcPr>
          <w:p w14:paraId="5FCC09A1" w14:textId="77777777" w:rsidR="00AA4E4C" w:rsidRPr="008A4EC9" w:rsidRDefault="00AA4E4C">
            <w:pPr>
              <w:rPr>
                <w:rFonts w:eastAsia="Times New Roman" w:cstheme="minorHAnsi"/>
                <w:sz w:val="20"/>
                <w:szCs w:val="20"/>
                <w:lang w:eastAsia="en-GB"/>
              </w:rPr>
            </w:pPr>
            <w:r w:rsidRPr="008A4EC9">
              <w:rPr>
                <w:rFonts w:eastAsia="Times New Roman" w:cstheme="minorHAnsi"/>
                <w:sz w:val="20"/>
                <w:szCs w:val="20"/>
                <w:lang w:eastAsia="en-GB"/>
              </w:rPr>
              <w:t xml:space="preserve">Provides low-income consumers with asset financing to purchase energy products. Customers pay a small deposit and make daily instalments using mobile money. Creates a credit history for unbanked. </w:t>
            </w:r>
          </w:p>
        </w:tc>
        <w:tc>
          <w:tcPr>
            <w:tcW w:w="2291" w:type="dxa"/>
            <w:noWrap/>
            <w:hideMark/>
          </w:tcPr>
          <w:p w14:paraId="319A5283"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 xml:space="preserve">East Africa. </w:t>
            </w:r>
          </w:p>
        </w:tc>
      </w:tr>
      <w:tr w:rsidR="00AA4E4C" w:rsidRPr="008A4EC9" w14:paraId="55052DD1" w14:textId="77777777" w:rsidTr="008A4EC9">
        <w:trPr>
          <w:trHeight w:val="300"/>
        </w:trPr>
        <w:tc>
          <w:tcPr>
            <w:tcW w:w="1695" w:type="dxa"/>
            <w:noWrap/>
            <w:hideMark/>
          </w:tcPr>
          <w:p w14:paraId="52C72DD6" w14:textId="77777777" w:rsidR="00AA4E4C" w:rsidRPr="008A4EC9" w:rsidRDefault="00AA4E4C">
            <w:pPr>
              <w:rPr>
                <w:rFonts w:eastAsia="Times New Roman" w:cstheme="minorHAnsi"/>
                <w:sz w:val="20"/>
                <w:szCs w:val="20"/>
                <w:lang w:eastAsia="en-GB"/>
              </w:rPr>
            </w:pPr>
            <w:proofErr w:type="spellStart"/>
            <w:r w:rsidRPr="008A4EC9">
              <w:rPr>
                <w:rFonts w:eastAsia="Times New Roman" w:cstheme="minorHAnsi"/>
                <w:sz w:val="20"/>
                <w:szCs w:val="20"/>
                <w:lang w:eastAsia="en-GB"/>
              </w:rPr>
              <w:t>Phenix</w:t>
            </w:r>
            <w:proofErr w:type="spellEnd"/>
            <w:r w:rsidRPr="008A4EC9">
              <w:rPr>
                <w:rFonts w:eastAsia="Times New Roman" w:cstheme="minorHAnsi"/>
                <w:sz w:val="20"/>
                <w:szCs w:val="20"/>
                <w:lang w:eastAsia="en-GB"/>
              </w:rPr>
              <w:t xml:space="preserve"> Recycling</w:t>
            </w:r>
          </w:p>
        </w:tc>
        <w:tc>
          <w:tcPr>
            <w:tcW w:w="5359" w:type="dxa"/>
            <w:noWrap/>
            <w:hideMark/>
          </w:tcPr>
          <w:p w14:paraId="3E364C26" w14:textId="77777777" w:rsidR="00AA4E4C" w:rsidRPr="008A4EC9" w:rsidRDefault="00AA4E4C">
            <w:pPr>
              <w:autoSpaceDE w:val="0"/>
              <w:autoSpaceDN w:val="0"/>
              <w:adjustRightInd w:val="0"/>
              <w:rPr>
                <w:rFonts w:eastAsia="Times New Roman" w:cstheme="minorHAnsi"/>
                <w:sz w:val="20"/>
                <w:szCs w:val="20"/>
                <w:lang w:eastAsia="en-GB"/>
              </w:rPr>
            </w:pPr>
            <w:r w:rsidRPr="008A4EC9">
              <w:rPr>
                <w:rFonts w:eastAsia="Times New Roman" w:cstheme="minorHAnsi"/>
                <w:sz w:val="20"/>
                <w:szCs w:val="20"/>
                <w:lang w:eastAsia="en-GB"/>
              </w:rPr>
              <w:t>Collects</w:t>
            </w:r>
            <w:r w:rsidRPr="008A4EC9">
              <w:rPr>
                <w:rFonts w:eastAsia="Times New Roman" w:cstheme="minorHAnsi"/>
                <w:kern w:val="2"/>
                <w:sz w:val="20"/>
                <w:szCs w:val="20"/>
                <w:lang w:eastAsia="en-GB"/>
              </w:rPr>
              <w:t xml:space="preserve"> electronic waste from a variety of industries</w:t>
            </w:r>
            <w:r w:rsidRPr="008A4EC9">
              <w:rPr>
                <w:rFonts w:eastAsia="Times New Roman" w:cstheme="minorHAnsi"/>
                <w:sz w:val="20"/>
                <w:szCs w:val="20"/>
                <w:lang w:eastAsia="en-GB"/>
              </w:rPr>
              <w:t xml:space="preserve"> </w:t>
            </w:r>
            <w:r w:rsidRPr="008A4EC9">
              <w:rPr>
                <w:rFonts w:eastAsia="Times New Roman" w:cstheme="minorHAnsi"/>
                <w:kern w:val="2"/>
                <w:sz w:val="20"/>
                <w:szCs w:val="20"/>
                <w:lang w:eastAsia="en-GB"/>
              </w:rPr>
              <w:t>including off-grid solar, bringing it to our factory for dismantling and dispose</w:t>
            </w:r>
            <w:r w:rsidRPr="008A4EC9">
              <w:rPr>
                <w:rFonts w:eastAsia="Times New Roman" w:cstheme="minorHAnsi"/>
                <w:sz w:val="20"/>
                <w:szCs w:val="20"/>
                <w:lang w:eastAsia="en-GB"/>
              </w:rPr>
              <w:t xml:space="preserve"> </w:t>
            </w:r>
            <w:r w:rsidRPr="008A4EC9">
              <w:rPr>
                <w:rFonts w:eastAsia="Times New Roman" w:cstheme="minorHAnsi"/>
                <w:kern w:val="2"/>
                <w:sz w:val="20"/>
                <w:szCs w:val="20"/>
                <w:lang w:eastAsia="en-GB"/>
              </w:rPr>
              <w:t>safely the waste that is generated with the highest safety and</w:t>
            </w:r>
            <w:r w:rsidRPr="008A4EC9">
              <w:rPr>
                <w:rFonts w:eastAsia="Times New Roman" w:cstheme="minorHAnsi"/>
                <w:sz w:val="20"/>
                <w:szCs w:val="20"/>
                <w:lang w:eastAsia="en-GB"/>
              </w:rPr>
              <w:t xml:space="preserve"> </w:t>
            </w:r>
            <w:r w:rsidRPr="008A4EC9">
              <w:rPr>
                <w:rFonts w:eastAsia="Times New Roman" w:cstheme="minorHAnsi"/>
                <w:kern w:val="2"/>
                <w:sz w:val="20"/>
                <w:szCs w:val="20"/>
                <w:lang w:eastAsia="en-GB"/>
              </w:rPr>
              <w:t>environmental standards.</w:t>
            </w:r>
          </w:p>
        </w:tc>
        <w:tc>
          <w:tcPr>
            <w:tcW w:w="2291" w:type="dxa"/>
            <w:noWrap/>
            <w:hideMark/>
          </w:tcPr>
          <w:p w14:paraId="44142CBD"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East Africa</w:t>
            </w:r>
          </w:p>
        </w:tc>
      </w:tr>
      <w:tr w:rsidR="00AA4E4C" w:rsidRPr="008A4EC9" w14:paraId="43719A66" w14:textId="77777777" w:rsidTr="008A4EC9">
        <w:trPr>
          <w:trHeight w:val="300"/>
        </w:trPr>
        <w:tc>
          <w:tcPr>
            <w:tcW w:w="1695" w:type="dxa"/>
            <w:noWrap/>
            <w:hideMark/>
          </w:tcPr>
          <w:p w14:paraId="42BB9EFD" w14:textId="77777777" w:rsidR="00AA4E4C" w:rsidRPr="008A4EC9" w:rsidRDefault="00AA4E4C">
            <w:pPr>
              <w:rPr>
                <w:rFonts w:eastAsia="Times New Roman" w:cstheme="minorHAnsi"/>
                <w:sz w:val="20"/>
                <w:szCs w:val="20"/>
                <w:lang w:eastAsia="en-GB"/>
              </w:rPr>
            </w:pPr>
            <w:proofErr w:type="spellStart"/>
            <w:r w:rsidRPr="008A4EC9">
              <w:rPr>
                <w:rFonts w:eastAsia="Times New Roman" w:cstheme="minorHAnsi"/>
                <w:sz w:val="20"/>
                <w:szCs w:val="20"/>
                <w:lang w:eastAsia="en-GB"/>
              </w:rPr>
              <w:t>Redaviasolar</w:t>
            </w:r>
            <w:proofErr w:type="spellEnd"/>
          </w:p>
        </w:tc>
        <w:tc>
          <w:tcPr>
            <w:tcW w:w="5359" w:type="dxa"/>
            <w:noWrap/>
            <w:hideMark/>
          </w:tcPr>
          <w:p w14:paraId="32CF379D"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sz w:val="20"/>
                <w:szCs w:val="20"/>
                <w:lang w:eastAsia="en-GB"/>
              </w:rPr>
              <w:t xml:space="preserve">Modular solar farms - integrates with diesel systems (hybrid) to reduce emissions. Leasing model – with no upfront costs. Serves energy needs of industry, businesses &amp; communities. </w:t>
            </w:r>
          </w:p>
        </w:tc>
        <w:tc>
          <w:tcPr>
            <w:tcW w:w="2291" w:type="dxa"/>
            <w:noWrap/>
            <w:hideMark/>
          </w:tcPr>
          <w:p w14:paraId="5295447F"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Tanzania, Kenya, Ghana</w:t>
            </w:r>
          </w:p>
        </w:tc>
      </w:tr>
      <w:tr w:rsidR="00AA4E4C" w:rsidRPr="008A4EC9" w14:paraId="16B8F893" w14:textId="77777777" w:rsidTr="008A4EC9">
        <w:trPr>
          <w:trHeight w:val="300"/>
        </w:trPr>
        <w:tc>
          <w:tcPr>
            <w:tcW w:w="1695" w:type="dxa"/>
            <w:noWrap/>
            <w:hideMark/>
          </w:tcPr>
          <w:p w14:paraId="783D01DC" w14:textId="77777777" w:rsidR="00AA4E4C" w:rsidRPr="008A4EC9" w:rsidRDefault="00AA4E4C">
            <w:pPr>
              <w:rPr>
                <w:rFonts w:eastAsia="Times New Roman" w:cstheme="minorHAnsi"/>
                <w:sz w:val="20"/>
                <w:szCs w:val="20"/>
                <w:lang w:eastAsia="en-GB"/>
              </w:rPr>
            </w:pPr>
            <w:proofErr w:type="spellStart"/>
            <w:r w:rsidRPr="008A4EC9">
              <w:rPr>
                <w:rFonts w:eastAsia="Times New Roman" w:cstheme="minorHAnsi"/>
                <w:sz w:val="20"/>
                <w:szCs w:val="20"/>
                <w:lang w:eastAsia="en-GB"/>
              </w:rPr>
              <w:t>Sunculture</w:t>
            </w:r>
            <w:proofErr w:type="spellEnd"/>
          </w:p>
        </w:tc>
        <w:tc>
          <w:tcPr>
            <w:tcW w:w="5359" w:type="dxa"/>
            <w:noWrap/>
            <w:hideMark/>
          </w:tcPr>
          <w:p w14:paraId="577D47B6" w14:textId="77777777" w:rsidR="00AA4E4C" w:rsidRPr="008A4EC9" w:rsidRDefault="00AA4E4C">
            <w:pPr>
              <w:rPr>
                <w:rFonts w:eastAsia="Times New Roman" w:cstheme="minorHAnsi"/>
                <w:sz w:val="20"/>
                <w:szCs w:val="20"/>
                <w:lang w:eastAsia="en-GB"/>
              </w:rPr>
            </w:pPr>
            <w:r w:rsidRPr="008A4EC9">
              <w:rPr>
                <w:rFonts w:eastAsia="Times New Roman" w:cstheme="minorHAnsi"/>
                <w:sz w:val="20"/>
                <w:szCs w:val="20"/>
                <w:lang w:eastAsia="en-GB"/>
              </w:rPr>
              <w:t xml:space="preserve">Designs, manufactures, sells, installs and finances low cost solar water pumps and irrigation products. Lowest cost solar pump on the market. </w:t>
            </w:r>
          </w:p>
        </w:tc>
        <w:tc>
          <w:tcPr>
            <w:tcW w:w="2291" w:type="dxa"/>
            <w:noWrap/>
            <w:hideMark/>
          </w:tcPr>
          <w:p w14:paraId="7C34F571" w14:textId="77777777" w:rsidR="00AA4E4C" w:rsidRPr="008A4EC9" w:rsidRDefault="00AA4E4C">
            <w:pPr>
              <w:rPr>
                <w:rFonts w:eastAsia="Times New Roman" w:cstheme="minorHAnsi"/>
                <w:color w:val="000000"/>
                <w:sz w:val="20"/>
                <w:szCs w:val="20"/>
                <w:lang w:eastAsia="en-GB"/>
              </w:rPr>
            </w:pPr>
            <w:r w:rsidRPr="008A4EC9">
              <w:rPr>
                <w:rFonts w:eastAsia="Times New Roman" w:cstheme="minorHAnsi"/>
                <w:color w:val="000000"/>
                <w:sz w:val="20"/>
                <w:szCs w:val="20"/>
                <w:lang w:eastAsia="en-GB"/>
              </w:rPr>
              <w:t>Kenya</w:t>
            </w:r>
          </w:p>
        </w:tc>
      </w:tr>
    </w:tbl>
    <w:p w14:paraId="2CA8C7D1" w14:textId="6C2947B8" w:rsidR="008A4EC9" w:rsidRDefault="00217746" w:rsidP="00217746">
      <w:pPr>
        <w:pStyle w:val="Heading3"/>
        <w:rPr>
          <w:rFonts w:asciiTheme="minorHAnsi" w:hAnsiTheme="minorHAnsi" w:cstheme="minorHAnsi"/>
          <w:b/>
          <w:color w:val="000000" w:themeColor="text1"/>
          <w:sz w:val="22"/>
        </w:rPr>
      </w:pPr>
      <w:r>
        <w:rPr>
          <w:rFonts w:asciiTheme="minorHAnsi" w:hAnsiTheme="minorHAnsi" w:cstheme="minorHAnsi"/>
          <w:b/>
          <w:color w:val="000000" w:themeColor="text1"/>
          <w:sz w:val="22"/>
        </w:rPr>
        <w:lastRenderedPageBreak/>
        <w:t>Annex</w:t>
      </w:r>
      <w:r w:rsidRPr="00217746">
        <w:rPr>
          <w:rFonts w:asciiTheme="minorHAnsi" w:hAnsiTheme="minorHAnsi" w:cstheme="minorHAnsi"/>
          <w:b/>
          <w:color w:val="000000" w:themeColor="text1"/>
          <w:sz w:val="22"/>
        </w:rPr>
        <w:t xml:space="preserve"> B</w:t>
      </w:r>
    </w:p>
    <w:p w14:paraId="0C84E727" w14:textId="61A46AA7" w:rsidR="00217746" w:rsidRDefault="00217746" w:rsidP="00217746">
      <w:pPr>
        <w:rPr>
          <w:lang w:val="en-GB"/>
        </w:rPr>
      </w:pPr>
    </w:p>
    <w:p w14:paraId="1675945D" w14:textId="77777777" w:rsidR="00217746" w:rsidRPr="00217746" w:rsidRDefault="00217746" w:rsidP="00217746">
      <w:pPr>
        <w:rPr>
          <w:rFonts w:asciiTheme="majorHAnsi" w:hAnsiTheme="majorHAnsi" w:cstheme="majorHAnsi"/>
          <w:b/>
          <w:sz w:val="28"/>
          <w:lang w:val="en-GB"/>
        </w:rPr>
      </w:pPr>
      <w:r w:rsidRPr="00217746">
        <w:rPr>
          <w:rFonts w:asciiTheme="majorHAnsi" w:hAnsiTheme="majorHAnsi" w:cstheme="majorHAnsi"/>
          <w:b/>
          <w:sz w:val="28"/>
          <w:lang w:val="en-GB"/>
        </w:rPr>
        <w:t>Discussion guide to explore the use of storage in off-grid energy access solutions</w:t>
      </w:r>
    </w:p>
    <w:p w14:paraId="37C95F8B" w14:textId="77777777" w:rsidR="00217746" w:rsidRDefault="00217746" w:rsidP="00217746">
      <w:pPr>
        <w:pStyle w:val="NoSpacing"/>
      </w:pPr>
    </w:p>
    <w:p w14:paraId="43633455" w14:textId="77777777" w:rsidR="00217746" w:rsidRPr="00217746" w:rsidRDefault="00217746" w:rsidP="00217746">
      <w:pPr>
        <w:pStyle w:val="NoSpacing"/>
        <w:rPr>
          <w:b/>
        </w:rPr>
      </w:pPr>
      <w:r w:rsidRPr="00217746">
        <w:rPr>
          <w:b/>
        </w:rPr>
        <w:t xml:space="preserve">Context </w:t>
      </w:r>
    </w:p>
    <w:p w14:paraId="596B26D1" w14:textId="77777777" w:rsidR="00217746" w:rsidRDefault="00217746" w:rsidP="00217746">
      <w:pPr>
        <w:rPr>
          <w:lang w:val="en-GB"/>
        </w:rPr>
      </w:pPr>
    </w:p>
    <w:p w14:paraId="324D5306" w14:textId="05062FF9" w:rsidR="00217746" w:rsidRDefault="00217746" w:rsidP="00217746">
      <w:pPr>
        <w:rPr>
          <w:lang w:val="en-GB"/>
        </w:rPr>
      </w:pPr>
      <w:r>
        <w:rPr>
          <w:lang w:val="en-GB"/>
        </w:rPr>
        <w:t xml:space="preserve">The Grantham Institute at Imperial College London is undertaking research for Shell Foundation, to better understand the role of energy storage technologies in helping provide off-grid energy access in emerging economies, with a specific focus on East Africa, Nigeria and India, reflecting the regions of the current activities of Shell Foundation’s partner organisations. </w:t>
      </w:r>
    </w:p>
    <w:p w14:paraId="5B76EA64" w14:textId="77777777" w:rsidR="00217746" w:rsidRDefault="00217746" w:rsidP="00217746">
      <w:pPr>
        <w:rPr>
          <w:lang w:val="en-GB"/>
        </w:rPr>
      </w:pPr>
      <w:r>
        <w:rPr>
          <w:lang w:val="en-GB"/>
        </w:rPr>
        <w:t xml:space="preserve">The overall objective of this research project is to help organisations involved in the development, delivery and operation of solar and storage home systems and mini-grids to understand the storage technology options available to them. This includes consideration of the costs and performance of these technologies, their broader environmental impact, as well as the availability of different technologies, considering current and planned international supply chains for equipment. The majority of the research will be focused on electricity systems, but there will be some focus on biogas and thermal storage systems as well. </w:t>
      </w:r>
    </w:p>
    <w:p w14:paraId="7C0AD6AA" w14:textId="77777777" w:rsidR="00217746" w:rsidRDefault="00217746" w:rsidP="00217746">
      <w:pPr>
        <w:rPr>
          <w:lang w:val="en-GB"/>
        </w:rPr>
      </w:pPr>
      <w:r>
        <w:rPr>
          <w:lang w:val="en-GB"/>
        </w:rPr>
        <w:t>The output will be in the form of a toolkit for Shell Foundation partners to aid with their energy storage selection comparisons and to understand new technologies reaching maturity. This toolkit will take the form of a ~20-page report, to be published in October 2017.</w:t>
      </w:r>
    </w:p>
    <w:p w14:paraId="46DA3DE1" w14:textId="77777777" w:rsidR="00217746" w:rsidRDefault="00217746" w:rsidP="00217746">
      <w:pPr>
        <w:rPr>
          <w:lang w:val="en-GB"/>
        </w:rPr>
      </w:pPr>
      <w:r>
        <w:rPr>
          <w:lang w:val="en-GB"/>
        </w:rPr>
        <w:t xml:space="preserve">The research takes the form of desk-based analysis of different storage technologies and markets, as well as interviews with key stakeholders involved in the deployment of storage in different countries. The questions below are intended to form the basis of a 1-1.5 hour interview, potentially with a shorter follow-up discussion. Interviews will happen over the period July-September 2017. </w:t>
      </w:r>
    </w:p>
    <w:p w14:paraId="3D84BFF9" w14:textId="77777777" w:rsidR="00217746" w:rsidRDefault="00217746" w:rsidP="00217746">
      <w:pPr>
        <w:rPr>
          <w:lang w:val="en-GB"/>
        </w:rPr>
      </w:pPr>
      <w:r>
        <w:rPr>
          <w:lang w:val="en-GB"/>
        </w:rPr>
        <w:t xml:space="preserve">Outputs of interviews will NOT be attributed to specific interviewees or organisations. Furthermore, no information of a confidential nature will be reported. Interviewees will be invited to review and if necessary amend any of the comments or data they have provided before publication of the output report.  </w:t>
      </w:r>
    </w:p>
    <w:p w14:paraId="28C58821" w14:textId="77777777" w:rsidR="00217746" w:rsidRDefault="00217746" w:rsidP="00217746">
      <w:pPr>
        <w:spacing w:line="256" w:lineRule="auto"/>
        <w:rPr>
          <w:rFonts w:asciiTheme="majorHAnsi" w:hAnsiTheme="majorHAnsi" w:cstheme="majorBidi"/>
          <w:color w:val="2E74B5" w:themeColor="accent1" w:themeShade="BF"/>
          <w:lang w:val="en-GB"/>
        </w:rPr>
      </w:pPr>
      <w:r>
        <w:rPr>
          <w:lang w:val="en-GB"/>
        </w:rPr>
        <w:br w:type="page"/>
      </w:r>
    </w:p>
    <w:p w14:paraId="3D041735" w14:textId="77777777" w:rsidR="00217746" w:rsidRPr="00217746" w:rsidRDefault="00217746" w:rsidP="00217746">
      <w:pPr>
        <w:pStyle w:val="NoSpacing"/>
        <w:rPr>
          <w:rFonts w:asciiTheme="majorHAnsi" w:hAnsiTheme="majorHAnsi" w:cstheme="majorBidi"/>
          <w:b/>
          <w:color w:val="2E74B5" w:themeColor="accent1" w:themeShade="BF"/>
        </w:rPr>
      </w:pPr>
      <w:r w:rsidRPr="00217746">
        <w:rPr>
          <w:b/>
        </w:rPr>
        <w:lastRenderedPageBreak/>
        <w:t xml:space="preserve">Specific questions for discussion </w:t>
      </w:r>
    </w:p>
    <w:p w14:paraId="60FB0F17" w14:textId="77777777" w:rsidR="00217746" w:rsidRDefault="00217746" w:rsidP="00217746">
      <w:pPr>
        <w:rPr>
          <w:rFonts w:eastAsia="SimSun"/>
          <w:lang w:val="en-GB"/>
        </w:rPr>
      </w:pPr>
    </w:p>
    <w:p w14:paraId="1A7EC019" w14:textId="77777777" w:rsidR="00217746" w:rsidRDefault="00217746" w:rsidP="00217746">
      <w:pPr>
        <w:pStyle w:val="ListParagraph"/>
        <w:numPr>
          <w:ilvl w:val="0"/>
          <w:numId w:val="12"/>
        </w:numPr>
        <w:spacing w:after="200" w:line="276" w:lineRule="auto"/>
        <w:rPr>
          <w:b/>
          <w:lang w:val="en-GB"/>
        </w:rPr>
      </w:pPr>
      <w:r>
        <w:rPr>
          <w:b/>
          <w:lang w:val="en-GB"/>
        </w:rPr>
        <w:t>Range of technologies available:</w:t>
      </w:r>
    </w:p>
    <w:p w14:paraId="0B9C314A" w14:textId="77777777" w:rsidR="00217746" w:rsidRDefault="00217746" w:rsidP="00217746">
      <w:pPr>
        <w:numPr>
          <w:ilvl w:val="0"/>
          <w:numId w:val="13"/>
        </w:numPr>
        <w:spacing w:after="200" w:line="276" w:lineRule="auto"/>
        <w:ind w:left="360"/>
        <w:rPr>
          <w:sz w:val="20"/>
          <w:szCs w:val="20"/>
          <w:lang w:val="en-GB"/>
        </w:rPr>
      </w:pPr>
      <w:r>
        <w:rPr>
          <w:lang w:val="en-GB"/>
        </w:rPr>
        <w:t>What are the specific off-grid/mini-grid applications for energy storage technologies in your region(s) of interest (e.g. off-grid solar home systems, mini-grids)?</w:t>
      </w:r>
    </w:p>
    <w:p w14:paraId="021B8BD3" w14:textId="77777777" w:rsidR="00217746" w:rsidRDefault="00217746" w:rsidP="00217746">
      <w:pPr>
        <w:numPr>
          <w:ilvl w:val="1"/>
          <w:numId w:val="13"/>
        </w:numPr>
        <w:spacing w:after="200" w:line="276" w:lineRule="auto"/>
        <w:ind w:left="1080"/>
        <w:rPr>
          <w:sz w:val="20"/>
          <w:szCs w:val="20"/>
          <w:lang w:val="en-GB"/>
        </w:rPr>
      </w:pPr>
      <w:r>
        <w:rPr>
          <w:i/>
          <w:lang w:val="en-GB"/>
        </w:rPr>
        <w:t>Please describe typical power, capacity and cycling requirements, as well as lifetimes of systems.</w:t>
      </w:r>
      <w:r>
        <w:rPr>
          <w:i/>
          <w:lang w:val="en-GB"/>
        </w:rPr>
        <w:softHyphen/>
      </w:r>
    </w:p>
    <w:p w14:paraId="75CFCA02" w14:textId="77777777" w:rsidR="00217746" w:rsidRDefault="00217746" w:rsidP="00217746">
      <w:pPr>
        <w:numPr>
          <w:ilvl w:val="0"/>
          <w:numId w:val="13"/>
        </w:numPr>
        <w:spacing w:after="200" w:line="276" w:lineRule="auto"/>
        <w:ind w:left="360"/>
        <w:rPr>
          <w:i/>
          <w:sz w:val="20"/>
          <w:szCs w:val="20"/>
          <w:lang w:val="en-GB"/>
        </w:rPr>
      </w:pPr>
      <w:r>
        <w:rPr>
          <w:lang w:val="en-GB"/>
        </w:rPr>
        <w:t xml:space="preserve">Which storage technologies currently exist in your region(s) of interest, </w:t>
      </w:r>
      <w:proofErr w:type="gramStart"/>
      <w:r>
        <w:rPr>
          <w:lang w:val="en-GB"/>
        </w:rPr>
        <w:t>that are</w:t>
      </w:r>
      <w:proofErr w:type="gramEnd"/>
      <w:r>
        <w:rPr>
          <w:lang w:val="en-GB"/>
        </w:rPr>
        <w:t xml:space="preserve"> potentially suitable for these applications? </w:t>
      </w:r>
    </w:p>
    <w:p w14:paraId="3F859CF3" w14:textId="77777777" w:rsidR="00217746" w:rsidRDefault="00217746" w:rsidP="00217746">
      <w:pPr>
        <w:numPr>
          <w:ilvl w:val="1"/>
          <w:numId w:val="13"/>
        </w:numPr>
        <w:spacing w:after="200" w:line="276" w:lineRule="auto"/>
        <w:ind w:left="1080"/>
        <w:rPr>
          <w:i/>
          <w:sz w:val="20"/>
          <w:szCs w:val="20"/>
          <w:lang w:val="en-GB"/>
        </w:rPr>
      </w:pPr>
      <w:r>
        <w:rPr>
          <w:i/>
          <w:lang w:val="en-GB"/>
        </w:rPr>
        <w:t>For example, for electricity systems, these will be predominantly batteries of different types: Lead Acid (flooded or sealed), Redox Flow (Vanadium or Zinc Bromide), Lithium ion (with a variety of chemistries, including NMC, LFP, LCO and LTO).</w:t>
      </w:r>
    </w:p>
    <w:p w14:paraId="03E2E82E" w14:textId="77777777" w:rsidR="00217746" w:rsidRDefault="00217746" w:rsidP="00217746">
      <w:pPr>
        <w:numPr>
          <w:ilvl w:val="0"/>
          <w:numId w:val="13"/>
        </w:numPr>
        <w:spacing w:after="200" w:line="276" w:lineRule="auto"/>
        <w:ind w:left="360"/>
        <w:rPr>
          <w:sz w:val="20"/>
          <w:szCs w:val="20"/>
          <w:lang w:val="en-GB"/>
        </w:rPr>
      </w:pPr>
      <w:r>
        <w:rPr>
          <w:lang w:val="en-GB"/>
        </w:rPr>
        <w:t>Which technologies are likely to be available in the near future (perhaps already field tested)?</w:t>
      </w:r>
    </w:p>
    <w:p w14:paraId="32F1CE48" w14:textId="77777777" w:rsidR="00217746" w:rsidRDefault="00217746" w:rsidP="00217746">
      <w:pPr>
        <w:numPr>
          <w:ilvl w:val="1"/>
          <w:numId w:val="13"/>
        </w:numPr>
        <w:spacing w:after="200" w:line="276" w:lineRule="auto"/>
        <w:ind w:left="1080"/>
        <w:rPr>
          <w:sz w:val="20"/>
          <w:szCs w:val="20"/>
          <w:lang w:val="en-GB"/>
        </w:rPr>
      </w:pPr>
      <w:r>
        <w:rPr>
          <w:i/>
          <w:lang w:val="en-GB"/>
        </w:rPr>
        <w:t>These could include: Lithium sulphur; Sodium ion; Solid oxide fuel cells; Aluminium-Graphite dual-ion batteries, for example.</w:t>
      </w:r>
    </w:p>
    <w:p w14:paraId="01836206" w14:textId="77777777" w:rsidR="00217746" w:rsidRDefault="00217746" w:rsidP="00217746">
      <w:pPr>
        <w:ind w:left="1080"/>
        <w:rPr>
          <w:sz w:val="20"/>
          <w:szCs w:val="20"/>
          <w:lang w:val="en-GB"/>
        </w:rPr>
      </w:pPr>
    </w:p>
    <w:p w14:paraId="285426B2" w14:textId="77777777" w:rsidR="00217746" w:rsidRDefault="00217746" w:rsidP="00217746">
      <w:pPr>
        <w:pStyle w:val="ListParagraph"/>
        <w:numPr>
          <w:ilvl w:val="0"/>
          <w:numId w:val="12"/>
        </w:numPr>
        <w:spacing w:after="200" w:line="276" w:lineRule="auto"/>
        <w:rPr>
          <w:b/>
          <w:lang w:val="en-GB"/>
        </w:rPr>
      </w:pPr>
      <w:r>
        <w:rPr>
          <w:b/>
          <w:lang w:val="en-GB"/>
        </w:rPr>
        <w:t>Costs of technologies:</w:t>
      </w:r>
    </w:p>
    <w:p w14:paraId="3F5D3C14" w14:textId="77777777" w:rsidR="00217746" w:rsidRDefault="00217746" w:rsidP="00217746">
      <w:pPr>
        <w:numPr>
          <w:ilvl w:val="0"/>
          <w:numId w:val="13"/>
        </w:numPr>
        <w:spacing w:after="200" w:line="276" w:lineRule="auto"/>
        <w:ind w:left="360"/>
        <w:rPr>
          <w:sz w:val="20"/>
          <w:szCs w:val="20"/>
          <w:lang w:val="en-GB"/>
        </w:rPr>
      </w:pPr>
      <w:r>
        <w:rPr>
          <w:lang w:val="en-GB"/>
        </w:rPr>
        <w:t xml:space="preserve">How much do these technologies cost today? </w:t>
      </w:r>
    </w:p>
    <w:p w14:paraId="76D6A032" w14:textId="77777777" w:rsidR="00217746" w:rsidRDefault="00217746" w:rsidP="00217746">
      <w:pPr>
        <w:numPr>
          <w:ilvl w:val="1"/>
          <w:numId w:val="13"/>
        </w:numPr>
        <w:spacing w:after="0" w:line="240" w:lineRule="auto"/>
        <w:ind w:left="1080"/>
      </w:pPr>
      <w:r>
        <w:t>Capital costs (ex-works or FOB, i.e. liability during shipment with supplier)</w:t>
      </w:r>
    </w:p>
    <w:p w14:paraId="22CC86EA" w14:textId="77777777" w:rsidR="00217746" w:rsidRDefault="00217746" w:rsidP="00217746">
      <w:pPr>
        <w:numPr>
          <w:ilvl w:val="1"/>
          <w:numId w:val="13"/>
        </w:numPr>
        <w:spacing w:after="0" w:line="240" w:lineRule="auto"/>
        <w:ind w:left="1080"/>
      </w:pPr>
      <w:r>
        <w:t>Transport costs (to destination country, to destination warehouse, last-mile)</w:t>
      </w:r>
    </w:p>
    <w:p w14:paraId="1B609674" w14:textId="77777777" w:rsidR="00217746" w:rsidRDefault="00217746" w:rsidP="00217746">
      <w:pPr>
        <w:numPr>
          <w:ilvl w:val="1"/>
          <w:numId w:val="13"/>
        </w:numPr>
        <w:spacing w:after="0" w:line="240" w:lineRule="auto"/>
        <w:ind w:left="1080"/>
      </w:pPr>
      <w:r>
        <w:t>Installation costs</w:t>
      </w:r>
    </w:p>
    <w:p w14:paraId="637892A4" w14:textId="77777777" w:rsidR="00217746" w:rsidRDefault="00217746" w:rsidP="00217746">
      <w:pPr>
        <w:numPr>
          <w:ilvl w:val="1"/>
          <w:numId w:val="13"/>
        </w:numPr>
        <w:spacing w:after="0" w:line="240" w:lineRule="auto"/>
        <w:ind w:left="1080"/>
      </w:pPr>
      <w:r>
        <w:t>Operation and maintenance costs</w:t>
      </w:r>
    </w:p>
    <w:p w14:paraId="239E87C1" w14:textId="77777777" w:rsidR="00217746" w:rsidRDefault="00217746" w:rsidP="00217746">
      <w:pPr>
        <w:numPr>
          <w:ilvl w:val="1"/>
          <w:numId w:val="13"/>
        </w:numPr>
        <w:spacing w:after="0" w:line="240" w:lineRule="auto"/>
        <w:ind w:left="1080"/>
      </w:pPr>
      <w:r>
        <w:t>Replacement costs (for faulty equipment)</w:t>
      </w:r>
    </w:p>
    <w:p w14:paraId="13CAB95A" w14:textId="77777777" w:rsidR="00217746" w:rsidRDefault="00217746" w:rsidP="00217746">
      <w:pPr>
        <w:numPr>
          <w:ilvl w:val="1"/>
          <w:numId w:val="13"/>
        </w:numPr>
        <w:spacing w:after="0" w:line="240" w:lineRule="auto"/>
        <w:ind w:left="1080"/>
      </w:pPr>
      <w:r>
        <w:t>Repossession cost</w:t>
      </w:r>
    </w:p>
    <w:p w14:paraId="63357B0C" w14:textId="77777777" w:rsidR="00217746" w:rsidRDefault="00217746" w:rsidP="00217746">
      <w:pPr>
        <w:numPr>
          <w:ilvl w:val="1"/>
          <w:numId w:val="13"/>
        </w:numPr>
        <w:spacing w:after="0" w:line="240" w:lineRule="auto"/>
        <w:ind w:left="1080"/>
      </w:pPr>
      <w:r>
        <w:t>Recycling and repurposing</w:t>
      </w:r>
    </w:p>
    <w:p w14:paraId="15BE74E5" w14:textId="77777777" w:rsidR="00217746" w:rsidRDefault="00217746" w:rsidP="00217746">
      <w:pPr>
        <w:numPr>
          <w:ilvl w:val="1"/>
          <w:numId w:val="13"/>
        </w:numPr>
        <w:spacing w:after="0" w:line="240" w:lineRule="auto"/>
        <w:ind w:left="1080"/>
      </w:pPr>
      <w:r>
        <w:t>Project financing costs - interest for finance buying storage tech until repaid by customer</w:t>
      </w:r>
    </w:p>
    <w:p w14:paraId="4697407F" w14:textId="77777777" w:rsidR="00217746" w:rsidRDefault="00217746" w:rsidP="00217746">
      <w:pPr>
        <w:numPr>
          <w:ilvl w:val="1"/>
          <w:numId w:val="13"/>
        </w:numPr>
        <w:spacing w:after="0" w:line="240" w:lineRule="auto"/>
        <w:ind w:left="1080"/>
      </w:pPr>
      <w:r>
        <w:t>Details of business models to repay costs (e.g. leasing, per unit electricity billing)</w:t>
      </w:r>
    </w:p>
    <w:p w14:paraId="339210AB" w14:textId="77777777" w:rsidR="00217746" w:rsidRDefault="00217746" w:rsidP="00217746">
      <w:pPr>
        <w:spacing w:after="0" w:line="240" w:lineRule="auto"/>
        <w:ind w:left="1080"/>
        <w:rPr>
          <w:sz w:val="20"/>
          <w:szCs w:val="20"/>
        </w:rPr>
      </w:pPr>
    </w:p>
    <w:p w14:paraId="0596435F" w14:textId="77777777" w:rsidR="00217746" w:rsidRDefault="00217746" w:rsidP="00217746">
      <w:pPr>
        <w:pStyle w:val="ListParagraph"/>
        <w:numPr>
          <w:ilvl w:val="0"/>
          <w:numId w:val="13"/>
        </w:numPr>
        <w:spacing w:line="256" w:lineRule="auto"/>
        <w:ind w:left="360"/>
      </w:pPr>
      <w:r>
        <w:t>Are there any costs that are particular to the off-grid / mini-grid application?</w:t>
      </w:r>
    </w:p>
    <w:p w14:paraId="70A33F6B" w14:textId="77777777" w:rsidR="00217746" w:rsidRDefault="00217746" w:rsidP="00217746">
      <w:pPr>
        <w:pStyle w:val="ListParagraph"/>
        <w:spacing w:line="256" w:lineRule="auto"/>
        <w:ind w:left="360"/>
      </w:pPr>
    </w:p>
    <w:p w14:paraId="41C4D6A5" w14:textId="77777777" w:rsidR="00217746" w:rsidRDefault="00217746" w:rsidP="00217746">
      <w:pPr>
        <w:pStyle w:val="ListParagraph"/>
        <w:numPr>
          <w:ilvl w:val="0"/>
          <w:numId w:val="13"/>
        </w:numPr>
        <w:spacing w:line="256" w:lineRule="auto"/>
        <w:ind w:left="360"/>
      </w:pPr>
      <w:r>
        <w:t xml:space="preserve">Have costs changed and do you have a view on how costs will change in the future? </w:t>
      </w:r>
    </w:p>
    <w:p w14:paraId="376B4BA3" w14:textId="77777777" w:rsidR="00217746" w:rsidRDefault="00217746" w:rsidP="00217746">
      <w:pPr>
        <w:pStyle w:val="ListParagraph"/>
        <w:spacing w:line="256" w:lineRule="auto"/>
        <w:ind w:left="360"/>
      </w:pPr>
    </w:p>
    <w:p w14:paraId="2A4181EF" w14:textId="77777777" w:rsidR="00217746" w:rsidRDefault="00217746" w:rsidP="00217746">
      <w:pPr>
        <w:pStyle w:val="ListParagraph"/>
        <w:numPr>
          <w:ilvl w:val="0"/>
          <w:numId w:val="13"/>
        </w:numPr>
        <w:spacing w:line="256" w:lineRule="auto"/>
        <w:ind w:left="360"/>
      </w:pPr>
      <w:r>
        <w:t>How are these changes affecting your decisions on which technologies to employ?</w:t>
      </w:r>
    </w:p>
    <w:p w14:paraId="2E227FDF" w14:textId="77777777" w:rsidR="00217746" w:rsidRDefault="00217746" w:rsidP="00217746">
      <w:pPr>
        <w:pStyle w:val="ListParagraph"/>
        <w:spacing w:after="0" w:line="240" w:lineRule="auto"/>
        <w:ind w:left="360"/>
      </w:pPr>
    </w:p>
    <w:p w14:paraId="7C9063E0" w14:textId="77777777" w:rsidR="00217746" w:rsidRDefault="00217746" w:rsidP="00217746">
      <w:pPr>
        <w:pStyle w:val="ListParagraph"/>
        <w:spacing w:after="0" w:line="240" w:lineRule="auto"/>
        <w:ind w:left="360"/>
      </w:pPr>
    </w:p>
    <w:p w14:paraId="4A548EB9" w14:textId="77777777" w:rsidR="00217746" w:rsidRDefault="00217746" w:rsidP="00217746">
      <w:pPr>
        <w:pStyle w:val="ListParagraph"/>
        <w:spacing w:after="0" w:line="240" w:lineRule="auto"/>
        <w:ind w:left="360"/>
      </w:pPr>
    </w:p>
    <w:p w14:paraId="28F41CE9" w14:textId="77777777" w:rsidR="00217746" w:rsidRDefault="00217746" w:rsidP="00217746">
      <w:pPr>
        <w:pStyle w:val="ListParagraph"/>
        <w:spacing w:after="0" w:line="240" w:lineRule="auto"/>
        <w:ind w:left="360"/>
      </w:pPr>
    </w:p>
    <w:p w14:paraId="61E55BB7" w14:textId="77777777" w:rsidR="00217746" w:rsidRDefault="00217746" w:rsidP="00217746">
      <w:pPr>
        <w:pStyle w:val="ListParagraph"/>
        <w:numPr>
          <w:ilvl w:val="0"/>
          <w:numId w:val="12"/>
        </w:numPr>
        <w:spacing w:after="200" w:line="276" w:lineRule="auto"/>
        <w:rPr>
          <w:b/>
          <w:lang w:val="en-GB"/>
        </w:rPr>
      </w:pPr>
      <w:r>
        <w:rPr>
          <w:b/>
          <w:lang w:val="en-GB"/>
        </w:rPr>
        <w:lastRenderedPageBreak/>
        <w:t>Performance of technologies</w:t>
      </w:r>
    </w:p>
    <w:p w14:paraId="36FC6E46" w14:textId="77777777" w:rsidR="00217746" w:rsidRDefault="00217746" w:rsidP="00217746">
      <w:pPr>
        <w:numPr>
          <w:ilvl w:val="0"/>
          <w:numId w:val="13"/>
        </w:numPr>
        <w:spacing w:after="200" w:line="276" w:lineRule="auto"/>
        <w:ind w:left="360"/>
        <w:rPr>
          <w:sz w:val="20"/>
          <w:szCs w:val="20"/>
          <w:lang w:val="en-GB"/>
        </w:rPr>
      </w:pPr>
      <w:r>
        <w:rPr>
          <w:lang w:val="en-GB"/>
        </w:rPr>
        <w:t>How does each technology perform in the specified application, considering:</w:t>
      </w:r>
    </w:p>
    <w:p w14:paraId="0D1F3166" w14:textId="77777777" w:rsidR="00217746" w:rsidRDefault="00217746" w:rsidP="00217746">
      <w:pPr>
        <w:numPr>
          <w:ilvl w:val="1"/>
          <w:numId w:val="13"/>
        </w:numPr>
        <w:spacing w:after="0" w:line="240" w:lineRule="auto"/>
        <w:ind w:left="1080"/>
      </w:pPr>
      <w:r>
        <w:t>ease of installation and use (including size and weight)</w:t>
      </w:r>
    </w:p>
    <w:p w14:paraId="00B6D1DA" w14:textId="77777777" w:rsidR="00217746" w:rsidRDefault="00217746" w:rsidP="00217746">
      <w:pPr>
        <w:numPr>
          <w:ilvl w:val="1"/>
          <w:numId w:val="13"/>
        </w:numPr>
        <w:spacing w:after="0" w:line="240" w:lineRule="auto"/>
        <w:ind w:left="1080"/>
      </w:pPr>
      <w:r>
        <w:t>charge and discharge characteristics (power, length of charge / discharge)</w:t>
      </w:r>
    </w:p>
    <w:p w14:paraId="009D49BA" w14:textId="77777777" w:rsidR="00217746" w:rsidRDefault="00217746" w:rsidP="00217746">
      <w:pPr>
        <w:numPr>
          <w:ilvl w:val="1"/>
          <w:numId w:val="13"/>
        </w:numPr>
        <w:spacing w:after="0" w:line="240" w:lineRule="auto"/>
        <w:ind w:left="1080"/>
      </w:pPr>
      <w:r>
        <w:t>efficiency</w:t>
      </w:r>
    </w:p>
    <w:p w14:paraId="2D221A85" w14:textId="77777777" w:rsidR="00217746" w:rsidRDefault="00217746" w:rsidP="00217746">
      <w:pPr>
        <w:numPr>
          <w:ilvl w:val="1"/>
          <w:numId w:val="13"/>
        </w:numPr>
        <w:spacing w:after="0" w:line="240" w:lineRule="auto"/>
        <w:ind w:left="1080"/>
      </w:pPr>
      <w:r>
        <w:t xml:space="preserve">cycle life </w:t>
      </w:r>
    </w:p>
    <w:p w14:paraId="10603D44" w14:textId="77777777" w:rsidR="00217746" w:rsidRDefault="00217746" w:rsidP="00217746">
      <w:pPr>
        <w:numPr>
          <w:ilvl w:val="1"/>
          <w:numId w:val="13"/>
        </w:numPr>
        <w:spacing w:after="0" w:line="240" w:lineRule="auto"/>
        <w:ind w:left="1080"/>
      </w:pPr>
      <w:r>
        <w:t>depth-of-discharge</w:t>
      </w:r>
    </w:p>
    <w:p w14:paraId="571B15D5" w14:textId="77777777" w:rsidR="00217746" w:rsidRDefault="00217746" w:rsidP="00217746">
      <w:pPr>
        <w:numPr>
          <w:ilvl w:val="1"/>
          <w:numId w:val="13"/>
        </w:numPr>
        <w:spacing w:after="0" w:line="240" w:lineRule="auto"/>
        <w:ind w:left="1080"/>
      </w:pPr>
      <w:r>
        <w:t>shelf life</w:t>
      </w:r>
    </w:p>
    <w:p w14:paraId="45217072" w14:textId="77777777" w:rsidR="00217746" w:rsidRDefault="00217746" w:rsidP="00217746">
      <w:pPr>
        <w:numPr>
          <w:ilvl w:val="1"/>
          <w:numId w:val="13"/>
        </w:numPr>
        <w:spacing w:after="0" w:line="240" w:lineRule="auto"/>
        <w:ind w:left="1080"/>
      </w:pPr>
      <w:r>
        <w:t>durability to local temperature and environmental conditions</w:t>
      </w:r>
    </w:p>
    <w:p w14:paraId="2EE3A254" w14:textId="77777777" w:rsidR="00217746" w:rsidRDefault="00217746" w:rsidP="00217746">
      <w:pPr>
        <w:numPr>
          <w:ilvl w:val="1"/>
          <w:numId w:val="13"/>
        </w:numPr>
        <w:spacing w:after="0" w:line="240" w:lineRule="auto"/>
        <w:ind w:left="1080"/>
      </w:pPr>
      <w:r>
        <w:t>operating temperature range/thermal management</w:t>
      </w:r>
    </w:p>
    <w:p w14:paraId="6DD72CFB" w14:textId="77777777" w:rsidR="00217746" w:rsidRDefault="00217746" w:rsidP="00217746">
      <w:pPr>
        <w:numPr>
          <w:ilvl w:val="1"/>
          <w:numId w:val="13"/>
        </w:numPr>
        <w:spacing w:after="0" w:line="240" w:lineRule="auto"/>
        <w:ind w:left="1080"/>
      </w:pPr>
      <w:r>
        <w:t>reliability</w:t>
      </w:r>
    </w:p>
    <w:p w14:paraId="72E5896C" w14:textId="77777777" w:rsidR="00217746" w:rsidRDefault="00217746" w:rsidP="00217746">
      <w:pPr>
        <w:numPr>
          <w:ilvl w:val="1"/>
          <w:numId w:val="13"/>
        </w:numPr>
        <w:spacing w:after="0" w:line="240" w:lineRule="auto"/>
        <w:ind w:left="1080"/>
      </w:pPr>
      <w:r>
        <w:t>flexibility (e.g. ease of expansion to larger loads)</w:t>
      </w:r>
    </w:p>
    <w:p w14:paraId="6AD5F855" w14:textId="77777777" w:rsidR="00217746" w:rsidRDefault="00217746" w:rsidP="00217746">
      <w:pPr>
        <w:numPr>
          <w:ilvl w:val="1"/>
          <w:numId w:val="13"/>
        </w:numPr>
        <w:spacing w:after="0" w:line="240" w:lineRule="auto"/>
        <w:ind w:left="1080"/>
      </w:pPr>
      <w:r>
        <w:t>safety</w:t>
      </w:r>
    </w:p>
    <w:p w14:paraId="2DA4B7B6" w14:textId="77777777" w:rsidR="00217746" w:rsidRDefault="00217746" w:rsidP="00217746">
      <w:pPr>
        <w:numPr>
          <w:ilvl w:val="1"/>
          <w:numId w:val="13"/>
        </w:numPr>
        <w:spacing w:after="0" w:line="240" w:lineRule="auto"/>
        <w:ind w:left="1080"/>
      </w:pPr>
      <w:r>
        <w:t>failure conditions</w:t>
      </w:r>
    </w:p>
    <w:p w14:paraId="23288B13" w14:textId="77777777" w:rsidR="00217746" w:rsidRDefault="00217746" w:rsidP="00217746">
      <w:pPr>
        <w:numPr>
          <w:ilvl w:val="1"/>
          <w:numId w:val="13"/>
        </w:numPr>
        <w:spacing w:after="0" w:line="240" w:lineRule="auto"/>
        <w:ind w:left="1080"/>
      </w:pPr>
      <w:r>
        <w:t>performance degradation</w:t>
      </w:r>
    </w:p>
    <w:p w14:paraId="656C1617" w14:textId="77777777" w:rsidR="00217746" w:rsidRDefault="00217746" w:rsidP="00217746">
      <w:pPr>
        <w:numPr>
          <w:ilvl w:val="1"/>
          <w:numId w:val="13"/>
        </w:numPr>
        <w:spacing w:after="0" w:line="240" w:lineRule="auto"/>
        <w:ind w:left="1080"/>
      </w:pPr>
      <w:r>
        <w:t>maintenance requirements</w:t>
      </w:r>
    </w:p>
    <w:p w14:paraId="7E98676A" w14:textId="77777777" w:rsidR="00217746" w:rsidRDefault="00217746" w:rsidP="00217746">
      <w:pPr>
        <w:numPr>
          <w:ilvl w:val="1"/>
          <w:numId w:val="13"/>
        </w:numPr>
        <w:spacing w:after="0" w:line="240" w:lineRule="auto"/>
        <w:ind w:left="1080"/>
      </w:pPr>
      <w:proofErr w:type="gramStart"/>
      <w:r>
        <w:t>any</w:t>
      </w:r>
      <w:proofErr w:type="gramEnd"/>
      <w:r>
        <w:t xml:space="preserve"> other key criteria (size, weight, safety)?</w:t>
      </w:r>
    </w:p>
    <w:p w14:paraId="37C43F66" w14:textId="77777777" w:rsidR="00217746" w:rsidRDefault="00217746" w:rsidP="00217746">
      <w:pPr>
        <w:spacing w:after="0" w:line="240" w:lineRule="auto"/>
        <w:ind w:left="1080"/>
      </w:pPr>
    </w:p>
    <w:p w14:paraId="7EC1097D" w14:textId="77777777" w:rsidR="00217746" w:rsidRDefault="00217746" w:rsidP="00217746">
      <w:pPr>
        <w:pStyle w:val="ListParagraph"/>
        <w:numPr>
          <w:ilvl w:val="0"/>
          <w:numId w:val="13"/>
        </w:numPr>
        <w:spacing w:after="200" w:line="276" w:lineRule="auto"/>
        <w:ind w:left="360"/>
        <w:rPr>
          <w:lang w:val="en-GB"/>
        </w:rPr>
      </w:pPr>
      <w:r>
        <w:rPr>
          <w:lang w:val="en-GB"/>
        </w:rPr>
        <w:t xml:space="preserve">How does the performance compare to the claimed / boilerplate performance? </w:t>
      </w:r>
    </w:p>
    <w:p w14:paraId="4E95EDA8" w14:textId="77777777" w:rsidR="00217746" w:rsidRDefault="00217746" w:rsidP="00217746">
      <w:pPr>
        <w:pStyle w:val="ListParagraph"/>
        <w:ind w:left="360"/>
        <w:rPr>
          <w:lang w:val="en-GB"/>
        </w:rPr>
      </w:pPr>
    </w:p>
    <w:p w14:paraId="68CB1993" w14:textId="77777777" w:rsidR="00217746" w:rsidRDefault="00217746" w:rsidP="00217746">
      <w:pPr>
        <w:pStyle w:val="ListParagraph"/>
        <w:numPr>
          <w:ilvl w:val="0"/>
          <w:numId w:val="13"/>
        </w:numPr>
        <w:spacing w:after="200" w:line="276" w:lineRule="auto"/>
        <w:ind w:left="360"/>
        <w:rPr>
          <w:lang w:val="en-GB"/>
        </w:rPr>
      </w:pPr>
      <w:r>
        <w:rPr>
          <w:lang w:val="en-GB"/>
        </w:rPr>
        <w:t xml:space="preserve">Is it clear how to operate these technologies so as to maximise performance, reliability, lifetime (e.g. from supplier user guides and information)? </w:t>
      </w:r>
    </w:p>
    <w:p w14:paraId="52A10A8C" w14:textId="77777777" w:rsidR="00217746" w:rsidRDefault="00217746" w:rsidP="00217746">
      <w:pPr>
        <w:pStyle w:val="ListParagraph"/>
        <w:ind w:left="360"/>
        <w:rPr>
          <w:lang w:val="en-GB"/>
        </w:rPr>
      </w:pPr>
    </w:p>
    <w:p w14:paraId="071E7727" w14:textId="77777777" w:rsidR="00217746" w:rsidRDefault="00217746" w:rsidP="00217746">
      <w:pPr>
        <w:pStyle w:val="ListParagraph"/>
        <w:numPr>
          <w:ilvl w:val="0"/>
          <w:numId w:val="13"/>
        </w:numPr>
        <w:spacing w:after="200" w:line="276" w:lineRule="auto"/>
        <w:ind w:left="360"/>
        <w:rPr>
          <w:lang w:val="en-GB"/>
        </w:rPr>
      </w:pPr>
      <w:r>
        <w:rPr>
          <w:lang w:val="en-GB"/>
        </w:rPr>
        <w:t>Are you aware of the performance trajectory of the range of technologies? (i.e. how new versions will improve over time)</w:t>
      </w:r>
    </w:p>
    <w:p w14:paraId="36CDC1ED" w14:textId="77777777" w:rsidR="00217746" w:rsidRDefault="00217746" w:rsidP="00217746">
      <w:pPr>
        <w:spacing w:after="0" w:line="240" w:lineRule="auto"/>
      </w:pPr>
    </w:p>
    <w:p w14:paraId="0E9561C4" w14:textId="77777777" w:rsidR="00217746" w:rsidRDefault="00217746" w:rsidP="00217746">
      <w:pPr>
        <w:pStyle w:val="ListParagraph"/>
        <w:numPr>
          <w:ilvl w:val="0"/>
          <w:numId w:val="12"/>
        </w:numPr>
        <w:spacing w:after="200" w:line="276" w:lineRule="auto"/>
        <w:rPr>
          <w:b/>
        </w:rPr>
      </w:pPr>
      <w:r>
        <w:rPr>
          <w:b/>
        </w:rPr>
        <w:t>Availability of technologies</w:t>
      </w:r>
    </w:p>
    <w:p w14:paraId="13D44651" w14:textId="77777777" w:rsidR="00217746" w:rsidRDefault="00217746" w:rsidP="00217746">
      <w:pPr>
        <w:numPr>
          <w:ilvl w:val="0"/>
          <w:numId w:val="13"/>
        </w:numPr>
        <w:spacing w:after="200" w:line="276" w:lineRule="auto"/>
        <w:ind w:left="360"/>
      </w:pPr>
      <w:r>
        <w:t xml:space="preserve">What does the value-chain of these technologies look like in the specific markets and who are the key intermediaries, players active - including incentives for them? </w:t>
      </w:r>
    </w:p>
    <w:p w14:paraId="519A480C" w14:textId="77777777" w:rsidR="00217746" w:rsidRDefault="00217746" w:rsidP="00217746">
      <w:pPr>
        <w:numPr>
          <w:ilvl w:val="1"/>
          <w:numId w:val="13"/>
        </w:numPr>
        <w:spacing w:after="200" w:line="276" w:lineRule="auto"/>
        <w:ind w:left="1080"/>
        <w:rPr>
          <w:lang w:val="en-GB"/>
        </w:rPr>
      </w:pPr>
      <w:r>
        <w:rPr>
          <w:lang w:val="en-GB"/>
        </w:rPr>
        <w:t>How many providers are there of each technology in your region(s) of interest?</w:t>
      </w:r>
    </w:p>
    <w:p w14:paraId="26CADE29" w14:textId="77777777" w:rsidR="00217746" w:rsidRDefault="00217746" w:rsidP="00217746">
      <w:pPr>
        <w:numPr>
          <w:ilvl w:val="1"/>
          <w:numId w:val="13"/>
        </w:numPr>
        <w:spacing w:after="200" w:line="276" w:lineRule="auto"/>
        <w:ind w:left="1080"/>
        <w:rPr>
          <w:sz w:val="20"/>
          <w:szCs w:val="20"/>
          <w:lang w:val="en-GB"/>
        </w:rPr>
      </w:pPr>
      <w:r>
        <w:rPr>
          <w:lang w:val="en-GB"/>
        </w:rPr>
        <w:t>Who are the suppliers and from where is the technology supplied?</w:t>
      </w:r>
    </w:p>
    <w:p w14:paraId="4FB990A7" w14:textId="77777777" w:rsidR="00217746" w:rsidRDefault="00217746" w:rsidP="00217746">
      <w:pPr>
        <w:numPr>
          <w:ilvl w:val="1"/>
          <w:numId w:val="13"/>
        </w:numPr>
        <w:spacing w:after="200" w:line="276" w:lineRule="auto"/>
        <w:ind w:left="1080"/>
        <w:rPr>
          <w:sz w:val="20"/>
          <w:szCs w:val="20"/>
          <w:lang w:val="en-GB"/>
        </w:rPr>
      </w:pPr>
      <w:r>
        <w:rPr>
          <w:lang w:val="en-GB"/>
        </w:rPr>
        <w:t>To what extent do technologies used in practice correspond with those which are optimal for the application, both in terms of cost and environmental impact?</w:t>
      </w:r>
    </w:p>
    <w:p w14:paraId="1CEF34A1" w14:textId="77777777" w:rsidR="00217746" w:rsidRDefault="00217746" w:rsidP="00217746">
      <w:pPr>
        <w:numPr>
          <w:ilvl w:val="1"/>
          <w:numId w:val="13"/>
        </w:numPr>
        <w:spacing w:after="200" w:line="276" w:lineRule="auto"/>
        <w:ind w:left="1080"/>
        <w:rPr>
          <w:lang w:val="en-GB"/>
        </w:rPr>
      </w:pPr>
      <w:r>
        <w:rPr>
          <w:lang w:val="en-GB"/>
        </w:rPr>
        <w:t xml:space="preserve">If poorly, what limits the supply of technologies, e.g. are providers not present in those markets, or are transport costs prohibitive? </w:t>
      </w:r>
    </w:p>
    <w:p w14:paraId="1FC2D5CA" w14:textId="77777777" w:rsidR="00217746" w:rsidRDefault="00217746" w:rsidP="00217746">
      <w:pPr>
        <w:numPr>
          <w:ilvl w:val="1"/>
          <w:numId w:val="13"/>
        </w:numPr>
        <w:spacing w:after="0" w:line="240" w:lineRule="auto"/>
        <w:ind w:left="1080"/>
      </w:pPr>
      <w:r>
        <w:t xml:space="preserve">Are there any forward-looking policy or regulatory drivers in any of these markets to promote one or other technologies? </w:t>
      </w:r>
    </w:p>
    <w:p w14:paraId="10905CEF" w14:textId="77777777" w:rsidR="00217746" w:rsidRDefault="00217746" w:rsidP="00217746">
      <w:pPr>
        <w:spacing w:after="0" w:line="240" w:lineRule="auto"/>
        <w:ind w:left="1080"/>
      </w:pPr>
    </w:p>
    <w:p w14:paraId="0D49F94B" w14:textId="77777777" w:rsidR="00217746" w:rsidRDefault="00217746" w:rsidP="00217746">
      <w:pPr>
        <w:numPr>
          <w:ilvl w:val="1"/>
          <w:numId w:val="13"/>
        </w:numPr>
        <w:spacing w:after="200" w:line="276" w:lineRule="auto"/>
        <w:ind w:left="1080"/>
        <w:rPr>
          <w:lang w:val="en-GB"/>
        </w:rPr>
      </w:pPr>
      <w:r>
        <w:rPr>
          <w:lang w:val="en-GB"/>
        </w:rPr>
        <w:lastRenderedPageBreak/>
        <w:t xml:space="preserve">What other barriers or specific enablers are you aware of that drive the availability of technologies in your region? </w:t>
      </w:r>
    </w:p>
    <w:p w14:paraId="69ED7C20" w14:textId="77777777" w:rsidR="00217746" w:rsidRDefault="00217746" w:rsidP="00217746">
      <w:pPr>
        <w:numPr>
          <w:ilvl w:val="1"/>
          <w:numId w:val="13"/>
        </w:numPr>
        <w:spacing w:after="200" w:line="276" w:lineRule="auto"/>
        <w:ind w:left="1080"/>
        <w:rPr>
          <w:lang w:val="en-GB"/>
        </w:rPr>
      </w:pPr>
      <w:r>
        <w:rPr>
          <w:lang w:val="en-GB"/>
        </w:rPr>
        <w:t>How does your supply chain compare to that of your competitors?</w:t>
      </w:r>
    </w:p>
    <w:p w14:paraId="56BFB536" w14:textId="77777777" w:rsidR="00217746" w:rsidRDefault="00217746" w:rsidP="00217746">
      <w:pPr>
        <w:pStyle w:val="ListParagraph"/>
        <w:numPr>
          <w:ilvl w:val="0"/>
          <w:numId w:val="12"/>
        </w:numPr>
        <w:spacing w:after="200" w:line="276" w:lineRule="auto"/>
        <w:rPr>
          <w:lang w:val="en-GB"/>
        </w:rPr>
      </w:pPr>
      <w:r>
        <w:rPr>
          <w:b/>
          <w:lang w:val="en-GB"/>
        </w:rPr>
        <w:t>Environmental impact of technologies</w:t>
      </w:r>
    </w:p>
    <w:p w14:paraId="1397AD70" w14:textId="77777777" w:rsidR="00217746" w:rsidRDefault="00217746" w:rsidP="00217746">
      <w:pPr>
        <w:pStyle w:val="ListParagraph"/>
        <w:ind w:left="360"/>
        <w:rPr>
          <w:lang w:val="en-GB"/>
        </w:rPr>
      </w:pPr>
    </w:p>
    <w:p w14:paraId="3CE56CD7" w14:textId="77777777" w:rsidR="00217746" w:rsidRDefault="00217746" w:rsidP="00217746">
      <w:pPr>
        <w:pStyle w:val="ListParagraph"/>
        <w:numPr>
          <w:ilvl w:val="0"/>
          <w:numId w:val="13"/>
        </w:numPr>
        <w:spacing w:after="200" w:line="276" w:lineRule="auto"/>
        <w:ind w:left="360"/>
        <w:rPr>
          <w:i/>
          <w:lang w:val="en-GB"/>
        </w:rPr>
      </w:pPr>
      <w:r>
        <w:rPr>
          <w:lang w:val="en-GB"/>
        </w:rPr>
        <w:t xml:space="preserve">Are any technologies subject to environmental standards which hamper their use? </w:t>
      </w:r>
      <w:r>
        <w:rPr>
          <w:i/>
          <w:lang w:val="en-GB"/>
        </w:rPr>
        <w:t>(For example, trade rules around e-waste, relevant to second-life batteries)</w:t>
      </w:r>
    </w:p>
    <w:p w14:paraId="488D5510" w14:textId="77777777" w:rsidR="00217746" w:rsidRDefault="00217746" w:rsidP="00217746">
      <w:pPr>
        <w:pStyle w:val="ListParagraph"/>
        <w:ind w:left="1080"/>
        <w:rPr>
          <w:lang w:val="en-GB"/>
        </w:rPr>
      </w:pPr>
    </w:p>
    <w:p w14:paraId="7105224C" w14:textId="77777777" w:rsidR="00217746" w:rsidRDefault="00217746" w:rsidP="00217746">
      <w:pPr>
        <w:pStyle w:val="ListParagraph"/>
        <w:numPr>
          <w:ilvl w:val="0"/>
          <w:numId w:val="13"/>
        </w:numPr>
        <w:spacing w:after="200" w:line="276" w:lineRule="auto"/>
        <w:ind w:left="360"/>
        <w:rPr>
          <w:lang w:val="en-GB"/>
        </w:rPr>
      </w:pPr>
      <w:r>
        <w:rPr>
          <w:lang w:val="en-GB"/>
        </w:rPr>
        <w:t>What are the procedures for disposing of the technology at its life end?</w:t>
      </w:r>
    </w:p>
    <w:p w14:paraId="6D01B57E" w14:textId="77777777" w:rsidR="00217746" w:rsidRDefault="00217746" w:rsidP="00217746">
      <w:pPr>
        <w:numPr>
          <w:ilvl w:val="1"/>
          <w:numId w:val="13"/>
        </w:numPr>
        <w:spacing w:after="200" w:line="276" w:lineRule="auto"/>
        <w:ind w:left="1080"/>
        <w:rPr>
          <w:lang w:val="en-GB"/>
        </w:rPr>
      </w:pPr>
      <w:r>
        <w:rPr>
          <w:lang w:val="en-GB"/>
        </w:rPr>
        <w:t>How easy and commercially viable is it to recycle, refurbish/ reuse/ repurpose?</w:t>
      </w:r>
    </w:p>
    <w:p w14:paraId="759C9496" w14:textId="77777777" w:rsidR="00217746" w:rsidRDefault="00217746" w:rsidP="00217746">
      <w:pPr>
        <w:numPr>
          <w:ilvl w:val="1"/>
          <w:numId w:val="13"/>
        </w:numPr>
        <w:spacing w:after="200" w:line="276" w:lineRule="auto"/>
        <w:ind w:left="1080"/>
        <w:rPr>
          <w:lang w:val="en-GB"/>
        </w:rPr>
      </w:pPr>
      <w:r>
        <w:rPr>
          <w:lang w:val="en-GB"/>
        </w:rPr>
        <w:t>What are the environmental toxicity implications of non-recyclable components?</w:t>
      </w:r>
    </w:p>
    <w:p w14:paraId="12FD3B67" w14:textId="77777777" w:rsidR="00217746" w:rsidRDefault="00217746" w:rsidP="00217746">
      <w:pPr>
        <w:numPr>
          <w:ilvl w:val="1"/>
          <w:numId w:val="13"/>
        </w:numPr>
        <w:spacing w:after="200" w:line="276" w:lineRule="auto"/>
        <w:ind w:left="1080"/>
        <w:rPr>
          <w:lang w:val="en-GB"/>
        </w:rPr>
      </w:pPr>
      <w:r>
        <w:rPr>
          <w:lang w:val="en-GB"/>
        </w:rPr>
        <w:t xml:space="preserve">What organisations, regulations and procedures are in place to help disposal and recyclability, and who owns overall responsibility? </w:t>
      </w:r>
    </w:p>
    <w:p w14:paraId="17DC8A1B" w14:textId="77777777" w:rsidR="00217746" w:rsidRDefault="00217746" w:rsidP="00217746">
      <w:pPr>
        <w:numPr>
          <w:ilvl w:val="1"/>
          <w:numId w:val="13"/>
        </w:numPr>
        <w:spacing w:after="200" w:line="276" w:lineRule="auto"/>
        <w:ind w:left="1080"/>
        <w:rPr>
          <w:lang w:val="en-GB"/>
        </w:rPr>
      </w:pPr>
      <w:r>
        <w:rPr>
          <w:lang w:val="en-GB"/>
        </w:rPr>
        <w:t xml:space="preserve">If nobody – what are the ecosystem gaps that exist to make the recycling feasible in the relevant markets? </w:t>
      </w:r>
    </w:p>
    <w:p w14:paraId="02AADD51" w14:textId="5FAC3F31" w:rsidR="00217746" w:rsidRDefault="00217746" w:rsidP="00217746">
      <w:pPr>
        <w:numPr>
          <w:ilvl w:val="1"/>
          <w:numId w:val="13"/>
        </w:numPr>
        <w:spacing w:after="200" w:line="276" w:lineRule="auto"/>
        <w:ind w:left="1080"/>
        <w:rPr>
          <w:lang w:val="en-GB"/>
        </w:rPr>
      </w:pPr>
      <w:r>
        <w:rPr>
          <w:lang w:val="en-GB"/>
        </w:rPr>
        <w:t xml:space="preserve">What is best practice in these areas, considering other geographies/ markets? </w:t>
      </w:r>
    </w:p>
    <w:p w14:paraId="6E01146A" w14:textId="3A7909A3" w:rsidR="001365DF" w:rsidRDefault="001365DF">
      <w:pPr>
        <w:rPr>
          <w:lang w:val="en-GB"/>
        </w:rPr>
      </w:pPr>
      <w:r>
        <w:rPr>
          <w:lang w:val="en-GB"/>
        </w:rPr>
        <w:br w:type="page"/>
      </w:r>
    </w:p>
    <w:p w14:paraId="5073980B" w14:textId="545C37D2" w:rsidR="001365DF" w:rsidRPr="001365DF" w:rsidRDefault="001365DF" w:rsidP="001365DF">
      <w:pPr>
        <w:pStyle w:val="Heading3"/>
        <w:rPr>
          <w:rFonts w:asciiTheme="minorHAnsi" w:hAnsiTheme="minorHAnsi" w:cstheme="minorHAnsi"/>
          <w:b/>
          <w:color w:val="000000" w:themeColor="text1"/>
          <w:sz w:val="22"/>
        </w:rPr>
      </w:pPr>
      <w:r w:rsidRPr="001365DF">
        <w:rPr>
          <w:rFonts w:asciiTheme="minorHAnsi" w:hAnsiTheme="minorHAnsi" w:cstheme="minorHAnsi"/>
          <w:b/>
          <w:color w:val="000000" w:themeColor="text1"/>
          <w:sz w:val="22"/>
        </w:rPr>
        <w:lastRenderedPageBreak/>
        <w:t>Annex C</w:t>
      </w:r>
    </w:p>
    <w:p w14:paraId="5E75A0EE" w14:textId="61ABC411" w:rsidR="001365DF" w:rsidRDefault="001365DF" w:rsidP="00C648CB">
      <w:pPr>
        <w:pStyle w:val="NoSpacing"/>
      </w:pPr>
    </w:p>
    <w:p w14:paraId="0FF53161" w14:textId="0111A56B" w:rsidR="001365DF" w:rsidRPr="001365DF" w:rsidRDefault="001365DF" w:rsidP="001365DF">
      <w:pPr>
        <w:pStyle w:val="Caption"/>
        <w:keepNext/>
        <w:rPr>
          <w:color w:val="000000" w:themeColor="text1"/>
        </w:rPr>
      </w:pPr>
      <w:r w:rsidRPr="001365DF">
        <w:rPr>
          <w:b/>
          <w:color w:val="000000" w:themeColor="text1"/>
        </w:rPr>
        <w:t xml:space="preserve">Table </w:t>
      </w:r>
      <w:r w:rsidR="00575EF1">
        <w:rPr>
          <w:b/>
          <w:color w:val="000000" w:themeColor="text1"/>
        </w:rPr>
        <w:t>C1</w:t>
      </w:r>
      <w:r w:rsidRPr="001365DF">
        <w:rPr>
          <w:color w:val="000000" w:themeColor="text1"/>
        </w:rPr>
        <w:t xml:space="preserve"> – Capital cost for lithium-ion battery </w:t>
      </w:r>
      <w:r w:rsidR="00C648CB">
        <w:rPr>
          <w:color w:val="000000" w:themeColor="text1"/>
        </w:rPr>
        <w:t>packs</w:t>
      </w:r>
      <w:r w:rsidRPr="001365DF">
        <w:rPr>
          <w:color w:val="000000" w:themeColor="text1"/>
        </w:rPr>
        <w:t xml:space="preserve"> of different chemistry types and industry reference standard</w:t>
      </w:r>
      <w:r w:rsidR="00C648CB">
        <w:rPr>
          <w:color w:val="000000" w:themeColor="text1"/>
        </w:rPr>
        <w:t xml:space="preserve"> in last two columns</w:t>
      </w:r>
      <w:r w:rsidRPr="001365DF">
        <w:rPr>
          <w:color w:val="000000" w:themeColor="text1"/>
        </w:rPr>
        <w:t xml:space="preserve"> </w:t>
      </w:r>
      <w:r w:rsidRPr="001365DF">
        <w:rPr>
          <w:rFonts w:cstheme="minorHAnsi"/>
          <w:color w:val="000000" w:themeColor="text1"/>
        </w:rPr>
        <w:fldChar w:fldCharType="begin" w:fldLock="1"/>
      </w:r>
      <w:r w:rsidR="00221A88">
        <w:rPr>
          <w:rFonts w:cstheme="minorHAnsi"/>
          <w:color w:val="000000" w:themeColor="text1"/>
        </w:rPr>
        <w:instrText>ADDIN CSL_CITATION { "citationID" : "GVgnWZCa", "citationItems" : [ { "id" : "ITEM-1", "itemData" : { "author" : [ { "dropping-particle" : "", "family" : "Kleinberg", "given" : "Michael", "non-dropping-particle" : "", "parse-names" : false, "suffix" : "" } ], "id" : "ITEM-1", "issued" : { "date-parts" : [ [ "2016" ] ] }, "publisher" : "Pacificorp", "title" : "Battery Energy Storage Study for the 2017 IRP", "type" : "book" }, "uri" : [ "http://www.mendeley.com/documents/?uuid=72a62220-bb18-46d0-abf9-903c22cf57e5", "http://www.mendeley.com/documents/?uuid=fb922846-8e89-31fe-918b-85d7886378d6" ], "uris" : [ "http://www.mendeley.com/documents/?uuid=72a62220-bb18-46d0-abf9-903c22cf57e5", "http://www.mendeley.com/documents/?uuid=fb922846-8e89-31fe-918b-85d7886378d6" ] } ], "mendeley" : { "formattedCitation" : "(Kleinberg, 2016)", "plainTextFormattedCitation" : "(Kleinberg, 2016)", "previouslyFormattedCitation" : "(Kleinberg, 2016)" }, "properties" : { "formattedCitation" : "(Kleinberg, 2016; Matteson &amp; Williams, 2015)", "noteIndex" : 0, "plainCitation" : "(Kleinberg, 2016; Matteson &amp; Williams, 2015)" }, "schema" : "https://github.com/citation-style-language/schema/raw/master/csl-citation.json" }</w:instrText>
      </w:r>
      <w:r w:rsidRPr="001365DF">
        <w:rPr>
          <w:rFonts w:cstheme="minorHAnsi"/>
          <w:color w:val="000000" w:themeColor="text1"/>
        </w:rPr>
        <w:fldChar w:fldCharType="separate"/>
      </w:r>
      <w:r w:rsidR="00221A88" w:rsidRPr="00221A88">
        <w:rPr>
          <w:rFonts w:cstheme="minorHAnsi"/>
          <w:i w:val="0"/>
          <w:noProof/>
          <w:color w:val="000000" w:themeColor="text1"/>
        </w:rPr>
        <w:t>(Kleinberg, 2016)</w:t>
      </w:r>
      <w:r w:rsidRPr="001365DF">
        <w:rPr>
          <w:rFonts w:cstheme="minorHAnsi"/>
          <w:color w:val="000000" w:themeColor="text1"/>
        </w:rPr>
        <w:fldChar w:fldCharType="end"/>
      </w:r>
      <w:r w:rsidRPr="001365DF">
        <w:rPr>
          <w:rFonts w:cstheme="minorHAnsi"/>
          <w:color w:val="000000" w:themeColor="text1"/>
        </w:rPr>
        <w:t>.</w:t>
      </w:r>
    </w:p>
    <w:tbl>
      <w:tblPr>
        <w:tblStyle w:val="TableGrid"/>
        <w:tblW w:w="0" w:type="auto"/>
        <w:tblLayout w:type="fixed"/>
        <w:tblLook w:val="04A0" w:firstRow="1" w:lastRow="0" w:firstColumn="1" w:lastColumn="0" w:noHBand="0" w:noVBand="1"/>
      </w:tblPr>
      <w:tblGrid>
        <w:gridCol w:w="946"/>
        <w:gridCol w:w="946"/>
        <w:gridCol w:w="947"/>
        <w:gridCol w:w="946"/>
        <w:gridCol w:w="947"/>
        <w:gridCol w:w="946"/>
        <w:gridCol w:w="946"/>
        <w:gridCol w:w="947"/>
        <w:gridCol w:w="946"/>
        <w:gridCol w:w="947"/>
      </w:tblGrid>
      <w:tr w:rsidR="001365DF" w:rsidRPr="001365DF" w14:paraId="511A7467" w14:textId="3920F8DA" w:rsidTr="001365DF">
        <w:tc>
          <w:tcPr>
            <w:tcW w:w="946" w:type="dxa"/>
            <w:vAlign w:val="bottom"/>
          </w:tcPr>
          <w:p w14:paraId="663AAC7F" w14:textId="30E82DA6" w:rsidR="001365DF" w:rsidRPr="001365DF" w:rsidRDefault="001365DF" w:rsidP="001365DF">
            <w:pPr>
              <w:rPr>
                <w:sz w:val="20"/>
                <w:lang w:val="en-GB"/>
              </w:rPr>
            </w:pPr>
            <w:r>
              <w:rPr>
                <w:rFonts w:ascii="Calibri" w:hAnsi="Calibri" w:cs="Calibri"/>
                <w:color w:val="000000"/>
                <w:sz w:val="20"/>
              </w:rPr>
              <w:t>Type</w:t>
            </w:r>
          </w:p>
        </w:tc>
        <w:tc>
          <w:tcPr>
            <w:tcW w:w="946" w:type="dxa"/>
            <w:vAlign w:val="bottom"/>
          </w:tcPr>
          <w:p w14:paraId="73F8738D" w14:textId="452ED127" w:rsidR="001365DF" w:rsidRPr="001365DF" w:rsidRDefault="001365DF" w:rsidP="001365DF">
            <w:pPr>
              <w:rPr>
                <w:sz w:val="20"/>
                <w:lang w:val="en-GB"/>
              </w:rPr>
            </w:pPr>
            <w:r w:rsidRPr="001365DF">
              <w:rPr>
                <w:rFonts w:ascii="Calibri" w:hAnsi="Calibri" w:cs="Calibri"/>
                <w:color w:val="000000"/>
                <w:sz w:val="20"/>
              </w:rPr>
              <w:t>LFP</w:t>
            </w:r>
          </w:p>
        </w:tc>
        <w:tc>
          <w:tcPr>
            <w:tcW w:w="947" w:type="dxa"/>
            <w:vAlign w:val="bottom"/>
          </w:tcPr>
          <w:p w14:paraId="1D75EC40" w14:textId="301A9E8F" w:rsidR="001365DF" w:rsidRPr="001365DF" w:rsidRDefault="001365DF" w:rsidP="001365DF">
            <w:pPr>
              <w:rPr>
                <w:sz w:val="20"/>
                <w:lang w:val="en-GB"/>
              </w:rPr>
            </w:pPr>
            <w:r w:rsidRPr="001365DF">
              <w:rPr>
                <w:rFonts w:ascii="Calibri" w:hAnsi="Calibri" w:cs="Calibri"/>
                <w:color w:val="000000"/>
                <w:sz w:val="20"/>
              </w:rPr>
              <w:t>LFP</w:t>
            </w:r>
          </w:p>
        </w:tc>
        <w:tc>
          <w:tcPr>
            <w:tcW w:w="946" w:type="dxa"/>
            <w:vAlign w:val="bottom"/>
          </w:tcPr>
          <w:p w14:paraId="4FF508D3" w14:textId="0BAA0B37" w:rsidR="001365DF" w:rsidRPr="001365DF" w:rsidRDefault="001365DF" w:rsidP="001365DF">
            <w:pPr>
              <w:rPr>
                <w:sz w:val="20"/>
                <w:lang w:val="en-GB"/>
              </w:rPr>
            </w:pPr>
            <w:r w:rsidRPr="001365DF">
              <w:rPr>
                <w:rFonts w:ascii="Calibri" w:hAnsi="Calibri" w:cs="Calibri"/>
                <w:color w:val="000000"/>
                <w:sz w:val="20"/>
              </w:rPr>
              <w:t>N/A</w:t>
            </w:r>
          </w:p>
        </w:tc>
        <w:tc>
          <w:tcPr>
            <w:tcW w:w="947" w:type="dxa"/>
            <w:vAlign w:val="bottom"/>
          </w:tcPr>
          <w:p w14:paraId="06605BA0" w14:textId="74DB57EA" w:rsidR="001365DF" w:rsidRPr="001365DF" w:rsidRDefault="001365DF" w:rsidP="001365DF">
            <w:pPr>
              <w:rPr>
                <w:sz w:val="20"/>
                <w:lang w:val="en-GB"/>
              </w:rPr>
            </w:pPr>
            <w:r w:rsidRPr="001365DF">
              <w:rPr>
                <w:rFonts w:ascii="Calibri" w:hAnsi="Calibri" w:cs="Calibri"/>
                <w:color w:val="000000"/>
                <w:sz w:val="20"/>
              </w:rPr>
              <w:t>N/A</w:t>
            </w:r>
          </w:p>
        </w:tc>
        <w:tc>
          <w:tcPr>
            <w:tcW w:w="946" w:type="dxa"/>
            <w:vAlign w:val="bottom"/>
          </w:tcPr>
          <w:p w14:paraId="39A7BBDA" w14:textId="25C8056D" w:rsidR="001365DF" w:rsidRPr="001365DF" w:rsidRDefault="001365DF" w:rsidP="001365DF">
            <w:pPr>
              <w:rPr>
                <w:sz w:val="20"/>
                <w:lang w:val="en-GB"/>
              </w:rPr>
            </w:pPr>
            <w:r w:rsidRPr="001365DF">
              <w:rPr>
                <w:rFonts w:ascii="Calibri" w:hAnsi="Calibri" w:cs="Calibri"/>
                <w:color w:val="000000"/>
                <w:sz w:val="20"/>
              </w:rPr>
              <w:t>LFP</w:t>
            </w:r>
          </w:p>
        </w:tc>
        <w:tc>
          <w:tcPr>
            <w:tcW w:w="946" w:type="dxa"/>
            <w:vAlign w:val="bottom"/>
          </w:tcPr>
          <w:p w14:paraId="72DE72E8" w14:textId="0584E11F" w:rsidR="001365DF" w:rsidRPr="001365DF" w:rsidRDefault="001365DF" w:rsidP="001365DF">
            <w:pPr>
              <w:rPr>
                <w:sz w:val="20"/>
                <w:lang w:val="en-GB"/>
              </w:rPr>
            </w:pPr>
            <w:r w:rsidRPr="001365DF">
              <w:rPr>
                <w:rFonts w:ascii="Calibri" w:hAnsi="Calibri" w:cs="Calibri"/>
                <w:color w:val="000000"/>
                <w:sz w:val="20"/>
              </w:rPr>
              <w:t>LFP</w:t>
            </w:r>
          </w:p>
        </w:tc>
        <w:tc>
          <w:tcPr>
            <w:tcW w:w="947" w:type="dxa"/>
            <w:vAlign w:val="bottom"/>
          </w:tcPr>
          <w:p w14:paraId="5AEB30E1" w14:textId="11837A47" w:rsidR="001365DF" w:rsidRPr="001365DF" w:rsidRDefault="001365DF" w:rsidP="001365DF">
            <w:pPr>
              <w:rPr>
                <w:sz w:val="20"/>
                <w:lang w:val="en-GB"/>
              </w:rPr>
            </w:pPr>
            <w:r w:rsidRPr="001365DF">
              <w:rPr>
                <w:rFonts w:ascii="Calibri" w:hAnsi="Calibri" w:cs="Calibri"/>
                <w:color w:val="000000"/>
                <w:sz w:val="20"/>
              </w:rPr>
              <w:t>N/A</w:t>
            </w:r>
          </w:p>
        </w:tc>
        <w:tc>
          <w:tcPr>
            <w:tcW w:w="946" w:type="dxa"/>
            <w:vAlign w:val="bottom"/>
          </w:tcPr>
          <w:p w14:paraId="0BBF18A9" w14:textId="512BAE83" w:rsidR="001365DF" w:rsidRPr="001365DF" w:rsidRDefault="001365DF" w:rsidP="001365DF">
            <w:pPr>
              <w:rPr>
                <w:sz w:val="20"/>
                <w:lang w:val="en-GB"/>
              </w:rPr>
            </w:pPr>
            <w:r w:rsidRPr="001365DF">
              <w:rPr>
                <w:rFonts w:ascii="Calibri" w:hAnsi="Calibri" w:cs="Calibri"/>
                <w:color w:val="000000"/>
                <w:sz w:val="20"/>
              </w:rPr>
              <w:t>LFP</w:t>
            </w:r>
          </w:p>
        </w:tc>
        <w:tc>
          <w:tcPr>
            <w:tcW w:w="947" w:type="dxa"/>
            <w:vAlign w:val="bottom"/>
          </w:tcPr>
          <w:p w14:paraId="0962BD96" w14:textId="13D2C909" w:rsidR="001365DF" w:rsidRPr="001365DF" w:rsidRDefault="001365DF" w:rsidP="001365DF">
            <w:pPr>
              <w:rPr>
                <w:sz w:val="20"/>
                <w:lang w:val="en-GB"/>
              </w:rPr>
            </w:pPr>
            <w:r w:rsidRPr="001365DF">
              <w:rPr>
                <w:rFonts w:ascii="Calibri" w:hAnsi="Calibri" w:cs="Calibri"/>
                <w:color w:val="000000"/>
                <w:sz w:val="20"/>
              </w:rPr>
              <w:t>NMC</w:t>
            </w:r>
          </w:p>
        </w:tc>
      </w:tr>
      <w:tr w:rsidR="001365DF" w:rsidRPr="001365DF" w14:paraId="2B3926C7" w14:textId="7370550C" w:rsidTr="001365DF">
        <w:tc>
          <w:tcPr>
            <w:tcW w:w="946" w:type="dxa"/>
            <w:vAlign w:val="bottom"/>
          </w:tcPr>
          <w:p w14:paraId="7EF061F0" w14:textId="715433FC" w:rsidR="001365DF" w:rsidRPr="001365DF" w:rsidRDefault="001365DF" w:rsidP="001365DF">
            <w:pPr>
              <w:rPr>
                <w:sz w:val="20"/>
                <w:lang w:val="en-GB"/>
              </w:rPr>
            </w:pPr>
            <w:r>
              <w:rPr>
                <w:rFonts w:ascii="Calibri" w:hAnsi="Calibri" w:cs="Calibri"/>
                <w:color w:val="000000"/>
                <w:sz w:val="20"/>
              </w:rPr>
              <w:t>S</w:t>
            </w:r>
            <w:r w:rsidRPr="001365DF">
              <w:rPr>
                <w:rFonts w:ascii="Calibri" w:hAnsi="Calibri" w:cs="Calibri"/>
                <w:color w:val="000000"/>
                <w:sz w:val="20"/>
              </w:rPr>
              <w:t>ize (kWh)</w:t>
            </w:r>
          </w:p>
        </w:tc>
        <w:tc>
          <w:tcPr>
            <w:tcW w:w="946" w:type="dxa"/>
            <w:vAlign w:val="bottom"/>
          </w:tcPr>
          <w:p w14:paraId="66EA422D" w14:textId="2AF65DCD" w:rsidR="001365DF" w:rsidRPr="001365DF" w:rsidRDefault="001365DF" w:rsidP="001365DF">
            <w:pPr>
              <w:rPr>
                <w:sz w:val="20"/>
                <w:lang w:val="en-GB"/>
              </w:rPr>
            </w:pPr>
            <w:r w:rsidRPr="001365DF">
              <w:rPr>
                <w:rFonts w:ascii="Calibri" w:hAnsi="Calibri" w:cs="Calibri"/>
                <w:color w:val="000000"/>
                <w:sz w:val="20"/>
              </w:rPr>
              <w:t>0.022</w:t>
            </w:r>
          </w:p>
        </w:tc>
        <w:tc>
          <w:tcPr>
            <w:tcW w:w="947" w:type="dxa"/>
            <w:vAlign w:val="bottom"/>
          </w:tcPr>
          <w:p w14:paraId="43F99A47" w14:textId="4879529F" w:rsidR="001365DF" w:rsidRPr="001365DF" w:rsidRDefault="001365DF" w:rsidP="001365DF">
            <w:pPr>
              <w:rPr>
                <w:sz w:val="20"/>
                <w:lang w:val="en-GB"/>
              </w:rPr>
            </w:pPr>
            <w:r w:rsidRPr="001365DF">
              <w:rPr>
                <w:rFonts w:ascii="Calibri" w:hAnsi="Calibri" w:cs="Calibri"/>
                <w:color w:val="000000"/>
                <w:sz w:val="20"/>
              </w:rPr>
              <w:t>0.145</w:t>
            </w:r>
          </w:p>
        </w:tc>
        <w:tc>
          <w:tcPr>
            <w:tcW w:w="946" w:type="dxa"/>
            <w:vAlign w:val="bottom"/>
          </w:tcPr>
          <w:p w14:paraId="59A07F24" w14:textId="71636CBC" w:rsidR="001365DF" w:rsidRPr="001365DF" w:rsidRDefault="001365DF" w:rsidP="001365DF">
            <w:pPr>
              <w:rPr>
                <w:sz w:val="20"/>
                <w:lang w:val="en-GB"/>
              </w:rPr>
            </w:pPr>
            <w:r w:rsidRPr="001365DF">
              <w:rPr>
                <w:rFonts w:ascii="Calibri" w:hAnsi="Calibri" w:cs="Calibri"/>
                <w:color w:val="000000"/>
                <w:sz w:val="20"/>
              </w:rPr>
              <w:t>151.8</w:t>
            </w:r>
          </w:p>
        </w:tc>
        <w:tc>
          <w:tcPr>
            <w:tcW w:w="947" w:type="dxa"/>
            <w:vAlign w:val="bottom"/>
          </w:tcPr>
          <w:p w14:paraId="7D3A70C0" w14:textId="0E4F535F" w:rsidR="001365DF" w:rsidRPr="001365DF" w:rsidRDefault="001365DF" w:rsidP="001365DF">
            <w:pPr>
              <w:rPr>
                <w:sz w:val="20"/>
                <w:lang w:val="en-GB"/>
              </w:rPr>
            </w:pPr>
            <w:r w:rsidRPr="001365DF">
              <w:rPr>
                <w:rFonts w:ascii="Calibri" w:hAnsi="Calibri" w:cs="Calibri"/>
                <w:color w:val="000000"/>
                <w:sz w:val="20"/>
              </w:rPr>
              <w:t>625</w:t>
            </w:r>
          </w:p>
        </w:tc>
        <w:tc>
          <w:tcPr>
            <w:tcW w:w="946" w:type="dxa"/>
            <w:vAlign w:val="bottom"/>
          </w:tcPr>
          <w:p w14:paraId="46046C70" w14:textId="143E2CB8" w:rsidR="001365DF" w:rsidRPr="001365DF" w:rsidRDefault="001365DF" w:rsidP="001365DF">
            <w:pPr>
              <w:rPr>
                <w:sz w:val="20"/>
                <w:lang w:val="en-GB"/>
              </w:rPr>
            </w:pPr>
            <w:r w:rsidRPr="001365DF">
              <w:rPr>
                <w:rFonts w:ascii="Calibri" w:hAnsi="Calibri" w:cs="Calibri"/>
                <w:color w:val="000000"/>
                <w:sz w:val="20"/>
              </w:rPr>
              <w:t>0.5</w:t>
            </w:r>
          </w:p>
        </w:tc>
        <w:tc>
          <w:tcPr>
            <w:tcW w:w="946" w:type="dxa"/>
            <w:vAlign w:val="bottom"/>
          </w:tcPr>
          <w:p w14:paraId="32C0D3BD" w14:textId="30465414" w:rsidR="001365DF" w:rsidRPr="001365DF" w:rsidRDefault="001365DF" w:rsidP="001365DF">
            <w:pPr>
              <w:rPr>
                <w:sz w:val="20"/>
                <w:lang w:val="en-GB"/>
              </w:rPr>
            </w:pPr>
            <w:r w:rsidRPr="001365DF">
              <w:rPr>
                <w:rFonts w:ascii="Calibri" w:hAnsi="Calibri" w:cs="Calibri"/>
                <w:color w:val="000000"/>
                <w:sz w:val="20"/>
              </w:rPr>
              <w:t>1</w:t>
            </w:r>
          </w:p>
        </w:tc>
        <w:tc>
          <w:tcPr>
            <w:tcW w:w="947" w:type="dxa"/>
            <w:vAlign w:val="bottom"/>
          </w:tcPr>
          <w:p w14:paraId="2A87C557" w14:textId="151456D0" w:rsidR="001365DF" w:rsidRPr="001365DF" w:rsidRDefault="001365DF" w:rsidP="001365DF">
            <w:pPr>
              <w:rPr>
                <w:sz w:val="20"/>
                <w:lang w:val="en-GB"/>
              </w:rPr>
            </w:pPr>
            <w:r w:rsidRPr="001365DF">
              <w:rPr>
                <w:rFonts w:ascii="Calibri" w:hAnsi="Calibri" w:cs="Calibri"/>
                <w:color w:val="000000"/>
                <w:sz w:val="20"/>
              </w:rPr>
              <w:t>90</w:t>
            </w:r>
          </w:p>
        </w:tc>
        <w:tc>
          <w:tcPr>
            <w:tcW w:w="946" w:type="dxa"/>
            <w:vAlign w:val="bottom"/>
          </w:tcPr>
          <w:p w14:paraId="35AA5F9E" w14:textId="48533158" w:rsidR="001365DF" w:rsidRPr="001365DF" w:rsidRDefault="001365DF" w:rsidP="001365DF">
            <w:pPr>
              <w:rPr>
                <w:sz w:val="20"/>
                <w:lang w:val="en-GB"/>
              </w:rPr>
            </w:pPr>
            <w:r w:rsidRPr="001365DF">
              <w:rPr>
                <w:rFonts w:ascii="Calibri" w:hAnsi="Calibri" w:cs="Calibri"/>
                <w:color w:val="000000"/>
                <w:sz w:val="20"/>
              </w:rPr>
              <w:t>10</w:t>
            </w:r>
          </w:p>
        </w:tc>
        <w:tc>
          <w:tcPr>
            <w:tcW w:w="947" w:type="dxa"/>
            <w:vAlign w:val="bottom"/>
          </w:tcPr>
          <w:p w14:paraId="74AE712C" w14:textId="1486D419" w:rsidR="001365DF" w:rsidRPr="001365DF" w:rsidRDefault="001365DF" w:rsidP="001365DF">
            <w:pPr>
              <w:rPr>
                <w:sz w:val="20"/>
                <w:lang w:val="en-GB"/>
              </w:rPr>
            </w:pPr>
            <w:r w:rsidRPr="001365DF">
              <w:rPr>
                <w:rFonts w:ascii="Calibri" w:hAnsi="Calibri" w:cs="Calibri"/>
                <w:color w:val="000000"/>
                <w:sz w:val="20"/>
              </w:rPr>
              <w:t>10</w:t>
            </w:r>
          </w:p>
        </w:tc>
      </w:tr>
      <w:tr w:rsidR="001365DF" w:rsidRPr="001365DF" w14:paraId="7A9E87B9" w14:textId="1BCD20F2" w:rsidTr="001365DF">
        <w:tc>
          <w:tcPr>
            <w:tcW w:w="946" w:type="dxa"/>
            <w:vAlign w:val="bottom"/>
          </w:tcPr>
          <w:p w14:paraId="4A917975" w14:textId="4DF33A9D" w:rsidR="001365DF" w:rsidRPr="001365DF" w:rsidRDefault="001365DF" w:rsidP="001365DF">
            <w:pPr>
              <w:rPr>
                <w:sz w:val="20"/>
                <w:lang w:val="en-GB"/>
              </w:rPr>
            </w:pPr>
            <w:r>
              <w:rPr>
                <w:rFonts w:ascii="Calibri" w:hAnsi="Calibri" w:cs="Calibri"/>
                <w:color w:val="000000"/>
                <w:sz w:val="20"/>
              </w:rPr>
              <w:t>C</w:t>
            </w:r>
            <w:r w:rsidRPr="001365DF">
              <w:rPr>
                <w:rFonts w:ascii="Calibri" w:hAnsi="Calibri" w:cs="Calibri"/>
                <w:color w:val="000000"/>
                <w:sz w:val="20"/>
              </w:rPr>
              <w:t>ost ($/kWh)</w:t>
            </w:r>
          </w:p>
        </w:tc>
        <w:tc>
          <w:tcPr>
            <w:tcW w:w="946" w:type="dxa"/>
            <w:vAlign w:val="bottom"/>
          </w:tcPr>
          <w:p w14:paraId="49ED5D30" w14:textId="46AE02E8" w:rsidR="001365DF" w:rsidRPr="001365DF" w:rsidRDefault="001365DF" w:rsidP="001365DF">
            <w:pPr>
              <w:rPr>
                <w:sz w:val="20"/>
                <w:lang w:val="en-GB"/>
              </w:rPr>
            </w:pPr>
            <w:r w:rsidRPr="001365DF">
              <w:rPr>
                <w:rFonts w:ascii="Calibri" w:hAnsi="Calibri" w:cs="Calibri"/>
                <w:color w:val="000000"/>
                <w:sz w:val="20"/>
              </w:rPr>
              <w:t>318</w:t>
            </w:r>
          </w:p>
        </w:tc>
        <w:tc>
          <w:tcPr>
            <w:tcW w:w="947" w:type="dxa"/>
            <w:vAlign w:val="bottom"/>
          </w:tcPr>
          <w:p w14:paraId="321CD28E" w14:textId="1CB26815" w:rsidR="001365DF" w:rsidRPr="001365DF" w:rsidRDefault="001365DF" w:rsidP="001365DF">
            <w:pPr>
              <w:rPr>
                <w:sz w:val="20"/>
                <w:lang w:val="en-GB"/>
              </w:rPr>
            </w:pPr>
            <w:r w:rsidRPr="001365DF">
              <w:rPr>
                <w:rFonts w:ascii="Calibri" w:hAnsi="Calibri" w:cs="Calibri"/>
                <w:color w:val="000000"/>
                <w:sz w:val="20"/>
              </w:rPr>
              <w:t>379</w:t>
            </w:r>
          </w:p>
        </w:tc>
        <w:tc>
          <w:tcPr>
            <w:tcW w:w="946" w:type="dxa"/>
            <w:vAlign w:val="bottom"/>
          </w:tcPr>
          <w:p w14:paraId="16C65C71" w14:textId="034FB364" w:rsidR="001365DF" w:rsidRPr="001365DF" w:rsidRDefault="001365DF" w:rsidP="001365DF">
            <w:pPr>
              <w:rPr>
                <w:sz w:val="20"/>
                <w:lang w:val="en-GB"/>
              </w:rPr>
            </w:pPr>
            <w:r w:rsidRPr="001365DF">
              <w:rPr>
                <w:rFonts w:ascii="Calibri" w:hAnsi="Calibri" w:cs="Calibri"/>
                <w:color w:val="000000"/>
                <w:sz w:val="20"/>
              </w:rPr>
              <w:t>860</w:t>
            </w:r>
          </w:p>
        </w:tc>
        <w:tc>
          <w:tcPr>
            <w:tcW w:w="947" w:type="dxa"/>
            <w:vAlign w:val="bottom"/>
          </w:tcPr>
          <w:p w14:paraId="52D52022" w14:textId="23A1BAED" w:rsidR="001365DF" w:rsidRPr="001365DF" w:rsidRDefault="001365DF" w:rsidP="001365DF">
            <w:pPr>
              <w:rPr>
                <w:sz w:val="20"/>
                <w:lang w:val="en-GB"/>
              </w:rPr>
            </w:pPr>
            <w:r w:rsidRPr="001365DF">
              <w:rPr>
                <w:rFonts w:ascii="Calibri" w:hAnsi="Calibri" w:cs="Calibri"/>
                <w:color w:val="000000"/>
                <w:sz w:val="20"/>
              </w:rPr>
              <w:t>450</w:t>
            </w:r>
          </w:p>
        </w:tc>
        <w:tc>
          <w:tcPr>
            <w:tcW w:w="946" w:type="dxa"/>
            <w:vAlign w:val="bottom"/>
          </w:tcPr>
          <w:p w14:paraId="553EA452" w14:textId="0E8CE767" w:rsidR="001365DF" w:rsidRPr="001365DF" w:rsidRDefault="001365DF" w:rsidP="001365DF">
            <w:pPr>
              <w:rPr>
                <w:sz w:val="20"/>
                <w:lang w:val="en-GB"/>
              </w:rPr>
            </w:pPr>
            <w:r w:rsidRPr="001365DF">
              <w:rPr>
                <w:rFonts w:ascii="Calibri" w:hAnsi="Calibri" w:cs="Calibri"/>
                <w:color w:val="000000"/>
                <w:sz w:val="20"/>
              </w:rPr>
              <w:t>240</w:t>
            </w:r>
          </w:p>
        </w:tc>
        <w:tc>
          <w:tcPr>
            <w:tcW w:w="946" w:type="dxa"/>
            <w:vAlign w:val="bottom"/>
          </w:tcPr>
          <w:p w14:paraId="5F32D42D" w14:textId="4E96019B" w:rsidR="001365DF" w:rsidRPr="001365DF" w:rsidRDefault="001365DF" w:rsidP="001365DF">
            <w:pPr>
              <w:rPr>
                <w:sz w:val="20"/>
                <w:lang w:val="en-GB"/>
              </w:rPr>
            </w:pPr>
            <w:r w:rsidRPr="001365DF">
              <w:rPr>
                <w:rFonts w:ascii="Calibri" w:hAnsi="Calibri" w:cs="Calibri"/>
                <w:color w:val="000000"/>
                <w:sz w:val="20"/>
              </w:rPr>
              <w:t>500</w:t>
            </w:r>
          </w:p>
        </w:tc>
        <w:tc>
          <w:tcPr>
            <w:tcW w:w="947" w:type="dxa"/>
            <w:vAlign w:val="bottom"/>
          </w:tcPr>
          <w:p w14:paraId="3C029BE3" w14:textId="6BC87112" w:rsidR="001365DF" w:rsidRPr="001365DF" w:rsidRDefault="001365DF" w:rsidP="001365DF">
            <w:pPr>
              <w:rPr>
                <w:sz w:val="20"/>
                <w:lang w:val="en-GB"/>
              </w:rPr>
            </w:pPr>
            <w:r w:rsidRPr="001365DF">
              <w:rPr>
                <w:rFonts w:ascii="Calibri" w:hAnsi="Calibri" w:cs="Calibri"/>
                <w:color w:val="000000"/>
                <w:sz w:val="20"/>
              </w:rPr>
              <w:t>350</w:t>
            </w:r>
          </w:p>
        </w:tc>
        <w:tc>
          <w:tcPr>
            <w:tcW w:w="946" w:type="dxa"/>
            <w:vAlign w:val="bottom"/>
          </w:tcPr>
          <w:p w14:paraId="4B232FA0" w14:textId="060CAB77" w:rsidR="001365DF" w:rsidRPr="001365DF" w:rsidRDefault="001365DF" w:rsidP="001365DF">
            <w:pPr>
              <w:rPr>
                <w:sz w:val="20"/>
                <w:lang w:val="en-GB"/>
              </w:rPr>
            </w:pPr>
            <w:r w:rsidRPr="001365DF">
              <w:rPr>
                <w:rFonts w:ascii="Calibri" w:hAnsi="Calibri" w:cs="Calibri"/>
                <w:color w:val="000000"/>
                <w:sz w:val="20"/>
              </w:rPr>
              <w:t>350-525</w:t>
            </w:r>
          </w:p>
        </w:tc>
        <w:tc>
          <w:tcPr>
            <w:tcW w:w="947" w:type="dxa"/>
            <w:vAlign w:val="bottom"/>
          </w:tcPr>
          <w:p w14:paraId="0BE179BF" w14:textId="5777F30A" w:rsidR="001365DF" w:rsidRPr="001365DF" w:rsidRDefault="001365DF" w:rsidP="001365DF">
            <w:pPr>
              <w:rPr>
                <w:sz w:val="20"/>
                <w:lang w:val="en-GB"/>
              </w:rPr>
            </w:pPr>
            <w:r w:rsidRPr="001365DF">
              <w:rPr>
                <w:rFonts w:ascii="Calibri" w:hAnsi="Calibri" w:cs="Calibri"/>
                <w:color w:val="000000"/>
                <w:sz w:val="20"/>
              </w:rPr>
              <w:t>325-450</w:t>
            </w:r>
          </w:p>
        </w:tc>
      </w:tr>
    </w:tbl>
    <w:p w14:paraId="158DB8D0" w14:textId="77777777" w:rsidR="001365DF" w:rsidRDefault="001365DF" w:rsidP="00217746">
      <w:pPr>
        <w:rPr>
          <w:lang w:val="en-GB"/>
        </w:rPr>
      </w:pPr>
    </w:p>
    <w:p w14:paraId="5EBA616B" w14:textId="172431F6" w:rsidR="001365DF" w:rsidRPr="001365DF" w:rsidRDefault="001365DF" w:rsidP="001365DF">
      <w:pPr>
        <w:pStyle w:val="Caption"/>
        <w:keepNext/>
        <w:rPr>
          <w:color w:val="000000" w:themeColor="text1"/>
        </w:rPr>
      </w:pPr>
      <w:r w:rsidRPr="001365DF">
        <w:rPr>
          <w:b/>
          <w:color w:val="000000" w:themeColor="text1"/>
        </w:rPr>
        <w:t xml:space="preserve">Table </w:t>
      </w:r>
      <w:r w:rsidR="00575EF1">
        <w:rPr>
          <w:b/>
          <w:color w:val="000000" w:themeColor="text1"/>
        </w:rPr>
        <w:t>C2</w:t>
      </w:r>
      <w:r w:rsidRPr="001365DF">
        <w:rPr>
          <w:color w:val="000000" w:themeColor="text1"/>
        </w:rPr>
        <w:t xml:space="preserve"> – Capital cost for </w:t>
      </w:r>
      <w:r>
        <w:rPr>
          <w:color w:val="000000" w:themeColor="text1"/>
        </w:rPr>
        <w:t>lead-acid</w:t>
      </w:r>
      <w:r w:rsidRPr="001365DF">
        <w:rPr>
          <w:color w:val="000000" w:themeColor="text1"/>
        </w:rPr>
        <w:t xml:space="preserve"> battery </w:t>
      </w:r>
      <w:r w:rsidR="00C648CB">
        <w:rPr>
          <w:color w:val="000000" w:themeColor="text1"/>
        </w:rPr>
        <w:t>packs</w:t>
      </w:r>
      <w:r w:rsidRPr="001365DF">
        <w:rPr>
          <w:color w:val="000000" w:themeColor="text1"/>
        </w:rPr>
        <w:t xml:space="preserve"> of different chemistry types and industry reference standard</w:t>
      </w:r>
      <w:r w:rsidR="00C648CB">
        <w:rPr>
          <w:color w:val="000000" w:themeColor="text1"/>
        </w:rPr>
        <w:t xml:space="preserve"> in last column</w:t>
      </w:r>
      <w:r w:rsidRPr="001365DF">
        <w:rPr>
          <w:color w:val="000000" w:themeColor="text1"/>
        </w:rPr>
        <w:t xml:space="preserve"> </w:t>
      </w:r>
      <w:r w:rsidRPr="001365DF">
        <w:rPr>
          <w:rFonts w:cstheme="minorHAnsi"/>
          <w:color w:val="000000" w:themeColor="text1"/>
        </w:rPr>
        <w:fldChar w:fldCharType="begin" w:fldLock="1"/>
      </w:r>
      <w:r w:rsidR="00221A88">
        <w:rPr>
          <w:rFonts w:cstheme="minorHAnsi"/>
          <w:color w:val="000000" w:themeColor="text1"/>
        </w:rPr>
        <w:instrText>ADDIN CSL_CITATION { "citationID" : "GVgnWZCa", "citationItems" : [ { "id" : "ITEM-1", "itemData" : { "DOI" : "http://dx.doi.org/10.1016/j.enpol.2015.05.014", "ISSN" : "0301-4215", "abstract" : "Abstract The low price of lead-acid, the most popular battery, is often used in setting cost targets for emerging energy storage technologies. Future cost reductions in lead acid batteries could increase investment and time scales needed for emerging storage technologies to reach cost-parity. In this paper the first documented model of cost reductions for lead-acid batteries is developed. Regression to a standard experience curve using 1989\u20132012 data yield a poor fit, with R2 values of 0.17 for small batteries and 0.05 for larger systems. To address this problem, battery costs are separated into material and residual costs, and experience curves developed for residual costs. Depending on the year, residual costs account for 41\u201386% of total battery cost. Using running-time averages to address volatility in material costs, a 4-year time average experience curve for residual costs yield much higher R2, 0.78 for small and 0.74 for large lead-acid batteries. The learning rate for residual costs in lead-acid batteries is 20%, a discovery with policy implications. Neglecting to consider cost reductions in lead-acid batteries could result in failure of energy storage start-ups and public policy programs. Generalizing this result, learning in incumbent technologies must be understood to assess the potential of emerging ones.", "author" : [ { "dropping-particle" : "", "family" : "Matteson", "given" : "Schuyler", "non-dropping-particle" : "", "parse-names" : false, "suffix" : "" }, { "dropping-particle" : "", "family" : "Williams", "given" : "Eric", "non-dropping-particle" : "", "parse-names" : false, "suffix" : "" } ], "container-title" : "Energy Policy", "id" : "ITEM-1", "issue" : "0", "issued" : { "date-parts" : [ [ "2015" ] ] }, "page" : "71-79", "publisher" : "Elsevier", "title" : "Residual learning rates in lead-acid batteries: Effects on emerging technologies", "type" : "article-journal", "volume" : "85" }, "uris" : [ "http://www.mendeley.com/documents/?uuid=42344855-ba64-4aef-b236-7af0c2bbd935" ] } ], "mendeley" : { "formattedCitation" : "(Matteson and Williams, 2015)", "plainTextFormattedCitation" : "(Matteson and Williams, 2015)", "previouslyFormattedCitation" : "(Matteson and Williams, 2015)" }, "properties" : { "formattedCitation" : "(Kleinberg, 2016; Matteson &amp; Williams, 2015)", "noteIndex" : 0, "plainCitation" : "(Kleinberg, 2016; Matteson &amp; Williams, 2015)" }, "schema" : "https://github.com/citation-style-language/schema/raw/master/csl-citation.json" }</w:instrText>
      </w:r>
      <w:r w:rsidRPr="001365DF">
        <w:rPr>
          <w:rFonts w:cstheme="minorHAnsi"/>
          <w:color w:val="000000" w:themeColor="text1"/>
        </w:rPr>
        <w:fldChar w:fldCharType="separate"/>
      </w:r>
      <w:r w:rsidR="00221A88" w:rsidRPr="00221A88">
        <w:rPr>
          <w:rFonts w:cstheme="minorHAnsi"/>
          <w:i w:val="0"/>
          <w:noProof/>
          <w:color w:val="000000" w:themeColor="text1"/>
        </w:rPr>
        <w:t>(Matteson and Williams, 2015)</w:t>
      </w:r>
      <w:r w:rsidRPr="001365DF">
        <w:rPr>
          <w:rFonts w:cstheme="minorHAnsi"/>
          <w:color w:val="000000" w:themeColor="text1"/>
        </w:rPr>
        <w:fldChar w:fldCharType="end"/>
      </w:r>
      <w:r w:rsidRPr="001365DF">
        <w:rPr>
          <w:rFonts w:cstheme="minorHAnsi"/>
          <w:color w:val="000000" w:themeColor="text1"/>
        </w:rPr>
        <w:t>.</w:t>
      </w:r>
    </w:p>
    <w:tbl>
      <w:tblPr>
        <w:tblStyle w:val="TableGrid"/>
        <w:tblW w:w="0" w:type="auto"/>
        <w:tblLayout w:type="fixed"/>
        <w:tblLook w:val="04A0" w:firstRow="1" w:lastRow="0" w:firstColumn="1" w:lastColumn="0" w:noHBand="0" w:noVBand="1"/>
      </w:tblPr>
      <w:tblGrid>
        <w:gridCol w:w="1051"/>
        <w:gridCol w:w="1052"/>
        <w:gridCol w:w="1051"/>
        <w:gridCol w:w="1052"/>
        <w:gridCol w:w="1051"/>
        <w:gridCol w:w="1052"/>
        <w:gridCol w:w="1051"/>
        <w:gridCol w:w="1052"/>
        <w:gridCol w:w="1052"/>
      </w:tblGrid>
      <w:tr w:rsidR="00C648CB" w:rsidRPr="00C648CB" w14:paraId="5EFA8766" w14:textId="77777777" w:rsidTr="00C648CB">
        <w:tc>
          <w:tcPr>
            <w:tcW w:w="1051" w:type="dxa"/>
            <w:vAlign w:val="bottom"/>
          </w:tcPr>
          <w:p w14:paraId="2F382781" w14:textId="48792CC9" w:rsidR="00C648CB" w:rsidRPr="00C648CB" w:rsidRDefault="00C648CB" w:rsidP="001365DF">
            <w:pPr>
              <w:rPr>
                <w:sz w:val="20"/>
                <w:szCs w:val="20"/>
                <w:lang w:val="en-GB"/>
              </w:rPr>
            </w:pPr>
            <w:r w:rsidRPr="00C648CB">
              <w:rPr>
                <w:rFonts w:ascii="Calibri" w:hAnsi="Calibri" w:cs="Calibri"/>
                <w:color w:val="000000"/>
                <w:sz w:val="20"/>
                <w:szCs w:val="20"/>
              </w:rPr>
              <w:t>Type</w:t>
            </w:r>
          </w:p>
        </w:tc>
        <w:tc>
          <w:tcPr>
            <w:tcW w:w="1052" w:type="dxa"/>
            <w:vAlign w:val="bottom"/>
          </w:tcPr>
          <w:p w14:paraId="5BB3D566" w14:textId="02E64132" w:rsidR="00C648CB" w:rsidRPr="00C648CB" w:rsidRDefault="00C648CB" w:rsidP="001365DF">
            <w:pPr>
              <w:rPr>
                <w:sz w:val="20"/>
                <w:szCs w:val="20"/>
                <w:lang w:val="en-GB"/>
              </w:rPr>
            </w:pPr>
            <w:r w:rsidRPr="00C648CB">
              <w:rPr>
                <w:rFonts w:ascii="Calibri" w:hAnsi="Calibri" w:cs="Calibri"/>
                <w:color w:val="000000"/>
                <w:sz w:val="20"/>
                <w:szCs w:val="20"/>
              </w:rPr>
              <w:t>N/A</w:t>
            </w:r>
          </w:p>
        </w:tc>
        <w:tc>
          <w:tcPr>
            <w:tcW w:w="1051" w:type="dxa"/>
            <w:vAlign w:val="bottom"/>
          </w:tcPr>
          <w:p w14:paraId="1D0E9F3F" w14:textId="19B6CAAA" w:rsidR="00C648CB" w:rsidRPr="00C648CB" w:rsidRDefault="00C648CB" w:rsidP="001365DF">
            <w:pPr>
              <w:rPr>
                <w:sz w:val="20"/>
                <w:szCs w:val="20"/>
                <w:lang w:val="en-GB"/>
              </w:rPr>
            </w:pPr>
            <w:r w:rsidRPr="00C648CB">
              <w:rPr>
                <w:rFonts w:ascii="Calibri" w:hAnsi="Calibri" w:cs="Calibri"/>
                <w:color w:val="000000"/>
                <w:sz w:val="20"/>
                <w:szCs w:val="20"/>
              </w:rPr>
              <w:t>N/A</w:t>
            </w:r>
          </w:p>
        </w:tc>
        <w:tc>
          <w:tcPr>
            <w:tcW w:w="1052" w:type="dxa"/>
            <w:vAlign w:val="bottom"/>
          </w:tcPr>
          <w:p w14:paraId="54FFEAA9" w14:textId="7B6E4C4B" w:rsidR="00C648CB" w:rsidRPr="00C648CB" w:rsidRDefault="00C648CB" w:rsidP="001365DF">
            <w:pPr>
              <w:rPr>
                <w:sz w:val="20"/>
                <w:szCs w:val="20"/>
                <w:lang w:val="en-GB"/>
              </w:rPr>
            </w:pPr>
            <w:r w:rsidRPr="00C648CB">
              <w:rPr>
                <w:rFonts w:ascii="Calibri" w:hAnsi="Calibri" w:cs="Calibri"/>
                <w:color w:val="000000"/>
                <w:sz w:val="20"/>
                <w:szCs w:val="20"/>
              </w:rPr>
              <w:t>N/A</w:t>
            </w:r>
          </w:p>
        </w:tc>
        <w:tc>
          <w:tcPr>
            <w:tcW w:w="1051" w:type="dxa"/>
            <w:vAlign w:val="bottom"/>
          </w:tcPr>
          <w:p w14:paraId="78DA26C3" w14:textId="1A4FAB3E" w:rsidR="00C648CB" w:rsidRPr="00C648CB" w:rsidRDefault="00C648CB" w:rsidP="001365DF">
            <w:pPr>
              <w:rPr>
                <w:sz w:val="20"/>
                <w:szCs w:val="20"/>
                <w:lang w:val="en-GB"/>
              </w:rPr>
            </w:pPr>
            <w:r w:rsidRPr="00C648CB">
              <w:rPr>
                <w:rFonts w:ascii="Calibri" w:hAnsi="Calibri" w:cs="Calibri"/>
                <w:color w:val="000000"/>
                <w:sz w:val="20"/>
                <w:szCs w:val="20"/>
              </w:rPr>
              <w:t>Sealed</w:t>
            </w:r>
          </w:p>
        </w:tc>
        <w:tc>
          <w:tcPr>
            <w:tcW w:w="1052" w:type="dxa"/>
            <w:vAlign w:val="bottom"/>
          </w:tcPr>
          <w:p w14:paraId="640E1115" w14:textId="18901870" w:rsidR="00C648CB" w:rsidRPr="00C648CB" w:rsidRDefault="00C648CB" w:rsidP="001365DF">
            <w:pPr>
              <w:rPr>
                <w:sz w:val="20"/>
                <w:szCs w:val="20"/>
                <w:lang w:val="en-GB"/>
              </w:rPr>
            </w:pPr>
            <w:r w:rsidRPr="00C648CB">
              <w:rPr>
                <w:rFonts w:ascii="Calibri" w:hAnsi="Calibri" w:cs="Calibri"/>
                <w:color w:val="000000"/>
                <w:sz w:val="20"/>
                <w:szCs w:val="20"/>
              </w:rPr>
              <w:t>N/A</w:t>
            </w:r>
          </w:p>
        </w:tc>
        <w:tc>
          <w:tcPr>
            <w:tcW w:w="1051" w:type="dxa"/>
            <w:vAlign w:val="bottom"/>
          </w:tcPr>
          <w:p w14:paraId="0AB2316B" w14:textId="4F895663" w:rsidR="00C648CB" w:rsidRPr="00C648CB" w:rsidRDefault="00C648CB" w:rsidP="001365DF">
            <w:pPr>
              <w:rPr>
                <w:sz w:val="20"/>
                <w:szCs w:val="20"/>
                <w:lang w:val="en-GB"/>
              </w:rPr>
            </w:pPr>
            <w:r w:rsidRPr="00C648CB">
              <w:rPr>
                <w:rFonts w:ascii="Calibri" w:hAnsi="Calibri" w:cs="Calibri"/>
                <w:color w:val="000000"/>
                <w:sz w:val="20"/>
                <w:szCs w:val="20"/>
              </w:rPr>
              <w:t xml:space="preserve">Flooded </w:t>
            </w:r>
          </w:p>
        </w:tc>
        <w:tc>
          <w:tcPr>
            <w:tcW w:w="1052" w:type="dxa"/>
            <w:vAlign w:val="bottom"/>
          </w:tcPr>
          <w:p w14:paraId="711E80BA" w14:textId="0534A422" w:rsidR="00C648CB" w:rsidRPr="00C648CB" w:rsidRDefault="00C648CB" w:rsidP="001365DF">
            <w:pPr>
              <w:rPr>
                <w:sz w:val="20"/>
                <w:szCs w:val="20"/>
                <w:lang w:val="en-GB"/>
              </w:rPr>
            </w:pPr>
            <w:r w:rsidRPr="00C648CB">
              <w:rPr>
                <w:rFonts w:ascii="Calibri" w:hAnsi="Calibri" w:cs="Calibri"/>
                <w:color w:val="000000"/>
                <w:sz w:val="20"/>
                <w:szCs w:val="20"/>
              </w:rPr>
              <w:t>Sealed</w:t>
            </w:r>
          </w:p>
        </w:tc>
        <w:tc>
          <w:tcPr>
            <w:tcW w:w="1052" w:type="dxa"/>
            <w:vAlign w:val="bottom"/>
          </w:tcPr>
          <w:p w14:paraId="3A3D5BE1" w14:textId="6B8272EB" w:rsidR="00C648CB" w:rsidRPr="00C648CB" w:rsidRDefault="00C648CB" w:rsidP="001365DF">
            <w:pPr>
              <w:rPr>
                <w:sz w:val="20"/>
                <w:szCs w:val="20"/>
                <w:lang w:val="en-GB"/>
              </w:rPr>
            </w:pPr>
            <w:r w:rsidRPr="00C648CB">
              <w:rPr>
                <w:sz w:val="20"/>
                <w:szCs w:val="20"/>
                <w:lang w:val="en-GB"/>
              </w:rPr>
              <w:t>N/A</w:t>
            </w:r>
          </w:p>
        </w:tc>
      </w:tr>
      <w:tr w:rsidR="00C648CB" w:rsidRPr="00C648CB" w14:paraId="60C3CA4B" w14:textId="77777777" w:rsidTr="00C648CB">
        <w:tc>
          <w:tcPr>
            <w:tcW w:w="1051" w:type="dxa"/>
            <w:vAlign w:val="bottom"/>
          </w:tcPr>
          <w:p w14:paraId="4C294AE4" w14:textId="6242F754" w:rsidR="00C648CB" w:rsidRPr="00C648CB" w:rsidRDefault="00C648CB" w:rsidP="001365DF">
            <w:pPr>
              <w:rPr>
                <w:sz w:val="20"/>
                <w:szCs w:val="20"/>
                <w:lang w:val="en-GB"/>
              </w:rPr>
            </w:pPr>
            <w:r w:rsidRPr="00C648CB">
              <w:rPr>
                <w:rFonts w:ascii="Calibri" w:hAnsi="Calibri" w:cs="Calibri"/>
                <w:color w:val="000000"/>
                <w:sz w:val="20"/>
                <w:szCs w:val="20"/>
              </w:rPr>
              <w:t>Size (kWh)</w:t>
            </w:r>
          </w:p>
        </w:tc>
        <w:tc>
          <w:tcPr>
            <w:tcW w:w="1052" w:type="dxa"/>
            <w:vAlign w:val="bottom"/>
          </w:tcPr>
          <w:p w14:paraId="7458BA5C" w14:textId="17B93DA0" w:rsidR="00C648CB" w:rsidRPr="00C648CB" w:rsidRDefault="00C648CB" w:rsidP="001365DF">
            <w:pPr>
              <w:rPr>
                <w:sz w:val="20"/>
                <w:szCs w:val="20"/>
                <w:lang w:val="en-GB"/>
              </w:rPr>
            </w:pPr>
            <w:r w:rsidRPr="00C648CB">
              <w:rPr>
                <w:rFonts w:ascii="Calibri" w:hAnsi="Calibri" w:cs="Calibri"/>
                <w:color w:val="000000"/>
                <w:sz w:val="20"/>
                <w:szCs w:val="20"/>
              </w:rPr>
              <w:t>0.2</w:t>
            </w:r>
          </w:p>
        </w:tc>
        <w:tc>
          <w:tcPr>
            <w:tcW w:w="1051" w:type="dxa"/>
            <w:vAlign w:val="bottom"/>
          </w:tcPr>
          <w:p w14:paraId="0AF2478C" w14:textId="51BDBFAA" w:rsidR="00C648CB" w:rsidRPr="00C648CB" w:rsidRDefault="00C648CB" w:rsidP="001365DF">
            <w:pPr>
              <w:rPr>
                <w:sz w:val="20"/>
                <w:szCs w:val="20"/>
                <w:lang w:val="en-GB"/>
              </w:rPr>
            </w:pPr>
            <w:r w:rsidRPr="00C648CB">
              <w:rPr>
                <w:rFonts w:ascii="Calibri" w:hAnsi="Calibri" w:cs="Calibri"/>
                <w:color w:val="000000"/>
                <w:sz w:val="20"/>
                <w:szCs w:val="20"/>
              </w:rPr>
              <w:t>365.5</w:t>
            </w:r>
          </w:p>
        </w:tc>
        <w:tc>
          <w:tcPr>
            <w:tcW w:w="1052" w:type="dxa"/>
            <w:vAlign w:val="bottom"/>
          </w:tcPr>
          <w:p w14:paraId="0BAF7D89" w14:textId="6E17D4F9" w:rsidR="00C648CB" w:rsidRPr="00C648CB" w:rsidRDefault="00C648CB" w:rsidP="001365DF">
            <w:pPr>
              <w:rPr>
                <w:sz w:val="20"/>
                <w:szCs w:val="20"/>
                <w:lang w:val="en-GB"/>
              </w:rPr>
            </w:pPr>
            <w:r w:rsidRPr="00C648CB">
              <w:rPr>
                <w:rFonts w:ascii="Calibri" w:hAnsi="Calibri" w:cs="Calibri"/>
                <w:color w:val="000000"/>
                <w:sz w:val="20"/>
                <w:szCs w:val="20"/>
              </w:rPr>
              <w:t>10</w:t>
            </w:r>
          </w:p>
        </w:tc>
        <w:tc>
          <w:tcPr>
            <w:tcW w:w="1051" w:type="dxa"/>
            <w:vAlign w:val="bottom"/>
          </w:tcPr>
          <w:p w14:paraId="666FA2AB" w14:textId="29332162" w:rsidR="00C648CB" w:rsidRPr="00C648CB" w:rsidRDefault="00C648CB" w:rsidP="001365DF">
            <w:pPr>
              <w:rPr>
                <w:sz w:val="20"/>
                <w:szCs w:val="20"/>
                <w:lang w:val="en-GB"/>
              </w:rPr>
            </w:pPr>
            <w:r w:rsidRPr="00C648CB">
              <w:rPr>
                <w:rFonts w:ascii="Calibri" w:hAnsi="Calibri" w:cs="Calibri"/>
                <w:color w:val="000000"/>
                <w:sz w:val="20"/>
                <w:szCs w:val="20"/>
              </w:rPr>
              <w:t>0.5</w:t>
            </w:r>
          </w:p>
        </w:tc>
        <w:tc>
          <w:tcPr>
            <w:tcW w:w="1052" w:type="dxa"/>
            <w:vAlign w:val="bottom"/>
          </w:tcPr>
          <w:p w14:paraId="63C07946" w14:textId="406120F5" w:rsidR="00C648CB" w:rsidRPr="00C648CB" w:rsidRDefault="00C648CB" w:rsidP="001365DF">
            <w:pPr>
              <w:rPr>
                <w:sz w:val="20"/>
                <w:szCs w:val="20"/>
                <w:lang w:val="en-GB"/>
              </w:rPr>
            </w:pPr>
            <w:r w:rsidRPr="00C648CB">
              <w:rPr>
                <w:rFonts w:ascii="Calibri" w:hAnsi="Calibri" w:cs="Calibri"/>
                <w:color w:val="000000"/>
                <w:sz w:val="20"/>
                <w:szCs w:val="20"/>
              </w:rPr>
              <w:t>3</w:t>
            </w:r>
          </w:p>
        </w:tc>
        <w:tc>
          <w:tcPr>
            <w:tcW w:w="1051" w:type="dxa"/>
            <w:vAlign w:val="bottom"/>
          </w:tcPr>
          <w:p w14:paraId="69F955A2" w14:textId="7936F737" w:rsidR="00C648CB" w:rsidRPr="00C648CB" w:rsidRDefault="00C648CB" w:rsidP="001365DF">
            <w:pPr>
              <w:rPr>
                <w:sz w:val="20"/>
                <w:szCs w:val="20"/>
                <w:lang w:val="en-GB"/>
              </w:rPr>
            </w:pPr>
            <w:r w:rsidRPr="00C648CB">
              <w:rPr>
                <w:rFonts w:ascii="Calibri" w:hAnsi="Calibri" w:cs="Calibri"/>
                <w:color w:val="000000"/>
                <w:sz w:val="20"/>
                <w:szCs w:val="20"/>
              </w:rPr>
              <w:t>90</w:t>
            </w:r>
          </w:p>
        </w:tc>
        <w:tc>
          <w:tcPr>
            <w:tcW w:w="1052" w:type="dxa"/>
            <w:vAlign w:val="bottom"/>
          </w:tcPr>
          <w:p w14:paraId="1D571493" w14:textId="20128DF6" w:rsidR="00C648CB" w:rsidRPr="00C648CB" w:rsidRDefault="00C648CB" w:rsidP="001365DF">
            <w:pPr>
              <w:rPr>
                <w:sz w:val="20"/>
                <w:szCs w:val="20"/>
                <w:lang w:val="en-GB"/>
              </w:rPr>
            </w:pPr>
            <w:r w:rsidRPr="00C648CB">
              <w:rPr>
                <w:rFonts w:ascii="Calibri" w:hAnsi="Calibri" w:cs="Calibri"/>
                <w:color w:val="000000"/>
                <w:sz w:val="20"/>
                <w:szCs w:val="20"/>
              </w:rPr>
              <w:t>90</w:t>
            </w:r>
          </w:p>
        </w:tc>
        <w:tc>
          <w:tcPr>
            <w:tcW w:w="1052" w:type="dxa"/>
            <w:vAlign w:val="bottom"/>
          </w:tcPr>
          <w:p w14:paraId="30BD1462" w14:textId="6F06A94C" w:rsidR="00C648CB" w:rsidRPr="00C648CB" w:rsidRDefault="00C648CB" w:rsidP="001365DF">
            <w:pPr>
              <w:rPr>
                <w:sz w:val="20"/>
                <w:szCs w:val="20"/>
                <w:lang w:val="en-GB"/>
              </w:rPr>
            </w:pPr>
            <w:r w:rsidRPr="00C648CB">
              <w:rPr>
                <w:rFonts w:ascii="Calibri" w:hAnsi="Calibri" w:cs="Calibri"/>
                <w:color w:val="000000"/>
                <w:sz w:val="20"/>
                <w:szCs w:val="20"/>
              </w:rPr>
              <w:t>50</w:t>
            </w:r>
          </w:p>
        </w:tc>
      </w:tr>
      <w:tr w:rsidR="00C648CB" w:rsidRPr="00C648CB" w14:paraId="6968005B" w14:textId="77777777" w:rsidTr="00C648CB">
        <w:tc>
          <w:tcPr>
            <w:tcW w:w="1051" w:type="dxa"/>
            <w:vAlign w:val="bottom"/>
          </w:tcPr>
          <w:p w14:paraId="52347F27" w14:textId="70730D4E" w:rsidR="00C648CB" w:rsidRPr="00C648CB" w:rsidRDefault="00C648CB" w:rsidP="001365DF">
            <w:pPr>
              <w:rPr>
                <w:sz w:val="20"/>
                <w:szCs w:val="20"/>
                <w:lang w:val="en-GB"/>
              </w:rPr>
            </w:pPr>
            <w:r w:rsidRPr="00C648CB">
              <w:rPr>
                <w:rFonts w:ascii="Calibri" w:hAnsi="Calibri" w:cs="Calibri"/>
                <w:color w:val="000000"/>
                <w:sz w:val="20"/>
                <w:szCs w:val="20"/>
              </w:rPr>
              <w:t>Cost ($/kWh)</w:t>
            </w:r>
          </w:p>
        </w:tc>
        <w:tc>
          <w:tcPr>
            <w:tcW w:w="1052" w:type="dxa"/>
            <w:vAlign w:val="bottom"/>
          </w:tcPr>
          <w:p w14:paraId="481E5E4A" w14:textId="3CF25174" w:rsidR="00C648CB" w:rsidRPr="00C648CB" w:rsidRDefault="00C648CB" w:rsidP="001365DF">
            <w:pPr>
              <w:rPr>
                <w:sz w:val="20"/>
                <w:szCs w:val="20"/>
                <w:lang w:val="en-GB"/>
              </w:rPr>
            </w:pPr>
            <w:r w:rsidRPr="00C648CB">
              <w:rPr>
                <w:rFonts w:ascii="Calibri" w:hAnsi="Calibri" w:cs="Calibri"/>
                <w:color w:val="000000"/>
                <w:sz w:val="20"/>
                <w:szCs w:val="20"/>
              </w:rPr>
              <w:t>90</w:t>
            </w:r>
          </w:p>
        </w:tc>
        <w:tc>
          <w:tcPr>
            <w:tcW w:w="1051" w:type="dxa"/>
            <w:vAlign w:val="bottom"/>
          </w:tcPr>
          <w:p w14:paraId="50142974" w14:textId="1EED8EA7" w:rsidR="00C648CB" w:rsidRPr="00C648CB" w:rsidRDefault="00C648CB" w:rsidP="001365DF">
            <w:pPr>
              <w:rPr>
                <w:sz w:val="20"/>
                <w:szCs w:val="20"/>
                <w:lang w:val="en-GB"/>
              </w:rPr>
            </w:pPr>
            <w:r w:rsidRPr="00C648CB">
              <w:rPr>
                <w:rFonts w:ascii="Calibri" w:hAnsi="Calibri" w:cs="Calibri"/>
                <w:color w:val="000000"/>
                <w:sz w:val="20"/>
                <w:szCs w:val="20"/>
              </w:rPr>
              <w:t>615</w:t>
            </w:r>
          </w:p>
        </w:tc>
        <w:tc>
          <w:tcPr>
            <w:tcW w:w="1052" w:type="dxa"/>
            <w:vAlign w:val="bottom"/>
          </w:tcPr>
          <w:p w14:paraId="3087288C" w14:textId="3212FB32" w:rsidR="00C648CB" w:rsidRPr="00C648CB" w:rsidRDefault="00C648CB" w:rsidP="001365DF">
            <w:pPr>
              <w:rPr>
                <w:sz w:val="20"/>
                <w:szCs w:val="20"/>
                <w:lang w:val="en-GB"/>
              </w:rPr>
            </w:pPr>
            <w:r w:rsidRPr="00C648CB">
              <w:rPr>
                <w:rFonts w:ascii="Calibri" w:hAnsi="Calibri" w:cs="Calibri"/>
                <w:color w:val="000000"/>
                <w:sz w:val="20"/>
                <w:szCs w:val="20"/>
              </w:rPr>
              <w:t>125</w:t>
            </w:r>
          </w:p>
        </w:tc>
        <w:tc>
          <w:tcPr>
            <w:tcW w:w="1051" w:type="dxa"/>
            <w:vAlign w:val="bottom"/>
          </w:tcPr>
          <w:p w14:paraId="4C2B61CB" w14:textId="0CF9A298" w:rsidR="00C648CB" w:rsidRPr="00C648CB" w:rsidRDefault="00C648CB" w:rsidP="001365DF">
            <w:pPr>
              <w:rPr>
                <w:sz w:val="20"/>
                <w:szCs w:val="20"/>
                <w:lang w:val="en-GB"/>
              </w:rPr>
            </w:pPr>
            <w:r w:rsidRPr="00C648CB">
              <w:rPr>
                <w:rFonts w:ascii="Calibri" w:hAnsi="Calibri" w:cs="Calibri"/>
                <w:color w:val="000000"/>
                <w:sz w:val="20"/>
                <w:szCs w:val="20"/>
              </w:rPr>
              <w:t>65</w:t>
            </w:r>
          </w:p>
        </w:tc>
        <w:tc>
          <w:tcPr>
            <w:tcW w:w="1052" w:type="dxa"/>
            <w:vAlign w:val="bottom"/>
          </w:tcPr>
          <w:p w14:paraId="375387E8" w14:textId="16E63526" w:rsidR="00C648CB" w:rsidRPr="00C648CB" w:rsidRDefault="00C648CB" w:rsidP="001365DF">
            <w:pPr>
              <w:rPr>
                <w:sz w:val="20"/>
                <w:szCs w:val="20"/>
                <w:lang w:val="en-GB"/>
              </w:rPr>
            </w:pPr>
            <w:r w:rsidRPr="00C648CB">
              <w:rPr>
                <w:rFonts w:ascii="Calibri" w:hAnsi="Calibri" w:cs="Calibri"/>
                <w:color w:val="000000"/>
                <w:sz w:val="20"/>
                <w:szCs w:val="20"/>
              </w:rPr>
              <w:t>100</w:t>
            </w:r>
          </w:p>
        </w:tc>
        <w:tc>
          <w:tcPr>
            <w:tcW w:w="1051" w:type="dxa"/>
            <w:vAlign w:val="bottom"/>
          </w:tcPr>
          <w:p w14:paraId="1A919CFC" w14:textId="26D2E7C3" w:rsidR="00C648CB" w:rsidRPr="00C648CB" w:rsidRDefault="00C648CB" w:rsidP="001365DF">
            <w:pPr>
              <w:rPr>
                <w:sz w:val="20"/>
                <w:szCs w:val="20"/>
                <w:lang w:val="en-GB"/>
              </w:rPr>
            </w:pPr>
            <w:r w:rsidRPr="00C648CB">
              <w:rPr>
                <w:rFonts w:ascii="Calibri" w:hAnsi="Calibri" w:cs="Calibri"/>
                <w:color w:val="000000"/>
                <w:sz w:val="20"/>
                <w:szCs w:val="20"/>
              </w:rPr>
              <w:t>230</w:t>
            </w:r>
          </w:p>
        </w:tc>
        <w:tc>
          <w:tcPr>
            <w:tcW w:w="1052" w:type="dxa"/>
            <w:vAlign w:val="bottom"/>
          </w:tcPr>
          <w:p w14:paraId="5F4030E2" w14:textId="3D0ABE40" w:rsidR="00C648CB" w:rsidRPr="00C648CB" w:rsidRDefault="00C648CB" w:rsidP="001365DF">
            <w:pPr>
              <w:rPr>
                <w:sz w:val="20"/>
                <w:szCs w:val="20"/>
                <w:lang w:val="en-GB"/>
              </w:rPr>
            </w:pPr>
            <w:r w:rsidRPr="00C648CB">
              <w:rPr>
                <w:rFonts w:ascii="Calibri" w:hAnsi="Calibri" w:cs="Calibri"/>
                <w:color w:val="000000"/>
                <w:sz w:val="20"/>
                <w:szCs w:val="20"/>
              </w:rPr>
              <w:t>300</w:t>
            </w:r>
          </w:p>
        </w:tc>
        <w:tc>
          <w:tcPr>
            <w:tcW w:w="1052" w:type="dxa"/>
            <w:vAlign w:val="bottom"/>
          </w:tcPr>
          <w:p w14:paraId="3CA036ED" w14:textId="67DF657C" w:rsidR="00C648CB" w:rsidRPr="00C648CB" w:rsidRDefault="00C648CB" w:rsidP="001365DF">
            <w:pPr>
              <w:rPr>
                <w:sz w:val="20"/>
                <w:szCs w:val="20"/>
                <w:lang w:val="en-GB"/>
              </w:rPr>
            </w:pPr>
            <w:r w:rsidRPr="00C648CB">
              <w:rPr>
                <w:rFonts w:ascii="Calibri" w:hAnsi="Calibri" w:cs="Calibri"/>
                <w:color w:val="000000"/>
                <w:sz w:val="20"/>
                <w:szCs w:val="20"/>
              </w:rPr>
              <w:t>100-200</w:t>
            </w:r>
          </w:p>
        </w:tc>
      </w:tr>
    </w:tbl>
    <w:p w14:paraId="7B9C7E4D" w14:textId="77777777" w:rsidR="00217746" w:rsidRPr="00217746" w:rsidRDefault="00217746" w:rsidP="00217746">
      <w:pPr>
        <w:rPr>
          <w:lang w:val="en-GB"/>
        </w:rPr>
      </w:pPr>
    </w:p>
    <w:sectPr w:rsidR="00217746" w:rsidRPr="002177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9D6BF" w14:textId="77777777" w:rsidR="001B4121" w:rsidRDefault="001B4121" w:rsidP="00217746">
      <w:pPr>
        <w:spacing w:after="0" w:line="240" w:lineRule="auto"/>
      </w:pPr>
      <w:r>
        <w:separator/>
      </w:r>
    </w:p>
  </w:endnote>
  <w:endnote w:type="continuationSeparator" w:id="0">
    <w:p w14:paraId="763F7373" w14:textId="77777777" w:rsidR="001B4121" w:rsidRDefault="001B4121" w:rsidP="00217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2277D" w14:textId="77777777" w:rsidR="001B4121" w:rsidRDefault="001B4121" w:rsidP="00217746">
      <w:pPr>
        <w:spacing w:after="0" w:line="240" w:lineRule="auto"/>
      </w:pPr>
      <w:r>
        <w:separator/>
      </w:r>
    </w:p>
  </w:footnote>
  <w:footnote w:type="continuationSeparator" w:id="0">
    <w:p w14:paraId="591FD704" w14:textId="77777777" w:rsidR="001B4121" w:rsidRDefault="001B4121" w:rsidP="0021774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8E5"/>
    <w:multiLevelType w:val="hybridMultilevel"/>
    <w:tmpl w:val="E7148446"/>
    <w:lvl w:ilvl="0" w:tplc="FE54697E">
      <w:start w:val="1"/>
      <w:numFmt w:val="decimal"/>
      <w:lvlText w:val="%1."/>
      <w:lvlJc w:val="left"/>
      <w:pPr>
        <w:ind w:left="360" w:hanging="360"/>
      </w:pPr>
      <w:rPr>
        <w:b/>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nsid w:val="014E35FF"/>
    <w:multiLevelType w:val="hybridMultilevel"/>
    <w:tmpl w:val="FF90DD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65227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1A016A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8AB4263"/>
    <w:multiLevelType w:val="hybridMultilevel"/>
    <w:tmpl w:val="2BDC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D5095E"/>
    <w:multiLevelType w:val="hybridMultilevel"/>
    <w:tmpl w:val="1A2C7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ECF2A13"/>
    <w:multiLevelType w:val="hybridMultilevel"/>
    <w:tmpl w:val="42C27E5A"/>
    <w:lvl w:ilvl="0" w:tplc="4AE0EC2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A6171F"/>
    <w:multiLevelType w:val="multilevel"/>
    <w:tmpl w:val="B1DE1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99B467E"/>
    <w:multiLevelType w:val="hybridMultilevel"/>
    <w:tmpl w:val="13029FEE"/>
    <w:lvl w:ilvl="0" w:tplc="D5BADD9A">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66384B4B"/>
    <w:multiLevelType w:val="multilevel"/>
    <w:tmpl w:val="B1DE1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F9A45E6"/>
    <w:multiLevelType w:val="hybridMultilevel"/>
    <w:tmpl w:val="AC18C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4E70D72"/>
    <w:multiLevelType w:val="hybridMultilevel"/>
    <w:tmpl w:val="269C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453553"/>
    <w:multiLevelType w:val="multilevel"/>
    <w:tmpl w:val="6E66D8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7A932004"/>
    <w:multiLevelType w:val="hybridMultilevel"/>
    <w:tmpl w:val="EE84D3E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6"/>
  </w:num>
  <w:num w:numId="2">
    <w:abstractNumId w:val="7"/>
  </w:num>
  <w:num w:numId="3">
    <w:abstractNumId w:val="12"/>
  </w:num>
  <w:num w:numId="4">
    <w:abstractNumId w:val="4"/>
  </w:num>
  <w:num w:numId="5">
    <w:abstractNumId w:val="13"/>
  </w:num>
  <w:num w:numId="6">
    <w:abstractNumId w:val="8"/>
  </w:num>
  <w:num w:numId="7">
    <w:abstractNumId w:val="5"/>
  </w:num>
  <w:num w:numId="8">
    <w:abstractNumId w:val="11"/>
  </w:num>
  <w:num w:numId="9">
    <w:abstractNumId w:val="10"/>
  </w:num>
  <w:num w:numId="10">
    <w:abstractNumId w:val="9"/>
  </w:num>
  <w:num w:numId="11">
    <w:abstractNumId w:val="3"/>
  </w:num>
  <w:num w:numId="1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
  </w:num>
  <w:num w:numId="15">
    <w:abstractNumId w:val="2"/>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ew, Sheridan P M">
    <w15:presenceInfo w15:providerId="Windows Live" w15:userId="c04a2a78-c275-4b48-b631-dd8664c7c3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8CA"/>
    <w:rsid w:val="000069AA"/>
    <w:rsid w:val="00022A8C"/>
    <w:rsid w:val="00051A6B"/>
    <w:rsid w:val="000921AE"/>
    <w:rsid w:val="00096587"/>
    <w:rsid w:val="000B39A2"/>
    <w:rsid w:val="000B6716"/>
    <w:rsid w:val="000B7E14"/>
    <w:rsid w:val="000C0A91"/>
    <w:rsid w:val="000C13CF"/>
    <w:rsid w:val="000C63D3"/>
    <w:rsid w:val="000D6695"/>
    <w:rsid w:val="00102BAA"/>
    <w:rsid w:val="001305DC"/>
    <w:rsid w:val="00131DDA"/>
    <w:rsid w:val="001365DF"/>
    <w:rsid w:val="00152DCF"/>
    <w:rsid w:val="00153288"/>
    <w:rsid w:val="00195807"/>
    <w:rsid w:val="001A7FB7"/>
    <w:rsid w:val="001B26B9"/>
    <w:rsid w:val="001B4121"/>
    <w:rsid w:val="001B7D67"/>
    <w:rsid w:val="001C3207"/>
    <w:rsid w:val="00205136"/>
    <w:rsid w:val="00217746"/>
    <w:rsid w:val="0021784D"/>
    <w:rsid w:val="00221A88"/>
    <w:rsid w:val="00251ADD"/>
    <w:rsid w:val="00253BF2"/>
    <w:rsid w:val="00271067"/>
    <w:rsid w:val="00285D58"/>
    <w:rsid w:val="002A1B67"/>
    <w:rsid w:val="002B44E6"/>
    <w:rsid w:val="002D182F"/>
    <w:rsid w:val="00300B25"/>
    <w:rsid w:val="0031460B"/>
    <w:rsid w:val="00324195"/>
    <w:rsid w:val="003272B4"/>
    <w:rsid w:val="00345B92"/>
    <w:rsid w:val="00355CCB"/>
    <w:rsid w:val="003633E3"/>
    <w:rsid w:val="003871C3"/>
    <w:rsid w:val="00390559"/>
    <w:rsid w:val="00396AA9"/>
    <w:rsid w:val="003C2786"/>
    <w:rsid w:val="003D51ED"/>
    <w:rsid w:val="003D5FAC"/>
    <w:rsid w:val="003E0E39"/>
    <w:rsid w:val="0040510D"/>
    <w:rsid w:val="00411F36"/>
    <w:rsid w:val="0041415F"/>
    <w:rsid w:val="00437EA1"/>
    <w:rsid w:val="00442DA7"/>
    <w:rsid w:val="00464CD1"/>
    <w:rsid w:val="004813B6"/>
    <w:rsid w:val="004A1061"/>
    <w:rsid w:val="004C7E21"/>
    <w:rsid w:val="004D4F72"/>
    <w:rsid w:val="004E38F0"/>
    <w:rsid w:val="005262E5"/>
    <w:rsid w:val="0053445A"/>
    <w:rsid w:val="00541BF6"/>
    <w:rsid w:val="00556CEC"/>
    <w:rsid w:val="00562AB8"/>
    <w:rsid w:val="00575EF1"/>
    <w:rsid w:val="00582400"/>
    <w:rsid w:val="005C0AA3"/>
    <w:rsid w:val="005E688D"/>
    <w:rsid w:val="005F245D"/>
    <w:rsid w:val="00616666"/>
    <w:rsid w:val="00616C92"/>
    <w:rsid w:val="006179E5"/>
    <w:rsid w:val="00627802"/>
    <w:rsid w:val="0063511C"/>
    <w:rsid w:val="00635778"/>
    <w:rsid w:val="00650415"/>
    <w:rsid w:val="006559E4"/>
    <w:rsid w:val="006738CA"/>
    <w:rsid w:val="006A3157"/>
    <w:rsid w:val="006C14EB"/>
    <w:rsid w:val="006C2F5F"/>
    <w:rsid w:val="006C3E41"/>
    <w:rsid w:val="006E1446"/>
    <w:rsid w:val="006E25AB"/>
    <w:rsid w:val="006F10D9"/>
    <w:rsid w:val="00700C93"/>
    <w:rsid w:val="007358EA"/>
    <w:rsid w:val="0074392F"/>
    <w:rsid w:val="00767DD8"/>
    <w:rsid w:val="007752F3"/>
    <w:rsid w:val="007B38F8"/>
    <w:rsid w:val="007C5A1E"/>
    <w:rsid w:val="007D31BD"/>
    <w:rsid w:val="00805348"/>
    <w:rsid w:val="00813D21"/>
    <w:rsid w:val="00831ABD"/>
    <w:rsid w:val="00833E1D"/>
    <w:rsid w:val="0083540F"/>
    <w:rsid w:val="008578E5"/>
    <w:rsid w:val="0087629C"/>
    <w:rsid w:val="0089405D"/>
    <w:rsid w:val="008A4EC9"/>
    <w:rsid w:val="008B091B"/>
    <w:rsid w:val="008B400E"/>
    <w:rsid w:val="008B6F77"/>
    <w:rsid w:val="008C0E40"/>
    <w:rsid w:val="008D1A88"/>
    <w:rsid w:val="008D324A"/>
    <w:rsid w:val="008D794E"/>
    <w:rsid w:val="00900C9C"/>
    <w:rsid w:val="00901617"/>
    <w:rsid w:val="00904EC4"/>
    <w:rsid w:val="00907F9F"/>
    <w:rsid w:val="009439C4"/>
    <w:rsid w:val="0094423C"/>
    <w:rsid w:val="00945AE2"/>
    <w:rsid w:val="00950B07"/>
    <w:rsid w:val="00977BF9"/>
    <w:rsid w:val="009B6624"/>
    <w:rsid w:val="009C0653"/>
    <w:rsid w:val="009C393E"/>
    <w:rsid w:val="009C4956"/>
    <w:rsid w:val="009E2EE8"/>
    <w:rsid w:val="009F4BC2"/>
    <w:rsid w:val="00A0523A"/>
    <w:rsid w:val="00A15877"/>
    <w:rsid w:val="00A36873"/>
    <w:rsid w:val="00A45FD1"/>
    <w:rsid w:val="00A5775F"/>
    <w:rsid w:val="00A73EE7"/>
    <w:rsid w:val="00A86098"/>
    <w:rsid w:val="00A86C41"/>
    <w:rsid w:val="00A9252A"/>
    <w:rsid w:val="00A93530"/>
    <w:rsid w:val="00AA10DF"/>
    <w:rsid w:val="00AA3EA2"/>
    <w:rsid w:val="00AA4E4C"/>
    <w:rsid w:val="00AE1171"/>
    <w:rsid w:val="00AF10EB"/>
    <w:rsid w:val="00AF5617"/>
    <w:rsid w:val="00B40F12"/>
    <w:rsid w:val="00B43798"/>
    <w:rsid w:val="00B44AB5"/>
    <w:rsid w:val="00B573A3"/>
    <w:rsid w:val="00B86625"/>
    <w:rsid w:val="00B95C54"/>
    <w:rsid w:val="00B96379"/>
    <w:rsid w:val="00BB5D88"/>
    <w:rsid w:val="00BD0D74"/>
    <w:rsid w:val="00BF0D15"/>
    <w:rsid w:val="00C03B6C"/>
    <w:rsid w:val="00C03E9D"/>
    <w:rsid w:val="00C12AD9"/>
    <w:rsid w:val="00C36E99"/>
    <w:rsid w:val="00C605EB"/>
    <w:rsid w:val="00C648CB"/>
    <w:rsid w:val="00C66C12"/>
    <w:rsid w:val="00C709EE"/>
    <w:rsid w:val="00C82A25"/>
    <w:rsid w:val="00C82EB9"/>
    <w:rsid w:val="00C9518F"/>
    <w:rsid w:val="00C96E1D"/>
    <w:rsid w:val="00CA076F"/>
    <w:rsid w:val="00CB1C34"/>
    <w:rsid w:val="00CD18D1"/>
    <w:rsid w:val="00CF5D46"/>
    <w:rsid w:val="00D44F3F"/>
    <w:rsid w:val="00D57BBB"/>
    <w:rsid w:val="00D60779"/>
    <w:rsid w:val="00D675FC"/>
    <w:rsid w:val="00D7567A"/>
    <w:rsid w:val="00D75AE9"/>
    <w:rsid w:val="00D812D0"/>
    <w:rsid w:val="00D94C18"/>
    <w:rsid w:val="00D956B4"/>
    <w:rsid w:val="00DA509A"/>
    <w:rsid w:val="00DC1AA2"/>
    <w:rsid w:val="00DC7B86"/>
    <w:rsid w:val="00DE5FF8"/>
    <w:rsid w:val="00E4224F"/>
    <w:rsid w:val="00E96827"/>
    <w:rsid w:val="00EA542F"/>
    <w:rsid w:val="00EB36B4"/>
    <w:rsid w:val="00EC251C"/>
    <w:rsid w:val="00EC51AD"/>
    <w:rsid w:val="00ED011E"/>
    <w:rsid w:val="00ED633C"/>
    <w:rsid w:val="00EE2AC2"/>
    <w:rsid w:val="00EF4C6B"/>
    <w:rsid w:val="00EF63DC"/>
    <w:rsid w:val="00F03225"/>
    <w:rsid w:val="00F10DBC"/>
    <w:rsid w:val="00F26832"/>
    <w:rsid w:val="00F676F4"/>
    <w:rsid w:val="00F73944"/>
    <w:rsid w:val="00F83AAC"/>
    <w:rsid w:val="00FB7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0B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03E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82A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82A25"/>
    <w:pPr>
      <w:keepNext/>
      <w:keepLines/>
      <w:spacing w:before="40" w:after="0"/>
      <w:outlineLvl w:val="2"/>
    </w:pPr>
    <w:rPr>
      <w:rFonts w:asciiTheme="majorHAnsi" w:eastAsiaTheme="majorEastAsia" w:hAnsiTheme="majorHAnsi" w:cstheme="majorBidi"/>
      <w:color w:val="1F4D78" w:themeColor="accent1" w:themeShade="7F"/>
      <w:sz w:val="24"/>
      <w:szCs w:val="24"/>
      <w:lang w:val="en-GB"/>
    </w:rPr>
  </w:style>
  <w:style w:type="paragraph" w:styleId="Heading4">
    <w:name w:val="heading 4"/>
    <w:basedOn w:val="Normal"/>
    <w:next w:val="Normal"/>
    <w:link w:val="Heading4Char"/>
    <w:uiPriority w:val="9"/>
    <w:unhideWhenUsed/>
    <w:qFormat/>
    <w:rsid w:val="00DA509A"/>
    <w:pPr>
      <w:keepNext/>
      <w:keepLines/>
      <w:spacing w:before="40" w:after="0"/>
      <w:outlineLvl w:val="3"/>
    </w:pPr>
    <w:rPr>
      <w:rFonts w:asciiTheme="majorHAnsi" w:eastAsiaTheme="majorEastAsia" w:hAnsiTheme="majorHAnsi" w:cstheme="majorBidi"/>
      <w:i/>
      <w:iCs/>
      <w:color w:val="2E74B5" w:themeColor="accent1" w:themeShade="BF"/>
      <w:lang w:val="en-GB"/>
    </w:rPr>
  </w:style>
  <w:style w:type="paragraph" w:styleId="Heading5">
    <w:name w:val="heading 5"/>
    <w:basedOn w:val="Normal"/>
    <w:next w:val="Normal"/>
    <w:link w:val="Heading5Char"/>
    <w:uiPriority w:val="9"/>
    <w:semiHidden/>
    <w:unhideWhenUsed/>
    <w:qFormat/>
    <w:rsid w:val="00217746"/>
    <w:pPr>
      <w:keepNext/>
      <w:keepLines/>
      <w:spacing w:before="40" w:after="0" w:line="276" w:lineRule="auto"/>
      <w:outlineLvl w:val="4"/>
    </w:pPr>
    <w:rPr>
      <w:rFonts w:asciiTheme="majorHAnsi" w:eastAsiaTheme="majorEastAsia" w:hAnsiTheme="majorHAnsi" w:cstheme="majorBidi"/>
      <w:color w:val="2E74B5" w:themeColor="accent1" w:themeShade="B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8CA"/>
    <w:pPr>
      <w:ind w:left="720"/>
      <w:contextualSpacing/>
    </w:pPr>
  </w:style>
  <w:style w:type="character" w:customStyle="1" w:styleId="Heading3Char">
    <w:name w:val="Heading 3 Char"/>
    <w:basedOn w:val="DefaultParagraphFont"/>
    <w:link w:val="Heading3"/>
    <w:uiPriority w:val="9"/>
    <w:rsid w:val="00C82A25"/>
    <w:rPr>
      <w:rFonts w:asciiTheme="majorHAnsi" w:eastAsiaTheme="majorEastAsia" w:hAnsiTheme="majorHAnsi" w:cstheme="majorBidi"/>
      <w:color w:val="1F4D78" w:themeColor="accent1" w:themeShade="7F"/>
      <w:sz w:val="24"/>
      <w:szCs w:val="24"/>
      <w:lang w:val="en-GB"/>
    </w:rPr>
  </w:style>
  <w:style w:type="paragraph" w:styleId="Caption">
    <w:name w:val="caption"/>
    <w:basedOn w:val="Normal"/>
    <w:next w:val="Normal"/>
    <w:uiPriority w:val="35"/>
    <w:unhideWhenUsed/>
    <w:qFormat/>
    <w:rsid w:val="00C82A25"/>
    <w:pPr>
      <w:spacing w:after="200" w:line="240" w:lineRule="auto"/>
    </w:pPr>
    <w:rPr>
      <w:i/>
      <w:iCs/>
      <w:color w:val="44546A" w:themeColor="text2"/>
      <w:sz w:val="18"/>
      <w:szCs w:val="18"/>
      <w:lang w:val="en-GB"/>
    </w:rPr>
  </w:style>
  <w:style w:type="character" w:styleId="CommentReference">
    <w:name w:val="annotation reference"/>
    <w:basedOn w:val="DefaultParagraphFont"/>
    <w:uiPriority w:val="99"/>
    <w:semiHidden/>
    <w:unhideWhenUsed/>
    <w:rsid w:val="00C82A25"/>
    <w:rPr>
      <w:sz w:val="16"/>
      <w:szCs w:val="16"/>
    </w:rPr>
  </w:style>
  <w:style w:type="paragraph" w:styleId="CommentText">
    <w:name w:val="annotation text"/>
    <w:basedOn w:val="Normal"/>
    <w:link w:val="CommentTextChar"/>
    <w:uiPriority w:val="99"/>
    <w:unhideWhenUsed/>
    <w:rsid w:val="00C82A25"/>
    <w:pPr>
      <w:spacing w:after="120" w:line="240" w:lineRule="auto"/>
    </w:pPr>
    <w:rPr>
      <w:sz w:val="20"/>
      <w:szCs w:val="20"/>
      <w:lang w:val="en-GB"/>
    </w:rPr>
  </w:style>
  <w:style w:type="character" w:customStyle="1" w:styleId="CommentTextChar">
    <w:name w:val="Comment Text Char"/>
    <w:basedOn w:val="DefaultParagraphFont"/>
    <w:link w:val="CommentText"/>
    <w:uiPriority w:val="99"/>
    <w:rsid w:val="00C82A25"/>
    <w:rPr>
      <w:sz w:val="20"/>
      <w:szCs w:val="20"/>
      <w:lang w:val="en-GB"/>
    </w:rPr>
  </w:style>
  <w:style w:type="paragraph" w:styleId="BalloonText">
    <w:name w:val="Balloon Text"/>
    <w:basedOn w:val="Normal"/>
    <w:link w:val="BalloonTextChar"/>
    <w:uiPriority w:val="99"/>
    <w:semiHidden/>
    <w:unhideWhenUsed/>
    <w:rsid w:val="00C82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A25"/>
    <w:rPr>
      <w:rFonts w:ascii="Segoe UI" w:hAnsi="Segoe UI" w:cs="Segoe UI"/>
      <w:sz w:val="18"/>
      <w:szCs w:val="18"/>
    </w:rPr>
  </w:style>
  <w:style w:type="character" w:customStyle="1" w:styleId="Heading2Char">
    <w:name w:val="Heading 2 Char"/>
    <w:basedOn w:val="DefaultParagraphFont"/>
    <w:link w:val="Heading2"/>
    <w:uiPriority w:val="9"/>
    <w:semiHidden/>
    <w:rsid w:val="00C82A25"/>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C82A25"/>
    <w:pPr>
      <w:spacing w:after="0" w:line="240" w:lineRule="auto"/>
    </w:pPr>
    <w:rPr>
      <w:lang w:val="en-GB"/>
    </w:rPr>
  </w:style>
  <w:style w:type="paragraph" w:styleId="Bibliography">
    <w:name w:val="Bibliography"/>
    <w:basedOn w:val="Normal"/>
    <w:next w:val="Normal"/>
    <w:uiPriority w:val="37"/>
    <w:unhideWhenUsed/>
    <w:rsid w:val="00C82A25"/>
    <w:pPr>
      <w:spacing w:after="0" w:line="480" w:lineRule="auto"/>
      <w:ind w:left="720" w:hanging="720"/>
    </w:pPr>
  </w:style>
  <w:style w:type="table" w:styleId="TableGrid">
    <w:name w:val="Table Grid"/>
    <w:basedOn w:val="TableNormal"/>
    <w:uiPriority w:val="59"/>
    <w:rsid w:val="00C82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DA509A"/>
    <w:rPr>
      <w:rFonts w:asciiTheme="majorHAnsi" w:eastAsiaTheme="majorEastAsia" w:hAnsiTheme="majorHAnsi" w:cstheme="majorBidi"/>
      <w:i/>
      <w:iCs/>
      <w:color w:val="2E74B5" w:themeColor="accent1" w:themeShade="BF"/>
      <w:lang w:val="en-GB"/>
    </w:rPr>
  </w:style>
  <w:style w:type="paragraph" w:styleId="CommentSubject">
    <w:name w:val="annotation subject"/>
    <w:basedOn w:val="CommentText"/>
    <w:next w:val="CommentText"/>
    <w:link w:val="CommentSubjectChar"/>
    <w:uiPriority w:val="99"/>
    <w:semiHidden/>
    <w:unhideWhenUsed/>
    <w:rsid w:val="00ED011E"/>
    <w:pPr>
      <w:spacing w:after="160"/>
    </w:pPr>
    <w:rPr>
      <w:b/>
      <w:bCs/>
      <w:lang w:val="en-US"/>
    </w:rPr>
  </w:style>
  <w:style w:type="character" w:customStyle="1" w:styleId="CommentSubjectChar">
    <w:name w:val="Comment Subject Char"/>
    <w:basedOn w:val="CommentTextChar"/>
    <w:link w:val="CommentSubject"/>
    <w:uiPriority w:val="99"/>
    <w:semiHidden/>
    <w:rsid w:val="00ED011E"/>
    <w:rPr>
      <w:b/>
      <w:bCs/>
      <w:sz w:val="20"/>
      <w:szCs w:val="20"/>
      <w:lang w:val="en-GB"/>
    </w:rPr>
  </w:style>
  <w:style w:type="table" w:customStyle="1" w:styleId="PlainTable11">
    <w:name w:val="Plain Table 11"/>
    <w:basedOn w:val="TableNormal"/>
    <w:uiPriority w:val="41"/>
    <w:rsid w:val="00AA4E4C"/>
    <w:pPr>
      <w:spacing w:after="0" w:line="240" w:lineRule="auto"/>
    </w:pPr>
    <w:rPr>
      <w:lang w:val="en-GB"/>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8A4EC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217746"/>
    <w:rPr>
      <w:rFonts w:asciiTheme="majorHAnsi" w:eastAsiaTheme="majorEastAsia" w:hAnsiTheme="majorHAnsi" w:cstheme="majorBidi"/>
      <w:color w:val="2E74B5" w:themeColor="accent1" w:themeShade="BF"/>
      <w:lang w:eastAsia="zh-CN"/>
    </w:rPr>
  </w:style>
  <w:style w:type="paragraph" w:styleId="Header">
    <w:name w:val="header"/>
    <w:basedOn w:val="Normal"/>
    <w:link w:val="HeaderChar"/>
    <w:uiPriority w:val="99"/>
    <w:unhideWhenUsed/>
    <w:rsid w:val="002177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746"/>
  </w:style>
  <w:style w:type="paragraph" w:styleId="Footer">
    <w:name w:val="footer"/>
    <w:basedOn w:val="Normal"/>
    <w:link w:val="FooterChar"/>
    <w:uiPriority w:val="99"/>
    <w:unhideWhenUsed/>
    <w:rsid w:val="002177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746"/>
  </w:style>
  <w:style w:type="character" w:customStyle="1" w:styleId="Heading1Char">
    <w:name w:val="Heading 1 Char"/>
    <w:basedOn w:val="DefaultParagraphFont"/>
    <w:link w:val="Heading1"/>
    <w:uiPriority w:val="9"/>
    <w:rsid w:val="00C03E9D"/>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EF4C6B"/>
    <w:pPr>
      <w:spacing w:after="0" w:line="240" w:lineRule="auto"/>
    </w:pPr>
  </w:style>
  <w:style w:type="character" w:customStyle="1" w:styleId="a">
    <w:name w:val="_"/>
    <w:basedOn w:val="DefaultParagraphFont"/>
    <w:rsid w:val="008B400E"/>
  </w:style>
  <w:style w:type="character" w:styleId="Hyperlink">
    <w:name w:val="Hyperlink"/>
    <w:basedOn w:val="DefaultParagraphFont"/>
    <w:uiPriority w:val="99"/>
    <w:unhideWhenUsed/>
    <w:rsid w:val="008B400E"/>
    <w:rPr>
      <w:color w:val="0563C1" w:themeColor="hyperlink"/>
      <w:u w:val="single"/>
    </w:rPr>
  </w:style>
  <w:style w:type="character" w:styleId="FollowedHyperlink">
    <w:name w:val="FollowedHyperlink"/>
    <w:basedOn w:val="DefaultParagraphFont"/>
    <w:uiPriority w:val="99"/>
    <w:semiHidden/>
    <w:unhideWhenUsed/>
    <w:rsid w:val="008B400E"/>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03E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82A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82A25"/>
    <w:pPr>
      <w:keepNext/>
      <w:keepLines/>
      <w:spacing w:before="40" w:after="0"/>
      <w:outlineLvl w:val="2"/>
    </w:pPr>
    <w:rPr>
      <w:rFonts w:asciiTheme="majorHAnsi" w:eastAsiaTheme="majorEastAsia" w:hAnsiTheme="majorHAnsi" w:cstheme="majorBidi"/>
      <w:color w:val="1F4D78" w:themeColor="accent1" w:themeShade="7F"/>
      <w:sz w:val="24"/>
      <w:szCs w:val="24"/>
      <w:lang w:val="en-GB"/>
    </w:rPr>
  </w:style>
  <w:style w:type="paragraph" w:styleId="Heading4">
    <w:name w:val="heading 4"/>
    <w:basedOn w:val="Normal"/>
    <w:next w:val="Normal"/>
    <w:link w:val="Heading4Char"/>
    <w:uiPriority w:val="9"/>
    <w:unhideWhenUsed/>
    <w:qFormat/>
    <w:rsid w:val="00DA509A"/>
    <w:pPr>
      <w:keepNext/>
      <w:keepLines/>
      <w:spacing w:before="40" w:after="0"/>
      <w:outlineLvl w:val="3"/>
    </w:pPr>
    <w:rPr>
      <w:rFonts w:asciiTheme="majorHAnsi" w:eastAsiaTheme="majorEastAsia" w:hAnsiTheme="majorHAnsi" w:cstheme="majorBidi"/>
      <w:i/>
      <w:iCs/>
      <w:color w:val="2E74B5" w:themeColor="accent1" w:themeShade="BF"/>
      <w:lang w:val="en-GB"/>
    </w:rPr>
  </w:style>
  <w:style w:type="paragraph" w:styleId="Heading5">
    <w:name w:val="heading 5"/>
    <w:basedOn w:val="Normal"/>
    <w:next w:val="Normal"/>
    <w:link w:val="Heading5Char"/>
    <w:uiPriority w:val="9"/>
    <w:semiHidden/>
    <w:unhideWhenUsed/>
    <w:qFormat/>
    <w:rsid w:val="00217746"/>
    <w:pPr>
      <w:keepNext/>
      <w:keepLines/>
      <w:spacing w:before="40" w:after="0" w:line="276" w:lineRule="auto"/>
      <w:outlineLvl w:val="4"/>
    </w:pPr>
    <w:rPr>
      <w:rFonts w:asciiTheme="majorHAnsi" w:eastAsiaTheme="majorEastAsia" w:hAnsiTheme="majorHAnsi" w:cstheme="majorBidi"/>
      <w:color w:val="2E74B5" w:themeColor="accent1" w:themeShade="B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8CA"/>
    <w:pPr>
      <w:ind w:left="720"/>
      <w:contextualSpacing/>
    </w:pPr>
  </w:style>
  <w:style w:type="character" w:customStyle="1" w:styleId="Heading3Char">
    <w:name w:val="Heading 3 Char"/>
    <w:basedOn w:val="DefaultParagraphFont"/>
    <w:link w:val="Heading3"/>
    <w:uiPriority w:val="9"/>
    <w:rsid w:val="00C82A25"/>
    <w:rPr>
      <w:rFonts w:asciiTheme="majorHAnsi" w:eastAsiaTheme="majorEastAsia" w:hAnsiTheme="majorHAnsi" w:cstheme="majorBidi"/>
      <w:color w:val="1F4D78" w:themeColor="accent1" w:themeShade="7F"/>
      <w:sz w:val="24"/>
      <w:szCs w:val="24"/>
      <w:lang w:val="en-GB"/>
    </w:rPr>
  </w:style>
  <w:style w:type="paragraph" w:styleId="Caption">
    <w:name w:val="caption"/>
    <w:basedOn w:val="Normal"/>
    <w:next w:val="Normal"/>
    <w:uiPriority w:val="35"/>
    <w:unhideWhenUsed/>
    <w:qFormat/>
    <w:rsid w:val="00C82A25"/>
    <w:pPr>
      <w:spacing w:after="200" w:line="240" w:lineRule="auto"/>
    </w:pPr>
    <w:rPr>
      <w:i/>
      <w:iCs/>
      <w:color w:val="44546A" w:themeColor="text2"/>
      <w:sz w:val="18"/>
      <w:szCs w:val="18"/>
      <w:lang w:val="en-GB"/>
    </w:rPr>
  </w:style>
  <w:style w:type="character" w:styleId="CommentReference">
    <w:name w:val="annotation reference"/>
    <w:basedOn w:val="DefaultParagraphFont"/>
    <w:uiPriority w:val="99"/>
    <w:semiHidden/>
    <w:unhideWhenUsed/>
    <w:rsid w:val="00C82A25"/>
    <w:rPr>
      <w:sz w:val="16"/>
      <w:szCs w:val="16"/>
    </w:rPr>
  </w:style>
  <w:style w:type="paragraph" w:styleId="CommentText">
    <w:name w:val="annotation text"/>
    <w:basedOn w:val="Normal"/>
    <w:link w:val="CommentTextChar"/>
    <w:uiPriority w:val="99"/>
    <w:unhideWhenUsed/>
    <w:rsid w:val="00C82A25"/>
    <w:pPr>
      <w:spacing w:after="120" w:line="240" w:lineRule="auto"/>
    </w:pPr>
    <w:rPr>
      <w:sz w:val="20"/>
      <w:szCs w:val="20"/>
      <w:lang w:val="en-GB"/>
    </w:rPr>
  </w:style>
  <w:style w:type="character" w:customStyle="1" w:styleId="CommentTextChar">
    <w:name w:val="Comment Text Char"/>
    <w:basedOn w:val="DefaultParagraphFont"/>
    <w:link w:val="CommentText"/>
    <w:uiPriority w:val="99"/>
    <w:rsid w:val="00C82A25"/>
    <w:rPr>
      <w:sz w:val="20"/>
      <w:szCs w:val="20"/>
      <w:lang w:val="en-GB"/>
    </w:rPr>
  </w:style>
  <w:style w:type="paragraph" w:styleId="BalloonText">
    <w:name w:val="Balloon Text"/>
    <w:basedOn w:val="Normal"/>
    <w:link w:val="BalloonTextChar"/>
    <w:uiPriority w:val="99"/>
    <w:semiHidden/>
    <w:unhideWhenUsed/>
    <w:rsid w:val="00C82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A25"/>
    <w:rPr>
      <w:rFonts w:ascii="Segoe UI" w:hAnsi="Segoe UI" w:cs="Segoe UI"/>
      <w:sz w:val="18"/>
      <w:szCs w:val="18"/>
    </w:rPr>
  </w:style>
  <w:style w:type="character" w:customStyle="1" w:styleId="Heading2Char">
    <w:name w:val="Heading 2 Char"/>
    <w:basedOn w:val="DefaultParagraphFont"/>
    <w:link w:val="Heading2"/>
    <w:uiPriority w:val="9"/>
    <w:semiHidden/>
    <w:rsid w:val="00C82A25"/>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C82A25"/>
    <w:pPr>
      <w:spacing w:after="0" w:line="240" w:lineRule="auto"/>
    </w:pPr>
    <w:rPr>
      <w:lang w:val="en-GB"/>
    </w:rPr>
  </w:style>
  <w:style w:type="paragraph" w:styleId="Bibliography">
    <w:name w:val="Bibliography"/>
    <w:basedOn w:val="Normal"/>
    <w:next w:val="Normal"/>
    <w:uiPriority w:val="37"/>
    <w:unhideWhenUsed/>
    <w:rsid w:val="00C82A25"/>
    <w:pPr>
      <w:spacing w:after="0" w:line="480" w:lineRule="auto"/>
      <w:ind w:left="720" w:hanging="720"/>
    </w:pPr>
  </w:style>
  <w:style w:type="table" w:styleId="TableGrid">
    <w:name w:val="Table Grid"/>
    <w:basedOn w:val="TableNormal"/>
    <w:uiPriority w:val="59"/>
    <w:rsid w:val="00C82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DA509A"/>
    <w:rPr>
      <w:rFonts w:asciiTheme="majorHAnsi" w:eastAsiaTheme="majorEastAsia" w:hAnsiTheme="majorHAnsi" w:cstheme="majorBidi"/>
      <w:i/>
      <w:iCs/>
      <w:color w:val="2E74B5" w:themeColor="accent1" w:themeShade="BF"/>
      <w:lang w:val="en-GB"/>
    </w:rPr>
  </w:style>
  <w:style w:type="paragraph" w:styleId="CommentSubject">
    <w:name w:val="annotation subject"/>
    <w:basedOn w:val="CommentText"/>
    <w:next w:val="CommentText"/>
    <w:link w:val="CommentSubjectChar"/>
    <w:uiPriority w:val="99"/>
    <w:semiHidden/>
    <w:unhideWhenUsed/>
    <w:rsid w:val="00ED011E"/>
    <w:pPr>
      <w:spacing w:after="160"/>
    </w:pPr>
    <w:rPr>
      <w:b/>
      <w:bCs/>
      <w:lang w:val="en-US"/>
    </w:rPr>
  </w:style>
  <w:style w:type="character" w:customStyle="1" w:styleId="CommentSubjectChar">
    <w:name w:val="Comment Subject Char"/>
    <w:basedOn w:val="CommentTextChar"/>
    <w:link w:val="CommentSubject"/>
    <w:uiPriority w:val="99"/>
    <w:semiHidden/>
    <w:rsid w:val="00ED011E"/>
    <w:rPr>
      <w:b/>
      <w:bCs/>
      <w:sz w:val="20"/>
      <w:szCs w:val="20"/>
      <w:lang w:val="en-GB"/>
    </w:rPr>
  </w:style>
  <w:style w:type="table" w:customStyle="1" w:styleId="PlainTable11">
    <w:name w:val="Plain Table 11"/>
    <w:basedOn w:val="TableNormal"/>
    <w:uiPriority w:val="41"/>
    <w:rsid w:val="00AA4E4C"/>
    <w:pPr>
      <w:spacing w:after="0" w:line="240" w:lineRule="auto"/>
    </w:pPr>
    <w:rPr>
      <w:lang w:val="en-GB"/>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8A4EC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217746"/>
    <w:rPr>
      <w:rFonts w:asciiTheme="majorHAnsi" w:eastAsiaTheme="majorEastAsia" w:hAnsiTheme="majorHAnsi" w:cstheme="majorBidi"/>
      <w:color w:val="2E74B5" w:themeColor="accent1" w:themeShade="BF"/>
      <w:lang w:eastAsia="zh-CN"/>
    </w:rPr>
  </w:style>
  <w:style w:type="paragraph" w:styleId="Header">
    <w:name w:val="header"/>
    <w:basedOn w:val="Normal"/>
    <w:link w:val="HeaderChar"/>
    <w:uiPriority w:val="99"/>
    <w:unhideWhenUsed/>
    <w:rsid w:val="002177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746"/>
  </w:style>
  <w:style w:type="paragraph" w:styleId="Footer">
    <w:name w:val="footer"/>
    <w:basedOn w:val="Normal"/>
    <w:link w:val="FooterChar"/>
    <w:uiPriority w:val="99"/>
    <w:unhideWhenUsed/>
    <w:rsid w:val="002177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746"/>
  </w:style>
  <w:style w:type="character" w:customStyle="1" w:styleId="Heading1Char">
    <w:name w:val="Heading 1 Char"/>
    <w:basedOn w:val="DefaultParagraphFont"/>
    <w:link w:val="Heading1"/>
    <w:uiPriority w:val="9"/>
    <w:rsid w:val="00C03E9D"/>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EF4C6B"/>
    <w:pPr>
      <w:spacing w:after="0" w:line="240" w:lineRule="auto"/>
    </w:pPr>
  </w:style>
  <w:style w:type="character" w:customStyle="1" w:styleId="a">
    <w:name w:val="_"/>
    <w:basedOn w:val="DefaultParagraphFont"/>
    <w:rsid w:val="008B400E"/>
  </w:style>
  <w:style w:type="character" w:styleId="Hyperlink">
    <w:name w:val="Hyperlink"/>
    <w:basedOn w:val="DefaultParagraphFont"/>
    <w:uiPriority w:val="99"/>
    <w:unhideWhenUsed/>
    <w:rsid w:val="008B400E"/>
    <w:rPr>
      <w:color w:val="0563C1" w:themeColor="hyperlink"/>
      <w:u w:val="single"/>
    </w:rPr>
  </w:style>
  <w:style w:type="character" w:styleId="FollowedHyperlink">
    <w:name w:val="FollowedHyperlink"/>
    <w:basedOn w:val="DefaultParagraphFont"/>
    <w:uiPriority w:val="99"/>
    <w:semiHidden/>
    <w:unhideWhenUsed/>
    <w:rsid w:val="008B40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5254">
      <w:bodyDiv w:val="1"/>
      <w:marLeft w:val="0"/>
      <w:marRight w:val="0"/>
      <w:marTop w:val="0"/>
      <w:marBottom w:val="0"/>
      <w:divBdr>
        <w:top w:val="none" w:sz="0" w:space="0" w:color="auto"/>
        <w:left w:val="none" w:sz="0" w:space="0" w:color="auto"/>
        <w:bottom w:val="none" w:sz="0" w:space="0" w:color="auto"/>
        <w:right w:val="none" w:sz="0" w:space="0" w:color="auto"/>
      </w:divBdr>
    </w:div>
    <w:div w:id="411513208">
      <w:bodyDiv w:val="1"/>
      <w:marLeft w:val="0"/>
      <w:marRight w:val="0"/>
      <w:marTop w:val="0"/>
      <w:marBottom w:val="0"/>
      <w:divBdr>
        <w:top w:val="none" w:sz="0" w:space="0" w:color="auto"/>
        <w:left w:val="none" w:sz="0" w:space="0" w:color="auto"/>
        <w:bottom w:val="none" w:sz="0" w:space="0" w:color="auto"/>
        <w:right w:val="none" w:sz="0" w:space="0" w:color="auto"/>
      </w:divBdr>
    </w:div>
    <w:div w:id="573471042">
      <w:bodyDiv w:val="1"/>
      <w:marLeft w:val="0"/>
      <w:marRight w:val="0"/>
      <w:marTop w:val="0"/>
      <w:marBottom w:val="0"/>
      <w:divBdr>
        <w:top w:val="none" w:sz="0" w:space="0" w:color="auto"/>
        <w:left w:val="none" w:sz="0" w:space="0" w:color="auto"/>
        <w:bottom w:val="none" w:sz="0" w:space="0" w:color="auto"/>
        <w:right w:val="none" w:sz="0" w:space="0" w:color="auto"/>
      </w:divBdr>
    </w:div>
    <w:div w:id="1103188706">
      <w:bodyDiv w:val="1"/>
      <w:marLeft w:val="0"/>
      <w:marRight w:val="0"/>
      <w:marTop w:val="0"/>
      <w:marBottom w:val="0"/>
      <w:divBdr>
        <w:top w:val="none" w:sz="0" w:space="0" w:color="auto"/>
        <w:left w:val="none" w:sz="0" w:space="0" w:color="auto"/>
        <w:bottom w:val="none" w:sz="0" w:space="0" w:color="auto"/>
        <w:right w:val="none" w:sz="0" w:space="0" w:color="auto"/>
      </w:divBdr>
    </w:div>
    <w:div w:id="1305280898">
      <w:bodyDiv w:val="1"/>
      <w:marLeft w:val="0"/>
      <w:marRight w:val="0"/>
      <w:marTop w:val="0"/>
      <w:marBottom w:val="0"/>
      <w:divBdr>
        <w:top w:val="none" w:sz="0" w:space="0" w:color="auto"/>
        <w:left w:val="none" w:sz="0" w:space="0" w:color="auto"/>
        <w:bottom w:val="none" w:sz="0" w:space="0" w:color="auto"/>
        <w:right w:val="none" w:sz="0" w:space="0" w:color="auto"/>
      </w:divBdr>
    </w:div>
    <w:div w:id="1492483314">
      <w:bodyDiv w:val="1"/>
      <w:marLeft w:val="0"/>
      <w:marRight w:val="0"/>
      <w:marTop w:val="0"/>
      <w:marBottom w:val="0"/>
      <w:divBdr>
        <w:top w:val="none" w:sz="0" w:space="0" w:color="auto"/>
        <w:left w:val="none" w:sz="0" w:space="0" w:color="auto"/>
        <w:bottom w:val="none" w:sz="0" w:space="0" w:color="auto"/>
        <w:right w:val="none" w:sz="0" w:space="0" w:color="auto"/>
      </w:divBdr>
    </w:div>
    <w:div w:id="21325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emf"/><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heridan.few@imperial.ac.uk" TargetMode="Externa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7014B-5185-7046-9344-8C8CF06B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27</Pages>
  <Words>23386</Words>
  <Characters>133303</Characters>
  <Application>Microsoft Macintosh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156377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Gambhir, Ajay</dc:creator>
  <cp:lastModifiedBy>Sheridan Few</cp:lastModifiedBy>
  <cp:revision>11</cp:revision>
  <cp:lastPrinted>2018-07-18T17:47:00Z</cp:lastPrinted>
  <dcterms:created xsi:type="dcterms:W3CDTF">2018-07-18T17:47:00Z</dcterms:created>
  <dcterms:modified xsi:type="dcterms:W3CDTF">2018-09-26T15:16:00Z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id="N4xk5vkC"/&gt;&lt;style id="http://www.zotero.org/styles/energy-for-sustainable-development" hasBibliography="1" bibliographyStyleHasBeenSet="1"/&gt;&lt;prefs&gt;&lt;pref name="fieldType" value="Field"/&gt;&lt;pref n</vt:lpwstr>
  </property>
  <property fmtid="{D5CDD505-2E9C-101B-9397-08002B2CF9AE}" pid="3" name="ZOTERO_PREF_2">
    <vt:lpwstr>ame="storeReferences" value="true"/&gt;&lt;pref name="automaticJournalAbbreviations" value="true"/&gt;&lt;pref name="noteType" value=""/&gt;&lt;/prefs&gt;&lt;/data&gt;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http://www.zotero.org/styles/energy-policy</vt:lpwstr>
  </property>
  <property fmtid="{D5CDD505-2E9C-101B-9397-08002B2CF9AE}" pid="9" name="Mendeley Recent Style Name 2_1">
    <vt:lpwstr>Energy Policy</vt:lpwstr>
  </property>
  <property fmtid="{D5CDD505-2E9C-101B-9397-08002B2CF9AE}" pid="10" name="Mendeley Recent Style Id 3_1">
    <vt:lpwstr>http://www.zotero.org/styles/harvard1</vt:lpwstr>
  </property>
  <property fmtid="{D5CDD505-2E9C-101B-9397-08002B2CF9AE}" pid="11" name="Mendeley Recent Style Name 3_1">
    <vt:lpwstr>Harvard Reference format 1 (author-date)</vt:lpwstr>
  </property>
  <property fmtid="{D5CDD505-2E9C-101B-9397-08002B2CF9AE}" pid="12" name="Mendeley Recent Style Id 4_1">
    <vt:lpwstr>http://www.zotero.org/styles/journal-of-power-sources</vt:lpwstr>
  </property>
  <property fmtid="{D5CDD505-2E9C-101B-9397-08002B2CF9AE}" pid="13" name="Mendeley Recent Style Name 4_1">
    <vt:lpwstr>Journal of Power Sources</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7th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http://www.zotero.org/styles/the-journal-of-physical-chemistry-c</vt:lpwstr>
  </property>
  <property fmtid="{D5CDD505-2E9C-101B-9397-08002B2CF9AE}" pid="21" name="Mendeley Recent Style Name 8_1">
    <vt:lpwstr>The Journal of Physical Chemistry C</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abc6c397-6067-3c68-b879-fc1c4baffd88</vt:lpwstr>
  </property>
  <property fmtid="{D5CDD505-2E9C-101B-9397-08002B2CF9AE}" pid="26" name="Mendeley Citation Style_1">
    <vt:lpwstr>http://www.zotero.org/styles/energy-policy</vt:lpwstr>
  </property>
</Properties>
</file>