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877E3" w14:textId="77777777" w:rsidR="007763E8" w:rsidRPr="00CC39A2" w:rsidRDefault="003412F3" w:rsidP="00090A62">
      <w:pPr>
        <w:autoSpaceDE w:val="0"/>
        <w:autoSpaceDN w:val="0"/>
        <w:adjustRightInd w:val="0"/>
        <w:spacing w:before="240" w:after="240" w:line="480" w:lineRule="auto"/>
        <w:jc w:val="center"/>
        <w:rPr>
          <w:b/>
          <w:bCs/>
          <w:szCs w:val="22"/>
          <w:lang w:val="en-GB"/>
        </w:rPr>
      </w:pPr>
      <w:r w:rsidRPr="00CC39A2">
        <w:rPr>
          <w:b/>
          <w:bCs/>
          <w:szCs w:val="22"/>
          <w:lang w:val="en-GB"/>
        </w:rPr>
        <w:t xml:space="preserve">An </w:t>
      </w:r>
      <w:r w:rsidR="00090A62" w:rsidRPr="00CC39A2">
        <w:rPr>
          <w:b/>
          <w:bCs/>
          <w:szCs w:val="22"/>
          <w:lang w:val="en-GB"/>
        </w:rPr>
        <w:t xml:space="preserve">optical diagnostics </w:t>
      </w:r>
      <w:r w:rsidRPr="00CC39A2">
        <w:rPr>
          <w:b/>
          <w:bCs/>
          <w:szCs w:val="22"/>
          <w:lang w:val="en-GB"/>
        </w:rPr>
        <w:t xml:space="preserve">investigation of the effect of </w:t>
      </w:r>
      <w:r w:rsidR="00090A62" w:rsidRPr="00CC39A2">
        <w:rPr>
          <w:b/>
          <w:bCs/>
          <w:szCs w:val="22"/>
          <w:lang w:val="en-GB"/>
        </w:rPr>
        <w:t xml:space="preserve">post injection schemes </w:t>
      </w:r>
      <w:r w:rsidRPr="00CC39A2">
        <w:rPr>
          <w:b/>
          <w:bCs/>
          <w:szCs w:val="22"/>
          <w:lang w:val="en-GB"/>
        </w:rPr>
        <w:t xml:space="preserve">on </w:t>
      </w:r>
      <w:r w:rsidR="006A4F9C" w:rsidRPr="00CC39A2">
        <w:rPr>
          <w:b/>
          <w:bCs/>
          <w:szCs w:val="22"/>
          <w:lang w:val="en-GB"/>
        </w:rPr>
        <w:t xml:space="preserve">soot </w:t>
      </w:r>
      <w:r w:rsidR="0077083C" w:rsidRPr="00CC39A2">
        <w:rPr>
          <w:b/>
          <w:bCs/>
          <w:szCs w:val="22"/>
          <w:lang w:val="en-GB"/>
        </w:rPr>
        <w:t xml:space="preserve">reduction potential </w:t>
      </w:r>
      <w:r w:rsidR="006A4F9C" w:rsidRPr="00CC39A2">
        <w:rPr>
          <w:b/>
          <w:bCs/>
          <w:szCs w:val="22"/>
          <w:lang w:val="en-GB"/>
        </w:rPr>
        <w:t xml:space="preserve">in </w:t>
      </w:r>
      <w:r w:rsidRPr="00CC39A2">
        <w:rPr>
          <w:b/>
          <w:bCs/>
          <w:szCs w:val="22"/>
          <w:lang w:val="en-GB"/>
        </w:rPr>
        <w:t>a single cylinder Diesel engine</w:t>
      </w:r>
    </w:p>
    <w:p w14:paraId="43CC2871" w14:textId="77777777" w:rsidR="007763E8" w:rsidRPr="00CC39A2" w:rsidRDefault="007763E8" w:rsidP="007763E8">
      <w:pPr>
        <w:autoSpaceDE w:val="0"/>
        <w:autoSpaceDN w:val="0"/>
        <w:adjustRightInd w:val="0"/>
        <w:spacing w:before="240" w:after="240" w:line="480" w:lineRule="auto"/>
        <w:jc w:val="center"/>
        <w:rPr>
          <w:b/>
          <w:szCs w:val="22"/>
          <w:lang w:val="en-GB"/>
        </w:rPr>
      </w:pPr>
    </w:p>
    <w:p w14:paraId="0A383CF6" w14:textId="77777777" w:rsidR="007763E8" w:rsidRPr="00CC39A2" w:rsidRDefault="007763E8" w:rsidP="007763E8">
      <w:pPr>
        <w:autoSpaceDE w:val="0"/>
        <w:autoSpaceDN w:val="0"/>
        <w:adjustRightInd w:val="0"/>
        <w:spacing w:before="240" w:after="240" w:line="480" w:lineRule="auto"/>
        <w:jc w:val="center"/>
        <w:rPr>
          <w:rFonts w:cs="PMingLiU"/>
          <w:bCs/>
          <w:szCs w:val="22"/>
          <w:lang w:val="en-GB"/>
        </w:rPr>
      </w:pPr>
      <w:bookmarkStart w:id="0" w:name="OLE_LINK17"/>
      <w:bookmarkStart w:id="1" w:name="OLE_LINK25"/>
      <w:r w:rsidRPr="00CC39A2">
        <w:rPr>
          <w:rFonts w:cs="PMingLiU"/>
          <w:bCs/>
          <w:szCs w:val="22"/>
          <w:lang w:val="en-GB"/>
        </w:rPr>
        <w:t>Y. Hardalupas</w:t>
      </w:r>
      <w:r w:rsidRPr="00CC39A2">
        <w:rPr>
          <w:rFonts w:cs="PMingLiU"/>
          <w:bCs/>
          <w:szCs w:val="22"/>
          <w:vertAlign w:val="superscript"/>
          <w:lang w:val="en-GB"/>
        </w:rPr>
        <w:t>1</w:t>
      </w:r>
      <w:r w:rsidRPr="00CC39A2">
        <w:rPr>
          <w:rFonts w:cs="PMingLiU"/>
          <w:bCs/>
          <w:szCs w:val="22"/>
          <w:lang w:val="en-GB"/>
        </w:rPr>
        <w:t>, Ch. Hong</w:t>
      </w:r>
      <w:r w:rsidRPr="00CC39A2">
        <w:rPr>
          <w:rFonts w:cs="PMingLiU"/>
          <w:bCs/>
          <w:szCs w:val="22"/>
          <w:vertAlign w:val="superscript"/>
          <w:lang w:val="en-GB"/>
        </w:rPr>
        <w:t>1</w:t>
      </w:r>
      <w:r w:rsidRPr="00CC39A2">
        <w:rPr>
          <w:rFonts w:cs="PMingLiU"/>
          <w:bCs/>
          <w:szCs w:val="22"/>
          <w:lang w:val="en-GB"/>
        </w:rPr>
        <w:t>, Ch. Keramiotis</w:t>
      </w:r>
      <w:r w:rsidRPr="00CC39A2">
        <w:rPr>
          <w:rFonts w:cs="PMingLiU"/>
          <w:bCs/>
          <w:szCs w:val="22"/>
          <w:vertAlign w:val="superscript"/>
          <w:lang w:val="en-GB"/>
        </w:rPr>
        <w:t>1,2</w:t>
      </w:r>
      <w:r w:rsidRPr="00CC39A2">
        <w:rPr>
          <w:rFonts w:cs="PMingLiU"/>
          <w:bCs/>
          <w:szCs w:val="22"/>
          <w:lang w:val="en-GB"/>
        </w:rPr>
        <w:t>, G.K. Ramaswamy</w:t>
      </w:r>
      <w:r w:rsidRPr="00CC39A2">
        <w:rPr>
          <w:rFonts w:cs="PMingLiU"/>
          <w:bCs/>
          <w:szCs w:val="22"/>
          <w:vertAlign w:val="superscript"/>
          <w:lang w:val="en-GB"/>
        </w:rPr>
        <w:t>1</w:t>
      </w:r>
      <w:r w:rsidRPr="00CC39A2">
        <w:rPr>
          <w:rFonts w:cs="PMingLiU"/>
          <w:bCs/>
          <w:szCs w:val="22"/>
          <w:lang w:val="en-GB"/>
        </w:rPr>
        <w:t>, N. Soulopoulos</w:t>
      </w:r>
      <w:r w:rsidRPr="00CC39A2">
        <w:rPr>
          <w:rFonts w:cs="PMingLiU"/>
          <w:bCs/>
          <w:szCs w:val="22"/>
          <w:vertAlign w:val="superscript"/>
          <w:lang w:val="en-GB"/>
        </w:rPr>
        <w:t>1</w:t>
      </w:r>
      <w:r w:rsidRPr="00CC39A2">
        <w:rPr>
          <w:rFonts w:cs="PMingLiU"/>
          <w:bCs/>
          <w:szCs w:val="22"/>
          <w:lang w:val="en-GB"/>
        </w:rPr>
        <w:t>, A.M.K.P. Taylor</w:t>
      </w:r>
      <w:r w:rsidRPr="00CC39A2">
        <w:rPr>
          <w:rFonts w:cs="PMingLiU"/>
          <w:bCs/>
          <w:szCs w:val="22"/>
          <w:vertAlign w:val="superscript"/>
          <w:lang w:val="en-GB"/>
        </w:rPr>
        <w:t>1</w:t>
      </w:r>
      <w:r w:rsidRPr="00CC39A2">
        <w:rPr>
          <w:rFonts w:cs="PMingLiU"/>
          <w:bCs/>
          <w:szCs w:val="22"/>
          <w:lang w:val="en-GB"/>
        </w:rPr>
        <w:t>, D. Touloupis</w:t>
      </w:r>
      <w:r w:rsidRPr="00CC39A2">
        <w:rPr>
          <w:rFonts w:cs="PMingLiU"/>
          <w:bCs/>
          <w:szCs w:val="22"/>
          <w:vertAlign w:val="superscript"/>
          <w:lang w:val="en-GB"/>
        </w:rPr>
        <w:t>1</w:t>
      </w:r>
      <w:r w:rsidRPr="00CC39A2">
        <w:rPr>
          <w:rFonts w:cs="PMingLiU"/>
          <w:bCs/>
          <w:szCs w:val="22"/>
          <w:lang w:val="en-GB"/>
        </w:rPr>
        <w:t>, G. Vourliotakis</w:t>
      </w:r>
      <w:r w:rsidRPr="00CC39A2">
        <w:rPr>
          <w:rFonts w:cs="PMingLiU"/>
          <w:bCs/>
          <w:szCs w:val="22"/>
          <w:vertAlign w:val="superscript"/>
          <w:lang w:val="en-GB"/>
        </w:rPr>
        <w:t>1,2</w:t>
      </w:r>
      <w:r w:rsidRPr="00CC39A2">
        <w:rPr>
          <w:rFonts w:cs="PMingLiU"/>
          <w:bCs/>
          <w:szCs w:val="22"/>
          <w:lang w:val="en-GB"/>
        </w:rPr>
        <w:t xml:space="preserve"> and M.A. Founti</w:t>
      </w:r>
      <w:bookmarkEnd w:id="0"/>
      <w:bookmarkEnd w:id="1"/>
      <w:r w:rsidRPr="00CC39A2">
        <w:rPr>
          <w:rFonts w:cs="PMingLiU"/>
          <w:bCs/>
          <w:szCs w:val="22"/>
          <w:vertAlign w:val="superscript"/>
          <w:lang w:val="en-GB"/>
        </w:rPr>
        <w:t>2</w:t>
      </w:r>
    </w:p>
    <w:p w14:paraId="2A876EE7" w14:textId="77777777" w:rsidR="007763E8" w:rsidRPr="00CC39A2" w:rsidRDefault="007763E8" w:rsidP="007763E8">
      <w:pPr>
        <w:autoSpaceDE w:val="0"/>
        <w:autoSpaceDN w:val="0"/>
        <w:adjustRightInd w:val="0"/>
        <w:spacing w:before="240" w:after="240" w:line="480" w:lineRule="auto"/>
        <w:jc w:val="center"/>
        <w:rPr>
          <w:rFonts w:cs="PMingLiU"/>
          <w:bCs/>
          <w:szCs w:val="22"/>
          <w:lang w:val="en-GB"/>
        </w:rPr>
      </w:pPr>
    </w:p>
    <w:p w14:paraId="28B65CFA" w14:textId="77777777" w:rsidR="007763E8" w:rsidRPr="00CC39A2" w:rsidRDefault="007763E8" w:rsidP="007763E8">
      <w:pPr>
        <w:autoSpaceDE w:val="0"/>
        <w:autoSpaceDN w:val="0"/>
        <w:adjustRightInd w:val="0"/>
        <w:spacing w:before="240" w:after="240" w:line="480" w:lineRule="auto"/>
        <w:jc w:val="center"/>
        <w:rPr>
          <w:rFonts w:cs="PMingLiU"/>
          <w:bCs/>
          <w:szCs w:val="22"/>
          <w:lang w:val="en-GB"/>
        </w:rPr>
      </w:pPr>
    </w:p>
    <w:p w14:paraId="77199A1D" w14:textId="77777777" w:rsidR="007763E8" w:rsidRPr="00CC39A2" w:rsidRDefault="007763E8" w:rsidP="007763E8">
      <w:pPr>
        <w:autoSpaceDE w:val="0"/>
        <w:autoSpaceDN w:val="0"/>
        <w:adjustRightInd w:val="0"/>
        <w:spacing w:before="240" w:after="240" w:line="480" w:lineRule="auto"/>
        <w:jc w:val="center"/>
        <w:rPr>
          <w:szCs w:val="22"/>
          <w:lang w:val="en-GB"/>
        </w:rPr>
      </w:pPr>
      <w:r w:rsidRPr="00CC39A2">
        <w:rPr>
          <w:szCs w:val="22"/>
          <w:vertAlign w:val="superscript"/>
          <w:lang w:val="en-GB"/>
        </w:rPr>
        <w:t>1</w:t>
      </w:r>
      <w:r w:rsidRPr="00CC39A2">
        <w:rPr>
          <w:szCs w:val="22"/>
          <w:lang w:val="en-GB"/>
        </w:rPr>
        <w:t>Thermofuilds Section, Department of Mechanical Engineering, Imperial College London</w:t>
      </w:r>
      <w:r w:rsidRPr="00CC39A2">
        <w:rPr>
          <w:rFonts w:cs="PMingLiU"/>
          <w:bCs/>
          <w:szCs w:val="22"/>
          <w:lang w:val="en-GB"/>
        </w:rPr>
        <w:t xml:space="preserve">, </w:t>
      </w:r>
      <w:r w:rsidRPr="00CC39A2">
        <w:rPr>
          <w:szCs w:val="22"/>
          <w:lang w:val="en-GB"/>
        </w:rPr>
        <w:t>London, U.K.</w:t>
      </w:r>
    </w:p>
    <w:p w14:paraId="2C3A4CB0" w14:textId="77777777" w:rsidR="007763E8" w:rsidRPr="00CC39A2" w:rsidRDefault="007763E8" w:rsidP="007763E8">
      <w:pPr>
        <w:spacing w:before="240" w:after="240" w:line="480" w:lineRule="auto"/>
        <w:jc w:val="center"/>
        <w:rPr>
          <w:szCs w:val="22"/>
          <w:lang w:val="en-GB"/>
        </w:rPr>
      </w:pPr>
      <w:r w:rsidRPr="00CC39A2">
        <w:rPr>
          <w:szCs w:val="22"/>
          <w:vertAlign w:val="superscript"/>
          <w:lang w:val="en-GB"/>
        </w:rPr>
        <w:t>2</w:t>
      </w:r>
      <w:r w:rsidRPr="00CC39A2">
        <w:rPr>
          <w:szCs w:val="22"/>
          <w:lang w:val="en-GB"/>
        </w:rPr>
        <w:t xml:space="preserve">Lab. Of Heterogeneous Mixtures and Combustion Systems, Thermal Engineering Section, School of Mechanical Engineering, National Technical University of Athens, Athens, Greece </w:t>
      </w:r>
    </w:p>
    <w:p w14:paraId="539CC30B" w14:textId="77777777" w:rsidR="007763E8" w:rsidRPr="00CC39A2" w:rsidRDefault="007763E8" w:rsidP="007763E8">
      <w:pPr>
        <w:tabs>
          <w:tab w:val="left" w:pos="397"/>
        </w:tabs>
        <w:autoSpaceDE w:val="0"/>
        <w:autoSpaceDN w:val="0"/>
        <w:adjustRightInd w:val="0"/>
        <w:spacing w:before="240" w:after="240" w:line="480" w:lineRule="auto"/>
        <w:rPr>
          <w:b/>
          <w:sz w:val="22"/>
          <w:szCs w:val="22"/>
          <w:lang w:val="en-GB"/>
        </w:rPr>
      </w:pPr>
    </w:p>
    <w:p w14:paraId="3FF3654C" w14:textId="77777777" w:rsidR="007763E8" w:rsidRPr="00CC39A2" w:rsidRDefault="007763E8" w:rsidP="007763E8">
      <w:pPr>
        <w:tabs>
          <w:tab w:val="left" w:pos="397"/>
        </w:tabs>
        <w:autoSpaceDE w:val="0"/>
        <w:autoSpaceDN w:val="0"/>
        <w:adjustRightInd w:val="0"/>
        <w:spacing w:before="240" w:after="240" w:line="480" w:lineRule="auto"/>
        <w:rPr>
          <w:b/>
          <w:sz w:val="22"/>
          <w:szCs w:val="22"/>
          <w:lang w:val="en-GB"/>
        </w:rPr>
      </w:pPr>
    </w:p>
    <w:p w14:paraId="7781E873" w14:textId="77777777" w:rsidR="007763E8" w:rsidRPr="00CC39A2" w:rsidRDefault="007763E8" w:rsidP="007763E8">
      <w:pPr>
        <w:tabs>
          <w:tab w:val="left" w:pos="397"/>
        </w:tabs>
        <w:autoSpaceDE w:val="0"/>
        <w:autoSpaceDN w:val="0"/>
        <w:adjustRightInd w:val="0"/>
        <w:spacing w:before="240" w:after="240" w:line="480" w:lineRule="auto"/>
        <w:rPr>
          <w:b/>
          <w:sz w:val="22"/>
          <w:szCs w:val="22"/>
          <w:lang w:val="en-GB"/>
        </w:rPr>
      </w:pPr>
    </w:p>
    <w:p w14:paraId="4DBF8DCB" w14:textId="77777777" w:rsidR="00262F1D" w:rsidRPr="00CC39A2" w:rsidRDefault="00262F1D" w:rsidP="00262F1D">
      <w:pPr>
        <w:tabs>
          <w:tab w:val="left" w:pos="397"/>
        </w:tabs>
        <w:autoSpaceDE w:val="0"/>
        <w:autoSpaceDN w:val="0"/>
        <w:adjustRightInd w:val="0"/>
        <w:spacing w:before="240" w:after="240" w:line="480" w:lineRule="auto"/>
        <w:rPr>
          <w:b/>
          <w:lang w:val="en-GB"/>
        </w:rPr>
      </w:pPr>
    </w:p>
    <w:p w14:paraId="48AF9510" w14:textId="77777777" w:rsidR="00262F1D" w:rsidRPr="00CC39A2" w:rsidRDefault="007763E8" w:rsidP="00262F1D">
      <w:pPr>
        <w:tabs>
          <w:tab w:val="left" w:pos="397"/>
        </w:tabs>
        <w:autoSpaceDE w:val="0"/>
        <w:autoSpaceDN w:val="0"/>
        <w:adjustRightInd w:val="0"/>
        <w:spacing w:before="240" w:after="240" w:line="480" w:lineRule="auto"/>
        <w:rPr>
          <w:b/>
          <w:lang w:val="en-GB"/>
        </w:rPr>
      </w:pPr>
      <w:r w:rsidRPr="00CC39A2">
        <w:rPr>
          <w:b/>
          <w:lang w:val="en-GB"/>
        </w:rPr>
        <w:lastRenderedPageBreak/>
        <w:t>Corresponding author:</w:t>
      </w:r>
    </w:p>
    <w:p w14:paraId="12F66B5F" w14:textId="77777777" w:rsidR="007763E8" w:rsidRPr="00CC39A2" w:rsidRDefault="002E2513" w:rsidP="00262F1D">
      <w:pPr>
        <w:tabs>
          <w:tab w:val="left" w:pos="397"/>
        </w:tabs>
        <w:autoSpaceDE w:val="0"/>
        <w:autoSpaceDN w:val="0"/>
        <w:adjustRightInd w:val="0"/>
        <w:spacing w:before="240" w:after="240" w:line="480" w:lineRule="auto"/>
        <w:rPr>
          <w:lang w:val="en-GB"/>
        </w:rPr>
      </w:pPr>
      <w:r w:rsidRPr="00CC39A2">
        <w:rPr>
          <w:bCs/>
          <w:lang w:val="en-GB"/>
        </w:rPr>
        <w:t>D</w:t>
      </w:r>
      <w:r w:rsidR="005A1069" w:rsidRPr="00CC39A2">
        <w:rPr>
          <w:bCs/>
          <w:lang w:val="en-GB"/>
        </w:rPr>
        <w:t>.</w:t>
      </w:r>
      <w:r w:rsidR="007763E8" w:rsidRPr="00CC39A2">
        <w:rPr>
          <w:bCs/>
          <w:lang w:val="en-GB"/>
        </w:rPr>
        <w:t xml:space="preserve"> </w:t>
      </w:r>
      <w:r w:rsidRPr="00CC39A2">
        <w:rPr>
          <w:bCs/>
          <w:lang w:val="en-GB"/>
        </w:rPr>
        <w:t>Touloupis</w:t>
      </w:r>
      <w:r w:rsidR="007763E8" w:rsidRPr="00CC39A2">
        <w:rPr>
          <w:lang w:val="en-GB"/>
        </w:rPr>
        <w:t xml:space="preserve"> </w:t>
      </w:r>
    </w:p>
    <w:p w14:paraId="1281C5D9" w14:textId="77777777" w:rsidR="007763E8" w:rsidRPr="00CC39A2" w:rsidRDefault="007763E8" w:rsidP="007763E8">
      <w:pPr>
        <w:tabs>
          <w:tab w:val="left" w:pos="397"/>
        </w:tabs>
        <w:autoSpaceDE w:val="0"/>
        <w:autoSpaceDN w:val="0"/>
        <w:adjustRightInd w:val="0"/>
        <w:spacing w:line="480" w:lineRule="auto"/>
        <w:rPr>
          <w:lang w:val="en-GB"/>
        </w:rPr>
      </w:pPr>
      <w:r w:rsidRPr="00CC39A2">
        <w:rPr>
          <w:lang w:val="en-GB"/>
        </w:rPr>
        <w:t xml:space="preserve">Thermofluids </w:t>
      </w:r>
      <w:r w:rsidR="007E10B5" w:rsidRPr="00CC39A2">
        <w:rPr>
          <w:lang w:val="en-GB"/>
        </w:rPr>
        <w:t>Section</w:t>
      </w:r>
      <w:r w:rsidRPr="00CC39A2">
        <w:rPr>
          <w:lang w:val="en-GB"/>
        </w:rPr>
        <w:t>, Mechanical Engineering Department, Imperial College London</w:t>
      </w:r>
    </w:p>
    <w:p w14:paraId="178FE15D" w14:textId="77777777" w:rsidR="007763E8" w:rsidRPr="00CC39A2" w:rsidRDefault="007763E8" w:rsidP="007763E8">
      <w:pPr>
        <w:tabs>
          <w:tab w:val="left" w:pos="397"/>
        </w:tabs>
        <w:autoSpaceDE w:val="0"/>
        <w:autoSpaceDN w:val="0"/>
        <w:adjustRightInd w:val="0"/>
        <w:spacing w:line="480" w:lineRule="auto"/>
        <w:rPr>
          <w:lang w:val="en-GB"/>
        </w:rPr>
      </w:pPr>
      <w:r w:rsidRPr="00CC39A2">
        <w:rPr>
          <w:lang w:val="en-GB"/>
        </w:rPr>
        <w:t xml:space="preserve">Exhibition Rd., SW7 2BX, London, U.K. </w:t>
      </w:r>
    </w:p>
    <w:p w14:paraId="05C563DD" w14:textId="77777777" w:rsidR="007763E8" w:rsidRPr="00CC39A2" w:rsidRDefault="007763E8" w:rsidP="007763E8">
      <w:pPr>
        <w:tabs>
          <w:tab w:val="left" w:pos="397"/>
        </w:tabs>
        <w:autoSpaceDE w:val="0"/>
        <w:autoSpaceDN w:val="0"/>
        <w:adjustRightInd w:val="0"/>
        <w:spacing w:line="480" w:lineRule="auto"/>
        <w:rPr>
          <w:lang w:val="en-GB"/>
        </w:rPr>
      </w:pPr>
      <w:r w:rsidRPr="00CC39A2">
        <w:rPr>
          <w:lang w:val="en-GB"/>
        </w:rPr>
        <w:t>tel. +44 20759 45788</w:t>
      </w:r>
    </w:p>
    <w:p w14:paraId="0094B5CF" w14:textId="77777777" w:rsidR="007763E8" w:rsidRPr="00CC39A2" w:rsidRDefault="002E2513" w:rsidP="007763E8">
      <w:pPr>
        <w:tabs>
          <w:tab w:val="left" w:pos="397"/>
        </w:tabs>
        <w:autoSpaceDE w:val="0"/>
        <w:autoSpaceDN w:val="0"/>
        <w:adjustRightInd w:val="0"/>
        <w:spacing w:line="480" w:lineRule="auto"/>
        <w:rPr>
          <w:lang w:val="en-GB"/>
        </w:rPr>
      </w:pPr>
      <w:r w:rsidRPr="00CC39A2">
        <w:rPr>
          <w:lang w:val="en-GB"/>
        </w:rPr>
        <w:t>d.touloupis</w:t>
      </w:r>
      <w:r w:rsidR="007763E8" w:rsidRPr="00CC39A2">
        <w:rPr>
          <w:lang w:val="en-GB"/>
        </w:rPr>
        <w:t>@imperial.ac.uk</w:t>
      </w:r>
    </w:p>
    <w:p w14:paraId="640F733B" w14:textId="77777777" w:rsidR="007763E8" w:rsidRPr="00CC39A2" w:rsidRDefault="007763E8" w:rsidP="007763E8">
      <w:pPr>
        <w:rPr>
          <w:b/>
          <w:sz w:val="22"/>
          <w:szCs w:val="22"/>
          <w:lang w:val="en-GB"/>
        </w:rPr>
      </w:pPr>
      <w:r w:rsidRPr="00CC39A2">
        <w:rPr>
          <w:b/>
          <w:sz w:val="22"/>
          <w:szCs w:val="22"/>
          <w:lang w:val="en-GB"/>
        </w:rPr>
        <w:br w:type="page"/>
      </w:r>
    </w:p>
    <w:p w14:paraId="3FC47EA5" w14:textId="77777777" w:rsidR="007763E8" w:rsidRPr="00CC39A2" w:rsidRDefault="007763E8" w:rsidP="007763E8">
      <w:pPr>
        <w:tabs>
          <w:tab w:val="left" w:pos="397"/>
        </w:tabs>
        <w:autoSpaceDE w:val="0"/>
        <w:autoSpaceDN w:val="0"/>
        <w:adjustRightInd w:val="0"/>
        <w:spacing w:before="240" w:after="240" w:line="480" w:lineRule="auto"/>
        <w:rPr>
          <w:b/>
          <w:lang w:val="en-GB"/>
        </w:rPr>
      </w:pPr>
      <w:r w:rsidRPr="00CC39A2">
        <w:rPr>
          <w:b/>
          <w:lang w:val="en-GB"/>
        </w:rPr>
        <w:lastRenderedPageBreak/>
        <w:t xml:space="preserve">Abstract </w:t>
      </w:r>
    </w:p>
    <w:p w14:paraId="703B4792" w14:textId="77777777" w:rsidR="00C87EC6" w:rsidRPr="00CC39A2" w:rsidRDefault="00090A62" w:rsidP="007763E8">
      <w:pPr>
        <w:tabs>
          <w:tab w:val="left" w:pos="397"/>
        </w:tabs>
        <w:autoSpaceDE w:val="0"/>
        <w:autoSpaceDN w:val="0"/>
        <w:adjustRightInd w:val="0"/>
        <w:spacing w:before="240" w:after="240" w:line="480" w:lineRule="auto"/>
        <w:jc w:val="both"/>
        <w:rPr>
          <w:lang w:val="en-GB"/>
        </w:rPr>
      </w:pPr>
      <w:bookmarkStart w:id="2" w:name="OLE_LINK4"/>
      <w:bookmarkStart w:id="3" w:name="OLE_LINK5"/>
      <w:bookmarkStart w:id="4" w:name="OLE_LINK6"/>
      <w:r w:rsidRPr="00CC39A2">
        <w:rPr>
          <w:lang w:val="en-GB"/>
        </w:rPr>
        <w:t>The present work employs a combination of pressure trace analysis</w:t>
      </w:r>
      <w:r w:rsidR="00704AEC" w:rsidRPr="00CC39A2">
        <w:rPr>
          <w:lang w:val="en-GB"/>
        </w:rPr>
        <w:t>,</w:t>
      </w:r>
      <w:r w:rsidRPr="00CC39A2">
        <w:rPr>
          <w:lang w:val="en-GB"/>
        </w:rPr>
        <w:t xml:space="preserve"> </w:t>
      </w:r>
      <w:r w:rsidR="00704AEC" w:rsidRPr="00CC39A2">
        <w:rPr>
          <w:lang w:val="en-GB"/>
        </w:rPr>
        <w:t>high speed</w:t>
      </w:r>
      <w:r w:rsidR="001E1247" w:rsidRPr="00CC39A2">
        <w:rPr>
          <w:lang w:val="en-GB"/>
        </w:rPr>
        <w:t xml:space="preserve"> </w:t>
      </w:r>
      <w:r w:rsidRPr="00CC39A2">
        <w:rPr>
          <w:lang w:val="en-GB"/>
        </w:rPr>
        <w:t>optical measurements</w:t>
      </w:r>
      <w:r w:rsidR="00704AEC" w:rsidRPr="00CC39A2">
        <w:rPr>
          <w:lang w:val="en-GB"/>
        </w:rPr>
        <w:t xml:space="preserve"> and laser based techniques</w:t>
      </w:r>
      <w:r w:rsidRPr="00CC39A2">
        <w:rPr>
          <w:lang w:val="en-GB"/>
        </w:rPr>
        <w:t xml:space="preserve"> for the assessment of the effects of </w:t>
      </w:r>
      <w:r w:rsidR="00704AEC" w:rsidRPr="00CC39A2">
        <w:rPr>
          <w:lang w:val="en-GB"/>
        </w:rPr>
        <w:t xml:space="preserve">various </w:t>
      </w:r>
      <w:r w:rsidRPr="00CC39A2">
        <w:rPr>
          <w:lang w:val="en-GB"/>
        </w:rPr>
        <w:t xml:space="preserve">post-injection schemes </w:t>
      </w:r>
      <w:r w:rsidR="00DA1090" w:rsidRPr="00CC39A2">
        <w:rPr>
          <w:lang w:val="en-GB"/>
        </w:rPr>
        <w:t xml:space="preserve">on the soot reduction potential </w:t>
      </w:r>
      <w:r w:rsidRPr="00CC39A2">
        <w:rPr>
          <w:lang w:val="en-GB"/>
        </w:rPr>
        <w:t>in a</w:t>
      </w:r>
      <w:r w:rsidR="0077083C" w:rsidRPr="00CC39A2">
        <w:rPr>
          <w:lang w:val="en-GB"/>
        </w:rPr>
        <w:t>n</w:t>
      </w:r>
      <w:r w:rsidRPr="00CC39A2">
        <w:rPr>
          <w:lang w:val="en-GB"/>
        </w:rPr>
        <w:t xml:space="preserve"> optical single cylinder light duty diesel engine.</w:t>
      </w:r>
      <w:bookmarkEnd w:id="2"/>
      <w:bookmarkEnd w:id="3"/>
      <w:bookmarkEnd w:id="4"/>
      <w:r w:rsidRPr="00CC39A2">
        <w:rPr>
          <w:lang w:val="en-GB"/>
        </w:rPr>
        <w:t xml:space="preserve"> </w:t>
      </w:r>
      <w:r w:rsidR="00E70FDF" w:rsidRPr="00CC39A2">
        <w:rPr>
          <w:lang w:val="en-GB"/>
        </w:rPr>
        <w:t xml:space="preserve">The engine </w:t>
      </w:r>
      <w:r w:rsidR="00A46149" w:rsidRPr="00CC39A2">
        <w:rPr>
          <w:lang w:val="en-GB"/>
        </w:rPr>
        <w:t xml:space="preserve">was </w:t>
      </w:r>
      <w:r w:rsidR="00E70FDF" w:rsidRPr="00CC39A2">
        <w:rPr>
          <w:lang w:val="en-GB"/>
        </w:rPr>
        <w:t xml:space="preserve">operated under a multiple injection scheme </w:t>
      </w:r>
      <w:r w:rsidR="0077083C" w:rsidRPr="00CC39A2">
        <w:rPr>
          <w:lang w:val="en-GB"/>
        </w:rPr>
        <w:t xml:space="preserve">of two pilot and one main injections, </w:t>
      </w:r>
      <w:r w:rsidR="00E70FDF" w:rsidRPr="00CC39A2">
        <w:rPr>
          <w:lang w:val="en-GB"/>
        </w:rPr>
        <w:t xml:space="preserve">typical of a partially premixed combustion </w:t>
      </w:r>
      <w:r w:rsidR="005F3E61" w:rsidRPr="00CC39A2">
        <w:rPr>
          <w:lang w:val="en-GB"/>
        </w:rPr>
        <w:t xml:space="preserve">(PPC) </w:t>
      </w:r>
      <w:r w:rsidR="00E70FDF" w:rsidRPr="00CC39A2">
        <w:rPr>
          <w:lang w:val="en-GB"/>
        </w:rPr>
        <w:t xml:space="preserve">mode, </w:t>
      </w:r>
      <w:r w:rsidR="00A46149" w:rsidRPr="00CC39A2">
        <w:rPr>
          <w:lang w:val="en-GB"/>
        </w:rPr>
        <w:t xml:space="preserve">at </w:t>
      </w:r>
      <w:r w:rsidR="00E70FDF" w:rsidRPr="00CC39A2">
        <w:rPr>
          <w:lang w:val="en-GB"/>
        </w:rPr>
        <w:t>the lower end of the load and engine speed range (</w:t>
      </w:r>
      <w:r w:rsidR="00E70FDF" w:rsidRPr="00CC39A2">
        <w:rPr>
          <w:i/>
          <w:lang w:val="en-GB"/>
        </w:rPr>
        <w:t>ca.</w:t>
      </w:r>
      <w:r w:rsidR="00E70FDF" w:rsidRPr="00CC39A2">
        <w:rPr>
          <w:lang w:val="en-GB"/>
        </w:rPr>
        <w:t xml:space="preserve"> 2.</w:t>
      </w:r>
      <w:r w:rsidR="008819DC" w:rsidRPr="00CC39A2">
        <w:rPr>
          <w:lang w:val="en-GB"/>
        </w:rPr>
        <w:t>0</w:t>
      </w:r>
      <w:r w:rsidR="00061DF2" w:rsidRPr="00CC39A2">
        <w:rPr>
          <w:lang w:val="en-GB"/>
        </w:rPr>
        <w:t> </w:t>
      </w:r>
      <w:r w:rsidR="00E70FDF" w:rsidRPr="00CC39A2">
        <w:rPr>
          <w:lang w:val="en-GB"/>
        </w:rPr>
        <w:t>bar IMEP at 1200</w:t>
      </w:r>
      <w:r w:rsidR="00061DF2" w:rsidRPr="00CC39A2">
        <w:rPr>
          <w:lang w:val="en-GB"/>
        </w:rPr>
        <w:t> </w:t>
      </w:r>
      <w:r w:rsidR="00E70FDF" w:rsidRPr="00CC39A2">
        <w:rPr>
          <w:lang w:val="en-GB"/>
        </w:rPr>
        <w:t xml:space="preserve">rpm). </w:t>
      </w:r>
      <w:r w:rsidR="00061DF2" w:rsidRPr="00CC39A2">
        <w:rPr>
          <w:lang w:val="en-GB"/>
        </w:rPr>
        <w:t xml:space="preserve">Experiments considering the influence of the post-injection fuel amount (up to 15% of the total fuel quantity </w:t>
      </w:r>
      <w:r w:rsidR="00061DF2" w:rsidRPr="00CC39A2">
        <w:rPr>
          <w:i/>
          <w:lang w:val="en-GB"/>
        </w:rPr>
        <w:t xml:space="preserve">per </w:t>
      </w:r>
      <w:r w:rsidR="00061DF2" w:rsidRPr="00CC39A2">
        <w:rPr>
          <w:lang w:val="en-GB"/>
        </w:rPr>
        <w:t>cycle) and the post-injection timing within the expansion stroke (5, 10 and 15 </w:t>
      </w:r>
      <w:r w:rsidR="00F95FB2" w:rsidRPr="00CC39A2">
        <w:rPr>
          <w:lang w:val="en-GB"/>
        </w:rPr>
        <w:t>CAD </w:t>
      </w:r>
      <w:r w:rsidR="00061DF2" w:rsidRPr="00CC39A2">
        <w:rPr>
          <w:lang w:val="en-GB"/>
        </w:rPr>
        <w:t>aTDC)</w:t>
      </w:r>
      <w:r w:rsidR="00DA1090" w:rsidRPr="00CC39A2">
        <w:rPr>
          <w:lang w:val="en-GB"/>
        </w:rPr>
        <w:t xml:space="preserve">, under a constant total fuel mass </w:t>
      </w:r>
      <w:r w:rsidR="00DA1090" w:rsidRPr="00CC39A2">
        <w:rPr>
          <w:i/>
          <w:lang w:val="en-GB"/>
        </w:rPr>
        <w:t>per</w:t>
      </w:r>
      <w:r w:rsidR="00DA1090" w:rsidRPr="00CC39A2">
        <w:rPr>
          <w:lang w:val="en-GB"/>
        </w:rPr>
        <w:t xml:space="preserve"> cycle,</w:t>
      </w:r>
      <w:r w:rsidR="00061DF2" w:rsidRPr="00CC39A2">
        <w:rPr>
          <w:lang w:val="en-GB"/>
        </w:rPr>
        <w:t xml:space="preserve"> have been conducted</w:t>
      </w:r>
      <w:r w:rsidR="009F068E" w:rsidRPr="00CC39A2">
        <w:rPr>
          <w:lang w:val="en-GB"/>
        </w:rPr>
        <w:t>.</w:t>
      </w:r>
      <w:r w:rsidR="00061DF2" w:rsidRPr="00CC39A2">
        <w:rPr>
          <w:lang w:val="en-GB"/>
        </w:rPr>
        <w:t xml:space="preserve"> </w:t>
      </w:r>
      <w:r w:rsidR="009F068E" w:rsidRPr="00CC39A2">
        <w:rPr>
          <w:lang w:val="en-GB"/>
        </w:rPr>
        <w:t xml:space="preserve">Findings </w:t>
      </w:r>
      <w:r w:rsidR="00A46149" w:rsidRPr="00CC39A2">
        <w:rPr>
          <w:lang w:val="en-GB"/>
        </w:rPr>
        <w:t xml:space="preserve">were </w:t>
      </w:r>
      <w:r w:rsidR="00061DF2" w:rsidRPr="00CC39A2">
        <w:rPr>
          <w:lang w:val="en-GB"/>
        </w:rPr>
        <w:t xml:space="preserve">analysed </w:t>
      </w:r>
      <w:r w:rsidR="00061DF2" w:rsidRPr="00CC39A2">
        <w:rPr>
          <w:i/>
          <w:lang w:val="en-GB"/>
        </w:rPr>
        <w:t>via</w:t>
      </w:r>
      <w:r w:rsidR="00061DF2" w:rsidRPr="00CC39A2">
        <w:rPr>
          <w:lang w:val="en-GB"/>
        </w:rPr>
        <w:t xml:space="preserve"> means </w:t>
      </w:r>
      <w:r w:rsidR="00C87EC6" w:rsidRPr="00CC39A2">
        <w:rPr>
          <w:lang w:val="en-GB"/>
        </w:rPr>
        <w:t>of pressure trace and apparent rate of heat transfer analyses, as well as a series of optical diagnostics techniques</w:t>
      </w:r>
      <w:r w:rsidR="009F068E" w:rsidRPr="00CC39A2">
        <w:rPr>
          <w:lang w:val="en-GB"/>
        </w:rPr>
        <w:t xml:space="preserve">, </w:t>
      </w:r>
      <w:r w:rsidR="00704AEC" w:rsidRPr="00CC39A2">
        <w:rPr>
          <w:lang w:val="en-GB"/>
        </w:rPr>
        <w:t xml:space="preserve">namely </w:t>
      </w:r>
      <w:r w:rsidR="00C87EC6" w:rsidRPr="00CC39A2">
        <w:rPr>
          <w:lang w:val="en-GB"/>
        </w:rPr>
        <w:t>high speed flame natural luminosity imaging, CH</w:t>
      </w:r>
      <w:r w:rsidR="00F95FB2" w:rsidRPr="00CC39A2">
        <w:rPr>
          <w:vertAlign w:val="superscript"/>
          <w:lang w:val="en-GB"/>
        </w:rPr>
        <w:t>*</w:t>
      </w:r>
      <w:r w:rsidR="00C87EC6" w:rsidRPr="00CC39A2">
        <w:rPr>
          <w:lang w:val="en-GB"/>
        </w:rPr>
        <w:t>, C</w:t>
      </w:r>
      <w:r w:rsidR="00C87EC6" w:rsidRPr="00CC39A2">
        <w:rPr>
          <w:rStyle w:val="A2"/>
          <w:color w:val="auto"/>
          <w:sz w:val="24"/>
          <w:szCs w:val="24"/>
          <w:vertAlign w:val="subscript"/>
          <w:lang w:val="en-GB"/>
        </w:rPr>
        <w:t>2</w:t>
      </w:r>
      <w:r w:rsidR="00F95FB2" w:rsidRPr="00CC39A2">
        <w:rPr>
          <w:rStyle w:val="A2"/>
          <w:color w:val="auto"/>
          <w:sz w:val="24"/>
          <w:szCs w:val="24"/>
          <w:vertAlign w:val="superscript"/>
          <w:lang w:val="en-GB"/>
        </w:rPr>
        <w:t>*</w:t>
      </w:r>
      <w:r w:rsidR="00C87EC6" w:rsidRPr="00CC39A2">
        <w:rPr>
          <w:rStyle w:val="A2"/>
          <w:color w:val="auto"/>
          <w:sz w:val="24"/>
          <w:szCs w:val="24"/>
          <w:lang w:val="en-GB"/>
        </w:rPr>
        <w:t xml:space="preserve"> and OH</w:t>
      </w:r>
      <w:r w:rsidR="00F95FB2" w:rsidRPr="00CC39A2">
        <w:rPr>
          <w:rStyle w:val="A2"/>
          <w:color w:val="auto"/>
          <w:sz w:val="24"/>
          <w:szCs w:val="24"/>
          <w:vertAlign w:val="superscript"/>
          <w:lang w:val="en-GB"/>
        </w:rPr>
        <w:t>*</w:t>
      </w:r>
      <w:r w:rsidR="00C87EC6" w:rsidRPr="00CC39A2">
        <w:rPr>
          <w:rStyle w:val="A2"/>
          <w:color w:val="auto"/>
          <w:sz w:val="24"/>
          <w:szCs w:val="24"/>
          <w:lang w:val="en-GB"/>
        </w:rPr>
        <w:t xml:space="preserve"> </w:t>
      </w:r>
      <w:r w:rsidR="00C87EC6" w:rsidRPr="00CC39A2">
        <w:rPr>
          <w:lang w:val="en-GB"/>
        </w:rPr>
        <w:t>line-of-sight chemiluminescence, as well as planar Laser Induced Incandescence (</w:t>
      </w:r>
      <w:r w:rsidR="00605A8C" w:rsidRPr="00CC39A2">
        <w:rPr>
          <w:lang w:val="en-GB"/>
        </w:rPr>
        <w:t>p</w:t>
      </w:r>
      <w:r w:rsidR="00C87EC6" w:rsidRPr="00CC39A2">
        <w:rPr>
          <w:lang w:val="en-GB"/>
        </w:rPr>
        <w:t xml:space="preserve">LII) measurements at 31 and 50 CAD aTDC. </w:t>
      </w:r>
      <w:r w:rsidR="00FC0BF6" w:rsidRPr="00CC39A2">
        <w:rPr>
          <w:lang w:val="en-GB"/>
        </w:rPr>
        <w:t>T</w:t>
      </w:r>
      <w:r w:rsidR="00C87EC6" w:rsidRPr="00CC39A2">
        <w:rPr>
          <w:lang w:val="en-GB"/>
        </w:rPr>
        <w:t xml:space="preserve">he combination of post-injection fuel amount and timing </w:t>
      </w:r>
      <w:r w:rsidR="00704AEC" w:rsidRPr="00CC39A2">
        <w:rPr>
          <w:lang w:val="en-GB"/>
        </w:rPr>
        <w:t>has</w:t>
      </w:r>
      <w:r w:rsidR="00C87EC6" w:rsidRPr="00CC39A2">
        <w:rPr>
          <w:lang w:val="en-GB"/>
        </w:rPr>
        <w:t xml:space="preserve"> </w:t>
      </w:r>
      <w:r w:rsidR="00704AEC" w:rsidRPr="00CC39A2">
        <w:rPr>
          <w:lang w:val="en-GB"/>
        </w:rPr>
        <w:t xml:space="preserve">substantial </w:t>
      </w:r>
      <w:r w:rsidR="00C87EC6" w:rsidRPr="00CC39A2">
        <w:rPr>
          <w:lang w:val="en-GB"/>
        </w:rPr>
        <w:t>effects on charge reactivity and soot oxidation potential</w:t>
      </w:r>
      <w:r w:rsidR="008C084F" w:rsidRPr="00CC39A2">
        <w:rPr>
          <w:lang w:val="en-GB"/>
        </w:rPr>
        <w:t xml:space="preserve">. </w:t>
      </w:r>
      <w:r w:rsidR="00FC0BF6" w:rsidRPr="00CC39A2">
        <w:rPr>
          <w:lang w:val="en-GB"/>
        </w:rPr>
        <w:t>The analysis reveals that a</w:t>
      </w:r>
      <w:r w:rsidR="008C084F" w:rsidRPr="00CC39A2">
        <w:rPr>
          <w:lang w:val="en-GB"/>
        </w:rPr>
        <w:t xml:space="preserve">n </w:t>
      </w:r>
      <w:r w:rsidR="00C87EC6" w:rsidRPr="00CC39A2">
        <w:rPr>
          <w:lang w:val="en-GB"/>
        </w:rPr>
        <w:t>amount of fuel</w:t>
      </w:r>
      <w:r w:rsidR="008C084F" w:rsidRPr="00CC39A2">
        <w:rPr>
          <w:lang w:val="en-GB"/>
        </w:rPr>
        <w:t xml:space="preserve"> </w:t>
      </w:r>
      <w:r w:rsidR="001E1247" w:rsidRPr="00CC39A2">
        <w:rPr>
          <w:lang w:val="en-GB"/>
        </w:rPr>
        <w:t xml:space="preserve">(7% of the total fuel mass </w:t>
      </w:r>
      <w:r w:rsidR="001E1247" w:rsidRPr="00CC39A2">
        <w:rPr>
          <w:i/>
          <w:lang w:val="en-GB"/>
        </w:rPr>
        <w:t>per</w:t>
      </w:r>
      <w:r w:rsidR="001E1247" w:rsidRPr="00CC39A2">
        <w:rPr>
          <w:lang w:val="en-GB"/>
        </w:rPr>
        <w:t xml:space="preserve"> cycle) </w:t>
      </w:r>
      <w:r w:rsidR="008C084F" w:rsidRPr="00CC39A2">
        <w:rPr>
          <w:lang w:val="en-GB"/>
        </w:rPr>
        <w:t>injected</w:t>
      </w:r>
      <w:r w:rsidR="00C87EC6" w:rsidRPr="00CC39A2">
        <w:rPr>
          <w:lang w:val="en-GB"/>
        </w:rPr>
        <w:t xml:space="preserve"> </w:t>
      </w:r>
      <w:r w:rsidR="00704AEC" w:rsidRPr="00CC39A2">
        <w:rPr>
          <w:lang w:val="en-GB"/>
        </w:rPr>
        <w:t>more than 10</w:t>
      </w:r>
      <w:r w:rsidR="001E1247" w:rsidRPr="00CC39A2">
        <w:rPr>
          <w:lang w:val="en-GB"/>
        </w:rPr>
        <w:t> </w:t>
      </w:r>
      <w:r w:rsidR="00704AEC" w:rsidRPr="00CC39A2">
        <w:rPr>
          <w:lang w:val="en-GB"/>
        </w:rPr>
        <w:t xml:space="preserve">CAD </w:t>
      </w:r>
      <w:r w:rsidR="001E1247" w:rsidRPr="00CC39A2">
        <w:rPr>
          <w:lang w:val="en-GB"/>
        </w:rPr>
        <w:t xml:space="preserve">after </w:t>
      </w:r>
      <w:r w:rsidR="008C084F" w:rsidRPr="00CC39A2">
        <w:rPr>
          <w:lang w:val="en-GB"/>
        </w:rPr>
        <w:t>the main combustion event</w:t>
      </w:r>
      <w:r w:rsidR="00C87EC6" w:rsidRPr="00CC39A2">
        <w:rPr>
          <w:lang w:val="en-GB"/>
        </w:rPr>
        <w:t xml:space="preserve"> lead</w:t>
      </w:r>
      <w:r w:rsidR="008C084F" w:rsidRPr="00CC39A2">
        <w:rPr>
          <w:lang w:val="en-GB"/>
        </w:rPr>
        <w:t>s</w:t>
      </w:r>
      <w:r w:rsidR="00C87EC6" w:rsidRPr="00CC39A2">
        <w:rPr>
          <w:lang w:val="en-GB"/>
        </w:rPr>
        <w:t xml:space="preserve"> to higher levels of soot emissions, while </w:t>
      </w:r>
      <w:r w:rsidR="008C084F" w:rsidRPr="00CC39A2">
        <w:rPr>
          <w:lang w:val="en-GB"/>
        </w:rPr>
        <w:t>a large</w:t>
      </w:r>
      <w:r w:rsidR="001E1247" w:rsidRPr="00CC39A2">
        <w:rPr>
          <w:lang w:val="en-GB"/>
        </w:rPr>
        <w:t>r</w:t>
      </w:r>
      <w:r w:rsidR="008C084F" w:rsidRPr="00CC39A2">
        <w:rPr>
          <w:lang w:val="en-GB"/>
        </w:rPr>
        <w:t xml:space="preserve"> amount of fuel </w:t>
      </w:r>
      <w:r w:rsidR="001E1247" w:rsidRPr="00CC39A2">
        <w:rPr>
          <w:lang w:val="en-GB"/>
        </w:rPr>
        <w:t xml:space="preserve">(15% of the total fuel mass) </w:t>
      </w:r>
      <w:r w:rsidR="00FC0BF6" w:rsidRPr="00CC39A2">
        <w:rPr>
          <w:lang w:val="en-GB"/>
        </w:rPr>
        <w:t xml:space="preserve">injected </w:t>
      </w:r>
      <w:r w:rsidR="00704AEC" w:rsidRPr="00CC39A2">
        <w:rPr>
          <w:lang w:val="en-GB"/>
        </w:rPr>
        <w:t>5</w:t>
      </w:r>
      <w:r w:rsidR="001E1247" w:rsidRPr="00CC39A2">
        <w:rPr>
          <w:lang w:val="en-GB"/>
        </w:rPr>
        <w:t> </w:t>
      </w:r>
      <w:r w:rsidR="00704AEC" w:rsidRPr="00CC39A2">
        <w:rPr>
          <w:lang w:val="en-GB"/>
        </w:rPr>
        <w:t xml:space="preserve">CAD after </w:t>
      </w:r>
      <w:r w:rsidR="00C87EC6" w:rsidRPr="00CC39A2">
        <w:rPr>
          <w:lang w:val="en-GB"/>
        </w:rPr>
        <w:t>the main combustion event appears to have a beneficial effect on the soot oxidation processes</w:t>
      </w:r>
      <w:r w:rsidR="008C084F" w:rsidRPr="00CC39A2">
        <w:rPr>
          <w:lang w:val="en-GB"/>
        </w:rPr>
        <w:t xml:space="preserve">. Overall, results indicate that a </w:t>
      </w:r>
      <w:r w:rsidR="008C084F" w:rsidRPr="00CC39A2">
        <w:rPr>
          <w:lang w:val="en-GB"/>
        </w:rPr>
        <w:lastRenderedPageBreak/>
        <w:t>post injection scheme</w:t>
      </w:r>
      <w:r w:rsidR="00D7458F" w:rsidRPr="00CC39A2">
        <w:rPr>
          <w:lang w:val="en-GB"/>
        </w:rPr>
        <w:t xml:space="preserve"> close to the main combustion phasing</w:t>
      </w:r>
      <w:r w:rsidR="008C084F" w:rsidRPr="00CC39A2">
        <w:rPr>
          <w:lang w:val="en-GB"/>
        </w:rPr>
        <w:t>, could reduce soot levels</w:t>
      </w:r>
      <w:r w:rsidR="00D7458F" w:rsidRPr="00CC39A2">
        <w:rPr>
          <w:lang w:val="en-GB"/>
        </w:rPr>
        <w:t xml:space="preserve"> and</w:t>
      </w:r>
      <w:r w:rsidR="008C084F" w:rsidRPr="00CC39A2">
        <w:rPr>
          <w:lang w:val="en-GB"/>
        </w:rPr>
        <w:t xml:space="preserve"> improve engine performance</w:t>
      </w:r>
      <w:r w:rsidR="00D7458F" w:rsidRPr="00CC39A2">
        <w:rPr>
          <w:lang w:val="en-GB"/>
        </w:rPr>
        <w:t>,</w:t>
      </w:r>
      <w:r w:rsidR="008C084F" w:rsidRPr="00CC39A2">
        <w:rPr>
          <w:lang w:val="en-GB"/>
        </w:rPr>
        <w:t xml:space="preserve"> </w:t>
      </w:r>
      <w:r w:rsidR="008C084F" w:rsidRPr="00CC39A2">
        <w:rPr>
          <w:i/>
          <w:lang w:val="en-GB"/>
        </w:rPr>
        <w:t>i.e.</w:t>
      </w:r>
      <w:r w:rsidR="008C084F" w:rsidRPr="00CC39A2">
        <w:rPr>
          <w:lang w:val="en-GB"/>
        </w:rPr>
        <w:t xml:space="preserve"> higher IMEP levels at the same fuel consumption rates</w:t>
      </w:r>
      <w:r w:rsidR="00D7458F" w:rsidRPr="00CC39A2">
        <w:rPr>
          <w:lang w:val="en-GB"/>
        </w:rPr>
        <w:t>,</w:t>
      </w:r>
      <w:r w:rsidR="008C084F" w:rsidRPr="00CC39A2">
        <w:rPr>
          <w:lang w:val="en-GB"/>
        </w:rPr>
        <w:t xml:space="preserve"> although it could increase engine noise</w:t>
      </w:r>
      <w:r w:rsidR="00D7458F" w:rsidRPr="00CC39A2">
        <w:rPr>
          <w:lang w:val="en-GB"/>
        </w:rPr>
        <w:t>.</w:t>
      </w:r>
      <w:r w:rsidR="008C084F" w:rsidRPr="00CC39A2">
        <w:rPr>
          <w:lang w:val="en-GB"/>
        </w:rPr>
        <w:t xml:space="preserve"> </w:t>
      </w:r>
    </w:p>
    <w:p w14:paraId="2D359EC1" w14:textId="77777777" w:rsidR="007763E8" w:rsidRPr="00CC39A2" w:rsidRDefault="007763E8" w:rsidP="007763E8">
      <w:pPr>
        <w:tabs>
          <w:tab w:val="left" w:pos="397"/>
        </w:tabs>
        <w:autoSpaceDE w:val="0"/>
        <w:autoSpaceDN w:val="0"/>
        <w:adjustRightInd w:val="0"/>
        <w:spacing w:before="240" w:after="240" w:line="480" w:lineRule="auto"/>
        <w:jc w:val="both"/>
        <w:rPr>
          <w:lang w:val="en-GB"/>
        </w:rPr>
      </w:pPr>
    </w:p>
    <w:p w14:paraId="7D182F8C" w14:textId="77777777" w:rsidR="007763E8" w:rsidRPr="00CC39A2" w:rsidRDefault="007763E8" w:rsidP="007763E8">
      <w:pPr>
        <w:tabs>
          <w:tab w:val="left" w:pos="397"/>
        </w:tabs>
        <w:autoSpaceDE w:val="0"/>
        <w:autoSpaceDN w:val="0"/>
        <w:adjustRightInd w:val="0"/>
        <w:spacing w:before="240" w:after="240" w:line="480" w:lineRule="auto"/>
        <w:rPr>
          <w:b/>
          <w:lang w:val="en-GB"/>
        </w:rPr>
      </w:pPr>
      <w:r w:rsidRPr="00CC39A2">
        <w:rPr>
          <w:b/>
          <w:lang w:val="en-GB"/>
        </w:rPr>
        <w:t>Keywords</w:t>
      </w:r>
    </w:p>
    <w:p w14:paraId="23E4FB1B" w14:textId="77777777" w:rsidR="007763E8" w:rsidRPr="00CC39A2" w:rsidRDefault="007763E8" w:rsidP="007763E8">
      <w:pPr>
        <w:tabs>
          <w:tab w:val="left" w:pos="397"/>
        </w:tabs>
        <w:autoSpaceDE w:val="0"/>
        <w:autoSpaceDN w:val="0"/>
        <w:adjustRightInd w:val="0"/>
        <w:spacing w:before="240" w:after="240" w:line="480" w:lineRule="auto"/>
        <w:rPr>
          <w:lang w:val="en-GB"/>
        </w:rPr>
      </w:pPr>
      <w:r w:rsidRPr="00CC39A2">
        <w:rPr>
          <w:lang w:val="en-GB"/>
        </w:rPr>
        <w:t xml:space="preserve">Single cylinder optical engine; </w:t>
      </w:r>
      <w:r w:rsidR="00F95FB2" w:rsidRPr="00CC39A2">
        <w:rPr>
          <w:lang w:val="en-GB"/>
        </w:rPr>
        <w:t>Partially Premixed Combustion (PPC)</w:t>
      </w:r>
      <w:r w:rsidR="00061DF2" w:rsidRPr="00CC39A2">
        <w:rPr>
          <w:lang w:val="en-GB"/>
        </w:rPr>
        <w:t>; soot</w:t>
      </w:r>
      <w:r w:rsidRPr="00CC39A2">
        <w:rPr>
          <w:lang w:val="en-GB"/>
        </w:rPr>
        <w:t xml:space="preserve">; chemiluminescence; post injections; </w:t>
      </w:r>
      <w:r w:rsidR="00061DF2" w:rsidRPr="00CC39A2">
        <w:rPr>
          <w:lang w:val="en-GB"/>
        </w:rPr>
        <w:t>Laser Induced Incandescence</w:t>
      </w:r>
    </w:p>
    <w:p w14:paraId="22820E5B" w14:textId="77777777" w:rsidR="007763E8" w:rsidRPr="00CC39A2" w:rsidRDefault="007763E8" w:rsidP="007763E8">
      <w:pPr>
        <w:rPr>
          <w:b/>
          <w:sz w:val="22"/>
          <w:szCs w:val="22"/>
          <w:lang w:val="en-GB"/>
        </w:rPr>
      </w:pPr>
      <w:r w:rsidRPr="00CC39A2">
        <w:rPr>
          <w:b/>
          <w:sz w:val="22"/>
          <w:szCs w:val="22"/>
          <w:lang w:val="en-GB"/>
        </w:rPr>
        <w:br w:type="page"/>
      </w:r>
    </w:p>
    <w:p w14:paraId="726D80D6" w14:textId="77777777" w:rsidR="007763E8" w:rsidRPr="00CC39A2" w:rsidRDefault="007763E8" w:rsidP="007763E8">
      <w:pPr>
        <w:tabs>
          <w:tab w:val="left" w:pos="397"/>
        </w:tabs>
        <w:autoSpaceDE w:val="0"/>
        <w:autoSpaceDN w:val="0"/>
        <w:adjustRightInd w:val="0"/>
        <w:spacing w:before="240" w:after="240" w:line="480" w:lineRule="auto"/>
        <w:rPr>
          <w:b/>
          <w:lang w:val="en-GB"/>
        </w:rPr>
      </w:pPr>
      <w:r w:rsidRPr="00CC39A2">
        <w:rPr>
          <w:b/>
          <w:lang w:val="en-GB"/>
        </w:rPr>
        <w:lastRenderedPageBreak/>
        <w:t>1. Introduction</w:t>
      </w:r>
    </w:p>
    <w:p w14:paraId="6DF49264" w14:textId="77777777" w:rsidR="00C32B9D" w:rsidRPr="00CC39A2" w:rsidRDefault="00C32B9D" w:rsidP="00C32B9D">
      <w:pPr>
        <w:tabs>
          <w:tab w:val="left" w:pos="397"/>
        </w:tabs>
        <w:autoSpaceDE w:val="0"/>
        <w:autoSpaceDN w:val="0"/>
        <w:adjustRightInd w:val="0"/>
        <w:spacing w:before="240" w:after="240" w:line="480" w:lineRule="auto"/>
        <w:jc w:val="both"/>
        <w:rPr>
          <w:lang w:val="en-GB"/>
        </w:rPr>
      </w:pPr>
      <w:r w:rsidRPr="00CC39A2">
        <w:rPr>
          <w:lang w:val="en-GB"/>
        </w:rPr>
        <w:t>Engine technology is evolving in response to increasingly stringent emissions limits imposed by regulations across the world (</w:t>
      </w:r>
      <w:r w:rsidRPr="00CC39A2">
        <w:rPr>
          <w:i/>
          <w:lang w:val="en-GB"/>
        </w:rPr>
        <w:t>e.g.</w:t>
      </w:r>
      <w:r w:rsidRPr="00CC39A2">
        <w:rPr>
          <w:lang w:val="en-GB"/>
        </w:rPr>
        <w:t xml:space="preserve"> Johnson, 2015). Compression ignition diesel engine </w:t>
      </w:r>
      <w:r w:rsidR="004A32DA" w:rsidRPr="00CC39A2">
        <w:rPr>
          <w:lang w:val="en-GB"/>
        </w:rPr>
        <w:t xml:space="preserve">research </w:t>
      </w:r>
      <w:r w:rsidRPr="00CC39A2">
        <w:rPr>
          <w:lang w:val="en-GB"/>
        </w:rPr>
        <w:t xml:space="preserve">focuses on the development of novel operating </w:t>
      </w:r>
      <w:r w:rsidR="004A32DA" w:rsidRPr="00CC39A2">
        <w:rPr>
          <w:lang w:val="en-GB"/>
        </w:rPr>
        <w:t>modes</w:t>
      </w:r>
      <w:r w:rsidRPr="00CC39A2">
        <w:rPr>
          <w:lang w:val="en-GB"/>
        </w:rPr>
        <w:t xml:space="preserve">, such as </w:t>
      </w:r>
      <w:r w:rsidR="008C07E8" w:rsidRPr="00CC39A2">
        <w:rPr>
          <w:lang w:val="en-GB"/>
        </w:rPr>
        <w:t xml:space="preserve">Low Temperature Combustion </w:t>
      </w:r>
      <w:r w:rsidRPr="00CC39A2">
        <w:rPr>
          <w:lang w:val="en-GB"/>
        </w:rPr>
        <w:t>(LTC), that have been found to reduce NO</w:t>
      </w:r>
      <w:r w:rsidRPr="00CC39A2">
        <w:rPr>
          <w:vertAlign w:val="subscript"/>
          <w:lang w:val="en-GB"/>
        </w:rPr>
        <w:t>x</w:t>
      </w:r>
      <w:r w:rsidRPr="00CC39A2">
        <w:rPr>
          <w:lang w:val="en-GB"/>
        </w:rPr>
        <w:t xml:space="preserve"> and to inhibit particulate emissions (</w:t>
      </w:r>
      <w:r w:rsidRPr="00CC39A2">
        <w:rPr>
          <w:i/>
          <w:lang w:val="en-GB"/>
        </w:rPr>
        <w:t>e.g.</w:t>
      </w:r>
      <w:r w:rsidRPr="00CC39A2">
        <w:rPr>
          <w:lang w:val="en-GB"/>
        </w:rPr>
        <w:t xml:space="preserve"> Dec, 2009; Reitz and Duraisamy, 2015). The basic principle of the LTC modes lies in the reduced in-cylinder temperatures, mainly due to extensive </w:t>
      </w:r>
      <w:r w:rsidR="006E7732" w:rsidRPr="00CC39A2">
        <w:rPr>
          <w:lang w:val="en-GB"/>
        </w:rPr>
        <w:t xml:space="preserve">use of </w:t>
      </w:r>
      <w:r w:rsidRPr="00CC39A2">
        <w:rPr>
          <w:lang w:val="en-GB"/>
        </w:rPr>
        <w:t>exhaust gas recirculation (EGR), and</w:t>
      </w:r>
      <w:r w:rsidR="00877EB8" w:rsidRPr="00CC39A2">
        <w:rPr>
          <w:lang w:val="en-GB"/>
        </w:rPr>
        <w:t xml:space="preserve"> </w:t>
      </w:r>
      <w:r w:rsidRPr="00CC39A2">
        <w:rPr>
          <w:lang w:val="en-GB"/>
        </w:rPr>
        <w:t xml:space="preserve">in enhanced premixing, mainly due to the introduction of advanced injection schemes accounting for </w:t>
      </w:r>
      <w:r w:rsidR="00847F28" w:rsidRPr="00CC39A2">
        <w:rPr>
          <w:lang w:val="en-GB"/>
        </w:rPr>
        <w:t xml:space="preserve">the end of </w:t>
      </w:r>
      <w:r w:rsidRPr="00CC39A2">
        <w:rPr>
          <w:lang w:val="en-GB"/>
        </w:rPr>
        <w:t xml:space="preserve">fuel injection </w:t>
      </w:r>
      <w:r w:rsidR="00847F28" w:rsidRPr="00CC39A2">
        <w:rPr>
          <w:lang w:val="en-GB"/>
        </w:rPr>
        <w:t xml:space="preserve">to occur </w:t>
      </w:r>
      <w:r w:rsidRPr="00CC39A2">
        <w:rPr>
          <w:lang w:val="en-GB"/>
        </w:rPr>
        <w:t xml:space="preserve">before the start of combustion. The application of appropriate injection strategies </w:t>
      </w:r>
      <w:r w:rsidR="001D7235" w:rsidRPr="00CC39A2">
        <w:rPr>
          <w:lang w:val="en-GB"/>
        </w:rPr>
        <w:t>assist</w:t>
      </w:r>
      <w:r w:rsidR="00AE3E56" w:rsidRPr="00CC39A2">
        <w:rPr>
          <w:lang w:val="en-GB"/>
        </w:rPr>
        <w:t>s</w:t>
      </w:r>
      <w:r w:rsidR="001D7235" w:rsidRPr="00CC39A2">
        <w:rPr>
          <w:lang w:val="en-GB"/>
        </w:rPr>
        <w:t xml:space="preserve"> </w:t>
      </w:r>
      <w:r w:rsidRPr="00CC39A2">
        <w:rPr>
          <w:lang w:val="en-GB"/>
        </w:rPr>
        <w:t>fuel stratification and potentially lead</w:t>
      </w:r>
      <w:r w:rsidR="00AE3E56" w:rsidRPr="00CC39A2">
        <w:rPr>
          <w:lang w:val="en-GB"/>
        </w:rPr>
        <w:t>s</w:t>
      </w:r>
      <w:r w:rsidRPr="00CC39A2">
        <w:rPr>
          <w:lang w:val="en-GB"/>
        </w:rPr>
        <w:t xml:space="preserve"> to </w:t>
      </w:r>
      <w:r w:rsidR="001D306A" w:rsidRPr="00CC39A2">
        <w:rPr>
          <w:lang w:val="en-GB"/>
        </w:rPr>
        <w:t>P</w:t>
      </w:r>
      <w:r w:rsidRPr="00CC39A2">
        <w:rPr>
          <w:lang w:val="en-GB"/>
        </w:rPr>
        <w:t xml:space="preserve">artially </w:t>
      </w:r>
      <w:r w:rsidR="001D306A" w:rsidRPr="00CC39A2">
        <w:rPr>
          <w:lang w:val="en-GB"/>
        </w:rPr>
        <w:t>Premixed Combustion (PPC)</w:t>
      </w:r>
      <w:r w:rsidRPr="00CC39A2">
        <w:rPr>
          <w:lang w:val="en-GB"/>
        </w:rPr>
        <w:t xml:space="preserve">, </w:t>
      </w:r>
      <w:r w:rsidR="00847F28" w:rsidRPr="00CC39A2">
        <w:rPr>
          <w:lang w:val="en-GB"/>
        </w:rPr>
        <w:t xml:space="preserve">which avoids, to a greater or lesser extent, </w:t>
      </w:r>
      <w:r w:rsidRPr="00CC39A2">
        <w:rPr>
          <w:lang w:val="en-GB"/>
        </w:rPr>
        <w:t>conditions pertinent to the soot and NO</w:t>
      </w:r>
      <w:r w:rsidRPr="00CC39A2">
        <w:rPr>
          <w:vertAlign w:val="subscript"/>
          <w:lang w:val="en-GB"/>
        </w:rPr>
        <w:t>x</w:t>
      </w:r>
      <w:r w:rsidRPr="00CC39A2">
        <w:rPr>
          <w:lang w:val="en-GB"/>
        </w:rPr>
        <w:t xml:space="preserve"> formation regimes</w:t>
      </w:r>
      <w:r w:rsidR="00A46149" w:rsidRPr="00CC39A2">
        <w:rPr>
          <w:lang w:val="en-GB"/>
        </w:rPr>
        <w:t xml:space="preserve"> identified</w:t>
      </w:r>
      <w:r w:rsidRPr="00CC39A2">
        <w:rPr>
          <w:lang w:val="en-GB"/>
        </w:rPr>
        <w:t xml:space="preserve"> </w:t>
      </w:r>
      <w:r w:rsidR="00A46149" w:rsidRPr="00CC39A2">
        <w:rPr>
          <w:lang w:val="en-GB"/>
        </w:rPr>
        <w:t xml:space="preserve">in </w:t>
      </w:r>
      <w:r w:rsidR="00BB6245" w:rsidRPr="00CC39A2">
        <w:rPr>
          <w:lang w:val="en-GB"/>
        </w:rPr>
        <w:t xml:space="preserve">the </w:t>
      </w:r>
      <w:r w:rsidR="00AE3E56" w:rsidRPr="00CC39A2">
        <w:rPr>
          <w:lang w:val="en-GB"/>
        </w:rPr>
        <w:t>equivalence ratio-Temperature</w:t>
      </w:r>
      <w:r w:rsidRPr="00CC39A2">
        <w:rPr>
          <w:lang w:val="en-GB"/>
        </w:rPr>
        <w:t xml:space="preserve"> </w:t>
      </w:r>
      <w:r w:rsidR="00AE3E56" w:rsidRPr="00CC39A2">
        <w:rPr>
          <w:lang w:val="en-GB"/>
        </w:rPr>
        <w:t>(</w:t>
      </w:r>
      <w:r w:rsidRPr="00CC39A2">
        <w:rPr>
          <w:i/>
          <w:lang w:val="en-GB"/>
        </w:rPr>
        <w:t>Φ</w:t>
      </w:r>
      <w:r w:rsidRPr="00CC39A2">
        <w:rPr>
          <w:lang w:val="en-GB"/>
        </w:rPr>
        <w:t>-T</w:t>
      </w:r>
      <w:r w:rsidR="00AE3E56" w:rsidRPr="00CC39A2">
        <w:rPr>
          <w:lang w:val="en-GB"/>
        </w:rPr>
        <w:t>)</w:t>
      </w:r>
      <w:r w:rsidRPr="00CC39A2">
        <w:rPr>
          <w:lang w:val="en-GB"/>
        </w:rPr>
        <w:t xml:space="preserve"> space</w:t>
      </w:r>
      <w:r w:rsidR="00BB6245" w:rsidRPr="00CC39A2">
        <w:rPr>
          <w:lang w:val="en-GB"/>
        </w:rPr>
        <w:t xml:space="preserve">; the increased premixing is more likely to </w:t>
      </w:r>
      <w:r w:rsidR="00F4237E" w:rsidRPr="00CC39A2">
        <w:rPr>
          <w:lang w:val="en-GB"/>
        </w:rPr>
        <w:t>result in local charge stoichiometries leaner than the critical soot formation values (</w:t>
      </w:r>
      <w:r w:rsidR="00F4237E" w:rsidRPr="00CC39A2">
        <w:rPr>
          <w:rFonts w:ascii="Symbol" w:hAnsi="Symbol"/>
          <w:lang w:val="en-GB"/>
        </w:rPr>
        <w:t></w:t>
      </w:r>
      <w:r w:rsidR="00F4237E" w:rsidRPr="00CC39A2">
        <w:rPr>
          <w:rFonts w:ascii="Symbol" w:hAnsi="Symbol"/>
          <w:lang w:val="en-GB"/>
        </w:rPr>
        <w:t></w:t>
      </w:r>
      <w:r w:rsidR="00F4237E" w:rsidRPr="00CC39A2">
        <w:rPr>
          <w:lang w:val="en-GB"/>
        </w:rPr>
        <w:t xml:space="preserve">= 2.0; Koci </w:t>
      </w:r>
      <w:r w:rsidR="00F4237E" w:rsidRPr="00CC39A2">
        <w:rPr>
          <w:i/>
          <w:lang w:val="en-GB"/>
        </w:rPr>
        <w:t>et al.</w:t>
      </w:r>
      <w:r w:rsidR="00F4237E" w:rsidRPr="00CC39A2">
        <w:rPr>
          <w:lang w:val="en-GB"/>
        </w:rPr>
        <w:t>, 2009)</w:t>
      </w:r>
      <w:r w:rsidR="00FD76FA" w:rsidRPr="00CC39A2">
        <w:rPr>
          <w:lang w:val="en-GB"/>
        </w:rPr>
        <w:t>.</w:t>
      </w:r>
    </w:p>
    <w:p w14:paraId="5AA101E2" w14:textId="022F8CA2" w:rsidR="00C32B9D" w:rsidRPr="00CC39A2" w:rsidRDefault="00C32B9D" w:rsidP="00C32B9D">
      <w:pPr>
        <w:tabs>
          <w:tab w:val="left" w:pos="397"/>
        </w:tabs>
        <w:autoSpaceDE w:val="0"/>
        <w:autoSpaceDN w:val="0"/>
        <w:adjustRightInd w:val="0"/>
        <w:spacing w:before="240" w:after="240" w:line="480" w:lineRule="auto"/>
        <w:jc w:val="both"/>
        <w:rPr>
          <w:lang w:val="en-GB"/>
        </w:rPr>
      </w:pPr>
      <w:r w:rsidRPr="00CC39A2">
        <w:rPr>
          <w:lang w:val="en-GB"/>
        </w:rPr>
        <w:t xml:space="preserve">Emission legislation </w:t>
      </w:r>
      <w:r w:rsidR="00EC29AB" w:rsidRPr="00CC39A2">
        <w:rPr>
          <w:lang w:val="en-GB"/>
        </w:rPr>
        <w:t>prescribes</w:t>
      </w:r>
      <w:r w:rsidRPr="00CC39A2">
        <w:rPr>
          <w:lang w:val="en-GB"/>
        </w:rPr>
        <w:t xml:space="preserve"> </w:t>
      </w:r>
      <w:r w:rsidR="001D7235" w:rsidRPr="00CC39A2">
        <w:rPr>
          <w:lang w:val="en-GB"/>
        </w:rPr>
        <w:t xml:space="preserve">limits to both </w:t>
      </w:r>
      <w:r w:rsidR="00AE3E56" w:rsidRPr="00CC39A2">
        <w:rPr>
          <w:lang w:val="en-GB"/>
        </w:rPr>
        <w:t xml:space="preserve">emitted </w:t>
      </w:r>
      <w:r w:rsidR="001D7235" w:rsidRPr="00CC39A2">
        <w:rPr>
          <w:lang w:val="en-GB"/>
        </w:rPr>
        <w:t xml:space="preserve">particulate mass and particle </w:t>
      </w:r>
      <w:r w:rsidR="00BB6245" w:rsidRPr="00CC39A2">
        <w:rPr>
          <w:lang w:val="en-GB"/>
        </w:rPr>
        <w:t>number</w:t>
      </w:r>
      <w:r w:rsidRPr="00CC39A2">
        <w:rPr>
          <w:lang w:val="en-GB"/>
        </w:rPr>
        <w:t>. Understanding</w:t>
      </w:r>
      <w:r w:rsidR="00EC29AB" w:rsidRPr="00CC39A2">
        <w:rPr>
          <w:lang w:val="en-GB"/>
        </w:rPr>
        <w:t xml:space="preserve"> the</w:t>
      </w:r>
      <w:r w:rsidRPr="00CC39A2">
        <w:rPr>
          <w:lang w:val="en-GB"/>
        </w:rPr>
        <w:t xml:space="preserve"> in-cylinder soot </w:t>
      </w:r>
      <w:r w:rsidR="00BB6245" w:rsidRPr="00CC39A2">
        <w:rPr>
          <w:lang w:val="en-GB"/>
        </w:rPr>
        <w:t xml:space="preserve">oxidation </w:t>
      </w:r>
      <w:r w:rsidRPr="00CC39A2">
        <w:rPr>
          <w:lang w:val="en-GB"/>
        </w:rPr>
        <w:t xml:space="preserve">processes </w:t>
      </w:r>
      <w:r w:rsidR="00EC29AB" w:rsidRPr="00CC39A2">
        <w:rPr>
          <w:lang w:val="en-GB"/>
        </w:rPr>
        <w:t>may help</w:t>
      </w:r>
      <w:r w:rsidRPr="00CC39A2">
        <w:rPr>
          <w:lang w:val="en-GB"/>
        </w:rPr>
        <w:t xml:space="preserve"> to </w:t>
      </w:r>
      <w:r w:rsidR="00EC29AB" w:rsidRPr="00CC39A2">
        <w:rPr>
          <w:lang w:val="en-GB"/>
        </w:rPr>
        <w:t xml:space="preserve">lead to strategies which </w:t>
      </w:r>
      <w:r w:rsidRPr="00CC39A2">
        <w:rPr>
          <w:lang w:val="en-GB"/>
        </w:rPr>
        <w:t xml:space="preserve">reduce engine-out particulate emissions, </w:t>
      </w:r>
      <w:r w:rsidR="00EC29AB" w:rsidRPr="00CC39A2">
        <w:rPr>
          <w:lang w:val="en-GB"/>
        </w:rPr>
        <w:t xml:space="preserve">which would have </w:t>
      </w:r>
      <w:r w:rsidRPr="00CC39A2">
        <w:rPr>
          <w:lang w:val="en-GB"/>
        </w:rPr>
        <w:t xml:space="preserve">significantly beneficial effects not only on fuel economy, air quality and human health, but also with </w:t>
      </w:r>
      <w:r w:rsidRPr="00CC39A2">
        <w:rPr>
          <w:lang w:val="en-GB"/>
        </w:rPr>
        <w:lastRenderedPageBreak/>
        <w:t>respect to minimization of the need for after treatment in production vehicles (</w:t>
      </w:r>
      <w:r w:rsidRPr="00CC39A2">
        <w:rPr>
          <w:i/>
          <w:lang w:val="en-GB"/>
        </w:rPr>
        <w:t>e.g.</w:t>
      </w:r>
      <w:r w:rsidRPr="00CC39A2">
        <w:rPr>
          <w:lang w:val="en-GB"/>
        </w:rPr>
        <w:t xml:space="preserve"> Guan </w:t>
      </w:r>
      <w:r w:rsidRPr="00CC39A2">
        <w:rPr>
          <w:i/>
          <w:lang w:val="en-GB"/>
        </w:rPr>
        <w:t>et al.</w:t>
      </w:r>
      <w:r w:rsidRPr="00CC39A2">
        <w:rPr>
          <w:lang w:val="en-GB"/>
        </w:rPr>
        <w:t xml:space="preserve">, 2015). </w:t>
      </w:r>
      <w:r w:rsidR="001D7235" w:rsidRPr="00CC39A2">
        <w:rPr>
          <w:lang w:val="en-GB"/>
        </w:rPr>
        <w:t>Soot production in</w:t>
      </w:r>
      <w:r w:rsidRPr="00CC39A2">
        <w:rPr>
          <w:lang w:val="en-GB"/>
        </w:rPr>
        <w:t xml:space="preserve"> a diesel engine can be correlated to the ratio of the </w:t>
      </w:r>
      <w:r w:rsidR="00AE3E56" w:rsidRPr="00CC39A2">
        <w:rPr>
          <w:lang w:val="en-GB"/>
        </w:rPr>
        <w:t xml:space="preserve">durations of </w:t>
      </w:r>
      <w:r w:rsidRPr="00CC39A2">
        <w:rPr>
          <w:lang w:val="en-GB"/>
        </w:rPr>
        <w:t xml:space="preserve">premixed-burn </w:t>
      </w:r>
      <w:r w:rsidR="001D7235" w:rsidRPr="00CC39A2">
        <w:rPr>
          <w:lang w:val="en-GB"/>
        </w:rPr>
        <w:t>to</w:t>
      </w:r>
      <w:r w:rsidRPr="00CC39A2">
        <w:rPr>
          <w:lang w:val="en-GB"/>
        </w:rPr>
        <w:t xml:space="preserve"> diffusion-burn (or mixing controlled) </w:t>
      </w:r>
      <w:r w:rsidR="001D7235" w:rsidRPr="00CC39A2">
        <w:rPr>
          <w:lang w:val="en-GB"/>
        </w:rPr>
        <w:t>phases</w:t>
      </w:r>
      <w:r w:rsidRPr="00CC39A2">
        <w:rPr>
          <w:lang w:val="en-GB"/>
        </w:rPr>
        <w:t xml:space="preserve">, with </w:t>
      </w:r>
      <w:r w:rsidR="000A3F1B" w:rsidRPr="00CC39A2">
        <w:rPr>
          <w:lang w:val="en-GB"/>
        </w:rPr>
        <w:t>the diffusion regime being responsible for a greater portion of the soot produced. H</w:t>
      </w:r>
      <w:r w:rsidR="00674467" w:rsidRPr="00CC39A2">
        <w:rPr>
          <w:lang w:val="en-GB"/>
        </w:rPr>
        <w:t>igher temperature</w:t>
      </w:r>
      <w:r w:rsidR="001D7235" w:rsidRPr="00CC39A2">
        <w:rPr>
          <w:lang w:val="en-GB"/>
        </w:rPr>
        <w:t>s</w:t>
      </w:r>
      <w:r w:rsidR="00674467" w:rsidRPr="00CC39A2">
        <w:rPr>
          <w:lang w:val="en-GB"/>
        </w:rPr>
        <w:t xml:space="preserve"> and higher local equivalence ratio (</w:t>
      </w:r>
      <w:r w:rsidR="00635108" w:rsidRPr="00CC39A2">
        <w:rPr>
          <w:i/>
          <w:lang w:val="en-GB"/>
        </w:rPr>
        <w:t>Φ</w:t>
      </w:r>
      <w:r w:rsidR="00674467" w:rsidRPr="00CC39A2">
        <w:rPr>
          <w:lang w:val="en-GB"/>
        </w:rPr>
        <w:t>) inside the cylinder</w:t>
      </w:r>
      <w:r w:rsidR="00877EB8" w:rsidRPr="00CC39A2">
        <w:rPr>
          <w:lang w:val="en-GB"/>
        </w:rPr>
        <w:t xml:space="preserve"> </w:t>
      </w:r>
      <w:r w:rsidR="000A3F1B" w:rsidRPr="00CC39A2">
        <w:rPr>
          <w:lang w:val="en-GB"/>
        </w:rPr>
        <w:t>should be avoided, otherwise</w:t>
      </w:r>
      <w:r w:rsidR="00674467" w:rsidRPr="00CC39A2">
        <w:rPr>
          <w:lang w:val="en-GB"/>
        </w:rPr>
        <w:t xml:space="preserve"> some of the injected </w:t>
      </w:r>
      <w:r w:rsidR="001D7235" w:rsidRPr="00CC39A2">
        <w:rPr>
          <w:lang w:val="en-GB"/>
        </w:rPr>
        <w:t xml:space="preserve">fuel </w:t>
      </w:r>
      <w:r w:rsidR="000A3F1B" w:rsidRPr="00CC39A2">
        <w:rPr>
          <w:lang w:val="en-GB"/>
        </w:rPr>
        <w:t xml:space="preserve">will locally </w:t>
      </w:r>
      <w:r w:rsidR="001D7235" w:rsidRPr="00CC39A2">
        <w:rPr>
          <w:lang w:val="en-GB"/>
        </w:rPr>
        <w:t>form</w:t>
      </w:r>
      <w:r w:rsidR="00674467" w:rsidRPr="00CC39A2">
        <w:rPr>
          <w:lang w:val="en-GB"/>
        </w:rPr>
        <w:t xml:space="preserve"> fuel rich “pockets” among the charge</w:t>
      </w:r>
      <w:r w:rsidR="000A3F1B" w:rsidRPr="00CC39A2">
        <w:rPr>
          <w:lang w:val="en-GB"/>
        </w:rPr>
        <w:t>, prone to soot formation</w:t>
      </w:r>
      <w:r w:rsidR="00674467" w:rsidRPr="00CC39A2">
        <w:rPr>
          <w:lang w:val="en-GB"/>
        </w:rPr>
        <w:t xml:space="preserve"> (</w:t>
      </w:r>
      <w:r w:rsidR="00674467" w:rsidRPr="00CC39A2">
        <w:rPr>
          <w:i/>
          <w:lang w:val="en-GB"/>
        </w:rPr>
        <w:t>e.g.</w:t>
      </w:r>
      <w:r w:rsidR="00674467" w:rsidRPr="00CC39A2">
        <w:rPr>
          <w:lang w:val="en-GB"/>
        </w:rPr>
        <w:t xml:space="preserve"> Koci </w:t>
      </w:r>
      <w:r w:rsidR="00674467" w:rsidRPr="00CC39A2">
        <w:rPr>
          <w:i/>
          <w:lang w:val="en-GB"/>
        </w:rPr>
        <w:t>et al.</w:t>
      </w:r>
      <w:r w:rsidR="00674467" w:rsidRPr="00CC39A2">
        <w:rPr>
          <w:lang w:val="en-GB"/>
        </w:rPr>
        <w:t xml:space="preserve"> 2009). </w:t>
      </w:r>
      <w:r w:rsidRPr="00CC39A2">
        <w:rPr>
          <w:lang w:val="en-GB"/>
        </w:rPr>
        <w:t xml:space="preserve">A PPC operation mode </w:t>
      </w:r>
      <w:r w:rsidR="001D306A" w:rsidRPr="00CC39A2">
        <w:rPr>
          <w:lang w:val="en-GB"/>
        </w:rPr>
        <w:t xml:space="preserve">may </w:t>
      </w:r>
      <w:r w:rsidRPr="00CC39A2">
        <w:rPr>
          <w:lang w:val="en-GB"/>
        </w:rPr>
        <w:t xml:space="preserve">in principle </w:t>
      </w:r>
      <w:r w:rsidR="00656637" w:rsidRPr="00CC39A2">
        <w:rPr>
          <w:lang w:val="en-GB"/>
        </w:rPr>
        <w:t xml:space="preserve">exhibit suitable fuel/air mixing, </w:t>
      </w:r>
      <w:r w:rsidR="00635108" w:rsidRPr="00CC39A2">
        <w:rPr>
          <w:lang w:val="en-GB"/>
        </w:rPr>
        <w:t>limit</w:t>
      </w:r>
      <w:r w:rsidR="00656637" w:rsidRPr="00CC39A2">
        <w:rPr>
          <w:lang w:val="en-GB"/>
        </w:rPr>
        <w:t xml:space="preserve">ing the formation of conditions suspectable to soot formation and thus has the potential </w:t>
      </w:r>
      <w:r w:rsidRPr="00CC39A2">
        <w:rPr>
          <w:lang w:val="en-GB"/>
        </w:rPr>
        <w:t>to lead to reduced soot emissions (</w:t>
      </w:r>
      <w:r w:rsidRPr="00CC39A2">
        <w:rPr>
          <w:i/>
          <w:lang w:val="en-GB"/>
        </w:rPr>
        <w:t>e.g.</w:t>
      </w:r>
      <w:r w:rsidRPr="00CC39A2">
        <w:rPr>
          <w:lang w:val="en-GB"/>
        </w:rPr>
        <w:t xml:space="preserve"> Musculus </w:t>
      </w:r>
      <w:r w:rsidRPr="00CC39A2">
        <w:rPr>
          <w:i/>
          <w:lang w:val="en-GB"/>
        </w:rPr>
        <w:t>et al.</w:t>
      </w:r>
      <w:r w:rsidRPr="00CC39A2">
        <w:rPr>
          <w:lang w:val="en-GB"/>
        </w:rPr>
        <w:t xml:space="preserve">, 2013). </w:t>
      </w:r>
    </w:p>
    <w:p w14:paraId="6DD2292B" w14:textId="77777777" w:rsidR="00C32B9D" w:rsidRPr="00CC39A2" w:rsidRDefault="00C32B9D" w:rsidP="00C32B9D">
      <w:pPr>
        <w:tabs>
          <w:tab w:val="left" w:pos="397"/>
        </w:tabs>
        <w:autoSpaceDE w:val="0"/>
        <w:autoSpaceDN w:val="0"/>
        <w:adjustRightInd w:val="0"/>
        <w:spacing w:before="240" w:after="240" w:line="480" w:lineRule="auto"/>
        <w:jc w:val="both"/>
        <w:rPr>
          <w:lang w:val="en-GB"/>
        </w:rPr>
      </w:pPr>
      <w:r w:rsidRPr="00CC39A2">
        <w:rPr>
          <w:lang w:val="en-GB"/>
        </w:rPr>
        <w:t xml:space="preserve">The implementation of higher injection pressures in order </w:t>
      </w:r>
      <w:r w:rsidR="00241617" w:rsidRPr="00CC39A2">
        <w:rPr>
          <w:lang w:val="en-GB"/>
        </w:rPr>
        <w:t xml:space="preserve">partly </w:t>
      </w:r>
      <w:r w:rsidRPr="00CC39A2">
        <w:rPr>
          <w:lang w:val="en-GB"/>
        </w:rPr>
        <w:t>to accelerate the atomization process</w:t>
      </w:r>
      <w:r w:rsidR="00241617" w:rsidRPr="00CC39A2">
        <w:rPr>
          <w:lang w:val="en-GB"/>
        </w:rPr>
        <w:t>, partly to increase turbulent mixing</w:t>
      </w:r>
      <w:r w:rsidRPr="00CC39A2">
        <w:rPr>
          <w:lang w:val="en-GB"/>
        </w:rPr>
        <w:t xml:space="preserve"> and</w:t>
      </w:r>
      <w:r w:rsidR="000E4169" w:rsidRPr="00CC39A2">
        <w:rPr>
          <w:lang w:val="en-GB"/>
        </w:rPr>
        <w:t xml:space="preserve"> </w:t>
      </w:r>
      <w:r w:rsidR="00241617" w:rsidRPr="00CC39A2">
        <w:rPr>
          <w:lang w:val="en-GB"/>
        </w:rPr>
        <w:t xml:space="preserve">partly to </w:t>
      </w:r>
      <w:r w:rsidR="000E4169" w:rsidRPr="00CC39A2">
        <w:rPr>
          <w:lang w:val="en-GB"/>
        </w:rPr>
        <w:t xml:space="preserve">increase the strain rates in the gaseous phase, </w:t>
      </w:r>
      <w:r w:rsidR="00956578" w:rsidRPr="00CC39A2">
        <w:rPr>
          <w:lang w:val="en-GB"/>
        </w:rPr>
        <w:t xml:space="preserve">together with a multiple injection strategies which also modify the mixing process, is a common means for achieving a PPC operation mode (Hong, 2015). Higher injection pressures, </w:t>
      </w:r>
      <w:r w:rsidR="000E4169" w:rsidRPr="00CC39A2">
        <w:rPr>
          <w:lang w:val="en-GB"/>
        </w:rPr>
        <w:t>together with copious EGR</w:t>
      </w:r>
      <w:r w:rsidR="00956578" w:rsidRPr="00CC39A2">
        <w:rPr>
          <w:lang w:val="en-GB"/>
        </w:rPr>
        <w:t>,</w:t>
      </w:r>
      <w:r w:rsidR="000E4169" w:rsidRPr="00CC39A2">
        <w:rPr>
          <w:lang w:val="en-GB"/>
        </w:rPr>
        <w:t xml:space="preserve"> act against the establishment of a flame and therefore </w:t>
      </w:r>
      <w:r w:rsidRPr="00CC39A2">
        <w:rPr>
          <w:lang w:val="en-GB"/>
        </w:rPr>
        <w:t>enhance</w:t>
      </w:r>
      <w:r w:rsidR="000E4169" w:rsidRPr="00CC39A2">
        <w:rPr>
          <w:lang w:val="en-GB"/>
        </w:rPr>
        <w:t xml:space="preserve"> flame lift-off and </w:t>
      </w:r>
      <w:r w:rsidR="00441DBE" w:rsidRPr="00CC39A2">
        <w:rPr>
          <w:lang w:val="en-GB"/>
        </w:rPr>
        <w:t xml:space="preserve">hence </w:t>
      </w:r>
      <w:r w:rsidR="000E4169" w:rsidRPr="00CC39A2">
        <w:rPr>
          <w:lang w:val="en-GB"/>
        </w:rPr>
        <w:t xml:space="preserve">enhances </w:t>
      </w:r>
      <w:r w:rsidRPr="00CC39A2">
        <w:rPr>
          <w:lang w:val="en-GB"/>
        </w:rPr>
        <w:t>premixing</w:t>
      </w:r>
      <w:r w:rsidR="00441DBE" w:rsidRPr="00CC39A2">
        <w:rPr>
          <w:lang w:val="en-GB"/>
        </w:rPr>
        <w:t xml:space="preserve">. </w:t>
      </w:r>
      <w:r w:rsidRPr="00CC39A2">
        <w:rPr>
          <w:lang w:val="en-GB"/>
        </w:rPr>
        <w:t>Depending on the injected fuel amount, the number of pre-injections, and the sequence of pilot(s) and main injections</w:t>
      </w:r>
      <w:r w:rsidR="000E4169" w:rsidRPr="00CC39A2">
        <w:rPr>
          <w:lang w:val="en-GB"/>
        </w:rPr>
        <w:t xml:space="preserve"> employed</w:t>
      </w:r>
      <w:r w:rsidRPr="00CC39A2">
        <w:rPr>
          <w:lang w:val="en-GB"/>
        </w:rPr>
        <w:t xml:space="preserve">, </w:t>
      </w:r>
      <w:r w:rsidR="000E4169" w:rsidRPr="00CC39A2">
        <w:rPr>
          <w:lang w:val="en-GB"/>
        </w:rPr>
        <w:t xml:space="preserve">the </w:t>
      </w:r>
      <w:r w:rsidR="001D306A" w:rsidRPr="00CC39A2">
        <w:rPr>
          <w:lang w:val="en-GB"/>
        </w:rPr>
        <w:t>in-cylinder processes</w:t>
      </w:r>
      <w:r w:rsidRPr="00CC39A2">
        <w:rPr>
          <w:lang w:val="en-GB"/>
        </w:rPr>
        <w:t xml:space="preserve"> diverge from conventional diesel flames, </w:t>
      </w:r>
      <w:r w:rsidR="000E4169" w:rsidRPr="00CC39A2">
        <w:rPr>
          <w:lang w:val="en-GB"/>
        </w:rPr>
        <w:t xml:space="preserve">which are </w:t>
      </w:r>
      <w:r w:rsidRPr="00CC39A2">
        <w:rPr>
          <w:lang w:val="en-GB"/>
        </w:rPr>
        <w:t xml:space="preserve">collectively characterized by high temperatures and </w:t>
      </w:r>
      <w:r w:rsidRPr="00CC39A2">
        <w:rPr>
          <w:lang w:val="en-GB"/>
        </w:rPr>
        <w:lastRenderedPageBreak/>
        <w:t xml:space="preserve">sooty behaviour, and </w:t>
      </w:r>
      <w:r w:rsidR="001D306A" w:rsidRPr="00CC39A2">
        <w:rPr>
          <w:lang w:val="en-GB"/>
        </w:rPr>
        <w:t xml:space="preserve">shift </w:t>
      </w:r>
      <w:r w:rsidRPr="00CC39A2">
        <w:rPr>
          <w:lang w:val="en-GB"/>
        </w:rPr>
        <w:t>towards</w:t>
      </w:r>
      <w:r w:rsidR="000E4169" w:rsidRPr="00CC39A2">
        <w:rPr>
          <w:lang w:val="en-GB"/>
        </w:rPr>
        <w:t xml:space="preserve"> LTC</w:t>
      </w:r>
      <w:r w:rsidRPr="00CC39A2">
        <w:rPr>
          <w:lang w:val="en-GB"/>
        </w:rPr>
        <w:t xml:space="preserve"> regimes featuring enhanced premixing and moderate heat release rates (Reitz, 2013). </w:t>
      </w:r>
    </w:p>
    <w:p w14:paraId="3282504E" w14:textId="77777777" w:rsidR="00C32B9D" w:rsidRPr="00CC39A2" w:rsidRDefault="00C32B9D" w:rsidP="00C32B9D">
      <w:pPr>
        <w:tabs>
          <w:tab w:val="left" w:pos="397"/>
        </w:tabs>
        <w:autoSpaceDE w:val="0"/>
        <w:autoSpaceDN w:val="0"/>
        <w:adjustRightInd w:val="0"/>
        <w:spacing w:before="240" w:after="240" w:line="480" w:lineRule="auto"/>
        <w:jc w:val="both"/>
        <w:rPr>
          <w:lang w:val="en-GB"/>
        </w:rPr>
      </w:pPr>
      <w:r w:rsidRPr="00CC39A2">
        <w:rPr>
          <w:lang w:val="en-GB"/>
        </w:rPr>
        <w:t xml:space="preserve">Efforts to implement the </w:t>
      </w:r>
      <w:r w:rsidR="001D306A" w:rsidRPr="00CC39A2">
        <w:rPr>
          <w:lang w:val="en-GB"/>
        </w:rPr>
        <w:t xml:space="preserve">LTC </w:t>
      </w:r>
      <w:r w:rsidRPr="00CC39A2">
        <w:rPr>
          <w:lang w:val="en-GB"/>
        </w:rPr>
        <w:t>concept</w:t>
      </w:r>
      <w:r w:rsidR="001D306A" w:rsidRPr="00CC39A2">
        <w:rPr>
          <w:lang w:val="en-GB"/>
        </w:rPr>
        <w:t xml:space="preserve"> </w:t>
      </w:r>
      <w:r w:rsidR="000E4169" w:rsidRPr="00CC39A2">
        <w:rPr>
          <w:lang w:val="en-GB"/>
        </w:rPr>
        <w:t xml:space="preserve">in </w:t>
      </w:r>
      <w:r w:rsidRPr="00CC39A2">
        <w:rPr>
          <w:lang w:val="en-GB"/>
        </w:rPr>
        <w:t>production engines have led to the technological development of new combustion strategies</w:t>
      </w:r>
      <w:r w:rsidR="00635108" w:rsidRPr="00CC39A2">
        <w:rPr>
          <w:lang w:val="en-GB"/>
        </w:rPr>
        <w:t>,</w:t>
      </w:r>
      <w:r w:rsidRPr="00CC39A2">
        <w:rPr>
          <w:lang w:val="en-GB"/>
        </w:rPr>
        <w:t xml:space="preserve"> such as the </w:t>
      </w:r>
      <w:r w:rsidR="001D306A" w:rsidRPr="00CC39A2">
        <w:rPr>
          <w:lang w:val="en-GB"/>
        </w:rPr>
        <w:t xml:space="preserve">Homogenous Charge Compression Ignition </w:t>
      </w:r>
      <w:r w:rsidRPr="00CC39A2">
        <w:rPr>
          <w:lang w:val="en-GB"/>
        </w:rPr>
        <w:t xml:space="preserve">(HCCI) and the </w:t>
      </w:r>
      <w:r w:rsidR="001D306A" w:rsidRPr="00CC39A2">
        <w:rPr>
          <w:lang w:val="en-GB"/>
        </w:rPr>
        <w:t xml:space="preserve">Premixed Charge Compression Ignition </w:t>
      </w:r>
      <w:r w:rsidRPr="00CC39A2">
        <w:rPr>
          <w:lang w:val="en-GB"/>
        </w:rPr>
        <w:t>(PCCI) (</w:t>
      </w:r>
      <w:r w:rsidRPr="00CC39A2">
        <w:rPr>
          <w:i/>
          <w:lang w:val="en-GB"/>
        </w:rPr>
        <w:t>e.g.</w:t>
      </w:r>
      <w:r w:rsidRPr="00CC39A2">
        <w:rPr>
          <w:lang w:val="en-GB"/>
        </w:rPr>
        <w:t xml:space="preserve"> Stanglmaier </w:t>
      </w:r>
      <w:r w:rsidRPr="00CC39A2">
        <w:rPr>
          <w:i/>
          <w:lang w:val="en-GB"/>
        </w:rPr>
        <w:t>et al.</w:t>
      </w:r>
      <w:r w:rsidRPr="00CC39A2">
        <w:rPr>
          <w:lang w:val="en-GB"/>
        </w:rPr>
        <w:t xml:space="preserve">, 1999; </w:t>
      </w:r>
      <w:r w:rsidR="004C65D8" w:rsidRPr="00CC39A2">
        <w:rPr>
          <w:lang w:val="en-GB"/>
        </w:rPr>
        <w:t xml:space="preserve">Bessonette </w:t>
      </w:r>
      <w:r w:rsidR="004C65D8" w:rsidRPr="00CC39A2">
        <w:rPr>
          <w:i/>
          <w:lang w:val="en-GB"/>
        </w:rPr>
        <w:t>et al.</w:t>
      </w:r>
      <w:r w:rsidR="004C65D8" w:rsidRPr="00CC39A2">
        <w:rPr>
          <w:lang w:val="en-GB"/>
        </w:rPr>
        <w:t xml:space="preserve">, 2007; </w:t>
      </w:r>
      <w:r w:rsidRPr="00CC39A2">
        <w:rPr>
          <w:lang w:val="en-GB"/>
        </w:rPr>
        <w:t xml:space="preserve">Yao </w:t>
      </w:r>
      <w:r w:rsidRPr="00CC39A2">
        <w:rPr>
          <w:i/>
          <w:lang w:val="en-GB"/>
        </w:rPr>
        <w:t>et al.</w:t>
      </w:r>
      <w:r w:rsidRPr="00CC39A2">
        <w:rPr>
          <w:lang w:val="en-GB"/>
        </w:rPr>
        <w:t>, 2009; Saxena and Bedoya, 2013). HCCI</w:t>
      </w:r>
      <w:r w:rsidR="009F6276" w:rsidRPr="00CC39A2">
        <w:rPr>
          <w:lang w:val="en-GB"/>
        </w:rPr>
        <w:t xml:space="preserve"> combustion may </w:t>
      </w:r>
      <w:r w:rsidRPr="00CC39A2">
        <w:rPr>
          <w:lang w:val="en-GB"/>
        </w:rPr>
        <w:t>result in higher thermal efficiency and lower NO</w:t>
      </w:r>
      <w:r w:rsidRPr="00CC39A2">
        <w:rPr>
          <w:vertAlign w:val="subscript"/>
          <w:lang w:val="en-GB"/>
        </w:rPr>
        <w:t>x</w:t>
      </w:r>
      <w:r w:rsidRPr="00CC39A2">
        <w:rPr>
          <w:lang w:val="en-GB"/>
        </w:rPr>
        <w:t xml:space="preserve"> and </w:t>
      </w:r>
      <w:r w:rsidR="00231C45" w:rsidRPr="00CC39A2">
        <w:rPr>
          <w:lang w:val="en-GB"/>
        </w:rPr>
        <w:t>Particulate M</w:t>
      </w:r>
      <w:r w:rsidRPr="00CC39A2">
        <w:rPr>
          <w:lang w:val="en-GB"/>
        </w:rPr>
        <w:t xml:space="preserve">atter (PM) emissions, but also to unacceptably high emissions of </w:t>
      </w:r>
      <w:r w:rsidR="00E45195" w:rsidRPr="00CC39A2">
        <w:rPr>
          <w:lang w:val="en-GB"/>
        </w:rPr>
        <w:t xml:space="preserve">unburned </w:t>
      </w:r>
      <w:r w:rsidRPr="00CC39A2">
        <w:rPr>
          <w:lang w:val="en-GB"/>
        </w:rPr>
        <w:t>hydrocarbons (HC) and CO, and, at higher loads, significantly increased noise levels (</w:t>
      </w:r>
      <w:r w:rsidRPr="00CC39A2">
        <w:rPr>
          <w:i/>
          <w:lang w:val="en-GB"/>
        </w:rPr>
        <w:t>e.g.</w:t>
      </w:r>
      <w:r w:rsidRPr="00CC39A2">
        <w:rPr>
          <w:lang w:val="en-GB"/>
        </w:rPr>
        <w:t xml:space="preserve"> Epping </w:t>
      </w:r>
      <w:r w:rsidRPr="00CC39A2">
        <w:rPr>
          <w:i/>
          <w:lang w:val="en-GB"/>
        </w:rPr>
        <w:t>et al.</w:t>
      </w:r>
      <w:r w:rsidRPr="00CC39A2">
        <w:rPr>
          <w:lang w:val="en-GB"/>
        </w:rPr>
        <w:t xml:space="preserve">, 2002). PCCI combustion </w:t>
      </w:r>
      <w:r w:rsidR="00A8149D" w:rsidRPr="00CC39A2">
        <w:rPr>
          <w:lang w:val="en-GB"/>
        </w:rPr>
        <w:t xml:space="preserve">can be thought of as </w:t>
      </w:r>
      <w:r w:rsidRPr="00CC39A2">
        <w:rPr>
          <w:lang w:val="en-GB"/>
        </w:rPr>
        <w:t xml:space="preserve">a hybrid mode between HCCI and </w:t>
      </w:r>
      <w:r w:rsidR="00E45195" w:rsidRPr="00CC39A2">
        <w:rPr>
          <w:lang w:val="en-GB"/>
        </w:rPr>
        <w:t xml:space="preserve">conventional </w:t>
      </w:r>
      <w:r w:rsidRPr="00CC39A2">
        <w:rPr>
          <w:lang w:val="en-GB"/>
        </w:rPr>
        <w:t xml:space="preserve">CI combustion; the fuel is injected early enough in the compression stroke so as to provide </w:t>
      </w:r>
      <w:r w:rsidR="009F6276" w:rsidRPr="00CC39A2">
        <w:rPr>
          <w:lang w:val="en-GB"/>
        </w:rPr>
        <w:t>more</w:t>
      </w:r>
      <w:r w:rsidRPr="00CC39A2">
        <w:rPr>
          <w:lang w:val="en-GB"/>
        </w:rPr>
        <w:t xml:space="preserve"> time</w:t>
      </w:r>
      <w:r w:rsidR="000E4169" w:rsidRPr="00CC39A2">
        <w:rPr>
          <w:lang w:val="en-GB"/>
        </w:rPr>
        <w:t xml:space="preserve"> than conventional CI</w:t>
      </w:r>
      <w:r w:rsidRPr="00CC39A2">
        <w:rPr>
          <w:lang w:val="en-GB"/>
        </w:rPr>
        <w:t xml:space="preserve"> for </w:t>
      </w:r>
      <w:r w:rsidR="000E4169" w:rsidRPr="00CC39A2">
        <w:rPr>
          <w:lang w:val="en-GB"/>
        </w:rPr>
        <w:t>pre-</w:t>
      </w:r>
      <w:r w:rsidRPr="00CC39A2">
        <w:rPr>
          <w:lang w:val="en-GB"/>
        </w:rPr>
        <w:t xml:space="preserve">mixing </w:t>
      </w:r>
      <w:r w:rsidR="000E4169" w:rsidRPr="00CC39A2">
        <w:rPr>
          <w:lang w:val="en-GB"/>
        </w:rPr>
        <w:t>before</w:t>
      </w:r>
      <w:r w:rsidRPr="00CC39A2">
        <w:rPr>
          <w:lang w:val="en-GB"/>
        </w:rPr>
        <w:t xml:space="preserve"> ignition</w:t>
      </w:r>
      <w:r w:rsidR="000E4169" w:rsidRPr="00CC39A2">
        <w:rPr>
          <w:lang w:val="en-GB"/>
        </w:rPr>
        <w:t>, while retaining a much greater degree of control over the ignition timing than does HCCI</w:t>
      </w:r>
      <w:r w:rsidRPr="00CC39A2">
        <w:rPr>
          <w:lang w:val="en-GB"/>
        </w:rPr>
        <w:t xml:space="preserve">. Contrary to the HCCI, PCCI allows auto-ignition at low loads with high efficiency and </w:t>
      </w:r>
      <w:r w:rsidR="000E4169" w:rsidRPr="00CC39A2">
        <w:rPr>
          <w:lang w:val="en-GB"/>
        </w:rPr>
        <w:t>low</w:t>
      </w:r>
      <w:r w:rsidRPr="00CC39A2">
        <w:rPr>
          <w:lang w:val="en-GB"/>
        </w:rPr>
        <w:t xml:space="preserve"> NO</w:t>
      </w:r>
      <w:r w:rsidRPr="00CC39A2">
        <w:rPr>
          <w:vertAlign w:val="subscript"/>
          <w:lang w:val="en-GB"/>
        </w:rPr>
        <w:t>x</w:t>
      </w:r>
      <w:r w:rsidRPr="00CC39A2">
        <w:rPr>
          <w:lang w:val="en-GB"/>
        </w:rPr>
        <w:t xml:space="preserve"> and PM emissions (</w:t>
      </w:r>
      <w:r w:rsidRPr="00CC39A2">
        <w:rPr>
          <w:i/>
          <w:lang w:val="en-GB"/>
        </w:rPr>
        <w:t>e.g.</w:t>
      </w:r>
      <w:r w:rsidRPr="00CC39A2">
        <w:rPr>
          <w:lang w:val="en-GB"/>
        </w:rPr>
        <w:t xml:space="preserve"> Leermakers </w:t>
      </w:r>
      <w:r w:rsidRPr="00CC39A2">
        <w:rPr>
          <w:i/>
          <w:lang w:val="en-GB"/>
        </w:rPr>
        <w:t>et al.</w:t>
      </w:r>
      <w:r w:rsidRPr="00CC39A2">
        <w:rPr>
          <w:lang w:val="en-GB"/>
        </w:rPr>
        <w:t xml:space="preserve">, 2011; Kalghatgi </w:t>
      </w:r>
      <w:r w:rsidRPr="00CC39A2">
        <w:rPr>
          <w:i/>
          <w:lang w:val="en-GB"/>
        </w:rPr>
        <w:t>et al.</w:t>
      </w:r>
      <w:r w:rsidRPr="00CC39A2">
        <w:rPr>
          <w:lang w:val="en-GB"/>
        </w:rPr>
        <w:t xml:space="preserve">, 2013). However, relatively high HC and CO emissions may </w:t>
      </w:r>
      <w:r w:rsidR="000E4169" w:rsidRPr="00CC39A2">
        <w:rPr>
          <w:lang w:val="en-GB"/>
        </w:rPr>
        <w:t xml:space="preserve">still </w:t>
      </w:r>
      <w:r w:rsidRPr="00CC39A2">
        <w:rPr>
          <w:lang w:val="en-GB"/>
        </w:rPr>
        <w:t>be present</w:t>
      </w:r>
      <w:r w:rsidR="000E4169" w:rsidRPr="00CC39A2">
        <w:rPr>
          <w:lang w:val="en-GB"/>
        </w:rPr>
        <w:t>,</w:t>
      </w:r>
      <w:r w:rsidRPr="00CC39A2">
        <w:rPr>
          <w:lang w:val="en-GB"/>
        </w:rPr>
        <w:t xml:space="preserve"> combined with noise levels</w:t>
      </w:r>
      <w:r w:rsidR="00A8149D" w:rsidRPr="00CC39A2">
        <w:rPr>
          <w:lang w:val="en-GB"/>
        </w:rPr>
        <w:t xml:space="preserve"> which are increased relative to conventional diesel combustion</w:t>
      </w:r>
      <w:r w:rsidRPr="00CC39A2">
        <w:rPr>
          <w:lang w:val="en-GB"/>
        </w:rPr>
        <w:t xml:space="preserve">. </w:t>
      </w:r>
    </w:p>
    <w:p w14:paraId="4C4F9993" w14:textId="77777777" w:rsidR="00C32B9D" w:rsidRPr="00CC39A2" w:rsidRDefault="00C32B9D" w:rsidP="00C32B9D">
      <w:pPr>
        <w:tabs>
          <w:tab w:val="left" w:pos="397"/>
        </w:tabs>
        <w:autoSpaceDE w:val="0"/>
        <w:autoSpaceDN w:val="0"/>
        <w:adjustRightInd w:val="0"/>
        <w:spacing w:before="240" w:after="240" w:line="480" w:lineRule="auto"/>
        <w:jc w:val="both"/>
        <w:rPr>
          <w:lang w:val="en-GB"/>
        </w:rPr>
      </w:pPr>
      <w:r w:rsidRPr="00CC39A2">
        <w:rPr>
          <w:lang w:val="en-GB"/>
        </w:rPr>
        <w:t>Multiple injection patterns can be employed under a PCCI operation mode, since the lower in-cylinder temperature during the pre-injection events does not lead to auto-</w:t>
      </w:r>
      <w:r w:rsidRPr="00CC39A2">
        <w:rPr>
          <w:lang w:val="en-GB"/>
        </w:rPr>
        <w:lastRenderedPageBreak/>
        <w:t>ignition of the pilot fuel, and thus the desired fuel-air mixture stratification can be achieved. The injection strategy is also a means of controlling the heat release profile and combustion phasing of the cycle (</w:t>
      </w:r>
      <w:r w:rsidR="00BF14E4" w:rsidRPr="00CC39A2">
        <w:rPr>
          <w:i/>
          <w:lang w:val="en-GB"/>
        </w:rPr>
        <w:t>e.g.</w:t>
      </w:r>
      <w:r w:rsidR="00BF14E4" w:rsidRPr="00CC39A2">
        <w:rPr>
          <w:lang w:val="en-GB"/>
        </w:rPr>
        <w:t xml:space="preserve"> </w:t>
      </w:r>
      <w:r w:rsidRPr="00CC39A2">
        <w:rPr>
          <w:lang w:val="en-GB"/>
        </w:rPr>
        <w:t xml:space="preserve">Benajes </w:t>
      </w:r>
      <w:r w:rsidRPr="00CC39A2">
        <w:rPr>
          <w:i/>
          <w:lang w:val="en-GB"/>
        </w:rPr>
        <w:t>et al.</w:t>
      </w:r>
      <w:r w:rsidRPr="00CC39A2">
        <w:rPr>
          <w:lang w:val="en-GB"/>
        </w:rPr>
        <w:t xml:space="preserve">, 2008; Anselmi et al., 2010; Bao </w:t>
      </w:r>
      <w:r w:rsidRPr="00CC39A2">
        <w:rPr>
          <w:i/>
          <w:lang w:val="en-GB"/>
        </w:rPr>
        <w:t>et al.</w:t>
      </w:r>
      <w:r w:rsidRPr="00CC39A2">
        <w:rPr>
          <w:lang w:val="en-GB"/>
        </w:rPr>
        <w:t xml:space="preserve">, 2014). Furthermore, advances in the diesel injection equipment allow engine manufacturers to utilize complex fuel injection control strategies for achieving </w:t>
      </w:r>
      <w:r w:rsidR="00454D36" w:rsidRPr="00CC39A2">
        <w:rPr>
          <w:lang w:val="en-GB"/>
        </w:rPr>
        <w:t>optimum engine performance</w:t>
      </w:r>
      <w:r w:rsidRPr="00CC39A2">
        <w:rPr>
          <w:lang w:val="en-GB"/>
        </w:rPr>
        <w:t xml:space="preserve"> </w:t>
      </w:r>
      <w:r w:rsidR="00A8149D" w:rsidRPr="00CC39A2">
        <w:rPr>
          <w:lang w:val="en-GB"/>
        </w:rPr>
        <w:t xml:space="preserve">over </w:t>
      </w:r>
      <w:r w:rsidRPr="00CC39A2">
        <w:rPr>
          <w:lang w:val="en-GB"/>
        </w:rPr>
        <w:t xml:space="preserve">a wide range of engine speeds and loads. Among the commonly employed injection schemes, post injections have been considered to reduce engine out soot emissions. Late post injection also assists the processes of the exhaust gas </w:t>
      </w:r>
      <w:r w:rsidR="00BF14E4" w:rsidRPr="00CC39A2">
        <w:rPr>
          <w:lang w:val="en-GB"/>
        </w:rPr>
        <w:t>after-</w:t>
      </w:r>
      <w:r w:rsidRPr="00CC39A2">
        <w:rPr>
          <w:lang w:val="en-GB"/>
        </w:rPr>
        <w:t>treatment systems</w:t>
      </w:r>
      <w:r w:rsidR="00330931" w:rsidRPr="00CC39A2">
        <w:rPr>
          <w:lang w:val="en-GB"/>
        </w:rPr>
        <w:t>,</w:t>
      </w:r>
      <w:r w:rsidRPr="00CC39A2">
        <w:rPr>
          <w:lang w:val="en-GB"/>
        </w:rPr>
        <w:t xml:space="preserve"> in particular promot</w:t>
      </w:r>
      <w:r w:rsidR="00330931" w:rsidRPr="00CC39A2">
        <w:rPr>
          <w:lang w:val="en-GB"/>
        </w:rPr>
        <w:t>ing</w:t>
      </w:r>
      <w:r w:rsidRPr="00CC39A2">
        <w:rPr>
          <w:lang w:val="en-GB"/>
        </w:rPr>
        <w:t xml:space="preserve"> regeneration in diesel particulate filters (DPFs) (</w:t>
      </w:r>
      <w:r w:rsidRPr="00CC39A2">
        <w:rPr>
          <w:i/>
          <w:lang w:val="en-GB"/>
        </w:rPr>
        <w:t>e.g.</w:t>
      </w:r>
      <w:r w:rsidRPr="00CC39A2">
        <w:rPr>
          <w:lang w:val="en-GB"/>
        </w:rPr>
        <w:t xml:space="preserve"> Mohan </w:t>
      </w:r>
      <w:r w:rsidRPr="00CC39A2">
        <w:rPr>
          <w:i/>
          <w:lang w:val="en-GB"/>
        </w:rPr>
        <w:t>et al.</w:t>
      </w:r>
      <w:r w:rsidRPr="00CC39A2">
        <w:rPr>
          <w:lang w:val="en-GB"/>
        </w:rPr>
        <w:t>, 2013)</w:t>
      </w:r>
      <w:r w:rsidR="00330931" w:rsidRPr="00CC39A2">
        <w:rPr>
          <w:lang w:val="en-GB"/>
        </w:rPr>
        <w:t>,</w:t>
      </w:r>
      <w:r w:rsidRPr="00CC39A2">
        <w:rPr>
          <w:lang w:val="en-GB"/>
        </w:rPr>
        <w:t xml:space="preserve"> and generate</w:t>
      </w:r>
      <w:r w:rsidR="007E0CB3" w:rsidRPr="00CC39A2">
        <w:rPr>
          <w:lang w:val="en-GB"/>
        </w:rPr>
        <w:t>s</w:t>
      </w:r>
      <w:r w:rsidRPr="00CC39A2">
        <w:rPr>
          <w:lang w:val="en-GB"/>
        </w:rPr>
        <w:t xml:space="preserve"> hydrocarbons for an active lean NO</w:t>
      </w:r>
      <w:r w:rsidRPr="00CC39A2">
        <w:rPr>
          <w:vertAlign w:val="subscript"/>
          <w:lang w:val="en-GB"/>
        </w:rPr>
        <w:t>x</w:t>
      </w:r>
      <w:r w:rsidRPr="00CC39A2">
        <w:rPr>
          <w:lang w:val="en-GB"/>
        </w:rPr>
        <w:t xml:space="preserve"> catalyst (</w:t>
      </w:r>
      <w:r w:rsidRPr="00CC39A2">
        <w:rPr>
          <w:i/>
          <w:lang w:val="en-GB"/>
        </w:rPr>
        <w:t>e.g.</w:t>
      </w:r>
      <w:r w:rsidRPr="00CC39A2">
        <w:rPr>
          <w:lang w:val="en-GB"/>
        </w:rPr>
        <w:t xml:space="preserve"> </w:t>
      </w:r>
      <w:r w:rsidR="00347974" w:rsidRPr="00CC39A2">
        <w:rPr>
          <w:lang w:val="en-GB"/>
        </w:rPr>
        <w:t xml:space="preserve">Yamamoto </w:t>
      </w:r>
      <w:r w:rsidR="00347974" w:rsidRPr="00CC39A2">
        <w:rPr>
          <w:i/>
          <w:lang w:val="en-GB"/>
        </w:rPr>
        <w:t>et al.</w:t>
      </w:r>
      <w:r w:rsidR="00347974" w:rsidRPr="00CC39A2">
        <w:rPr>
          <w:lang w:val="en-GB"/>
        </w:rPr>
        <w:t>, 2006</w:t>
      </w:r>
      <w:r w:rsidRPr="00CC39A2">
        <w:rPr>
          <w:lang w:val="en-GB"/>
        </w:rPr>
        <w:t>).</w:t>
      </w:r>
    </w:p>
    <w:p w14:paraId="24C3830E" w14:textId="77777777" w:rsidR="00C32B9D" w:rsidRPr="00CC39A2" w:rsidRDefault="00C32B9D" w:rsidP="00C32B9D">
      <w:pPr>
        <w:spacing w:before="240" w:after="240" w:line="480" w:lineRule="auto"/>
        <w:jc w:val="both"/>
        <w:rPr>
          <w:lang w:val="en-GB"/>
        </w:rPr>
      </w:pPr>
      <w:r w:rsidRPr="00CC39A2">
        <w:rPr>
          <w:lang w:val="en-GB"/>
        </w:rPr>
        <w:t xml:space="preserve">O’Connor and Musculus (2013) provide a succinct review on the application of post injections for soot emission reduction in diesel engines. Post-injection of a carefully chosen fuel quantity at appropriate timing, enhances charge mixing creating thereby favourable conditions to enhance soot oxidation </w:t>
      </w:r>
      <w:r w:rsidRPr="00CC39A2">
        <w:rPr>
          <w:i/>
          <w:lang w:val="en-GB"/>
        </w:rPr>
        <w:t>via</w:t>
      </w:r>
      <w:r w:rsidRPr="00CC39A2">
        <w:rPr>
          <w:lang w:val="en-GB"/>
        </w:rPr>
        <w:t xml:space="preserve"> an increase in the local heat release. The dwell between main and post injection also directly influences the number and mass of soot particles and a relative optimization can </w:t>
      </w:r>
      <w:r w:rsidR="00CA6A58" w:rsidRPr="00CC39A2">
        <w:rPr>
          <w:lang w:val="en-GB"/>
        </w:rPr>
        <w:t xml:space="preserve">potentially </w:t>
      </w:r>
      <w:r w:rsidRPr="00CC39A2">
        <w:rPr>
          <w:lang w:val="en-GB"/>
        </w:rPr>
        <w:t xml:space="preserve">lead to a promotion of the soot oxidation rates favouring nanostructures. </w:t>
      </w:r>
      <w:r w:rsidR="00D05795" w:rsidRPr="00CC39A2">
        <w:rPr>
          <w:lang w:val="en-GB"/>
        </w:rPr>
        <w:t xml:space="preserve">Generally, optimization of the post-injection scheme </w:t>
      </w:r>
      <w:r w:rsidR="0009669E" w:rsidRPr="00CC39A2">
        <w:rPr>
          <w:lang w:val="en-GB"/>
        </w:rPr>
        <w:t xml:space="preserve">can influence the </w:t>
      </w:r>
      <w:r w:rsidR="00D67DAC" w:rsidRPr="00CC39A2">
        <w:rPr>
          <w:lang w:val="en-GB"/>
        </w:rPr>
        <w:t xml:space="preserve">relative </w:t>
      </w:r>
      <w:r w:rsidR="0009669E" w:rsidRPr="00CC39A2">
        <w:rPr>
          <w:lang w:val="en-GB"/>
        </w:rPr>
        <w:t xml:space="preserve">strength of the accumulation and the nucleation modes, resulting in significant changes in the size and the number of the soot particles (Desantes </w:t>
      </w:r>
      <w:r w:rsidR="0009669E" w:rsidRPr="00CC39A2">
        <w:rPr>
          <w:i/>
          <w:lang w:val="en-GB"/>
        </w:rPr>
        <w:lastRenderedPageBreak/>
        <w:t>et al.</w:t>
      </w:r>
      <w:r w:rsidR="0009669E" w:rsidRPr="00CC39A2">
        <w:rPr>
          <w:lang w:val="en-GB"/>
        </w:rPr>
        <w:t xml:space="preserve">, 2007; 2011, Xu </w:t>
      </w:r>
      <w:r w:rsidR="0009669E" w:rsidRPr="00CC39A2">
        <w:rPr>
          <w:i/>
          <w:lang w:val="en-GB"/>
        </w:rPr>
        <w:t>et al.</w:t>
      </w:r>
      <w:r w:rsidR="0009669E" w:rsidRPr="00CC39A2">
        <w:rPr>
          <w:lang w:val="en-GB"/>
        </w:rPr>
        <w:t xml:space="preserve">, 2014; Li </w:t>
      </w:r>
      <w:r w:rsidR="0009669E" w:rsidRPr="00CC39A2">
        <w:rPr>
          <w:i/>
          <w:lang w:val="en-GB"/>
        </w:rPr>
        <w:t>et al.</w:t>
      </w:r>
      <w:r w:rsidR="0009669E" w:rsidRPr="00CC39A2">
        <w:rPr>
          <w:lang w:val="en-GB"/>
        </w:rPr>
        <w:t>, 2015).</w:t>
      </w:r>
      <w:r w:rsidR="00454D36" w:rsidRPr="00CC39A2">
        <w:rPr>
          <w:lang w:val="en-GB"/>
        </w:rPr>
        <w:t xml:space="preserve"> In LTC engines, the beneficial effects of post-injections on soot reduction, stemming from the variation of the post injection quantity and timing, are quite sensitive to engine speed and load conditions, EGR levels, and engine operation strategy (</w:t>
      </w:r>
      <w:r w:rsidR="00454D36" w:rsidRPr="00CC39A2">
        <w:rPr>
          <w:i/>
          <w:lang w:val="en-GB"/>
        </w:rPr>
        <w:t>e.g.</w:t>
      </w:r>
      <w:r w:rsidR="00454D36" w:rsidRPr="00CC39A2">
        <w:rPr>
          <w:lang w:val="en-GB"/>
        </w:rPr>
        <w:t xml:space="preserve"> Chen, 2000; Chartier </w:t>
      </w:r>
      <w:r w:rsidR="00454D36" w:rsidRPr="00CC39A2">
        <w:rPr>
          <w:i/>
          <w:lang w:val="en-GB"/>
        </w:rPr>
        <w:t>et al.</w:t>
      </w:r>
      <w:r w:rsidR="00454D36" w:rsidRPr="00CC39A2">
        <w:rPr>
          <w:lang w:val="en-GB"/>
        </w:rPr>
        <w:t xml:space="preserve">, 2011; Frapolli </w:t>
      </w:r>
      <w:r w:rsidR="00454D36" w:rsidRPr="00CC39A2">
        <w:rPr>
          <w:i/>
          <w:lang w:val="en-GB"/>
        </w:rPr>
        <w:t>et al.</w:t>
      </w:r>
      <w:r w:rsidR="00454D36" w:rsidRPr="00CC39A2">
        <w:rPr>
          <w:lang w:val="en-GB"/>
        </w:rPr>
        <w:t xml:space="preserve">, 2014). </w:t>
      </w:r>
      <w:r w:rsidRPr="00CC39A2">
        <w:rPr>
          <w:lang w:val="en-GB"/>
        </w:rPr>
        <w:t xml:space="preserve">Moreover, the effect on other emissions, </w:t>
      </w:r>
      <w:r w:rsidRPr="00CC39A2">
        <w:rPr>
          <w:i/>
          <w:lang w:val="en-GB"/>
        </w:rPr>
        <w:t>e.g.</w:t>
      </w:r>
      <w:r w:rsidRPr="00CC39A2">
        <w:rPr>
          <w:lang w:val="en-GB"/>
        </w:rPr>
        <w:t xml:space="preserve"> HC and CO, should also be appropriately addressed, especially under operation conditions</w:t>
      </w:r>
      <w:r w:rsidR="00D67DAC" w:rsidRPr="00CC39A2">
        <w:rPr>
          <w:lang w:val="en-GB"/>
        </w:rPr>
        <w:t xml:space="preserve"> that promote their formation</w:t>
      </w:r>
      <w:r w:rsidR="000570FF" w:rsidRPr="00CC39A2">
        <w:rPr>
          <w:lang w:val="en-GB"/>
        </w:rPr>
        <w:t>,</w:t>
      </w:r>
      <w:r w:rsidRPr="00CC39A2">
        <w:rPr>
          <w:lang w:val="en-GB"/>
        </w:rPr>
        <w:t xml:space="preserve"> such as PCCI conditions (</w:t>
      </w:r>
      <w:r w:rsidRPr="00CC39A2">
        <w:rPr>
          <w:i/>
          <w:lang w:val="en-GB"/>
        </w:rPr>
        <w:t>e.g.</w:t>
      </w:r>
      <w:r w:rsidRPr="00CC39A2">
        <w:rPr>
          <w:lang w:val="en-GB"/>
        </w:rPr>
        <w:t xml:space="preserve"> Park and Bae, 2013). </w:t>
      </w:r>
    </w:p>
    <w:p w14:paraId="7B878414" w14:textId="77777777" w:rsidR="00C32B9D" w:rsidRPr="00CC39A2" w:rsidRDefault="00C32B9D" w:rsidP="00C857F6">
      <w:pPr>
        <w:spacing w:before="240" w:after="240" w:line="480" w:lineRule="auto"/>
        <w:jc w:val="both"/>
        <w:rPr>
          <w:highlight w:val="yellow"/>
          <w:lang w:val="en-GB"/>
        </w:rPr>
      </w:pPr>
      <w:r w:rsidRPr="00CC39A2">
        <w:rPr>
          <w:lang w:val="en-GB"/>
        </w:rPr>
        <w:t xml:space="preserve">Soot-formation processes in </w:t>
      </w:r>
      <w:r w:rsidR="00C814A3" w:rsidRPr="00CC39A2">
        <w:rPr>
          <w:lang w:val="en-GB"/>
        </w:rPr>
        <w:t xml:space="preserve">mixing-controlled </w:t>
      </w:r>
      <w:r w:rsidRPr="00CC39A2">
        <w:rPr>
          <w:lang w:val="en-GB"/>
        </w:rPr>
        <w:t xml:space="preserve">diesel </w:t>
      </w:r>
      <w:r w:rsidR="00C814A3" w:rsidRPr="00CC39A2">
        <w:rPr>
          <w:lang w:val="en-GB"/>
        </w:rPr>
        <w:t xml:space="preserve">flames </w:t>
      </w:r>
      <w:r w:rsidRPr="00CC39A2">
        <w:rPr>
          <w:lang w:val="en-GB"/>
        </w:rPr>
        <w:t xml:space="preserve">have been well characterized, but relatively little is known about the </w:t>
      </w:r>
      <w:r w:rsidR="00953ECE" w:rsidRPr="00CC39A2">
        <w:t xml:space="preserve">amount and </w:t>
      </w:r>
      <w:r w:rsidRPr="00CC39A2">
        <w:rPr>
          <w:lang w:val="en-GB"/>
        </w:rPr>
        <w:t xml:space="preserve">distribution of soot in the absence of appreciable heat release during the expansion and exhaust strokes. Further, although </w:t>
      </w:r>
      <w:r w:rsidRPr="00CC39A2">
        <w:rPr>
          <w:lang w:val="en-GB" w:eastAsia="zh-TW"/>
        </w:rPr>
        <w:t>the beneficial effect of post injection on soot reduction stems</w:t>
      </w:r>
      <w:r w:rsidR="00D67DAC" w:rsidRPr="00CC39A2">
        <w:rPr>
          <w:lang w:val="en-GB" w:eastAsia="zh-TW"/>
        </w:rPr>
        <w:t xml:space="preserve"> both</w:t>
      </w:r>
      <w:r w:rsidRPr="00CC39A2">
        <w:rPr>
          <w:lang w:val="en-GB" w:eastAsia="zh-TW"/>
        </w:rPr>
        <w:t xml:space="preserve"> from late cycle mixing and the associated </w:t>
      </w:r>
      <w:r w:rsidR="00C814A3" w:rsidRPr="00CC39A2">
        <w:rPr>
          <w:lang w:val="en-GB" w:eastAsia="zh-TW"/>
        </w:rPr>
        <w:t xml:space="preserve">temperature </w:t>
      </w:r>
      <w:r w:rsidRPr="00CC39A2">
        <w:rPr>
          <w:lang w:val="en-GB" w:eastAsia="zh-TW"/>
        </w:rPr>
        <w:t xml:space="preserve">increase, the dominant mechanisms can </w:t>
      </w:r>
      <w:r w:rsidR="00D67DAC" w:rsidRPr="00CC39A2">
        <w:rPr>
          <w:lang w:val="en-GB" w:eastAsia="zh-TW"/>
        </w:rPr>
        <w:t xml:space="preserve">vary </w:t>
      </w:r>
      <w:r w:rsidRPr="00CC39A2">
        <w:rPr>
          <w:lang w:val="en-GB" w:eastAsia="zh-TW"/>
        </w:rPr>
        <w:t xml:space="preserve">significantly depending on the engine operating conditions and it is hard to establish clear guidelines for the application of such schemes at a practical level. </w:t>
      </w:r>
      <w:r w:rsidRPr="00CC39A2">
        <w:rPr>
          <w:lang w:val="en-GB"/>
        </w:rPr>
        <w:t xml:space="preserve">The </w:t>
      </w:r>
      <w:r w:rsidR="00B122CF" w:rsidRPr="00CC39A2">
        <w:rPr>
          <w:lang w:val="en-GB"/>
        </w:rPr>
        <w:t>latter</w:t>
      </w:r>
      <w:r w:rsidRPr="00CC39A2">
        <w:rPr>
          <w:lang w:val="en-GB"/>
        </w:rPr>
        <w:t xml:space="preserve"> </w:t>
      </w:r>
      <w:r w:rsidR="00D67DAC" w:rsidRPr="00CC39A2">
        <w:rPr>
          <w:lang w:val="en-GB"/>
        </w:rPr>
        <w:t xml:space="preserve">suggests that </w:t>
      </w:r>
      <w:r w:rsidRPr="00CC39A2">
        <w:rPr>
          <w:lang w:val="en-GB"/>
        </w:rPr>
        <w:t xml:space="preserve">the development of methodologies able to </w:t>
      </w:r>
      <w:r w:rsidR="00B122CF" w:rsidRPr="00CC39A2">
        <w:rPr>
          <w:lang w:val="en-GB"/>
        </w:rPr>
        <w:t>illuminate soot oxidation processes</w:t>
      </w:r>
      <w:r w:rsidR="00330931" w:rsidRPr="00CC39A2">
        <w:rPr>
          <w:lang w:val="en-GB"/>
        </w:rPr>
        <w:t>,</w:t>
      </w:r>
      <w:r w:rsidR="00B122CF" w:rsidRPr="00CC39A2">
        <w:rPr>
          <w:lang w:val="en-GB"/>
        </w:rPr>
        <w:t xml:space="preserve"> rather than just </w:t>
      </w:r>
      <w:r w:rsidRPr="00CC39A2">
        <w:rPr>
          <w:lang w:val="en-GB"/>
        </w:rPr>
        <w:t>quantify</w:t>
      </w:r>
      <w:r w:rsidR="00330931" w:rsidRPr="00CC39A2">
        <w:rPr>
          <w:lang w:val="en-GB"/>
        </w:rPr>
        <w:t>ing</w:t>
      </w:r>
      <w:r w:rsidRPr="00CC39A2">
        <w:rPr>
          <w:lang w:val="en-GB"/>
        </w:rPr>
        <w:t xml:space="preserve"> engine out soot emissions</w:t>
      </w:r>
      <w:r w:rsidR="00D67DAC" w:rsidRPr="00CC39A2">
        <w:rPr>
          <w:lang w:val="en-GB"/>
        </w:rPr>
        <w:t>, might be helpful</w:t>
      </w:r>
      <w:r w:rsidRPr="00CC39A2">
        <w:rPr>
          <w:lang w:val="en-GB"/>
        </w:rPr>
        <w:t>. Laser Induced Incandescence (LII) is based on the incandescence (or thermal radiation) signal induced by a laser excitation</w:t>
      </w:r>
      <w:r w:rsidR="00B122CF" w:rsidRPr="00CC39A2">
        <w:rPr>
          <w:lang w:val="en-GB"/>
        </w:rPr>
        <w:t xml:space="preserve">; soot </w:t>
      </w:r>
      <w:r w:rsidRPr="00CC39A2">
        <w:rPr>
          <w:lang w:val="en-GB"/>
        </w:rPr>
        <w:t xml:space="preserve">particles </w:t>
      </w:r>
      <w:r w:rsidR="00B122CF" w:rsidRPr="00CC39A2">
        <w:rPr>
          <w:lang w:val="en-GB"/>
        </w:rPr>
        <w:t>are heated-up</w:t>
      </w:r>
      <w:r w:rsidR="00B122CF" w:rsidRPr="00CC39A2" w:rsidDel="00B122CF">
        <w:rPr>
          <w:lang w:val="en-GB"/>
        </w:rPr>
        <w:t xml:space="preserve"> </w:t>
      </w:r>
      <w:r w:rsidR="00B122CF" w:rsidRPr="00CC39A2">
        <w:rPr>
          <w:lang w:val="en-GB"/>
        </w:rPr>
        <w:t>by absorbi</w:t>
      </w:r>
      <w:r w:rsidR="00D67DAC" w:rsidRPr="00CC39A2">
        <w:rPr>
          <w:lang w:val="en-GB"/>
        </w:rPr>
        <w:t>n</w:t>
      </w:r>
      <w:r w:rsidR="00B122CF" w:rsidRPr="00CC39A2">
        <w:rPr>
          <w:lang w:val="en-GB"/>
        </w:rPr>
        <w:t>g</w:t>
      </w:r>
      <w:r w:rsidRPr="00CC39A2">
        <w:rPr>
          <w:lang w:val="en-GB"/>
        </w:rPr>
        <w:t xml:space="preserve"> </w:t>
      </w:r>
      <w:r w:rsidR="00B122CF" w:rsidRPr="00CC39A2">
        <w:rPr>
          <w:lang w:val="en-GB"/>
        </w:rPr>
        <w:t xml:space="preserve">laser </w:t>
      </w:r>
      <w:r w:rsidRPr="00CC39A2">
        <w:rPr>
          <w:lang w:val="en-GB"/>
        </w:rPr>
        <w:t>light</w:t>
      </w:r>
      <w:r w:rsidR="00D67DAC" w:rsidRPr="00CC39A2">
        <w:rPr>
          <w:lang w:val="en-GB"/>
        </w:rPr>
        <w:t>,</w:t>
      </w:r>
      <w:r w:rsidRPr="00CC39A2">
        <w:rPr>
          <w:lang w:val="en-GB"/>
        </w:rPr>
        <w:t xml:space="preserve"> </w:t>
      </w:r>
      <w:r w:rsidR="00B122CF" w:rsidRPr="00CC39A2">
        <w:rPr>
          <w:lang w:val="en-GB"/>
        </w:rPr>
        <w:t xml:space="preserve">leading </w:t>
      </w:r>
      <w:r w:rsidRPr="00CC39A2">
        <w:rPr>
          <w:lang w:val="en-GB"/>
        </w:rPr>
        <w:t xml:space="preserve">to a strong non-linear increase in thermal radiation with temperature (Michelsen </w:t>
      </w:r>
      <w:r w:rsidRPr="00CC39A2">
        <w:rPr>
          <w:i/>
          <w:lang w:val="en-GB"/>
        </w:rPr>
        <w:t>et al.</w:t>
      </w:r>
      <w:r w:rsidRPr="00CC39A2">
        <w:rPr>
          <w:lang w:val="en-GB"/>
        </w:rPr>
        <w:t xml:space="preserve">, 2015). </w:t>
      </w:r>
      <w:r w:rsidR="00B122CF" w:rsidRPr="00CC39A2">
        <w:rPr>
          <w:lang w:val="en-GB"/>
        </w:rPr>
        <w:t xml:space="preserve">Soot </w:t>
      </w:r>
      <w:r w:rsidR="00BD6943" w:rsidRPr="00CC39A2">
        <w:rPr>
          <w:lang w:val="en-GB"/>
        </w:rPr>
        <w:t xml:space="preserve">volume fraction is approximately proportional to both the integrated signal and peak </w:t>
      </w:r>
      <w:r w:rsidR="00BD6943" w:rsidRPr="00CC39A2">
        <w:rPr>
          <w:lang w:val="en-GB"/>
        </w:rPr>
        <w:lastRenderedPageBreak/>
        <w:t xml:space="preserve">signal level and particle sizes may be deduced </w:t>
      </w:r>
      <w:r w:rsidR="00D91F81" w:rsidRPr="00CC39A2">
        <w:rPr>
          <w:lang w:val="en-GB"/>
        </w:rPr>
        <w:t>from the</w:t>
      </w:r>
      <w:r w:rsidR="00BD6943" w:rsidRPr="00CC39A2">
        <w:rPr>
          <w:lang w:val="en-GB"/>
        </w:rPr>
        <w:t xml:space="preserve"> decay rate of the LII signal (</w:t>
      </w:r>
      <w:r w:rsidR="00BD6943" w:rsidRPr="00CC39A2">
        <w:rPr>
          <w:i/>
          <w:lang w:val="en-GB"/>
        </w:rPr>
        <w:t>e.g.</w:t>
      </w:r>
      <w:r w:rsidR="00BD6943" w:rsidRPr="00CC39A2">
        <w:rPr>
          <w:lang w:val="en-GB"/>
        </w:rPr>
        <w:t xml:space="preserve"> Melton, 1984; Bladh </w:t>
      </w:r>
      <w:r w:rsidR="00BD6943" w:rsidRPr="00CC39A2">
        <w:rPr>
          <w:i/>
          <w:lang w:val="en-GB"/>
        </w:rPr>
        <w:t>et al.</w:t>
      </w:r>
      <w:r w:rsidR="00BD6943" w:rsidRPr="00CC39A2">
        <w:rPr>
          <w:lang w:val="en-GB"/>
        </w:rPr>
        <w:t xml:space="preserve">, 2007). </w:t>
      </w:r>
      <w:r w:rsidRPr="00CC39A2">
        <w:rPr>
          <w:lang w:val="en-GB"/>
        </w:rPr>
        <w:t xml:space="preserve">The technique has been applied for the understanding of soot fundamentals in flames, </w:t>
      </w:r>
      <w:r w:rsidRPr="00CC39A2">
        <w:rPr>
          <w:i/>
          <w:lang w:val="en-GB"/>
        </w:rPr>
        <w:t>e.g.</w:t>
      </w:r>
      <w:r w:rsidRPr="00CC39A2">
        <w:rPr>
          <w:lang w:val="en-GB"/>
        </w:rPr>
        <w:t xml:space="preserve"> Schulz </w:t>
      </w:r>
      <w:r w:rsidRPr="00CC39A2">
        <w:rPr>
          <w:i/>
          <w:lang w:val="en-GB"/>
        </w:rPr>
        <w:t>et al.</w:t>
      </w:r>
      <w:r w:rsidRPr="00CC39A2">
        <w:rPr>
          <w:lang w:val="en-GB"/>
        </w:rPr>
        <w:t xml:space="preserve"> (2006); Tropea </w:t>
      </w:r>
      <w:r w:rsidRPr="00CC39A2">
        <w:rPr>
          <w:i/>
          <w:lang w:val="en-GB"/>
        </w:rPr>
        <w:t>et al.</w:t>
      </w:r>
      <w:r w:rsidRPr="00CC39A2">
        <w:rPr>
          <w:lang w:val="en-GB"/>
        </w:rPr>
        <w:t xml:space="preserve"> (2007), Desgroux </w:t>
      </w:r>
      <w:r w:rsidRPr="00CC39A2">
        <w:rPr>
          <w:i/>
          <w:lang w:val="en-GB"/>
        </w:rPr>
        <w:t>et al.</w:t>
      </w:r>
      <w:r w:rsidRPr="00CC39A2">
        <w:rPr>
          <w:lang w:val="en-GB"/>
        </w:rPr>
        <w:t xml:space="preserve"> (2013), as well as in combustion vessels, </w:t>
      </w:r>
      <w:r w:rsidRPr="00CC39A2">
        <w:rPr>
          <w:i/>
          <w:lang w:val="en-GB"/>
        </w:rPr>
        <w:t>e.g.</w:t>
      </w:r>
      <w:r w:rsidRPr="00CC39A2">
        <w:rPr>
          <w:lang w:val="en-GB"/>
        </w:rPr>
        <w:t xml:space="preserve"> Idicheria and Pickett (2005), Vogel </w:t>
      </w:r>
      <w:r w:rsidRPr="00CC39A2">
        <w:rPr>
          <w:i/>
          <w:lang w:val="en-GB"/>
        </w:rPr>
        <w:t>et al.</w:t>
      </w:r>
      <w:r w:rsidRPr="00CC39A2">
        <w:rPr>
          <w:lang w:val="en-GB"/>
        </w:rPr>
        <w:t xml:space="preserve">, (2013). LII has also been </w:t>
      </w:r>
      <w:r w:rsidR="001107C7" w:rsidRPr="00CC39A2">
        <w:rPr>
          <w:lang w:val="en-GB"/>
        </w:rPr>
        <w:t xml:space="preserve">used to study combustion in </w:t>
      </w:r>
      <w:r w:rsidRPr="00CC39A2">
        <w:rPr>
          <w:lang w:val="en-GB"/>
        </w:rPr>
        <w:t xml:space="preserve">engines operated under conditions pertinent to the LTC and PPC modes. Crank angle resolved LII measurements have been utilized to study the effect of in-cylinder soot oxidation </w:t>
      </w:r>
      <w:r w:rsidRPr="00CC39A2">
        <w:rPr>
          <w:i/>
          <w:lang w:val="en-GB"/>
        </w:rPr>
        <w:t>via</w:t>
      </w:r>
      <w:r w:rsidRPr="00CC39A2">
        <w:rPr>
          <w:lang w:val="en-GB"/>
        </w:rPr>
        <w:t xml:space="preserve"> the recording of soot particle sizes in an optical high speed diesel engine operated under relative early injection timings (Menkiel </w:t>
      </w:r>
      <w:r w:rsidRPr="00CC39A2">
        <w:rPr>
          <w:i/>
          <w:lang w:val="en-GB"/>
        </w:rPr>
        <w:t>et al.</w:t>
      </w:r>
      <w:r w:rsidRPr="00CC39A2">
        <w:rPr>
          <w:lang w:val="en-GB"/>
        </w:rPr>
        <w:t>, 2012). The in-cylinder soot volume fraction derived from time resolved LII data revealed that</w:t>
      </w:r>
      <w:r w:rsidR="00D91F81" w:rsidRPr="00CC39A2">
        <w:rPr>
          <w:lang w:val="en-GB"/>
        </w:rPr>
        <w:t>,</w:t>
      </w:r>
      <w:r w:rsidRPr="00CC39A2">
        <w:rPr>
          <w:lang w:val="en-GB"/>
        </w:rPr>
        <w:t xml:space="preserve"> for different fuel injection timings, a relatively higher amount of soot was produced for shorter ignition delay</w:t>
      </w:r>
      <w:r w:rsidR="001511B2" w:rsidRPr="00CC39A2">
        <w:rPr>
          <w:lang w:val="en-GB"/>
        </w:rPr>
        <w:t>s</w:t>
      </w:r>
      <w:r w:rsidRPr="00CC39A2">
        <w:rPr>
          <w:lang w:val="en-GB"/>
        </w:rPr>
        <w:t xml:space="preserve"> compared to </w:t>
      </w:r>
      <w:r w:rsidR="001511B2" w:rsidRPr="00CC39A2">
        <w:rPr>
          <w:lang w:val="en-GB"/>
        </w:rPr>
        <w:t xml:space="preserve">longer </w:t>
      </w:r>
      <w:r w:rsidRPr="00CC39A2">
        <w:rPr>
          <w:lang w:val="en-GB"/>
        </w:rPr>
        <w:t xml:space="preserve">ignition delays. </w:t>
      </w:r>
      <w:r w:rsidR="00A90B0B" w:rsidRPr="00CC39A2">
        <w:rPr>
          <w:lang w:val="en-GB"/>
        </w:rPr>
        <w:t xml:space="preserve">This can be correlated with the effect that diffusion-burn phase has on soot </w:t>
      </w:r>
      <w:r w:rsidR="00D91F81" w:rsidRPr="00CC39A2">
        <w:rPr>
          <w:lang w:val="en-GB"/>
        </w:rPr>
        <w:t>because</w:t>
      </w:r>
      <w:r w:rsidR="001511B2" w:rsidRPr="00CC39A2">
        <w:rPr>
          <w:lang w:val="en-GB"/>
        </w:rPr>
        <w:t>,</w:t>
      </w:r>
      <w:r w:rsidR="00A90B0B" w:rsidRPr="00CC39A2">
        <w:rPr>
          <w:lang w:val="en-GB"/>
        </w:rPr>
        <w:t xml:space="preserve"> </w:t>
      </w:r>
      <w:r w:rsidR="001511B2" w:rsidRPr="00CC39A2">
        <w:rPr>
          <w:lang w:val="en-GB"/>
        </w:rPr>
        <w:t xml:space="preserve">for </w:t>
      </w:r>
      <w:r w:rsidR="00A90B0B" w:rsidRPr="00CC39A2">
        <w:rPr>
          <w:lang w:val="en-GB"/>
        </w:rPr>
        <w:t>shorter ignition delay</w:t>
      </w:r>
      <w:r w:rsidR="001511B2" w:rsidRPr="00CC39A2">
        <w:rPr>
          <w:lang w:val="en-GB"/>
        </w:rPr>
        <w:t>,</w:t>
      </w:r>
      <w:r w:rsidR="00A90B0B" w:rsidRPr="00CC39A2">
        <w:rPr>
          <w:lang w:val="en-GB"/>
        </w:rPr>
        <w:t xml:space="preserve"> the fuel has less time available for mixing, leading to prolonged diffusion-burn phase and, consequently</w:t>
      </w:r>
      <w:r w:rsidR="00D91F81" w:rsidRPr="00CC39A2">
        <w:rPr>
          <w:lang w:val="en-GB"/>
        </w:rPr>
        <w:t>,</w:t>
      </w:r>
      <w:r w:rsidR="00A90B0B" w:rsidRPr="00CC39A2">
        <w:rPr>
          <w:lang w:val="en-GB"/>
        </w:rPr>
        <w:t xml:space="preserve"> to higher soot </w:t>
      </w:r>
      <w:r w:rsidR="001511B2" w:rsidRPr="00CC39A2">
        <w:rPr>
          <w:lang w:val="en-GB"/>
        </w:rPr>
        <w:t>generation</w:t>
      </w:r>
      <w:r w:rsidR="00A90B0B" w:rsidRPr="00CC39A2">
        <w:rPr>
          <w:lang w:val="en-GB"/>
        </w:rPr>
        <w:t xml:space="preserve">. </w:t>
      </w:r>
      <w:r w:rsidRPr="00CC39A2">
        <w:rPr>
          <w:lang w:val="en-GB"/>
        </w:rPr>
        <w:t>Further, LII images of soot distribution at various crank angle positions have been combined with natural luminosity images in order to assess in</w:t>
      </w:r>
      <w:r w:rsidR="00A7189F" w:rsidRPr="00CC39A2">
        <w:rPr>
          <w:lang w:val="en-GB"/>
        </w:rPr>
        <w:t>-</w:t>
      </w:r>
      <w:r w:rsidRPr="00CC39A2">
        <w:rPr>
          <w:lang w:val="en-GB"/>
        </w:rPr>
        <w:t>cylinder soot production as a function of ambient O</w:t>
      </w:r>
      <w:r w:rsidRPr="00CC39A2">
        <w:rPr>
          <w:vertAlign w:val="subscript"/>
          <w:lang w:val="en-GB"/>
        </w:rPr>
        <w:t>2</w:t>
      </w:r>
      <w:r w:rsidRPr="00CC39A2">
        <w:rPr>
          <w:lang w:val="en-GB"/>
        </w:rPr>
        <w:t xml:space="preserve"> mole fraction in a heavy-duty diesel (Aron</w:t>
      </w:r>
      <w:r w:rsidR="00FF11D2" w:rsidRPr="00CC39A2">
        <w:rPr>
          <w:lang w:val="en-GB"/>
        </w:rPr>
        <w:t>s</w:t>
      </w:r>
      <w:r w:rsidRPr="00CC39A2">
        <w:rPr>
          <w:lang w:val="en-GB"/>
        </w:rPr>
        <w:t xml:space="preserve">son </w:t>
      </w:r>
      <w:r w:rsidRPr="00CC39A2">
        <w:rPr>
          <w:i/>
          <w:lang w:val="en-GB"/>
        </w:rPr>
        <w:t>et al.</w:t>
      </w:r>
      <w:r w:rsidRPr="00CC39A2">
        <w:rPr>
          <w:lang w:val="en-GB"/>
        </w:rPr>
        <w:t>, 2014).</w:t>
      </w:r>
    </w:p>
    <w:p w14:paraId="18E2E4DC" w14:textId="77777777" w:rsidR="00C32B9D" w:rsidRPr="00CC39A2" w:rsidRDefault="00C32B9D" w:rsidP="00C32B9D">
      <w:pPr>
        <w:tabs>
          <w:tab w:val="left" w:pos="397"/>
        </w:tabs>
        <w:autoSpaceDE w:val="0"/>
        <w:autoSpaceDN w:val="0"/>
        <w:adjustRightInd w:val="0"/>
        <w:spacing w:before="240" w:after="240" w:line="480" w:lineRule="auto"/>
        <w:jc w:val="both"/>
        <w:rPr>
          <w:lang w:val="en-GB"/>
        </w:rPr>
      </w:pPr>
      <w:r w:rsidRPr="00CC39A2">
        <w:rPr>
          <w:lang w:val="en-GB" w:eastAsia="zh-TW"/>
        </w:rPr>
        <w:t xml:space="preserve">In the present work, a single cylinder optical diesel engine </w:t>
      </w:r>
      <w:r w:rsidR="00D91F81" w:rsidRPr="00CC39A2">
        <w:rPr>
          <w:lang w:val="en-GB" w:eastAsia="zh-TW"/>
        </w:rPr>
        <w:t xml:space="preserve">was </w:t>
      </w:r>
      <w:r w:rsidRPr="00CC39A2">
        <w:rPr>
          <w:lang w:val="en-GB" w:eastAsia="zh-TW"/>
        </w:rPr>
        <w:t xml:space="preserve">utilized for the assessment of the effect of post injection schemes on in-cylinder soot reduction mechanisms. Four different post-injection schemes </w:t>
      </w:r>
      <w:r w:rsidR="00D91F81" w:rsidRPr="00CC39A2">
        <w:rPr>
          <w:lang w:val="en-GB" w:eastAsia="zh-TW"/>
        </w:rPr>
        <w:t xml:space="preserve">were </w:t>
      </w:r>
      <w:r w:rsidRPr="00CC39A2">
        <w:rPr>
          <w:lang w:val="en-GB" w:eastAsia="zh-TW"/>
        </w:rPr>
        <w:t xml:space="preserve">examined with both post-fuel amount and injection </w:t>
      </w:r>
      <w:r w:rsidRPr="00CC39A2">
        <w:rPr>
          <w:lang w:val="en-GB" w:eastAsia="zh-TW"/>
        </w:rPr>
        <w:lastRenderedPageBreak/>
        <w:t xml:space="preserve">timing being independent experimental parameters. In particular, the post-injection fuel amount </w:t>
      </w:r>
      <w:r w:rsidR="00D91F81" w:rsidRPr="00CC39A2">
        <w:rPr>
          <w:lang w:val="en-GB" w:eastAsia="zh-TW"/>
        </w:rPr>
        <w:t xml:space="preserve">varied </w:t>
      </w:r>
      <w:r w:rsidRPr="00CC39A2">
        <w:rPr>
          <w:lang w:val="en-GB" w:eastAsia="zh-TW"/>
        </w:rPr>
        <w:t xml:space="preserve">between 7% (1 mg) and 15% (2 mg) of the total </w:t>
      </w:r>
      <w:r w:rsidR="001511B2" w:rsidRPr="00CC39A2">
        <w:rPr>
          <w:lang w:val="en-GB" w:eastAsia="zh-TW"/>
        </w:rPr>
        <w:t xml:space="preserve">amount of </w:t>
      </w:r>
      <w:r w:rsidRPr="00CC39A2">
        <w:rPr>
          <w:lang w:val="en-GB" w:eastAsia="zh-TW"/>
        </w:rPr>
        <w:t xml:space="preserve">fuel </w:t>
      </w:r>
      <w:r w:rsidRPr="00CC39A2">
        <w:rPr>
          <w:i/>
          <w:lang w:val="en-GB" w:eastAsia="zh-TW"/>
        </w:rPr>
        <w:t xml:space="preserve">per </w:t>
      </w:r>
      <w:r w:rsidRPr="00CC39A2">
        <w:rPr>
          <w:lang w:val="en-GB" w:eastAsia="zh-TW"/>
        </w:rPr>
        <w:t xml:space="preserve">cycle, while </w:t>
      </w:r>
      <w:r w:rsidR="00A90B0B" w:rsidRPr="00CC39A2">
        <w:rPr>
          <w:lang w:val="en-GB" w:eastAsia="zh-TW"/>
        </w:rPr>
        <w:t xml:space="preserve">three </w:t>
      </w:r>
      <w:r w:rsidRPr="00CC39A2">
        <w:rPr>
          <w:lang w:val="en-GB" w:eastAsia="zh-TW"/>
        </w:rPr>
        <w:t xml:space="preserve">injection timings </w:t>
      </w:r>
      <w:r w:rsidR="00D91F81" w:rsidRPr="00CC39A2">
        <w:rPr>
          <w:lang w:val="en-GB" w:eastAsia="zh-TW"/>
        </w:rPr>
        <w:t xml:space="preserve">were </w:t>
      </w:r>
      <w:r w:rsidRPr="00CC39A2">
        <w:rPr>
          <w:lang w:val="en-GB" w:eastAsia="zh-TW"/>
        </w:rPr>
        <w:t xml:space="preserve">considered at 5, 10 and 15 CAD aTDC. </w:t>
      </w:r>
      <w:r w:rsidR="001511B2" w:rsidRPr="00CC39A2">
        <w:rPr>
          <w:lang w:val="en-GB" w:eastAsia="zh-TW"/>
        </w:rPr>
        <w:t xml:space="preserve">The details of all </w:t>
      </w:r>
      <w:r w:rsidRPr="00CC39A2">
        <w:rPr>
          <w:lang w:val="en-GB" w:eastAsia="zh-TW"/>
        </w:rPr>
        <w:t xml:space="preserve">post-injection schemes are shown in Table 1. In each experiment, a </w:t>
      </w:r>
      <w:r w:rsidRPr="00CC39A2">
        <w:rPr>
          <w:lang w:val="en-GB"/>
        </w:rPr>
        <w:t xml:space="preserve">multiple pilot injection scheme </w:t>
      </w:r>
      <w:r w:rsidR="00D91F81" w:rsidRPr="00CC39A2">
        <w:rPr>
          <w:lang w:val="en-GB"/>
        </w:rPr>
        <w:t>was</w:t>
      </w:r>
      <w:r w:rsidRPr="00CC39A2">
        <w:rPr>
          <w:lang w:val="en-GB"/>
        </w:rPr>
        <w:t xml:space="preserve"> retained (1 mg or 7% of the total fuel amount for each pre-injection), while the main injection event occu</w:t>
      </w:r>
      <w:r w:rsidR="00D91F81" w:rsidRPr="00CC39A2">
        <w:rPr>
          <w:lang w:val="en-GB"/>
        </w:rPr>
        <w:t>r</w:t>
      </w:r>
      <w:r w:rsidRPr="00CC39A2">
        <w:rPr>
          <w:lang w:val="en-GB"/>
        </w:rPr>
        <w:t>r</w:t>
      </w:r>
      <w:r w:rsidR="00D91F81" w:rsidRPr="00CC39A2">
        <w:rPr>
          <w:lang w:val="en-GB"/>
        </w:rPr>
        <w:t>ed</w:t>
      </w:r>
      <w:r w:rsidRPr="00CC39A2">
        <w:rPr>
          <w:lang w:val="en-GB"/>
        </w:rPr>
        <w:t xml:space="preserve"> at the same time (-5.4 CAD aTDC) and its fuel amount </w:t>
      </w:r>
      <w:r w:rsidR="00D91F81" w:rsidRPr="00CC39A2">
        <w:rPr>
          <w:lang w:val="en-GB"/>
        </w:rPr>
        <w:t xml:space="preserve">was </w:t>
      </w:r>
      <w:r w:rsidRPr="00CC39A2">
        <w:rPr>
          <w:lang w:val="en-GB"/>
        </w:rPr>
        <w:t>adjusted in order to have a total of 15 mg of fuel injected in every cycle (including the post injection). The overall conditions have been chosen to represent a PPC</w:t>
      </w:r>
      <w:r w:rsidR="00A7189F" w:rsidRPr="00CC39A2">
        <w:rPr>
          <w:lang w:val="en-GB"/>
        </w:rPr>
        <w:t>-</w:t>
      </w:r>
      <w:r w:rsidRPr="00CC39A2">
        <w:rPr>
          <w:lang w:val="en-GB"/>
        </w:rPr>
        <w:t xml:space="preserve">like operation. A </w:t>
      </w:r>
      <w:r w:rsidR="00A7189F" w:rsidRPr="00CC39A2">
        <w:rPr>
          <w:lang w:val="en-GB"/>
        </w:rPr>
        <w:t>“</w:t>
      </w:r>
      <w:r w:rsidRPr="00CC39A2">
        <w:rPr>
          <w:lang w:val="en-GB"/>
        </w:rPr>
        <w:t>base case</w:t>
      </w:r>
      <w:r w:rsidR="00A7189F" w:rsidRPr="00CC39A2">
        <w:rPr>
          <w:lang w:val="en-GB"/>
        </w:rPr>
        <w:t>”</w:t>
      </w:r>
      <w:r w:rsidRPr="00CC39A2">
        <w:rPr>
          <w:lang w:val="en-GB"/>
        </w:rPr>
        <w:t xml:space="preserve"> without any post injection is also considered for comparison.</w:t>
      </w:r>
      <w:r w:rsidR="005873C0" w:rsidRPr="00CC39A2">
        <w:rPr>
          <w:lang w:val="en-GB"/>
        </w:rPr>
        <w:t xml:space="preserve"> </w:t>
      </w:r>
    </w:p>
    <w:p w14:paraId="6CAAA569" w14:textId="59A8935E" w:rsidR="00FC131A" w:rsidRPr="00CC39A2" w:rsidRDefault="00CE79F3" w:rsidP="002E2513">
      <w:pPr>
        <w:tabs>
          <w:tab w:val="left" w:pos="397"/>
        </w:tabs>
        <w:autoSpaceDE w:val="0"/>
        <w:autoSpaceDN w:val="0"/>
        <w:adjustRightInd w:val="0"/>
        <w:spacing w:before="240" w:after="240" w:line="480" w:lineRule="auto"/>
        <w:jc w:val="both"/>
        <w:rPr>
          <w:lang w:val="en-GB"/>
        </w:rPr>
      </w:pPr>
      <w:r w:rsidRPr="00CC39A2">
        <w:rPr>
          <w:lang w:val="en-GB"/>
        </w:rPr>
        <w:t xml:space="preserve">The aim of this research was to assess the potential of post-injection strategies </w:t>
      </w:r>
      <w:r w:rsidR="00DD10AE" w:rsidRPr="00CC39A2">
        <w:rPr>
          <w:lang w:val="en-GB"/>
        </w:rPr>
        <w:t xml:space="preserve">(fuel mass quantity and dwell time from main injection) </w:t>
      </w:r>
      <w:r w:rsidRPr="00CC39A2">
        <w:rPr>
          <w:lang w:val="en-GB"/>
        </w:rPr>
        <w:t>to suppress in-cylinder soot levels and develop phenomenological understanding of the associated observations. A Ricardo Hydra single cylinder optical</w:t>
      </w:r>
      <w:r w:rsidR="00DD10AE" w:rsidRPr="00CC39A2">
        <w:rPr>
          <w:lang w:val="en-GB"/>
        </w:rPr>
        <w:t>ly accessed</w:t>
      </w:r>
      <w:r w:rsidRPr="00CC39A2">
        <w:rPr>
          <w:lang w:val="en-GB"/>
        </w:rPr>
        <w:t xml:space="preserve"> diesel engine, </w:t>
      </w:r>
      <w:r w:rsidR="00DD10AE" w:rsidRPr="00CC39A2">
        <w:rPr>
          <w:lang w:val="en-GB"/>
        </w:rPr>
        <w:t xml:space="preserve">equipped with </w:t>
      </w:r>
      <w:r w:rsidRPr="00CC39A2">
        <w:rPr>
          <w:lang w:val="en-GB"/>
        </w:rPr>
        <w:t>a Ford Puma engine head, was operated under a partially premixed combustion mode</w:t>
      </w:r>
      <w:r w:rsidR="00DD10AE" w:rsidRPr="00CC39A2">
        <w:rPr>
          <w:lang w:val="en-GB"/>
        </w:rPr>
        <w:t xml:space="preserve"> consisted of two pilot and one main injection</w:t>
      </w:r>
      <w:r w:rsidRPr="00CC39A2">
        <w:rPr>
          <w:lang w:val="en-GB"/>
        </w:rPr>
        <w:t xml:space="preserve">. A combination of in-cylinder pressure analysis, high speed imaging of time resolved </w:t>
      </w:r>
      <w:r w:rsidR="00DD10AE" w:rsidRPr="00CC39A2">
        <w:rPr>
          <w:lang w:val="en-GB"/>
        </w:rPr>
        <w:t xml:space="preserve">line-of-sight </w:t>
      </w:r>
      <w:r w:rsidRPr="00CC39A2">
        <w:rPr>
          <w:lang w:val="en-GB"/>
        </w:rPr>
        <w:t>OH</w:t>
      </w:r>
      <w:r w:rsidRPr="00CC39A2">
        <w:rPr>
          <w:vertAlign w:val="superscript"/>
          <w:lang w:val="en-GB"/>
        </w:rPr>
        <w:t>*</w:t>
      </w:r>
      <w:r w:rsidRPr="00CC39A2">
        <w:rPr>
          <w:lang w:val="en-GB"/>
        </w:rPr>
        <w:t>, CH</w:t>
      </w:r>
      <w:r w:rsidRPr="00CC39A2">
        <w:rPr>
          <w:vertAlign w:val="superscript"/>
          <w:lang w:val="en-GB"/>
        </w:rPr>
        <w:t>*</w:t>
      </w:r>
      <w:r w:rsidRPr="00CC39A2">
        <w:rPr>
          <w:lang w:val="en-GB"/>
        </w:rPr>
        <w:t xml:space="preserve"> and C</w:t>
      </w:r>
      <w:r w:rsidRPr="00CC39A2">
        <w:rPr>
          <w:vertAlign w:val="subscript"/>
          <w:lang w:val="en-GB"/>
        </w:rPr>
        <w:t>2</w:t>
      </w:r>
      <w:r w:rsidRPr="00CC39A2">
        <w:rPr>
          <w:vertAlign w:val="superscript"/>
          <w:lang w:val="en-GB"/>
        </w:rPr>
        <w:t>*</w:t>
      </w:r>
      <w:r w:rsidRPr="00CC39A2">
        <w:rPr>
          <w:lang w:val="en-GB"/>
        </w:rPr>
        <w:t xml:space="preserve"> in-cylinder chemiluminescence measurements</w:t>
      </w:r>
      <w:r w:rsidR="00DD10AE" w:rsidRPr="00CC39A2">
        <w:rPr>
          <w:lang w:val="en-GB"/>
        </w:rPr>
        <w:t xml:space="preserve">, </w:t>
      </w:r>
      <w:r w:rsidRPr="00CC39A2">
        <w:rPr>
          <w:lang w:val="en-GB"/>
        </w:rPr>
        <w:t>and qualitative planar Laser Induced Incandescence (pLII) measurements after the end of the combustion process</w:t>
      </w:r>
      <w:r w:rsidR="00DD10AE" w:rsidRPr="00CC39A2">
        <w:rPr>
          <w:lang w:val="en-GB"/>
        </w:rPr>
        <w:t>,</w:t>
      </w:r>
      <w:r w:rsidRPr="00CC39A2">
        <w:rPr>
          <w:lang w:val="en-GB"/>
        </w:rPr>
        <w:t xml:space="preserve"> evaluated the effect of each post-injection </w:t>
      </w:r>
      <w:r w:rsidRPr="00CC39A2">
        <w:rPr>
          <w:lang w:val="en-GB"/>
        </w:rPr>
        <w:lastRenderedPageBreak/>
        <w:t xml:space="preserve">strategy </w:t>
      </w:r>
      <w:r w:rsidR="00DD10AE" w:rsidRPr="00CC39A2">
        <w:rPr>
          <w:lang w:val="en-GB"/>
        </w:rPr>
        <w:t xml:space="preserve">on the flame evolution patterns, </w:t>
      </w:r>
      <w:r w:rsidRPr="00CC39A2">
        <w:rPr>
          <w:lang w:val="en-GB"/>
        </w:rPr>
        <w:t xml:space="preserve">the heat release </w:t>
      </w:r>
      <w:r w:rsidR="00DD10AE" w:rsidRPr="00CC39A2">
        <w:rPr>
          <w:lang w:val="en-GB"/>
        </w:rPr>
        <w:t xml:space="preserve">and </w:t>
      </w:r>
      <w:r w:rsidRPr="00CC39A2">
        <w:rPr>
          <w:lang w:val="en-GB"/>
        </w:rPr>
        <w:t>global combustion characteristics and soot reduction</w:t>
      </w:r>
      <w:r w:rsidR="00DD10AE" w:rsidRPr="00CC39A2">
        <w:rPr>
          <w:lang w:val="en-GB"/>
        </w:rPr>
        <w:t xml:space="preserve"> potential</w:t>
      </w:r>
      <w:r w:rsidRPr="00CC39A2">
        <w:rPr>
          <w:lang w:val="en-GB"/>
        </w:rPr>
        <w:t xml:space="preserve">. </w:t>
      </w:r>
    </w:p>
    <w:p w14:paraId="0655D6DA" w14:textId="77777777" w:rsidR="00DD10AE" w:rsidRPr="00CC39A2" w:rsidRDefault="00DD10AE" w:rsidP="002E2513">
      <w:pPr>
        <w:tabs>
          <w:tab w:val="left" w:pos="397"/>
        </w:tabs>
        <w:autoSpaceDE w:val="0"/>
        <w:autoSpaceDN w:val="0"/>
        <w:adjustRightInd w:val="0"/>
        <w:spacing w:before="240" w:after="240" w:line="480" w:lineRule="auto"/>
        <w:jc w:val="both"/>
        <w:rPr>
          <w:lang w:val="en-GB" w:eastAsia="zh-TW"/>
        </w:rPr>
      </w:pPr>
    </w:p>
    <w:p w14:paraId="6998A567" w14:textId="77777777" w:rsidR="009D24C5" w:rsidRPr="00CC39A2" w:rsidRDefault="00DA6978" w:rsidP="00F87671">
      <w:pPr>
        <w:tabs>
          <w:tab w:val="left" w:pos="397"/>
        </w:tabs>
        <w:autoSpaceDE w:val="0"/>
        <w:autoSpaceDN w:val="0"/>
        <w:adjustRightInd w:val="0"/>
        <w:spacing w:before="240" w:after="240" w:line="480" w:lineRule="auto"/>
        <w:rPr>
          <w:b/>
          <w:lang w:val="en-GB"/>
        </w:rPr>
      </w:pPr>
      <w:r w:rsidRPr="00CC39A2">
        <w:rPr>
          <w:b/>
          <w:lang w:val="en-GB" w:eastAsia="zh-TW"/>
        </w:rPr>
        <w:t xml:space="preserve">2. </w:t>
      </w:r>
      <w:r w:rsidR="00805301" w:rsidRPr="00CC39A2">
        <w:rPr>
          <w:b/>
          <w:lang w:val="en-GB" w:eastAsia="zh-TW"/>
        </w:rPr>
        <w:t xml:space="preserve">Experimental </w:t>
      </w:r>
      <w:r w:rsidR="00834F98" w:rsidRPr="00CC39A2">
        <w:rPr>
          <w:b/>
          <w:lang w:val="en-GB" w:eastAsia="zh-TW"/>
        </w:rPr>
        <w:t>Setup</w:t>
      </w:r>
      <w:r w:rsidR="009D24C5" w:rsidRPr="00CC39A2">
        <w:rPr>
          <w:b/>
          <w:lang w:val="en-GB" w:eastAsia="zh-TW"/>
        </w:rPr>
        <w:t xml:space="preserve"> </w:t>
      </w:r>
      <w:r w:rsidR="009813AF" w:rsidRPr="00CC39A2">
        <w:rPr>
          <w:b/>
          <w:lang w:val="en-GB" w:eastAsia="zh-TW"/>
        </w:rPr>
        <w:t>and Methodology</w:t>
      </w:r>
    </w:p>
    <w:p w14:paraId="200E4ECA" w14:textId="77777777" w:rsidR="00834F98" w:rsidRPr="00CC39A2" w:rsidRDefault="00834F98" w:rsidP="00834F98">
      <w:pPr>
        <w:spacing w:before="240" w:after="240" w:line="480" w:lineRule="auto"/>
        <w:jc w:val="both"/>
        <w:rPr>
          <w:lang w:val="en-GB"/>
        </w:rPr>
      </w:pPr>
      <w:r w:rsidRPr="00CC39A2">
        <w:rPr>
          <w:lang w:val="en-GB"/>
        </w:rPr>
        <w:t xml:space="preserve">The engine utilized for this experimental campaign </w:t>
      </w:r>
      <w:r w:rsidR="00876355" w:rsidRPr="00CC39A2">
        <w:rPr>
          <w:lang w:val="en-GB"/>
        </w:rPr>
        <w:t xml:space="preserve">was </w:t>
      </w:r>
      <w:r w:rsidRPr="00CC39A2">
        <w:rPr>
          <w:lang w:val="en-GB"/>
        </w:rPr>
        <w:t xml:space="preserve">an optical Ricardo Hydra single cylinder low duty diesel engine (93.62 mm bore; 90.55 mm stroke; </w:t>
      </w:r>
      <w:r w:rsidR="00BD7038" w:rsidRPr="00CC39A2">
        <w:rPr>
          <w:lang w:val="en-GB"/>
        </w:rPr>
        <w:t>623 cm</w:t>
      </w:r>
      <w:r w:rsidR="00BD7038" w:rsidRPr="00CC39A2">
        <w:rPr>
          <w:vertAlign w:val="superscript"/>
          <w:lang w:val="en-GB"/>
        </w:rPr>
        <w:t>3</w:t>
      </w:r>
      <w:r w:rsidR="00BD7038" w:rsidRPr="00CC39A2">
        <w:rPr>
          <w:lang w:val="en-GB"/>
        </w:rPr>
        <w:t xml:space="preserve"> displacement; </w:t>
      </w:r>
      <w:r w:rsidRPr="00CC39A2">
        <w:rPr>
          <w:lang w:val="en-GB"/>
        </w:rPr>
        <w:t>16.9 geometric compression ratio)</w:t>
      </w:r>
      <w:r w:rsidR="00D651EE" w:rsidRPr="00CC39A2">
        <w:rPr>
          <w:lang w:val="en-GB"/>
        </w:rPr>
        <w:t xml:space="preserve">, </w:t>
      </w:r>
      <w:r w:rsidR="00D651EE" w:rsidRPr="00CC39A2">
        <w:rPr>
          <w:lang w:val="en-GB" w:eastAsia="zh-TW"/>
        </w:rPr>
        <w:t>equipped with a Ford York I4 2.5 lt engine cylinder head</w:t>
      </w:r>
      <w:r w:rsidR="000B2CCE" w:rsidRPr="00CC39A2">
        <w:rPr>
          <w:lang w:val="en-GB"/>
        </w:rPr>
        <w:t xml:space="preserve"> and a common rail fuel injection system (8-holes injectors, with 140° cone angle).</w:t>
      </w:r>
      <w:r w:rsidRPr="00CC39A2">
        <w:rPr>
          <w:lang w:val="en-GB"/>
        </w:rPr>
        <w:t xml:space="preserve"> The engine configuration</w:t>
      </w:r>
      <w:r w:rsidR="0026510D" w:rsidRPr="00CC39A2">
        <w:rPr>
          <w:lang w:val="en-GB"/>
        </w:rPr>
        <w:t xml:space="preserve"> and</w:t>
      </w:r>
      <w:r w:rsidRPr="00CC39A2">
        <w:rPr>
          <w:lang w:val="en-GB"/>
        </w:rPr>
        <w:t xml:space="preserve"> the </w:t>
      </w:r>
      <w:r w:rsidR="0026510D" w:rsidRPr="00CC39A2">
        <w:rPr>
          <w:lang w:val="en-GB"/>
        </w:rPr>
        <w:t xml:space="preserve">associated </w:t>
      </w:r>
      <w:r w:rsidRPr="00CC39A2">
        <w:rPr>
          <w:lang w:val="en-GB"/>
        </w:rPr>
        <w:t xml:space="preserve">instrumentation have been described in detail recently (Hong, 2015; Founti </w:t>
      </w:r>
      <w:r w:rsidRPr="00CC39A2">
        <w:rPr>
          <w:i/>
          <w:lang w:val="en-GB"/>
        </w:rPr>
        <w:t>et al.</w:t>
      </w:r>
      <w:r w:rsidRPr="00CC39A2">
        <w:rPr>
          <w:lang w:val="en-GB"/>
        </w:rPr>
        <w:t xml:space="preserve">, 2015). The engine features a metal piston with an optical window in the piston crown and, in the liner, a metal annulus that accommodated insets for four optical windows. In-cylinder pressure trace was acquired with a Kistler 6056A41 Quartz Pressure Sensor (logged at every 0.2 CAD) and the analysis of the recorded signal was realized using in-house developed codes to calculate the apparent heat transfer rate (using the Woschni correlation for the heat transfer model; </w:t>
      </w:r>
      <w:r w:rsidRPr="00CC39A2">
        <w:rPr>
          <w:i/>
          <w:lang w:val="en-GB"/>
        </w:rPr>
        <w:t>e.g.</w:t>
      </w:r>
      <w:r w:rsidRPr="00CC39A2">
        <w:rPr>
          <w:lang w:val="en-GB"/>
        </w:rPr>
        <w:t xml:space="preserve"> Heywood, 1998)</w:t>
      </w:r>
      <w:r w:rsidR="00FC131A" w:rsidRPr="00CC39A2">
        <w:rPr>
          <w:lang w:val="en-GB"/>
        </w:rPr>
        <w:t xml:space="preserve"> and to appropriately account for the thermodynamic loss angle</w:t>
      </w:r>
      <w:r w:rsidRPr="00CC39A2">
        <w:rPr>
          <w:lang w:val="en-GB"/>
        </w:rPr>
        <w:t xml:space="preserve">. For all cases, the </w:t>
      </w:r>
      <w:bookmarkStart w:id="5" w:name="OLE_LINK1"/>
      <w:bookmarkStart w:id="6" w:name="OLE_LINK2"/>
      <w:r w:rsidRPr="00CC39A2">
        <w:rPr>
          <w:lang w:val="en-GB"/>
        </w:rPr>
        <w:t xml:space="preserve">coefficient of variation </w:t>
      </w:r>
      <w:bookmarkEnd w:id="5"/>
      <w:bookmarkEnd w:id="6"/>
      <w:r w:rsidRPr="00CC39A2">
        <w:rPr>
          <w:lang w:val="en-GB"/>
        </w:rPr>
        <w:t xml:space="preserve">for the IMEP was found to be less than 2%. </w:t>
      </w:r>
    </w:p>
    <w:p w14:paraId="5FF16436" w14:textId="77777777" w:rsidR="00834F98" w:rsidRPr="00CC39A2" w:rsidRDefault="00B139C8" w:rsidP="00834F98">
      <w:pPr>
        <w:spacing w:before="240" w:after="240" w:line="480" w:lineRule="auto"/>
        <w:jc w:val="both"/>
        <w:rPr>
          <w:lang w:val="en-GB"/>
        </w:rPr>
      </w:pPr>
      <w:r w:rsidRPr="00CC39A2">
        <w:rPr>
          <w:lang w:val="en-GB"/>
        </w:rPr>
        <w:lastRenderedPageBreak/>
        <w:t>A</w:t>
      </w:r>
      <w:r w:rsidR="00834F98" w:rsidRPr="00CC39A2">
        <w:rPr>
          <w:lang w:val="en-GB"/>
        </w:rPr>
        <w:t xml:space="preserve"> Photron Fastcam APX-RS high-speed CMOS camera </w:t>
      </w:r>
      <w:r w:rsidRPr="00CC39A2">
        <w:rPr>
          <w:lang w:val="en-GB"/>
        </w:rPr>
        <w:t>imaged the high speed chemiluminescence and flame natural luminosity</w:t>
      </w:r>
      <w:r w:rsidR="00834F98" w:rsidRPr="00CC39A2">
        <w:rPr>
          <w:lang w:val="en-GB"/>
        </w:rPr>
        <w:t>, controlled by LaVision HighSpeed Controller, equipped with a 105 mm (1:1.8) UV Nikon lens. The camera acquired data at a frequency of 10 </w:t>
      </w:r>
      <w:r w:rsidRPr="00CC39A2">
        <w:rPr>
          <w:lang w:val="en-GB"/>
        </w:rPr>
        <w:t>k</w:t>
      </w:r>
      <w:r w:rsidR="00834F98" w:rsidRPr="00CC39A2">
        <w:rPr>
          <w:lang w:val="en-GB"/>
        </w:rPr>
        <w:t>Hz</w:t>
      </w:r>
      <w:r w:rsidR="00BA6FB5" w:rsidRPr="00CC39A2">
        <w:rPr>
          <w:lang w:val="en-GB"/>
        </w:rPr>
        <w:t>,</w:t>
      </w:r>
      <w:r w:rsidR="00834F98" w:rsidRPr="00CC39A2">
        <w:rPr>
          <w:lang w:val="en-GB"/>
        </w:rPr>
        <w:t xml:space="preserve"> which correspond</w:t>
      </w:r>
      <w:r w:rsidR="00876355" w:rsidRPr="00CC39A2">
        <w:rPr>
          <w:lang w:val="en-GB"/>
        </w:rPr>
        <w:t>ed</w:t>
      </w:r>
      <w:r w:rsidR="00834F98" w:rsidRPr="00CC39A2">
        <w:rPr>
          <w:lang w:val="en-GB"/>
        </w:rPr>
        <w:t xml:space="preserve"> approximately to 3 images </w:t>
      </w:r>
      <w:r w:rsidR="00834F98" w:rsidRPr="00CC39A2">
        <w:rPr>
          <w:i/>
          <w:lang w:val="en-GB"/>
        </w:rPr>
        <w:t>per</w:t>
      </w:r>
      <w:r w:rsidR="00834F98" w:rsidRPr="00CC39A2">
        <w:rPr>
          <w:lang w:val="en-GB"/>
        </w:rPr>
        <w:t xml:space="preserve"> </w:t>
      </w:r>
      <w:r w:rsidR="007E33C7" w:rsidRPr="00CC39A2">
        <w:rPr>
          <w:lang w:val="en-GB"/>
        </w:rPr>
        <w:t>2 </w:t>
      </w:r>
      <w:r w:rsidR="00834F98" w:rsidRPr="00CC39A2">
        <w:rPr>
          <w:lang w:val="en-GB"/>
        </w:rPr>
        <w:t xml:space="preserve">CAD at </w:t>
      </w:r>
      <w:r w:rsidR="007E33C7" w:rsidRPr="00CC39A2">
        <w:rPr>
          <w:lang w:val="en-GB"/>
        </w:rPr>
        <w:t>1200 </w:t>
      </w:r>
      <w:r w:rsidR="00834F98" w:rsidRPr="00CC39A2">
        <w:rPr>
          <w:lang w:val="en-GB"/>
        </w:rPr>
        <w:t>rpm engine speed. The exposure time of the recorded images was 100</w:t>
      </w:r>
      <w:r w:rsidR="000D2AE6" w:rsidRPr="00CC39A2">
        <w:rPr>
          <w:lang w:val="en-GB"/>
        </w:rPr>
        <w:t> </w:t>
      </w:r>
      <w:r w:rsidR="00834F98" w:rsidRPr="00CC39A2">
        <w:rPr>
          <w:lang w:val="en-GB"/>
        </w:rPr>
        <w:t>μs and the resolution was 512x512 pixel</w:t>
      </w:r>
      <w:r w:rsidR="00BA6FB5" w:rsidRPr="00CC39A2">
        <w:rPr>
          <w:lang w:val="en-GB"/>
        </w:rPr>
        <w:t>s</w:t>
      </w:r>
      <w:r w:rsidR="00834F98" w:rsidRPr="00CC39A2">
        <w:rPr>
          <w:lang w:val="en-GB"/>
        </w:rPr>
        <w:t xml:space="preserve">. The image acquisition took place for </w:t>
      </w:r>
      <w:r w:rsidR="00AE3502" w:rsidRPr="00CC39A2">
        <w:rPr>
          <w:lang w:val="en-GB"/>
        </w:rPr>
        <w:t>10</w:t>
      </w:r>
      <w:r w:rsidR="00834F98" w:rsidRPr="00CC39A2">
        <w:rPr>
          <w:lang w:val="en-GB"/>
        </w:rPr>
        <w:t xml:space="preserve"> consecutive cycles, with 100 images </w:t>
      </w:r>
      <w:r w:rsidR="00834F98" w:rsidRPr="00CC39A2">
        <w:rPr>
          <w:i/>
          <w:lang w:val="en-GB"/>
        </w:rPr>
        <w:t>per</w:t>
      </w:r>
      <w:r w:rsidR="00834F98" w:rsidRPr="00CC39A2">
        <w:rPr>
          <w:lang w:val="en-GB"/>
        </w:rPr>
        <w:t xml:space="preserve"> cycle. The optical filters used for natural luminosity imaging were two WG395 high transmissivity filters (Edmund optics) to cut out the ultraviolet wavelengths, for</w:t>
      </w:r>
      <w:r w:rsidR="0098430F" w:rsidRPr="00CC39A2">
        <w:rPr>
          <w:lang w:val="en-GB"/>
        </w:rPr>
        <w:t xml:space="preserve"> the</w:t>
      </w:r>
      <w:r w:rsidR="00834F98" w:rsidRPr="00CC39A2">
        <w:rPr>
          <w:lang w:val="en-GB"/>
        </w:rPr>
        <w:t xml:space="preserve"> CH</w:t>
      </w:r>
      <w:r w:rsidR="009A6B88" w:rsidRPr="00CC39A2">
        <w:rPr>
          <w:vertAlign w:val="superscript"/>
          <w:lang w:val="en-GB"/>
        </w:rPr>
        <w:t>*</w:t>
      </w:r>
      <w:r w:rsidR="00834F98" w:rsidRPr="00CC39A2">
        <w:rPr>
          <w:lang w:val="en-GB"/>
        </w:rPr>
        <w:t xml:space="preserve"> chemiluminescence a 430 </w:t>
      </w:r>
      <w:r w:rsidR="009A6B88" w:rsidRPr="00CC39A2">
        <w:rPr>
          <w:lang w:val="en-GB"/>
        </w:rPr>
        <w:t>n</w:t>
      </w:r>
      <w:r w:rsidR="00834F98" w:rsidRPr="00CC39A2">
        <w:rPr>
          <w:lang w:val="en-GB"/>
        </w:rPr>
        <w:t>m bandpass filter (FWHM 20 nm, T</w:t>
      </w:r>
      <w:r w:rsidR="00834F98" w:rsidRPr="00CC39A2">
        <w:rPr>
          <w:vertAlign w:val="subscript"/>
          <w:lang w:val="en-GB"/>
        </w:rPr>
        <w:t>max</w:t>
      </w:r>
      <w:r w:rsidR="00834F98" w:rsidRPr="00CC39A2">
        <w:rPr>
          <w:lang w:val="en-GB"/>
        </w:rPr>
        <w:t>=45%)</w:t>
      </w:r>
      <w:r w:rsidR="0098430F" w:rsidRPr="00CC39A2">
        <w:rPr>
          <w:lang w:val="en-GB"/>
        </w:rPr>
        <w:t xml:space="preserve"> was used</w:t>
      </w:r>
      <w:r w:rsidR="009A6B88" w:rsidRPr="00CC39A2">
        <w:rPr>
          <w:lang w:val="en-GB"/>
        </w:rPr>
        <w:t>,</w:t>
      </w:r>
      <w:r w:rsidR="00834F98" w:rsidRPr="00CC39A2">
        <w:rPr>
          <w:lang w:val="en-GB"/>
        </w:rPr>
        <w:t xml:space="preserve"> whereas</w:t>
      </w:r>
      <w:r w:rsidR="0098430F" w:rsidRPr="00CC39A2">
        <w:rPr>
          <w:lang w:val="en-GB"/>
        </w:rPr>
        <w:t xml:space="preserve"> the</w:t>
      </w:r>
      <w:r w:rsidR="00834F98" w:rsidRPr="00CC39A2">
        <w:rPr>
          <w:lang w:val="en-GB"/>
        </w:rPr>
        <w:t xml:space="preserve"> chemiluminescence </w:t>
      </w:r>
      <w:r w:rsidR="0098430F" w:rsidRPr="00CC39A2">
        <w:rPr>
          <w:lang w:val="en-GB"/>
        </w:rPr>
        <w:t xml:space="preserve">from </w:t>
      </w:r>
      <w:r w:rsidR="00834F98" w:rsidRPr="00CC39A2">
        <w:rPr>
          <w:lang w:val="en-GB"/>
        </w:rPr>
        <w:t>C</w:t>
      </w:r>
      <w:r w:rsidR="00834F98" w:rsidRPr="00CC39A2">
        <w:rPr>
          <w:vertAlign w:val="subscript"/>
          <w:lang w:val="en-GB"/>
        </w:rPr>
        <w:t>2</w:t>
      </w:r>
      <w:r w:rsidR="009A6B88" w:rsidRPr="00CC39A2">
        <w:rPr>
          <w:vertAlign w:val="superscript"/>
          <w:lang w:val="en-GB"/>
        </w:rPr>
        <w:t>*</w:t>
      </w:r>
      <w:r w:rsidR="009A6B88" w:rsidRPr="00CC39A2">
        <w:rPr>
          <w:lang w:val="en-GB"/>
        </w:rPr>
        <w:t xml:space="preserve"> </w:t>
      </w:r>
      <w:r w:rsidR="0098430F" w:rsidRPr="00CC39A2">
        <w:rPr>
          <w:lang w:val="en-GB"/>
        </w:rPr>
        <w:t xml:space="preserve">was </w:t>
      </w:r>
      <w:r w:rsidR="00834F98" w:rsidRPr="00CC39A2">
        <w:rPr>
          <w:lang w:val="en-GB"/>
        </w:rPr>
        <w:t>passed through an optical bandpass filter at 514 </w:t>
      </w:r>
      <w:r w:rsidR="009A6B88" w:rsidRPr="00CC39A2">
        <w:rPr>
          <w:lang w:val="en-GB"/>
        </w:rPr>
        <w:t>n</w:t>
      </w:r>
      <w:r w:rsidR="00834F98" w:rsidRPr="00CC39A2">
        <w:rPr>
          <w:lang w:val="en-GB"/>
        </w:rPr>
        <w:t>m (FWHM 30 nm, T</w:t>
      </w:r>
      <w:r w:rsidR="00834F98" w:rsidRPr="00CC39A2">
        <w:rPr>
          <w:vertAlign w:val="subscript"/>
          <w:lang w:val="en-GB"/>
        </w:rPr>
        <w:t>max</w:t>
      </w:r>
      <w:r w:rsidR="00834F98" w:rsidRPr="00CC39A2">
        <w:rPr>
          <w:lang w:val="en-GB"/>
        </w:rPr>
        <w:t>=54%). OH</w:t>
      </w:r>
      <w:r w:rsidR="009A6B88" w:rsidRPr="00CC39A2">
        <w:rPr>
          <w:vertAlign w:val="superscript"/>
          <w:lang w:val="en-GB"/>
        </w:rPr>
        <w:t>*</w:t>
      </w:r>
      <w:r w:rsidR="00834F98" w:rsidRPr="00CC39A2">
        <w:rPr>
          <w:lang w:val="en-GB"/>
        </w:rPr>
        <w:t xml:space="preserve"> imaging was realized </w:t>
      </w:r>
      <w:r w:rsidR="00834F98" w:rsidRPr="00CC39A2">
        <w:rPr>
          <w:i/>
          <w:lang w:val="en-GB"/>
        </w:rPr>
        <w:t>via</w:t>
      </w:r>
      <w:r w:rsidR="00834F98" w:rsidRPr="00CC39A2">
        <w:rPr>
          <w:lang w:val="en-GB"/>
        </w:rPr>
        <w:t xml:space="preserve"> combining a FGUV11S (Thorlabs, FWHM 30 nm, T</w:t>
      </w:r>
      <w:r w:rsidR="00834F98" w:rsidRPr="00CC39A2">
        <w:rPr>
          <w:vertAlign w:val="subscript"/>
          <w:lang w:val="en-GB"/>
        </w:rPr>
        <w:t>max</w:t>
      </w:r>
      <w:r w:rsidR="00834F98" w:rsidRPr="00CC39A2">
        <w:rPr>
          <w:lang w:val="en-GB"/>
        </w:rPr>
        <w:t xml:space="preserve">=82%) coloured glass filter and a WG295 high transmissivity filter (Edmund optics). </w:t>
      </w:r>
    </w:p>
    <w:p w14:paraId="4A9E5ABC" w14:textId="77777777" w:rsidR="00834F98" w:rsidRPr="00CC39A2" w:rsidRDefault="00834F98" w:rsidP="00834F98">
      <w:pPr>
        <w:spacing w:before="240" w:after="240" w:line="480" w:lineRule="auto"/>
        <w:jc w:val="both"/>
        <w:rPr>
          <w:lang w:val="en-GB"/>
        </w:rPr>
      </w:pPr>
      <w:r w:rsidRPr="00CC39A2">
        <w:rPr>
          <w:lang w:val="en-GB"/>
        </w:rPr>
        <w:t>For the qualitative planar Laser Induced Incandescence (pLII) measurements, the laser used for exciting the soot particles was a Quanta-Ray Pro 270-10Hz laser</w:t>
      </w:r>
      <w:r w:rsidR="009A6B88" w:rsidRPr="00CC39A2">
        <w:rPr>
          <w:lang w:val="en-GB"/>
        </w:rPr>
        <w:t>,</w:t>
      </w:r>
      <w:r w:rsidRPr="00CC39A2">
        <w:rPr>
          <w:lang w:val="en-GB"/>
        </w:rPr>
        <w:t xml:space="preserve"> </w:t>
      </w:r>
      <w:r w:rsidR="009A6B88" w:rsidRPr="00CC39A2">
        <w:rPr>
          <w:lang w:val="en-GB"/>
        </w:rPr>
        <w:t xml:space="preserve">operating </w:t>
      </w:r>
      <w:r w:rsidRPr="00CC39A2">
        <w:rPr>
          <w:lang w:val="en-GB"/>
        </w:rPr>
        <w:t>at 532 nm wavelength</w:t>
      </w:r>
      <w:r w:rsidR="009A6B88" w:rsidRPr="00CC39A2">
        <w:rPr>
          <w:lang w:val="en-GB"/>
        </w:rPr>
        <w:t>,</w:t>
      </w:r>
      <w:r w:rsidRPr="00CC39A2">
        <w:rPr>
          <w:lang w:val="en-GB"/>
        </w:rPr>
        <w:t xml:space="preserve"> with 900 mJ of energy </w:t>
      </w:r>
      <w:r w:rsidRPr="00CC39A2">
        <w:rPr>
          <w:i/>
          <w:lang w:val="en-GB"/>
        </w:rPr>
        <w:t>per</w:t>
      </w:r>
      <w:r w:rsidRPr="00CC39A2">
        <w:rPr>
          <w:lang w:val="en-GB"/>
        </w:rPr>
        <w:t xml:space="preserve"> pulse</w:t>
      </w:r>
      <w:r w:rsidR="009A6B88" w:rsidRPr="00CC39A2">
        <w:rPr>
          <w:lang w:val="en-GB"/>
        </w:rPr>
        <w:t xml:space="preserve"> and </w:t>
      </w:r>
      <w:r w:rsidRPr="00CC39A2">
        <w:rPr>
          <w:lang w:val="en-GB"/>
        </w:rPr>
        <w:t>pulse width of 1-2 ns. The laser beam was guided into the combustion chamber using appropriate mirrors compatible with this specific wavelength and was transformed into a focused laser sheet using a series of cylindrical lenses from Thorlabs with focal length</w:t>
      </w:r>
      <w:r w:rsidR="00876355" w:rsidRPr="00CC39A2">
        <w:rPr>
          <w:lang w:val="en-GB"/>
        </w:rPr>
        <w:t>s</w:t>
      </w:r>
      <w:r w:rsidRPr="00CC39A2">
        <w:rPr>
          <w:lang w:val="en-GB"/>
        </w:rPr>
        <w:t xml:space="preserve"> of -50</w:t>
      </w:r>
      <w:r w:rsidR="000D2AE6" w:rsidRPr="00CC39A2">
        <w:rPr>
          <w:lang w:val="en-GB"/>
        </w:rPr>
        <w:t> </w:t>
      </w:r>
      <w:r w:rsidRPr="00CC39A2">
        <w:rPr>
          <w:lang w:val="en-GB"/>
        </w:rPr>
        <w:t>mm, 150</w:t>
      </w:r>
      <w:r w:rsidR="000D2AE6" w:rsidRPr="00CC39A2">
        <w:rPr>
          <w:lang w:val="en-GB"/>
        </w:rPr>
        <w:t> </w:t>
      </w:r>
      <w:r w:rsidRPr="00CC39A2">
        <w:rPr>
          <w:lang w:val="en-GB"/>
        </w:rPr>
        <w:t>mm and 1000</w:t>
      </w:r>
      <w:r w:rsidR="000D2AE6" w:rsidRPr="00CC39A2">
        <w:rPr>
          <w:lang w:val="en-GB"/>
        </w:rPr>
        <w:t> </w:t>
      </w:r>
      <w:r w:rsidRPr="00CC39A2">
        <w:rPr>
          <w:lang w:val="en-GB"/>
        </w:rPr>
        <w:t xml:space="preserve">mm. The laser sheet </w:t>
      </w:r>
      <w:r w:rsidR="00AF141D" w:rsidRPr="00CC39A2">
        <w:rPr>
          <w:lang w:val="en-GB"/>
        </w:rPr>
        <w:t xml:space="preserve">passed </w:t>
      </w:r>
      <w:r w:rsidRPr="00CC39A2">
        <w:rPr>
          <w:lang w:val="en-GB"/>
        </w:rPr>
        <w:t xml:space="preserve">through two </w:t>
      </w:r>
      <w:r w:rsidR="0098430F" w:rsidRPr="00CC39A2">
        <w:rPr>
          <w:lang w:val="en-GB"/>
        </w:rPr>
        <w:t xml:space="preserve">of the </w:t>
      </w:r>
      <w:r w:rsidRPr="00CC39A2">
        <w:rPr>
          <w:lang w:val="en-GB"/>
        </w:rPr>
        <w:t>side windows of the combustion annulus</w:t>
      </w:r>
      <w:r w:rsidR="0098430F" w:rsidRPr="00CC39A2">
        <w:rPr>
          <w:lang w:val="en-GB"/>
        </w:rPr>
        <w:t xml:space="preserve">, </w:t>
      </w:r>
      <w:r w:rsidR="0098430F" w:rsidRPr="00CC39A2">
        <w:rPr>
          <w:lang w:val="en-GB"/>
        </w:rPr>
        <w:lastRenderedPageBreak/>
        <w:t>thereby crossing the bore</w:t>
      </w:r>
      <w:r w:rsidRPr="00CC39A2">
        <w:rPr>
          <w:lang w:val="en-GB"/>
        </w:rPr>
        <w:t xml:space="preserve"> and </w:t>
      </w:r>
      <w:r w:rsidR="0098430F" w:rsidRPr="00CC39A2">
        <w:rPr>
          <w:lang w:val="en-GB"/>
        </w:rPr>
        <w:t>was terminated</w:t>
      </w:r>
      <w:r w:rsidRPr="00CC39A2">
        <w:rPr>
          <w:lang w:val="en-GB"/>
        </w:rPr>
        <w:t xml:space="preserve"> </w:t>
      </w:r>
      <w:r w:rsidR="0098430F" w:rsidRPr="00CC39A2">
        <w:rPr>
          <w:lang w:val="en-GB"/>
        </w:rPr>
        <w:t xml:space="preserve">by </w:t>
      </w:r>
      <w:r w:rsidRPr="00CC39A2">
        <w:rPr>
          <w:lang w:val="en-GB"/>
        </w:rPr>
        <w:t>a beam dump. Due to the size and the positioning of the optical windows, the laser sheet had a width of approx</w:t>
      </w:r>
      <w:r w:rsidR="00AF141D" w:rsidRPr="00CC39A2">
        <w:rPr>
          <w:lang w:val="en-GB"/>
        </w:rPr>
        <w:t xml:space="preserve">imately </w:t>
      </w:r>
      <w:r w:rsidRPr="00CC39A2">
        <w:rPr>
          <w:lang w:val="en-GB"/>
        </w:rPr>
        <w:t>5 mm</w:t>
      </w:r>
      <w:r w:rsidR="009A6B88" w:rsidRPr="00CC39A2">
        <w:rPr>
          <w:lang w:val="en-GB"/>
        </w:rPr>
        <w:t>.</w:t>
      </w:r>
      <w:r w:rsidRPr="00CC39A2">
        <w:rPr>
          <w:lang w:val="en-GB"/>
        </w:rPr>
        <w:t xml:space="preserve"> </w:t>
      </w:r>
      <w:r w:rsidR="00AF141D" w:rsidRPr="00CC39A2">
        <w:rPr>
          <w:lang w:val="en-GB"/>
        </w:rPr>
        <w:t xml:space="preserve">Due to </w:t>
      </w:r>
      <w:r w:rsidR="0098430F" w:rsidRPr="00CC39A2">
        <w:rPr>
          <w:lang w:val="en-GB"/>
        </w:rPr>
        <w:t xml:space="preserve">limitations in the </w:t>
      </w:r>
      <w:r w:rsidR="00AF141D" w:rsidRPr="00CC39A2">
        <w:rPr>
          <w:lang w:val="en-GB"/>
        </w:rPr>
        <w:t>optical access</w:t>
      </w:r>
      <w:r w:rsidR="009A6B88" w:rsidRPr="00CC39A2">
        <w:rPr>
          <w:lang w:val="en-GB"/>
        </w:rPr>
        <w:t>,</w:t>
      </w:r>
      <w:r w:rsidRPr="00CC39A2">
        <w:rPr>
          <w:lang w:val="en-GB"/>
        </w:rPr>
        <w:t xml:space="preserve"> pLII measurements</w:t>
      </w:r>
      <w:r w:rsidR="0098430F" w:rsidRPr="00CC39A2">
        <w:rPr>
          <w:lang w:val="en-GB"/>
        </w:rPr>
        <w:t xml:space="preserve"> of the soot remaining after the post-injection pulses</w:t>
      </w:r>
      <w:r w:rsidRPr="00CC39A2">
        <w:rPr>
          <w:lang w:val="en-GB"/>
        </w:rPr>
        <w:t xml:space="preserve"> were </w:t>
      </w:r>
      <w:r w:rsidR="00AF141D" w:rsidRPr="00CC39A2">
        <w:rPr>
          <w:lang w:val="en-GB"/>
        </w:rPr>
        <w:t xml:space="preserve">obtained </w:t>
      </w:r>
      <w:r w:rsidRPr="00CC39A2">
        <w:rPr>
          <w:lang w:val="en-GB"/>
        </w:rPr>
        <w:t xml:space="preserve">at 31 CAD and 50 CAD aTDC. </w:t>
      </w:r>
      <w:r w:rsidR="0098430F" w:rsidRPr="00CC39A2">
        <w:rPr>
          <w:lang w:val="en-GB"/>
        </w:rPr>
        <w:t>A LaVision FlowMaster 3S fitted with an intensifier and a 105 mm (1:1.8) UV Nikon lens was</w:t>
      </w:r>
      <w:r w:rsidR="0098430F" w:rsidRPr="00CC39A2" w:rsidDel="0098430F">
        <w:rPr>
          <w:lang w:val="en-GB"/>
        </w:rPr>
        <w:t xml:space="preserve"> </w:t>
      </w:r>
      <w:r w:rsidRPr="00CC39A2">
        <w:rPr>
          <w:lang w:val="en-GB"/>
        </w:rPr>
        <w:t xml:space="preserve">used to capture the </w:t>
      </w:r>
      <w:r w:rsidR="0098430F" w:rsidRPr="00CC39A2">
        <w:rPr>
          <w:lang w:val="en-GB"/>
        </w:rPr>
        <w:t>p</w:t>
      </w:r>
      <w:r w:rsidRPr="00CC39A2">
        <w:rPr>
          <w:lang w:val="en-GB"/>
        </w:rPr>
        <w:t xml:space="preserve">LII signal </w:t>
      </w:r>
      <w:r w:rsidR="0098430F" w:rsidRPr="00CC39A2">
        <w:rPr>
          <w:lang w:val="en-GB"/>
        </w:rPr>
        <w:t>through</w:t>
      </w:r>
      <w:r w:rsidRPr="00CC39A2">
        <w:rPr>
          <w:lang w:val="en-GB"/>
        </w:rPr>
        <w:t xml:space="preserve"> a Samrock FF01-405/10-25 filter that ha</w:t>
      </w:r>
      <w:r w:rsidR="00876355" w:rsidRPr="00CC39A2">
        <w:rPr>
          <w:lang w:val="en-GB"/>
        </w:rPr>
        <w:t>d</w:t>
      </w:r>
      <w:r w:rsidRPr="00CC39A2">
        <w:rPr>
          <w:lang w:val="en-GB"/>
        </w:rPr>
        <w:t xml:space="preserve"> a </w:t>
      </w:r>
      <w:r w:rsidR="0098430F" w:rsidRPr="00CC39A2">
        <w:rPr>
          <w:lang w:val="en-GB"/>
        </w:rPr>
        <w:t xml:space="preserve">centre </w:t>
      </w:r>
      <w:r w:rsidRPr="00CC39A2">
        <w:rPr>
          <w:lang w:val="en-GB"/>
        </w:rPr>
        <w:t>wavelength of 405</w:t>
      </w:r>
      <w:r w:rsidR="00AE3502" w:rsidRPr="00CC39A2">
        <w:rPr>
          <w:lang w:val="en-GB"/>
        </w:rPr>
        <w:t> </w:t>
      </w:r>
      <w:r w:rsidRPr="00CC39A2">
        <w:rPr>
          <w:lang w:val="en-GB"/>
        </w:rPr>
        <w:t>nm with guaranteed minimum bandwidth of 10nm, which filtered out most of the chemiluminescence and other fluorescence signal</w:t>
      </w:r>
      <w:r w:rsidR="009A6B88" w:rsidRPr="00CC39A2">
        <w:rPr>
          <w:lang w:val="en-GB"/>
        </w:rPr>
        <w:t>s</w:t>
      </w:r>
      <w:r w:rsidRPr="00CC39A2">
        <w:rPr>
          <w:lang w:val="en-GB"/>
        </w:rPr>
        <w:t xml:space="preserve">. The final images </w:t>
      </w:r>
      <w:r w:rsidR="009A6B88" w:rsidRPr="00CC39A2">
        <w:rPr>
          <w:lang w:val="en-GB"/>
        </w:rPr>
        <w:t xml:space="preserve">presented </w:t>
      </w:r>
      <w:r w:rsidRPr="00CC39A2">
        <w:rPr>
          <w:lang w:val="en-GB"/>
        </w:rPr>
        <w:t xml:space="preserve">here are a result of </w:t>
      </w:r>
      <w:r w:rsidR="009A6B88" w:rsidRPr="00CC39A2">
        <w:rPr>
          <w:lang w:val="en-GB"/>
        </w:rPr>
        <w:t xml:space="preserve">intensity </w:t>
      </w:r>
      <w:r w:rsidRPr="00CC39A2">
        <w:rPr>
          <w:lang w:val="en-GB"/>
        </w:rPr>
        <w:t xml:space="preserve">thresholding to remove noise caused by the intensifier, and averaging </w:t>
      </w:r>
      <w:r w:rsidR="009A6B88" w:rsidRPr="00CC39A2">
        <w:rPr>
          <w:lang w:val="en-GB"/>
        </w:rPr>
        <w:t xml:space="preserve">over </w:t>
      </w:r>
      <w:r w:rsidRPr="00CC39A2">
        <w:rPr>
          <w:lang w:val="en-GB"/>
        </w:rPr>
        <w:t>300 consecutive cycles.</w:t>
      </w:r>
    </w:p>
    <w:p w14:paraId="380BC673" w14:textId="77777777" w:rsidR="00834F98" w:rsidRPr="00CC39A2" w:rsidRDefault="00834F98" w:rsidP="00834F98">
      <w:pPr>
        <w:spacing w:before="240" w:after="240" w:line="480" w:lineRule="auto"/>
        <w:jc w:val="both"/>
        <w:rPr>
          <w:lang w:val="en-GB"/>
        </w:rPr>
      </w:pPr>
      <w:r w:rsidRPr="00CC39A2">
        <w:rPr>
          <w:lang w:val="en-GB"/>
        </w:rPr>
        <w:t xml:space="preserve">The findings of the experimental campaign are discussed on the basis of both optical measurements and </w:t>
      </w:r>
      <w:r w:rsidRPr="00CC39A2">
        <w:rPr>
          <w:i/>
          <w:lang w:val="en-GB"/>
        </w:rPr>
        <w:t>via</w:t>
      </w:r>
      <w:r w:rsidRPr="00CC39A2">
        <w:rPr>
          <w:lang w:val="en-GB"/>
        </w:rPr>
        <w:t xml:space="preserve"> pressure trace and apparent rate of heat transfer analyses. </w:t>
      </w:r>
      <w:r w:rsidR="00B74F14" w:rsidRPr="00CC39A2">
        <w:rPr>
          <w:lang w:val="en-GB"/>
        </w:rPr>
        <w:t>The use of chemiluminescence in engine studies has been proven a useful diagnostic tool for local measurements of combustion characteristics (</w:t>
      </w:r>
      <w:r w:rsidR="00B74F14" w:rsidRPr="00CC39A2">
        <w:rPr>
          <w:i/>
          <w:lang w:val="en-GB"/>
        </w:rPr>
        <w:t>e.g.</w:t>
      </w:r>
      <w:r w:rsidR="00B74F14" w:rsidRPr="00CC39A2">
        <w:rPr>
          <w:lang w:val="en-GB"/>
        </w:rPr>
        <w:t xml:space="preserve"> Hardalupas </w:t>
      </w:r>
      <w:r w:rsidR="00B74F14" w:rsidRPr="00CC39A2">
        <w:rPr>
          <w:i/>
          <w:lang w:val="en-GB"/>
        </w:rPr>
        <w:t>et al.</w:t>
      </w:r>
      <w:r w:rsidR="00B74F14" w:rsidRPr="00CC39A2">
        <w:rPr>
          <w:lang w:val="en-GB"/>
        </w:rPr>
        <w:t xml:space="preserve">, 2004 and Aleiferis </w:t>
      </w:r>
      <w:r w:rsidR="00B74F14" w:rsidRPr="00CC39A2">
        <w:rPr>
          <w:i/>
          <w:lang w:val="en-GB"/>
        </w:rPr>
        <w:t>et al.</w:t>
      </w:r>
      <w:r w:rsidR="00B74F14" w:rsidRPr="00CC39A2">
        <w:rPr>
          <w:lang w:val="en-GB"/>
        </w:rPr>
        <w:t xml:space="preserve">, 2004). </w:t>
      </w:r>
      <w:r w:rsidRPr="00CC39A2">
        <w:rPr>
          <w:lang w:val="en-GB"/>
        </w:rPr>
        <w:t xml:space="preserve">Flame propagation </w:t>
      </w:r>
      <w:r w:rsidR="0098430F" w:rsidRPr="00CC39A2">
        <w:rPr>
          <w:lang w:val="en-GB"/>
        </w:rPr>
        <w:t xml:space="preserve">was </w:t>
      </w:r>
      <w:r w:rsidRPr="00CC39A2">
        <w:rPr>
          <w:lang w:val="en-GB"/>
        </w:rPr>
        <w:t>captured by means of high speed imaging of flame luminosity and CH</w:t>
      </w:r>
      <w:r w:rsidR="00843C2C" w:rsidRPr="00CC39A2">
        <w:rPr>
          <w:vertAlign w:val="superscript"/>
          <w:lang w:val="en-GB"/>
        </w:rPr>
        <w:t>*</w:t>
      </w:r>
      <w:r w:rsidRPr="00CC39A2">
        <w:rPr>
          <w:lang w:val="en-GB"/>
        </w:rPr>
        <w:t>, C</w:t>
      </w:r>
      <w:r w:rsidRPr="00CC39A2">
        <w:rPr>
          <w:vertAlign w:val="subscript"/>
          <w:lang w:val="en-GB"/>
        </w:rPr>
        <w:t>2</w:t>
      </w:r>
      <w:r w:rsidR="00843C2C" w:rsidRPr="00CC39A2">
        <w:rPr>
          <w:vertAlign w:val="superscript"/>
          <w:lang w:val="en-GB"/>
        </w:rPr>
        <w:t>*</w:t>
      </w:r>
      <w:r w:rsidR="00843C2C" w:rsidRPr="00CC39A2">
        <w:rPr>
          <w:lang w:val="en-GB"/>
        </w:rPr>
        <w:t xml:space="preserve"> </w:t>
      </w:r>
      <w:r w:rsidRPr="00CC39A2">
        <w:rPr>
          <w:lang w:val="en-GB"/>
        </w:rPr>
        <w:t>and OH</w:t>
      </w:r>
      <w:r w:rsidR="00843C2C" w:rsidRPr="00CC39A2">
        <w:rPr>
          <w:vertAlign w:val="superscript"/>
          <w:lang w:val="en-GB"/>
        </w:rPr>
        <w:t>*</w:t>
      </w:r>
      <w:r w:rsidRPr="00CC39A2">
        <w:rPr>
          <w:lang w:val="en-GB"/>
        </w:rPr>
        <w:t xml:space="preserve"> line-of-sight chemiluminescence. Flame natural luminosity from diesel combustion </w:t>
      </w:r>
      <w:r w:rsidR="0098430F" w:rsidRPr="00CC39A2">
        <w:rPr>
          <w:lang w:val="en-GB"/>
        </w:rPr>
        <w:t xml:space="preserve">is useful </w:t>
      </w:r>
      <w:r w:rsidRPr="00CC39A2">
        <w:rPr>
          <w:lang w:val="en-GB"/>
        </w:rPr>
        <w:t>for the study of soot</w:t>
      </w:r>
      <w:r w:rsidR="0098430F" w:rsidRPr="00CC39A2">
        <w:rPr>
          <w:lang w:val="en-GB"/>
        </w:rPr>
        <w:t>,</w:t>
      </w:r>
      <w:r w:rsidRPr="00CC39A2">
        <w:rPr>
          <w:lang w:val="en-GB"/>
        </w:rPr>
        <w:t xml:space="preserve"> </w:t>
      </w:r>
      <w:r w:rsidR="0098430F" w:rsidRPr="00CC39A2">
        <w:rPr>
          <w:lang w:val="en-GB"/>
        </w:rPr>
        <w:t>because it</w:t>
      </w:r>
      <w:r w:rsidRPr="00CC39A2">
        <w:rPr>
          <w:lang w:val="en-GB"/>
        </w:rPr>
        <w:t xml:space="preserve"> mainly originates from soot luminescence and incandescence. The signal </w:t>
      </w:r>
      <w:r w:rsidR="0098430F" w:rsidRPr="00CC39A2">
        <w:rPr>
          <w:lang w:val="en-GB"/>
        </w:rPr>
        <w:t xml:space="preserve">from </w:t>
      </w:r>
      <w:r w:rsidRPr="00CC39A2">
        <w:rPr>
          <w:lang w:val="en-GB"/>
        </w:rPr>
        <w:t xml:space="preserve">the flame natural luminosity can be correlated </w:t>
      </w:r>
      <w:r w:rsidR="00012311" w:rsidRPr="00CC39A2">
        <w:rPr>
          <w:lang w:val="en-GB"/>
        </w:rPr>
        <w:t xml:space="preserve">with </w:t>
      </w:r>
      <w:r w:rsidRPr="00CC39A2">
        <w:rPr>
          <w:lang w:val="en-GB"/>
        </w:rPr>
        <w:t>the total soot oxidation rate and</w:t>
      </w:r>
      <w:r w:rsidR="00843C2C" w:rsidRPr="00CC39A2">
        <w:rPr>
          <w:lang w:val="en-GB"/>
        </w:rPr>
        <w:t>,</w:t>
      </w:r>
      <w:r w:rsidRPr="00CC39A2">
        <w:rPr>
          <w:lang w:val="en-GB"/>
        </w:rPr>
        <w:t xml:space="preserve"> within the context of the present study</w:t>
      </w:r>
      <w:r w:rsidR="00843C2C" w:rsidRPr="00CC39A2">
        <w:rPr>
          <w:lang w:val="en-GB"/>
        </w:rPr>
        <w:t>,</w:t>
      </w:r>
      <w:r w:rsidRPr="00CC39A2">
        <w:rPr>
          <w:lang w:val="en-GB"/>
        </w:rPr>
        <w:t xml:space="preserve"> is considered as a proxy of the in-cylinder soot levels, while </w:t>
      </w:r>
      <w:r w:rsidR="00012311" w:rsidRPr="00CC39A2">
        <w:rPr>
          <w:lang w:val="en-GB"/>
        </w:rPr>
        <w:lastRenderedPageBreak/>
        <w:t xml:space="preserve">(broadband) </w:t>
      </w:r>
      <w:r w:rsidRPr="00CC39A2">
        <w:rPr>
          <w:lang w:val="en-GB"/>
        </w:rPr>
        <w:t xml:space="preserve">luminous combustion takes place. For </w:t>
      </w:r>
      <w:r w:rsidR="00012311" w:rsidRPr="00CC39A2">
        <w:rPr>
          <w:lang w:val="en-GB"/>
        </w:rPr>
        <w:t>the detection of soot when it is no longer detectably "self-luminous", that is to say,</w:t>
      </w:r>
      <w:r w:rsidRPr="00CC39A2">
        <w:rPr>
          <w:lang w:val="en-GB"/>
        </w:rPr>
        <w:t xml:space="preserve"> after the completion of the luminous combustion, the signal from </w:t>
      </w:r>
      <w:r w:rsidR="00B74F14" w:rsidRPr="00CC39A2">
        <w:rPr>
          <w:lang w:val="en-GB"/>
        </w:rPr>
        <w:t>p</w:t>
      </w:r>
      <w:r w:rsidRPr="00CC39A2">
        <w:rPr>
          <w:lang w:val="en-GB"/>
        </w:rPr>
        <w:t xml:space="preserve">LII </w:t>
      </w:r>
      <w:r w:rsidR="00876355" w:rsidRPr="00CC39A2">
        <w:rPr>
          <w:lang w:val="en-GB"/>
        </w:rPr>
        <w:t xml:space="preserve">was </w:t>
      </w:r>
      <w:r w:rsidRPr="00CC39A2">
        <w:rPr>
          <w:lang w:val="en-GB"/>
        </w:rPr>
        <w:t xml:space="preserve">used. </w:t>
      </w:r>
    </w:p>
    <w:p w14:paraId="36C8EFB0" w14:textId="1889F020" w:rsidR="00AD6B0D" w:rsidRPr="00CC39A2" w:rsidRDefault="00834F98" w:rsidP="00834F98">
      <w:pPr>
        <w:spacing w:before="240" w:after="240" w:line="480" w:lineRule="auto"/>
        <w:jc w:val="both"/>
        <w:rPr>
          <w:lang w:val="en-GB"/>
        </w:rPr>
      </w:pPr>
      <w:r w:rsidRPr="00CC39A2">
        <w:rPr>
          <w:lang w:val="en-GB"/>
        </w:rPr>
        <w:t>Each of the chemiluminescent species is a proxy of a fundamental combustion property; CH</w:t>
      </w:r>
      <w:r w:rsidRPr="00CC39A2">
        <w:rPr>
          <w:vertAlign w:val="superscript"/>
          <w:lang w:val="en-GB"/>
        </w:rPr>
        <w:t>*</w:t>
      </w:r>
      <w:r w:rsidRPr="00CC39A2">
        <w:rPr>
          <w:lang w:val="en-GB"/>
        </w:rPr>
        <w:t xml:space="preserve"> is related to the </w:t>
      </w:r>
      <w:r w:rsidR="00BA57AC" w:rsidRPr="00CC39A2">
        <w:rPr>
          <w:lang w:val="en-GB"/>
        </w:rPr>
        <w:t>reaction</w:t>
      </w:r>
      <w:r w:rsidRPr="00CC39A2">
        <w:rPr>
          <w:lang w:val="en-GB"/>
        </w:rPr>
        <w:t xml:space="preserve"> zone and the flame front, while C</w:t>
      </w:r>
      <w:r w:rsidRPr="00CC39A2">
        <w:rPr>
          <w:vertAlign w:val="subscript"/>
          <w:lang w:val="en-GB"/>
        </w:rPr>
        <w:t>2</w:t>
      </w:r>
      <w:r w:rsidRPr="00CC39A2">
        <w:rPr>
          <w:vertAlign w:val="superscript"/>
          <w:lang w:val="en-GB"/>
        </w:rPr>
        <w:t>*</w:t>
      </w:r>
      <w:r w:rsidRPr="00CC39A2">
        <w:rPr>
          <w:lang w:val="en-GB"/>
        </w:rPr>
        <w:t xml:space="preserve"> is indicative of fuel-rich </w:t>
      </w:r>
      <w:r w:rsidR="00C430EB" w:rsidRPr="00CC39A2">
        <w:rPr>
          <w:lang w:val="en-GB"/>
        </w:rPr>
        <w:t xml:space="preserve">reactive </w:t>
      </w:r>
      <w:r w:rsidRPr="00CC39A2">
        <w:rPr>
          <w:lang w:val="en-GB"/>
        </w:rPr>
        <w:t>areas. OH</w:t>
      </w:r>
      <w:r w:rsidRPr="00CC39A2">
        <w:rPr>
          <w:vertAlign w:val="superscript"/>
          <w:lang w:val="en-GB"/>
        </w:rPr>
        <w:t>*</w:t>
      </w:r>
      <w:r w:rsidRPr="00CC39A2">
        <w:rPr>
          <w:lang w:val="en-GB"/>
        </w:rPr>
        <w:t xml:space="preserve"> has been found to be a good </w:t>
      </w:r>
      <w:bookmarkStart w:id="7" w:name="OLE_LINK46"/>
      <w:bookmarkStart w:id="8" w:name="OLE_LINK47"/>
      <w:bookmarkStart w:id="9" w:name="OLE_LINK48"/>
      <w:r w:rsidRPr="00CC39A2">
        <w:rPr>
          <w:lang w:val="en-GB"/>
        </w:rPr>
        <w:t xml:space="preserve">proxy of the </w:t>
      </w:r>
      <w:r w:rsidR="00C430EB" w:rsidRPr="00CC39A2">
        <w:rPr>
          <w:lang w:val="en-GB"/>
        </w:rPr>
        <w:t xml:space="preserve">heat release </w:t>
      </w:r>
      <w:r w:rsidRPr="00CC39A2">
        <w:rPr>
          <w:lang w:val="en-GB"/>
        </w:rPr>
        <w:t>zone and is used to determine spatial and temporal ignition.</w:t>
      </w:r>
      <w:r w:rsidR="00AE3BFA" w:rsidRPr="00CC39A2">
        <w:rPr>
          <w:lang w:val="en-GB"/>
        </w:rPr>
        <w:t xml:space="preserve"> </w:t>
      </w:r>
      <w:bookmarkEnd w:id="7"/>
      <w:bookmarkEnd w:id="8"/>
      <w:bookmarkEnd w:id="9"/>
      <w:r w:rsidR="00AE3BFA" w:rsidRPr="00CC39A2">
        <w:rPr>
          <w:lang w:val="en-GB"/>
        </w:rPr>
        <w:t>The C</w:t>
      </w:r>
      <w:r w:rsidR="00AE3BFA" w:rsidRPr="00CC39A2">
        <w:rPr>
          <w:vertAlign w:val="subscript"/>
          <w:lang w:val="en-GB"/>
        </w:rPr>
        <w:t>2</w:t>
      </w:r>
      <w:r w:rsidR="00AE3BFA" w:rsidRPr="00CC39A2">
        <w:rPr>
          <w:lang w:val="en-GB"/>
        </w:rPr>
        <w:t xml:space="preserve"> and C</w:t>
      </w:r>
      <w:r w:rsidR="00AE3BFA" w:rsidRPr="00CC39A2">
        <w:rPr>
          <w:vertAlign w:val="subscript"/>
          <w:lang w:val="en-GB"/>
        </w:rPr>
        <w:t>2</w:t>
      </w:r>
      <w:r w:rsidR="00AE3BFA" w:rsidRPr="00CC39A2">
        <w:rPr>
          <w:lang w:val="en-GB"/>
        </w:rPr>
        <w:t>H radicals are the precursor species for the CH</w:t>
      </w:r>
      <w:r w:rsidR="00AE3BFA" w:rsidRPr="00CC39A2">
        <w:rPr>
          <w:vertAlign w:val="superscript"/>
          <w:lang w:val="en-GB"/>
        </w:rPr>
        <w:t>*</w:t>
      </w:r>
      <w:r w:rsidR="00AE3BFA" w:rsidRPr="00CC39A2">
        <w:rPr>
          <w:lang w:val="en-GB"/>
        </w:rPr>
        <w:t xml:space="preserve"> radicals</w:t>
      </w:r>
      <w:r w:rsidR="005F3003" w:rsidRPr="00CC39A2">
        <w:rPr>
          <w:lang w:val="en-GB"/>
        </w:rPr>
        <w:t xml:space="preserve"> </w:t>
      </w:r>
      <w:r w:rsidR="00AE3BFA" w:rsidRPr="00CC39A2">
        <w:rPr>
          <w:lang w:val="en-GB"/>
        </w:rPr>
        <w:t xml:space="preserve">(Bozkurt </w:t>
      </w:r>
      <w:r w:rsidR="00AE3BFA" w:rsidRPr="00CC39A2">
        <w:rPr>
          <w:i/>
          <w:lang w:val="en-GB"/>
        </w:rPr>
        <w:t>et al.</w:t>
      </w:r>
      <w:r w:rsidR="00AE3BFA" w:rsidRPr="00CC39A2">
        <w:rPr>
          <w:lang w:val="en-GB"/>
        </w:rPr>
        <w:t>, 2012)</w:t>
      </w:r>
      <w:r w:rsidR="005F3003" w:rsidRPr="00CC39A2">
        <w:rPr>
          <w:lang w:val="en-GB"/>
        </w:rPr>
        <w:t xml:space="preserve"> and are formed within a narrow reaction zone with high temperature gradients. The short-lived CH</w:t>
      </w:r>
      <w:r w:rsidR="005F3003" w:rsidRPr="00CC39A2">
        <w:rPr>
          <w:vertAlign w:val="superscript"/>
          <w:lang w:val="en-GB"/>
        </w:rPr>
        <w:t>*</w:t>
      </w:r>
      <w:r w:rsidR="005F3003" w:rsidRPr="00CC39A2">
        <w:rPr>
          <w:lang w:val="en-GB"/>
        </w:rPr>
        <w:t xml:space="preserve"> radicals are hence considered as a proxy for </w:t>
      </w:r>
      <w:r w:rsidR="00F477AB" w:rsidRPr="00CC39A2">
        <w:rPr>
          <w:lang w:val="en-GB"/>
        </w:rPr>
        <w:t>the flame front</w:t>
      </w:r>
      <w:r w:rsidR="00C430EB" w:rsidRPr="00CC39A2">
        <w:rPr>
          <w:lang w:val="en-GB"/>
        </w:rPr>
        <w:t xml:space="preserve"> and can also be used to support arguments on the reactivity</w:t>
      </w:r>
      <w:r w:rsidR="005F3003" w:rsidRPr="00CC39A2">
        <w:rPr>
          <w:lang w:val="en-GB"/>
        </w:rPr>
        <w:t xml:space="preserve">. </w:t>
      </w:r>
      <w:r w:rsidRPr="00CC39A2">
        <w:rPr>
          <w:lang w:val="en-GB"/>
        </w:rPr>
        <w:t>On the other hand, CH</w:t>
      </w:r>
      <w:r w:rsidRPr="00CC39A2">
        <w:rPr>
          <w:vertAlign w:val="subscript"/>
          <w:lang w:val="en-GB"/>
        </w:rPr>
        <w:t>2</w:t>
      </w:r>
      <w:r w:rsidRPr="00CC39A2">
        <w:rPr>
          <w:lang w:val="en-GB"/>
        </w:rPr>
        <w:t xml:space="preserve"> and C</w:t>
      </w:r>
      <w:r w:rsidRPr="00CC39A2">
        <w:rPr>
          <w:vertAlign w:val="subscript"/>
          <w:lang w:val="en-GB"/>
        </w:rPr>
        <w:t>3</w:t>
      </w:r>
      <w:r w:rsidRPr="00CC39A2">
        <w:rPr>
          <w:lang w:val="en-GB"/>
        </w:rPr>
        <w:t xml:space="preserve"> species play a prominent role on the formation of the excited C</w:t>
      </w:r>
      <w:r w:rsidRPr="00CC39A2">
        <w:rPr>
          <w:vertAlign w:val="subscript"/>
          <w:lang w:val="en-GB"/>
        </w:rPr>
        <w:t>2</w:t>
      </w:r>
      <w:r w:rsidR="006755FE" w:rsidRPr="00CC39A2">
        <w:rPr>
          <w:vertAlign w:val="superscript"/>
          <w:lang w:val="en-GB"/>
        </w:rPr>
        <w:t>*</w:t>
      </w:r>
      <w:r w:rsidR="006755FE" w:rsidRPr="00CC39A2">
        <w:rPr>
          <w:lang w:val="en-GB"/>
        </w:rPr>
        <w:t xml:space="preserve"> </w:t>
      </w:r>
      <w:r w:rsidRPr="00CC39A2">
        <w:rPr>
          <w:lang w:val="en-GB"/>
        </w:rPr>
        <w:t xml:space="preserve">species, which become more intense </w:t>
      </w:r>
      <w:r w:rsidR="00876355" w:rsidRPr="00CC39A2">
        <w:rPr>
          <w:lang w:val="en-GB"/>
        </w:rPr>
        <w:t xml:space="preserve">in </w:t>
      </w:r>
      <w:r w:rsidRPr="00CC39A2">
        <w:rPr>
          <w:lang w:val="en-GB"/>
        </w:rPr>
        <w:t xml:space="preserve">the locally </w:t>
      </w:r>
      <w:r w:rsidR="006755FE" w:rsidRPr="00CC39A2">
        <w:rPr>
          <w:lang w:val="en-GB"/>
        </w:rPr>
        <w:t xml:space="preserve">formed </w:t>
      </w:r>
      <w:r w:rsidRPr="00CC39A2">
        <w:rPr>
          <w:lang w:val="en-GB"/>
        </w:rPr>
        <w:t>fuel-rich pockets. Therefore, C</w:t>
      </w:r>
      <w:r w:rsidRPr="00CC39A2">
        <w:rPr>
          <w:vertAlign w:val="subscript"/>
          <w:lang w:val="en-GB"/>
        </w:rPr>
        <w:t>2</w:t>
      </w:r>
      <w:r w:rsidR="006755FE" w:rsidRPr="00CC39A2">
        <w:rPr>
          <w:vertAlign w:val="superscript"/>
          <w:lang w:val="en-GB"/>
        </w:rPr>
        <w:t>*</w:t>
      </w:r>
      <w:r w:rsidR="006755FE" w:rsidRPr="00CC39A2">
        <w:rPr>
          <w:lang w:val="en-GB"/>
        </w:rPr>
        <w:t xml:space="preserve"> </w:t>
      </w:r>
      <w:r w:rsidRPr="00CC39A2">
        <w:rPr>
          <w:lang w:val="en-GB"/>
        </w:rPr>
        <w:t xml:space="preserve">chemiluminescence </w:t>
      </w:r>
      <w:r w:rsidR="005F3003" w:rsidRPr="00CC39A2">
        <w:rPr>
          <w:lang w:val="en-GB"/>
        </w:rPr>
        <w:t>is correlated to the</w:t>
      </w:r>
      <w:r w:rsidRPr="00CC39A2">
        <w:rPr>
          <w:lang w:val="en-GB"/>
        </w:rPr>
        <w:t xml:space="preserve"> reacting fuel-rich zones, </w:t>
      </w:r>
      <w:r w:rsidR="00B25AD2" w:rsidRPr="00CC39A2">
        <w:rPr>
          <w:lang w:val="en-GB"/>
        </w:rPr>
        <w:t>predominately</w:t>
      </w:r>
      <w:r w:rsidRPr="00CC39A2">
        <w:rPr>
          <w:lang w:val="en-GB"/>
        </w:rPr>
        <w:t xml:space="preserve"> originating from premixed </w:t>
      </w:r>
      <w:r w:rsidR="005F3003" w:rsidRPr="00CC39A2">
        <w:rPr>
          <w:lang w:val="en-GB"/>
        </w:rPr>
        <w:t xml:space="preserve">flame </w:t>
      </w:r>
      <w:r w:rsidRPr="00CC39A2">
        <w:rPr>
          <w:lang w:val="en-GB"/>
        </w:rPr>
        <w:t>areas (</w:t>
      </w:r>
      <w:r w:rsidRPr="00CC39A2">
        <w:rPr>
          <w:i/>
          <w:lang w:val="en-GB"/>
        </w:rPr>
        <w:t>e.g.</w:t>
      </w:r>
      <w:r w:rsidRPr="00CC39A2">
        <w:rPr>
          <w:lang w:val="en-GB"/>
        </w:rPr>
        <w:t xml:space="preserve"> Kohse-Höinghaus, 1994</w:t>
      </w:r>
      <w:r w:rsidR="005F3003" w:rsidRPr="00CC39A2">
        <w:rPr>
          <w:lang w:val="en-GB"/>
        </w:rPr>
        <w:t xml:space="preserve">; Anders </w:t>
      </w:r>
      <w:r w:rsidR="005F3003" w:rsidRPr="00CC39A2">
        <w:rPr>
          <w:i/>
          <w:lang w:val="en-GB"/>
        </w:rPr>
        <w:t>et al.</w:t>
      </w:r>
      <w:r w:rsidR="005F3003" w:rsidRPr="00CC39A2">
        <w:rPr>
          <w:lang w:val="en-GB"/>
        </w:rPr>
        <w:t xml:space="preserve"> 1999; Kathrotia </w:t>
      </w:r>
      <w:r w:rsidR="005F3003" w:rsidRPr="00CC39A2">
        <w:rPr>
          <w:i/>
          <w:lang w:val="en-GB"/>
        </w:rPr>
        <w:t>et al.</w:t>
      </w:r>
      <w:r w:rsidR="005F3003" w:rsidRPr="00CC39A2">
        <w:rPr>
          <w:lang w:val="en-GB"/>
        </w:rPr>
        <w:t>, 2012)</w:t>
      </w:r>
      <w:r w:rsidRPr="00CC39A2">
        <w:rPr>
          <w:lang w:val="en-GB"/>
        </w:rPr>
        <w:t xml:space="preserve">. </w:t>
      </w:r>
      <w:r w:rsidR="005F3003" w:rsidRPr="00CC39A2">
        <w:rPr>
          <w:lang w:val="en-GB"/>
        </w:rPr>
        <w:t>Finally, OH</w:t>
      </w:r>
      <w:r w:rsidR="007C65AE" w:rsidRPr="00CC39A2">
        <w:rPr>
          <w:vertAlign w:val="superscript"/>
          <w:lang w:val="en-GB"/>
        </w:rPr>
        <w:t>*</w:t>
      </w:r>
      <w:r w:rsidRPr="00CC39A2">
        <w:rPr>
          <w:lang w:val="en-GB"/>
        </w:rPr>
        <w:t xml:space="preserve"> </w:t>
      </w:r>
      <w:r w:rsidR="005F3003" w:rsidRPr="00CC39A2">
        <w:rPr>
          <w:lang w:val="en-GB"/>
        </w:rPr>
        <w:t>is</w:t>
      </w:r>
      <w:r w:rsidRPr="00CC39A2">
        <w:rPr>
          <w:lang w:val="en-GB"/>
        </w:rPr>
        <w:t xml:space="preserve"> </w:t>
      </w:r>
      <w:r w:rsidR="005F3003" w:rsidRPr="00CC39A2">
        <w:rPr>
          <w:lang w:val="en-GB"/>
        </w:rPr>
        <w:t xml:space="preserve">widely </w:t>
      </w:r>
      <w:r w:rsidRPr="00CC39A2">
        <w:rPr>
          <w:lang w:val="en-GB"/>
        </w:rPr>
        <w:t xml:space="preserve">used </w:t>
      </w:r>
      <w:r w:rsidR="00B25AD2" w:rsidRPr="00CC39A2">
        <w:rPr>
          <w:lang w:val="en-GB"/>
        </w:rPr>
        <w:t xml:space="preserve">as a </w:t>
      </w:r>
      <w:r w:rsidR="00BA57AC" w:rsidRPr="00CC39A2">
        <w:rPr>
          <w:lang w:val="en-GB"/>
        </w:rPr>
        <w:t xml:space="preserve">heat release </w:t>
      </w:r>
      <w:r w:rsidRPr="00CC39A2">
        <w:rPr>
          <w:lang w:val="en-GB"/>
        </w:rPr>
        <w:t>zone indicator</w:t>
      </w:r>
      <w:r w:rsidRPr="00CC39A2">
        <w:rPr>
          <w:i/>
          <w:lang w:val="en-GB"/>
        </w:rPr>
        <w:t xml:space="preserve">. </w:t>
      </w:r>
      <w:r w:rsidRPr="00CC39A2">
        <w:rPr>
          <w:lang w:val="en-GB"/>
        </w:rPr>
        <w:t>Ex</w:t>
      </w:r>
      <w:r w:rsidR="00B25AD2" w:rsidRPr="00CC39A2">
        <w:rPr>
          <w:lang w:val="en-GB"/>
        </w:rPr>
        <w:t>c</w:t>
      </w:r>
      <w:r w:rsidRPr="00CC39A2">
        <w:rPr>
          <w:lang w:val="en-GB"/>
        </w:rPr>
        <w:t>ited OH</w:t>
      </w:r>
      <w:r w:rsidR="00B25AD2" w:rsidRPr="00CC39A2">
        <w:rPr>
          <w:vertAlign w:val="superscript"/>
          <w:lang w:val="en-GB"/>
        </w:rPr>
        <w:t>*</w:t>
      </w:r>
      <w:r w:rsidRPr="00CC39A2">
        <w:rPr>
          <w:lang w:val="en-GB"/>
        </w:rPr>
        <w:t xml:space="preserve"> species are </w:t>
      </w:r>
      <w:r w:rsidR="000D2AE6" w:rsidRPr="00CC39A2">
        <w:rPr>
          <w:lang w:val="en-GB"/>
        </w:rPr>
        <w:t xml:space="preserve">mostly </w:t>
      </w:r>
      <w:r w:rsidRPr="00CC39A2">
        <w:rPr>
          <w:lang w:val="en-GB"/>
        </w:rPr>
        <w:t xml:space="preserve">formed through reaction of molecular oxygen with CH </w:t>
      </w:r>
      <w:r w:rsidR="005F3003" w:rsidRPr="00CC39A2">
        <w:rPr>
          <w:lang w:val="en-GB"/>
        </w:rPr>
        <w:t>radicals</w:t>
      </w:r>
      <w:r w:rsidR="000B2CCE" w:rsidRPr="00CC39A2">
        <w:rPr>
          <w:lang w:val="en-GB"/>
        </w:rPr>
        <w:t xml:space="preserve"> </w:t>
      </w:r>
      <w:r w:rsidR="007C65AE" w:rsidRPr="00CC39A2">
        <w:rPr>
          <w:lang w:val="en-GB"/>
        </w:rPr>
        <w:t>(</w:t>
      </w:r>
      <w:r w:rsidR="007C65AE" w:rsidRPr="00CC39A2">
        <w:rPr>
          <w:i/>
          <w:lang w:val="en-GB"/>
        </w:rPr>
        <w:t>e.g.</w:t>
      </w:r>
      <w:r w:rsidR="007C65AE" w:rsidRPr="00CC39A2">
        <w:rPr>
          <w:lang w:val="en-GB"/>
        </w:rPr>
        <w:t xml:space="preserve"> Panoutsos </w:t>
      </w:r>
      <w:r w:rsidR="007C65AE" w:rsidRPr="00CC39A2">
        <w:rPr>
          <w:i/>
          <w:lang w:val="en-GB"/>
        </w:rPr>
        <w:t>et al.</w:t>
      </w:r>
      <w:r w:rsidR="007C65AE" w:rsidRPr="00CC39A2">
        <w:rPr>
          <w:lang w:val="en-GB"/>
        </w:rPr>
        <w:t xml:space="preserve">, 2009; Kathrotia </w:t>
      </w:r>
      <w:r w:rsidR="007C65AE" w:rsidRPr="00CC39A2">
        <w:rPr>
          <w:i/>
          <w:lang w:val="en-GB"/>
        </w:rPr>
        <w:t>et al.</w:t>
      </w:r>
      <w:r w:rsidR="007C65AE" w:rsidRPr="00CC39A2">
        <w:rPr>
          <w:lang w:val="en-GB"/>
        </w:rPr>
        <w:t>, 2012)</w:t>
      </w:r>
      <w:r w:rsidR="00012311" w:rsidRPr="00CC39A2">
        <w:rPr>
          <w:lang w:val="en-GB"/>
        </w:rPr>
        <w:t xml:space="preserve"> and are not, in general at least, a proxy of OH</w:t>
      </w:r>
      <w:r w:rsidR="006C3B80" w:rsidRPr="00CC39A2">
        <w:rPr>
          <w:lang w:val="en-GB"/>
        </w:rPr>
        <w:t xml:space="preserve"> radicals</w:t>
      </w:r>
      <w:r w:rsidR="007C65AE" w:rsidRPr="00CC39A2">
        <w:rPr>
          <w:lang w:val="en-GB"/>
        </w:rPr>
        <w:t xml:space="preserve">. </w:t>
      </w:r>
      <w:r w:rsidR="00AD6B0D" w:rsidRPr="00CC39A2">
        <w:rPr>
          <w:lang w:val="en-GB"/>
        </w:rPr>
        <w:t xml:space="preserve">In the present work, </w:t>
      </w:r>
      <w:r w:rsidR="00012311" w:rsidRPr="00CC39A2">
        <w:rPr>
          <w:lang w:val="en-GB"/>
        </w:rPr>
        <w:t xml:space="preserve">we have chosen </w:t>
      </w:r>
      <w:r w:rsidR="00AD6B0D" w:rsidRPr="00CC39A2">
        <w:rPr>
          <w:lang w:val="en-GB"/>
        </w:rPr>
        <w:t>t</w:t>
      </w:r>
      <w:r w:rsidR="00AE3502" w:rsidRPr="00CC39A2">
        <w:rPr>
          <w:lang w:val="en-GB"/>
        </w:rPr>
        <w:t xml:space="preserve">he </w:t>
      </w:r>
      <w:r w:rsidR="00AD6B0D" w:rsidRPr="00CC39A2">
        <w:rPr>
          <w:lang w:val="en-GB"/>
        </w:rPr>
        <w:t xml:space="preserve">employment of </w:t>
      </w:r>
      <w:r w:rsidR="00876355" w:rsidRPr="00CC39A2">
        <w:rPr>
          <w:lang w:val="en-GB"/>
        </w:rPr>
        <w:t xml:space="preserve">a </w:t>
      </w:r>
      <w:r w:rsidR="00AE3502" w:rsidRPr="00CC39A2">
        <w:rPr>
          <w:lang w:val="en-GB"/>
        </w:rPr>
        <w:t>PPC-like mode</w:t>
      </w:r>
      <w:r w:rsidR="00AD6B0D" w:rsidRPr="00CC39A2">
        <w:rPr>
          <w:lang w:val="en-GB"/>
        </w:rPr>
        <w:t xml:space="preserve"> under low-load and low-speed conditions, since</w:t>
      </w:r>
      <w:r w:rsidR="00012311" w:rsidRPr="00CC39A2">
        <w:rPr>
          <w:lang w:val="en-GB"/>
        </w:rPr>
        <w:t xml:space="preserve"> O’Connor and Musculus</w:t>
      </w:r>
      <w:r w:rsidR="00876355" w:rsidRPr="00CC39A2">
        <w:rPr>
          <w:lang w:val="en-GB"/>
        </w:rPr>
        <w:t xml:space="preserve"> (</w:t>
      </w:r>
      <w:r w:rsidR="00012311" w:rsidRPr="00CC39A2">
        <w:rPr>
          <w:lang w:val="en-GB"/>
        </w:rPr>
        <w:t>2013</w:t>
      </w:r>
      <w:r w:rsidR="00876355" w:rsidRPr="00CC39A2">
        <w:rPr>
          <w:lang w:val="en-GB"/>
        </w:rPr>
        <w:t>)</w:t>
      </w:r>
      <w:r w:rsidR="00AD6B0D" w:rsidRPr="00CC39A2">
        <w:rPr>
          <w:lang w:val="en-GB"/>
        </w:rPr>
        <w:t xml:space="preserve"> suggest that such conditions have the best potential for </w:t>
      </w:r>
      <w:r w:rsidR="00AD6B0D" w:rsidRPr="00CC39A2">
        <w:rPr>
          <w:lang w:val="en-GB"/>
        </w:rPr>
        <w:lastRenderedPageBreak/>
        <w:t>demonstrating the positive effects of post injection strategies</w:t>
      </w:r>
      <w:r w:rsidR="00B25AD2" w:rsidRPr="00CC39A2">
        <w:rPr>
          <w:lang w:val="en-GB"/>
        </w:rPr>
        <w:t>,</w:t>
      </w:r>
      <w:r w:rsidR="00AD6B0D" w:rsidRPr="00CC39A2">
        <w:rPr>
          <w:lang w:val="en-GB"/>
        </w:rPr>
        <w:t xml:space="preserve"> while using conventional fuel injection equipment </w:t>
      </w:r>
      <w:r w:rsidR="00012311" w:rsidRPr="00CC39A2">
        <w:rPr>
          <w:lang w:val="en-GB"/>
        </w:rPr>
        <w:t xml:space="preserve">as found in </w:t>
      </w:r>
      <w:r w:rsidR="00AD6B0D" w:rsidRPr="00CC39A2">
        <w:rPr>
          <w:lang w:val="en-GB"/>
        </w:rPr>
        <w:t xml:space="preserve">diesel passenger cars (Bakker </w:t>
      </w:r>
      <w:r w:rsidR="00AD6B0D" w:rsidRPr="00CC39A2">
        <w:rPr>
          <w:i/>
          <w:lang w:val="en-GB"/>
        </w:rPr>
        <w:t>et al.</w:t>
      </w:r>
      <w:r w:rsidR="00AD6B0D" w:rsidRPr="00CC39A2">
        <w:rPr>
          <w:lang w:val="en-GB"/>
        </w:rPr>
        <w:t>, 2014).</w:t>
      </w:r>
    </w:p>
    <w:p w14:paraId="559FF878" w14:textId="77777777" w:rsidR="002E2513" w:rsidRPr="00CC39A2" w:rsidRDefault="002E2513" w:rsidP="00F87671">
      <w:pPr>
        <w:spacing w:before="240" w:after="240" w:line="480" w:lineRule="auto"/>
        <w:jc w:val="both"/>
        <w:rPr>
          <w:lang w:val="en-GB"/>
        </w:rPr>
      </w:pPr>
    </w:p>
    <w:p w14:paraId="750C0302" w14:textId="77777777" w:rsidR="009D24C5" w:rsidRPr="00CC39A2" w:rsidRDefault="00DA6978" w:rsidP="00F87671">
      <w:pPr>
        <w:tabs>
          <w:tab w:val="left" w:pos="397"/>
        </w:tabs>
        <w:autoSpaceDE w:val="0"/>
        <w:autoSpaceDN w:val="0"/>
        <w:adjustRightInd w:val="0"/>
        <w:spacing w:before="240" w:after="240" w:line="480" w:lineRule="auto"/>
        <w:rPr>
          <w:b/>
          <w:lang w:val="en-GB" w:eastAsia="zh-TW"/>
        </w:rPr>
      </w:pPr>
      <w:r w:rsidRPr="00CC39A2">
        <w:rPr>
          <w:b/>
          <w:lang w:val="en-GB" w:eastAsia="zh-TW"/>
        </w:rPr>
        <w:t xml:space="preserve">3. </w:t>
      </w:r>
      <w:r w:rsidR="00E27670" w:rsidRPr="00CC39A2">
        <w:rPr>
          <w:b/>
          <w:lang w:val="en-GB" w:eastAsia="zh-TW"/>
        </w:rPr>
        <w:t>Pressure trace analysis</w:t>
      </w:r>
      <w:r w:rsidR="009D24C5" w:rsidRPr="00CC39A2">
        <w:rPr>
          <w:b/>
          <w:lang w:val="en-GB" w:eastAsia="zh-TW"/>
        </w:rPr>
        <w:t xml:space="preserve"> </w:t>
      </w:r>
    </w:p>
    <w:p w14:paraId="68DC67C0" w14:textId="2A9572A0" w:rsidR="00447B57" w:rsidRPr="00CC39A2" w:rsidRDefault="00447B57" w:rsidP="00447B57">
      <w:pPr>
        <w:spacing w:before="240" w:after="240" w:line="480" w:lineRule="auto"/>
        <w:jc w:val="both"/>
        <w:rPr>
          <w:lang w:val="en-GB"/>
        </w:rPr>
      </w:pPr>
      <w:r w:rsidRPr="00CC39A2">
        <w:rPr>
          <w:lang w:val="en-GB"/>
        </w:rPr>
        <w:t xml:space="preserve">The recorded pressure traces and the corresponding apparent heat transfer rates (AHTRs) are presented in Figure 1, while Table 2 summarizes the global combustion characteristics for all cases considered in the present work. Figure 2 presents the </w:t>
      </w:r>
      <w:r w:rsidR="00BA3F5C" w:rsidRPr="00CC39A2">
        <w:rPr>
          <w:lang w:val="en-GB"/>
        </w:rPr>
        <w:t>cumulative</w:t>
      </w:r>
      <w:r w:rsidRPr="00CC39A2">
        <w:rPr>
          <w:lang w:val="en-GB"/>
        </w:rPr>
        <w:t xml:space="preserve"> </w:t>
      </w:r>
      <w:r w:rsidR="00264D4B" w:rsidRPr="00CC39A2">
        <w:rPr>
          <w:lang w:val="en-GB"/>
        </w:rPr>
        <w:t>A</w:t>
      </w:r>
      <w:r w:rsidR="002773FB" w:rsidRPr="00CC39A2">
        <w:rPr>
          <w:lang w:val="en-GB"/>
        </w:rPr>
        <w:t xml:space="preserve">pparent </w:t>
      </w:r>
      <w:r w:rsidR="00264D4B" w:rsidRPr="00CC39A2">
        <w:rPr>
          <w:lang w:val="en-GB"/>
        </w:rPr>
        <w:t>H</w:t>
      </w:r>
      <w:r w:rsidR="002773FB" w:rsidRPr="00CC39A2">
        <w:rPr>
          <w:lang w:val="en-GB"/>
        </w:rPr>
        <w:t xml:space="preserve">eat </w:t>
      </w:r>
      <w:r w:rsidR="00264D4B" w:rsidRPr="00CC39A2">
        <w:rPr>
          <w:lang w:val="en-GB"/>
        </w:rPr>
        <w:t>T</w:t>
      </w:r>
      <w:r w:rsidR="002773FB" w:rsidRPr="00CC39A2">
        <w:rPr>
          <w:lang w:val="en-GB"/>
        </w:rPr>
        <w:t>ransfer (</w:t>
      </w:r>
      <w:r w:rsidRPr="00CC39A2">
        <w:rPr>
          <w:lang w:val="en-GB"/>
        </w:rPr>
        <w:t>AHT</w:t>
      </w:r>
      <w:r w:rsidR="002773FB" w:rsidRPr="00CC39A2">
        <w:rPr>
          <w:lang w:val="en-GB"/>
        </w:rPr>
        <w:t>)</w:t>
      </w:r>
      <w:r w:rsidRPr="00CC39A2">
        <w:rPr>
          <w:lang w:val="en-GB"/>
        </w:rPr>
        <w:t xml:space="preserve"> </w:t>
      </w:r>
      <w:r w:rsidR="00264D4B" w:rsidRPr="00CC39A2">
        <w:rPr>
          <w:lang w:val="en-GB"/>
        </w:rPr>
        <w:t xml:space="preserve">rate </w:t>
      </w:r>
      <w:r w:rsidRPr="00CC39A2">
        <w:rPr>
          <w:lang w:val="en-GB"/>
        </w:rPr>
        <w:t xml:space="preserve">profiles for all cases. </w:t>
      </w:r>
      <w:r w:rsidR="00190BC1" w:rsidRPr="00CC39A2">
        <w:rPr>
          <w:lang w:val="en-GB"/>
        </w:rPr>
        <w:t>N</w:t>
      </w:r>
      <w:r w:rsidR="002773FB" w:rsidRPr="00CC39A2">
        <w:rPr>
          <w:lang w:val="en-GB"/>
        </w:rPr>
        <w:t xml:space="preserve">ote that the trends in the final values of </w:t>
      </w:r>
      <w:r w:rsidR="00BA3F5C" w:rsidRPr="00CC39A2">
        <w:rPr>
          <w:lang w:val="en-GB"/>
        </w:rPr>
        <w:t>cumulative</w:t>
      </w:r>
      <w:r w:rsidR="002773FB" w:rsidRPr="00CC39A2">
        <w:rPr>
          <w:lang w:val="en-GB"/>
        </w:rPr>
        <w:t xml:space="preserve"> AHTR match the trends in the IMEP values, </w:t>
      </w:r>
      <w:r w:rsidR="00310EA6" w:rsidRPr="00CC39A2">
        <w:rPr>
          <w:lang w:val="en-GB"/>
        </w:rPr>
        <w:t>see also</w:t>
      </w:r>
      <w:r w:rsidR="002773FB" w:rsidRPr="00CC39A2">
        <w:rPr>
          <w:lang w:val="en-GB"/>
        </w:rPr>
        <w:t xml:space="preserve"> Table 2. </w:t>
      </w:r>
      <w:r w:rsidR="00BA3F5C" w:rsidRPr="00CC39A2">
        <w:rPr>
          <w:lang w:val="en-GB"/>
        </w:rPr>
        <w:t>The r</w:t>
      </w:r>
      <w:r w:rsidR="002773FB" w:rsidRPr="00CC39A2">
        <w:rPr>
          <w:lang w:val="en-GB"/>
        </w:rPr>
        <w:t xml:space="preserve">esults indicate that there are no significant changes in the general shape of the pressure curves for all </w:t>
      </w:r>
      <w:r w:rsidR="003C1923" w:rsidRPr="00CC39A2">
        <w:rPr>
          <w:lang w:val="en-GB"/>
        </w:rPr>
        <w:t xml:space="preserve">conducted </w:t>
      </w:r>
      <w:r w:rsidR="002773FB" w:rsidRPr="00CC39A2">
        <w:rPr>
          <w:lang w:val="en-GB"/>
        </w:rPr>
        <w:t xml:space="preserve">experiments. </w:t>
      </w:r>
      <w:r w:rsidRPr="00CC39A2">
        <w:rPr>
          <w:lang w:val="en-GB"/>
        </w:rPr>
        <w:t xml:space="preserve">When post injection schemes </w:t>
      </w:r>
      <w:r w:rsidR="00C727E7" w:rsidRPr="00CC39A2">
        <w:rPr>
          <w:lang w:val="en-GB"/>
        </w:rPr>
        <w:t xml:space="preserve">were </w:t>
      </w:r>
      <w:r w:rsidRPr="00CC39A2">
        <w:rPr>
          <w:lang w:val="en-GB"/>
        </w:rPr>
        <w:t>employed</w:t>
      </w:r>
      <w:r w:rsidR="003C1923" w:rsidRPr="00CC39A2">
        <w:rPr>
          <w:lang w:val="en-GB"/>
        </w:rPr>
        <w:t>,</w:t>
      </w:r>
      <w:r w:rsidRPr="00CC39A2">
        <w:rPr>
          <w:lang w:val="en-GB"/>
        </w:rPr>
        <w:t xml:space="preserve"> the </w:t>
      </w:r>
      <w:r w:rsidR="00BA3F5C" w:rsidRPr="00CC39A2">
        <w:rPr>
          <w:lang w:val="en-GB"/>
        </w:rPr>
        <w:t xml:space="preserve">peak </w:t>
      </w:r>
      <w:r w:rsidRPr="00CC39A2">
        <w:rPr>
          <w:lang w:val="en-GB"/>
        </w:rPr>
        <w:t xml:space="preserve">in-cylinder pressure </w:t>
      </w:r>
      <w:r w:rsidR="00C727E7" w:rsidRPr="00CC39A2">
        <w:rPr>
          <w:lang w:val="en-GB"/>
        </w:rPr>
        <w:t xml:space="preserve">was </w:t>
      </w:r>
      <w:r w:rsidRPr="00CC39A2">
        <w:rPr>
          <w:lang w:val="en-GB"/>
        </w:rPr>
        <w:t>generally decreased, but peak measured values lie within 2% of the base case value. The corresponding AHT</w:t>
      </w:r>
      <w:r w:rsidR="00BA3F5C" w:rsidRPr="00CC39A2">
        <w:rPr>
          <w:lang w:val="en-GB"/>
        </w:rPr>
        <w:t>R</w:t>
      </w:r>
      <w:r w:rsidRPr="00CC39A2">
        <w:rPr>
          <w:lang w:val="en-GB"/>
        </w:rPr>
        <w:t xml:space="preserve"> curves </w:t>
      </w:r>
      <w:r w:rsidR="00C727E7" w:rsidRPr="00CC39A2">
        <w:rPr>
          <w:lang w:val="en-GB"/>
        </w:rPr>
        <w:t xml:space="preserve">in </w:t>
      </w:r>
      <w:r w:rsidR="0044442C" w:rsidRPr="00CC39A2">
        <w:rPr>
          <w:lang w:val="en-GB"/>
        </w:rPr>
        <w:t>F</w:t>
      </w:r>
      <w:r w:rsidR="00C727E7" w:rsidRPr="00CC39A2">
        <w:rPr>
          <w:lang w:val="en-GB"/>
        </w:rPr>
        <w:t xml:space="preserve">igure 1 </w:t>
      </w:r>
      <w:r w:rsidRPr="00CC39A2">
        <w:rPr>
          <w:lang w:val="en-GB"/>
        </w:rPr>
        <w:t xml:space="preserve">evidently reveal a second peak in the respective profiles, indicating the combustion of the post-injected fuel. </w:t>
      </w:r>
      <w:r w:rsidR="00264D4B" w:rsidRPr="00CC39A2">
        <w:rPr>
          <w:lang w:val="en-GB"/>
        </w:rPr>
        <w:t xml:space="preserve">Further </w:t>
      </w:r>
      <w:r w:rsidRPr="00CC39A2">
        <w:rPr>
          <w:lang w:val="en-GB"/>
        </w:rPr>
        <w:t xml:space="preserve">analysis shows that when the late injection of fuel </w:t>
      </w:r>
      <w:r w:rsidR="00C727E7" w:rsidRPr="00CC39A2">
        <w:rPr>
          <w:lang w:val="en-GB"/>
        </w:rPr>
        <w:t xml:space="preserve">was </w:t>
      </w:r>
      <w:r w:rsidRPr="00CC39A2">
        <w:rPr>
          <w:lang w:val="en-GB"/>
        </w:rPr>
        <w:t>close to the main combustion phase</w:t>
      </w:r>
      <w:r w:rsidR="00127557" w:rsidRPr="00CC39A2">
        <w:rPr>
          <w:lang w:val="en-GB"/>
        </w:rPr>
        <w:t>,</w:t>
      </w:r>
      <w:r w:rsidR="00DB671E" w:rsidRPr="00CC39A2">
        <w:rPr>
          <w:lang w:val="en-GB"/>
        </w:rPr>
        <w:t xml:space="preserve"> </w:t>
      </w:r>
      <w:r w:rsidR="00DB671E" w:rsidRPr="00CC39A2">
        <w:rPr>
          <w:i/>
          <w:lang w:val="en-GB"/>
        </w:rPr>
        <w:t>i.e</w:t>
      </w:r>
      <w:r w:rsidR="003C1923" w:rsidRPr="00CC39A2">
        <w:rPr>
          <w:i/>
          <w:lang w:val="en-GB"/>
        </w:rPr>
        <w:t>.</w:t>
      </w:r>
      <w:r w:rsidR="00DB671E" w:rsidRPr="00CC39A2">
        <w:rPr>
          <w:lang w:val="en-GB"/>
        </w:rPr>
        <w:t xml:space="preserve"> Cases A and B</w:t>
      </w:r>
      <w:r w:rsidR="00127557" w:rsidRPr="00CC39A2">
        <w:rPr>
          <w:lang w:val="en-GB"/>
        </w:rPr>
        <w:t>,</w:t>
      </w:r>
      <w:r w:rsidRPr="00CC39A2">
        <w:rPr>
          <w:lang w:val="en-GB"/>
        </w:rPr>
        <w:t xml:space="preserve"> the </w:t>
      </w:r>
      <w:r w:rsidR="00BA3F5C" w:rsidRPr="00CC39A2">
        <w:rPr>
          <w:lang w:val="en-GB"/>
        </w:rPr>
        <w:t>cumulative</w:t>
      </w:r>
      <w:r w:rsidRPr="00CC39A2">
        <w:rPr>
          <w:lang w:val="en-GB"/>
        </w:rPr>
        <w:t xml:space="preserve"> apparent heat transfer </w:t>
      </w:r>
      <w:r w:rsidR="00C727E7" w:rsidRPr="00CC39A2">
        <w:rPr>
          <w:lang w:val="en-GB"/>
        </w:rPr>
        <w:t xml:space="preserve">was </w:t>
      </w:r>
      <w:r w:rsidRPr="00CC39A2">
        <w:rPr>
          <w:lang w:val="en-GB"/>
        </w:rPr>
        <w:t xml:space="preserve">higher, while the opposite </w:t>
      </w:r>
      <w:r w:rsidR="00C727E7" w:rsidRPr="00CC39A2">
        <w:rPr>
          <w:lang w:val="en-GB"/>
        </w:rPr>
        <w:t xml:space="preserve">was </w:t>
      </w:r>
      <w:r w:rsidRPr="00CC39A2">
        <w:rPr>
          <w:lang w:val="en-GB"/>
        </w:rPr>
        <w:t>true for Cases C and D</w:t>
      </w:r>
      <w:r w:rsidR="00127557" w:rsidRPr="00CC39A2">
        <w:rPr>
          <w:lang w:val="en-GB"/>
        </w:rPr>
        <w:t xml:space="preserve">. </w:t>
      </w:r>
      <w:r w:rsidRPr="00CC39A2">
        <w:rPr>
          <w:lang w:val="en-GB"/>
        </w:rPr>
        <w:t>The additional heat associated with the post-injection event (</w:t>
      </w:r>
      <w:r w:rsidR="00285DAB" w:rsidRPr="00CC39A2">
        <w:rPr>
          <w:lang w:val="en-GB"/>
        </w:rPr>
        <w:t xml:space="preserve">locally </w:t>
      </w:r>
      <w:r w:rsidRPr="00CC39A2">
        <w:rPr>
          <w:lang w:val="en-GB"/>
        </w:rPr>
        <w:t>between 10 and 25</w:t>
      </w:r>
      <w:r w:rsidR="009A20BD" w:rsidRPr="00CC39A2">
        <w:rPr>
          <w:lang w:val="en-GB"/>
        </w:rPr>
        <w:t> </w:t>
      </w:r>
      <w:r w:rsidRPr="00CC39A2">
        <w:rPr>
          <w:lang w:val="en-GB"/>
        </w:rPr>
        <w:t>CAD</w:t>
      </w:r>
      <w:r w:rsidR="009A20BD" w:rsidRPr="00CC39A2">
        <w:rPr>
          <w:lang w:val="en-GB"/>
        </w:rPr>
        <w:t> </w:t>
      </w:r>
      <w:r w:rsidRPr="00CC39A2">
        <w:rPr>
          <w:lang w:val="en-GB"/>
        </w:rPr>
        <w:t xml:space="preserve">aTDC) slightly </w:t>
      </w:r>
      <w:r w:rsidR="003C1923" w:rsidRPr="00CC39A2">
        <w:rPr>
          <w:lang w:val="en-GB"/>
        </w:rPr>
        <w:t>modifie</w:t>
      </w:r>
      <w:r w:rsidR="00C727E7" w:rsidRPr="00CC39A2">
        <w:rPr>
          <w:lang w:val="en-GB"/>
        </w:rPr>
        <w:t>d</w:t>
      </w:r>
      <w:r w:rsidR="003C1923" w:rsidRPr="00CC39A2">
        <w:rPr>
          <w:lang w:val="en-GB"/>
        </w:rPr>
        <w:t xml:space="preserve"> the </w:t>
      </w:r>
      <w:r w:rsidRPr="00CC39A2">
        <w:rPr>
          <w:lang w:val="en-GB"/>
        </w:rPr>
        <w:t>charge’s pressure and temperature. Although there</w:t>
      </w:r>
      <w:r w:rsidR="008E5F17" w:rsidRPr="00CC39A2">
        <w:rPr>
          <w:lang w:val="en-GB"/>
        </w:rPr>
        <w:t xml:space="preserve"> </w:t>
      </w:r>
      <w:r w:rsidR="00C727E7" w:rsidRPr="00CC39A2">
        <w:rPr>
          <w:lang w:val="en-GB"/>
        </w:rPr>
        <w:t xml:space="preserve">were </w:t>
      </w:r>
      <w:r w:rsidRPr="00CC39A2">
        <w:rPr>
          <w:lang w:val="en-GB"/>
        </w:rPr>
        <w:t xml:space="preserve">no temperature measurements available, </w:t>
      </w:r>
      <w:r w:rsidRPr="00CC39A2">
        <w:rPr>
          <w:lang w:val="en-GB"/>
        </w:rPr>
        <w:lastRenderedPageBreak/>
        <w:t xml:space="preserve">estimations based on the equation of state suggests that Cases A, B and D result in </w:t>
      </w:r>
      <w:r w:rsidRPr="00CC39A2">
        <w:rPr>
          <w:i/>
          <w:lang w:val="en-GB"/>
        </w:rPr>
        <w:t>ca.</w:t>
      </w:r>
      <w:r w:rsidRPr="00CC39A2">
        <w:rPr>
          <w:lang w:val="en-GB"/>
        </w:rPr>
        <w:t xml:space="preserve"> 40 K higher temperatures at 30 CAD aTDC, while Case C </w:t>
      </w:r>
      <w:r w:rsidR="00C727E7" w:rsidRPr="00CC39A2">
        <w:rPr>
          <w:lang w:val="en-GB"/>
        </w:rPr>
        <w:t xml:space="preserve">was </w:t>
      </w:r>
      <w:r w:rsidRPr="00CC39A2">
        <w:rPr>
          <w:lang w:val="en-GB"/>
        </w:rPr>
        <w:t xml:space="preserve">close to the Base Case. </w:t>
      </w:r>
      <w:r w:rsidR="00080E08" w:rsidRPr="00CC39A2">
        <w:rPr>
          <w:lang w:val="en-GB"/>
        </w:rPr>
        <w:t>Note that t</w:t>
      </w:r>
      <w:r w:rsidRPr="00CC39A2">
        <w:rPr>
          <w:lang w:val="en-GB"/>
        </w:rPr>
        <w:t>his temperature differen</w:t>
      </w:r>
      <w:r w:rsidR="003C1923" w:rsidRPr="00CC39A2">
        <w:rPr>
          <w:lang w:val="en-GB"/>
        </w:rPr>
        <w:t>ce</w:t>
      </w:r>
      <w:r w:rsidRPr="00CC39A2">
        <w:rPr>
          <w:lang w:val="en-GB"/>
        </w:rPr>
        <w:t xml:space="preserve"> is higher (</w:t>
      </w:r>
      <w:r w:rsidR="0009797C" w:rsidRPr="00CC39A2">
        <w:rPr>
          <w:lang w:val="en-GB"/>
        </w:rPr>
        <w:t xml:space="preserve">approximately </w:t>
      </w:r>
      <w:r w:rsidRPr="00CC39A2">
        <w:rPr>
          <w:lang w:val="en-GB"/>
        </w:rPr>
        <w:t>60-7</w:t>
      </w:r>
      <w:r w:rsidR="009A20BD" w:rsidRPr="00CC39A2">
        <w:rPr>
          <w:lang w:val="en-GB"/>
        </w:rPr>
        <w:t>0</w:t>
      </w:r>
      <w:r w:rsidRPr="00CC39A2">
        <w:rPr>
          <w:lang w:val="en-GB"/>
        </w:rPr>
        <w:t> K</w:t>
      </w:r>
      <w:r w:rsidR="00BA3F5C" w:rsidRPr="00CC39A2">
        <w:rPr>
          <w:lang w:val="en-GB"/>
        </w:rPr>
        <w:t>)</w:t>
      </w:r>
      <w:r w:rsidRPr="00CC39A2">
        <w:rPr>
          <w:lang w:val="en-GB"/>
        </w:rPr>
        <w:t xml:space="preserve"> at 80 CAD</w:t>
      </w:r>
      <w:r w:rsidR="009A20BD" w:rsidRPr="00CC39A2">
        <w:rPr>
          <w:lang w:val="en-GB"/>
        </w:rPr>
        <w:t> </w:t>
      </w:r>
      <w:r w:rsidRPr="00CC39A2">
        <w:rPr>
          <w:lang w:val="en-GB"/>
        </w:rPr>
        <w:t>aTDC</w:t>
      </w:r>
      <w:r w:rsidR="003C1923" w:rsidRPr="00CC39A2">
        <w:rPr>
          <w:lang w:val="en-GB"/>
        </w:rPr>
        <w:t>,</w:t>
      </w:r>
      <w:r w:rsidRPr="00CC39A2">
        <w:rPr>
          <w:lang w:val="en-GB"/>
        </w:rPr>
        <w:t xml:space="preserve"> where actual in</w:t>
      </w:r>
      <w:r w:rsidR="009A20BD" w:rsidRPr="00CC39A2">
        <w:rPr>
          <w:lang w:val="en-GB"/>
        </w:rPr>
        <w:t>-</w:t>
      </w:r>
      <w:r w:rsidRPr="00CC39A2">
        <w:rPr>
          <w:lang w:val="en-GB"/>
        </w:rPr>
        <w:t xml:space="preserve">cylinder T is estimated </w:t>
      </w:r>
      <w:r w:rsidR="00EF5CC7" w:rsidRPr="00CC39A2">
        <w:rPr>
          <w:lang w:val="en-GB"/>
        </w:rPr>
        <w:t xml:space="preserve">to be </w:t>
      </w:r>
      <w:r w:rsidRPr="00CC39A2">
        <w:rPr>
          <w:lang w:val="en-GB"/>
        </w:rPr>
        <w:t>around 900 K</w:t>
      </w:r>
      <w:r w:rsidR="00285DAB" w:rsidRPr="00CC39A2">
        <w:rPr>
          <w:lang w:val="en-GB"/>
        </w:rPr>
        <w:t xml:space="preserve"> at the given piston position</w:t>
      </w:r>
      <w:r w:rsidRPr="00CC39A2">
        <w:rPr>
          <w:lang w:val="en-GB"/>
        </w:rPr>
        <w:t xml:space="preserve">. The combustion </w:t>
      </w:r>
      <w:r w:rsidR="0009797C" w:rsidRPr="00CC39A2">
        <w:rPr>
          <w:lang w:val="en-GB"/>
        </w:rPr>
        <w:t>phasing</w:t>
      </w:r>
      <w:r w:rsidRPr="00CC39A2">
        <w:rPr>
          <w:lang w:val="en-GB"/>
        </w:rPr>
        <w:t xml:space="preserve">, as indicated by CA50, </w:t>
      </w:r>
      <w:r w:rsidRPr="00CC39A2">
        <w:rPr>
          <w:i/>
          <w:lang w:val="en-GB"/>
        </w:rPr>
        <w:t>i.e</w:t>
      </w:r>
      <w:r w:rsidRPr="00CC39A2">
        <w:rPr>
          <w:lang w:val="en-GB"/>
        </w:rPr>
        <w:t xml:space="preserve">. the crank angle location where the 50% of the total heat release rate has occurred, </w:t>
      </w:r>
      <w:r w:rsidR="00EF5CC7" w:rsidRPr="00CC39A2">
        <w:rPr>
          <w:lang w:val="en-GB"/>
        </w:rPr>
        <w:t xml:space="preserve">was </w:t>
      </w:r>
      <w:r w:rsidRPr="00CC39A2">
        <w:rPr>
          <w:lang w:val="en-GB"/>
        </w:rPr>
        <w:t xml:space="preserve">increased in comparison to the Base </w:t>
      </w:r>
      <w:r w:rsidR="007971A3" w:rsidRPr="00CC39A2">
        <w:rPr>
          <w:lang w:val="en-GB"/>
        </w:rPr>
        <w:t>C</w:t>
      </w:r>
      <w:r w:rsidRPr="00CC39A2">
        <w:rPr>
          <w:lang w:val="en-GB"/>
        </w:rPr>
        <w:t xml:space="preserve">ase </w:t>
      </w:r>
      <w:r w:rsidR="008E5F17" w:rsidRPr="00CC39A2">
        <w:rPr>
          <w:lang w:val="en-GB"/>
        </w:rPr>
        <w:t>for all the</w:t>
      </w:r>
      <w:r w:rsidR="003C1923" w:rsidRPr="00CC39A2">
        <w:rPr>
          <w:lang w:val="en-GB"/>
        </w:rPr>
        <w:t xml:space="preserve"> considered</w:t>
      </w:r>
      <w:r w:rsidR="008E5F17" w:rsidRPr="00CC39A2">
        <w:rPr>
          <w:lang w:val="en-GB"/>
        </w:rPr>
        <w:t xml:space="preserve"> cases</w:t>
      </w:r>
      <w:r w:rsidRPr="00CC39A2">
        <w:rPr>
          <w:lang w:val="en-GB"/>
        </w:rPr>
        <w:t>. The increase of the post injection fuel amount (</w:t>
      </w:r>
      <w:r w:rsidR="008E64AD" w:rsidRPr="00CC39A2">
        <w:rPr>
          <w:lang w:val="en-GB"/>
        </w:rPr>
        <w:t xml:space="preserve">and </w:t>
      </w:r>
      <w:r w:rsidRPr="00CC39A2">
        <w:rPr>
          <w:lang w:val="en-GB"/>
        </w:rPr>
        <w:t xml:space="preserve">hence the </w:t>
      </w:r>
      <w:r w:rsidR="008E64AD" w:rsidRPr="00CC39A2">
        <w:rPr>
          <w:lang w:val="en-GB"/>
        </w:rPr>
        <w:t xml:space="preserve">consequent </w:t>
      </w:r>
      <w:r w:rsidRPr="00CC39A2">
        <w:rPr>
          <w:lang w:val="en-GB"/>
        </w:rPr>
        <w:t xml:space="preserve">decrease in the </w:t>
      </w:r>
      <w:r w:rsidR="008E64AD" w:rsidRPr="00CC39A2">
        <w:rPr>
          <w:lang w:val="en-GB"/>
        </w:rPr>
        <w:t xml:space="preserve">amount of the </w:t>
      </w:r>
      <w:r w:rsidRPr="00CC39A2">
        <w:rPr>
          <w:lang w:val="en-GB"/>
        </w:rPr>
        <w:t>main fuel</w:t>
      </w:r>
      <w:r w:rsidR="008E64AD" w:rsidRPr="00CC39A2">
        <w:rPr>
          <w:lang w:val="en-GB"/>
        </w:rPr>
        <w:t xml:space="preserve"> pulse</w:t>
      </w:r>
      <w:r w:rsidR="003C1923" w:rsidRPr="00CC39A2">
        <w:rPr>
          <w:lang w:val="en-GB"/>
        </w:rPr>
        <w:t>,</w:t>
      </w:r>
      <w:r w:rsidRPr="00CC39A2">
        <w:rPr>
          <w:lang w:val="en-GB"/>
        </w:rPr>
        <w:t xml:space="preserve"> so as to maintain a constant carbon content </w:t>
      </w:r>
      <w:r w:rsidRPr="00CC39A2">
        <w:rPr>
          <w:i/>
          <w:lang w:val="en-GB"/>
        </w:rPr>
        <w:t>per</w:t>
      </w:r>
      <w:r w:rsidRPr="00CC39A2">
        <w:rPr>
          <w:lang w:val="en-GB"/>
        </w:rPr>
        <w:t xml:space="preserve"> cycle) </w:t>
      </w:r>
      <w:r w:rsidR="00EF5CC7" w:rsidRPr="00CC39A2">
        <w:rPr>
          <w:lang w:val="en-GB"/>
        </w:rPr>
        <w:t xml:space="preserve">led </w:t>
      </w:r>
      <w:r w:rsidR="0009797C" w:rsidRPr="00CC39A2">
        <w:rPr>
          <w:lang w:val="en-GB"/>
        </w:rPr>
        <w:t xml:space="preserve">generally </w:t>
      </w:r>
      <w:r w:rsidR="00C2453A" w:rsidRPr="00CC39A2">
        <w:rPr>
          <w:lang w:val="en-GB"/>
        </w:rPr>
        <w:t xml:space="preserve">(the exemption being the latest post injection Case D) </w:t>
      </w:r>
      <w:r w:rsidRPr="00CC39A2">
        <w:rPr>
          <w:lang w:val="en-GB"/>
        </w:rPr>
        <w:t>to reduced combustion duration</w:t>
      </w:r>
      <w:r w:rsidR="0009797C" w:rsidRPr="00CC39A2">
        <w:rPr>
          <w:lang w:val="en-GB"/>
        </w:rPr>
        <w:t>,</w:t>
      </w:r>
      <w:r w:rsidRPr="00CC39A2">
        <w:rPr>
          <w:lang w:val="en-GB"/>
        </w:rPr>
        <w:t xml:space="preserve"> as indicated by </w:t>
      </w:r>
      <w:r w:rsidR="007971A3" w:rsidRPr="00CC39A2">
        <w:rPr>
          <w:lang w:val="en-GB"/>
        </w:rPr>
        <w:t>the</w:t>
      </w:r>
      <w:r w:rsidR="001542D2" w:rsidRPr="00CC39A2">
        <w:rPr>
          <w:lang w:val="en-GB"/>
        </w:rPr>
        <w:t xml:space="preserve"> values of the difference</w:t>
      </w:r>
      <w:r w:rsidR="007971A3" w:rsidRPr="00CC39A2">
        <w:rPr>
          <w:lang w:val="en-GB"/>
        </w:rPr>
        <w:t xml:space="preserve"> </w:t>
      </w:r>
      <w:r w:rsidRPr="00CC39A2">
        <w:rPr>
          <w:lang w:val="en-GB"/>
        </w:rPr>
        <w:t>CA90-</w:t>
      </w:r>
      <w:r w:rsidR="007971A3" w:rsidRPr="00CC39A2">
        <w:rPr>
          <w:lang w:val="en-GB"/>
        </w:rPr>
        <w:t>CA</w:t>
      </w:r>
      <w:r w:rsidRPr="00CC39A2">
        <w:rPr>
          <w:lang w:val="en-GB"/>
        </w:rPr>
        <w:t>10</w:t>
      </w:r>
      <w:r w:rsidR="004A062D" w:rsidRPr="00CC39A2">
        <w:rPr>
          <w:lang w:val="en-GB"/>
        </w:rPr>
        <w:t xml:space="preserve"> (see Table 2)</w:t>
      </w:r>
      <w:r w:rsidRPr="00CC39A2">
        <w:rPr>
          <w:lang w:val="en-GB"/>
        </w:rPr>
        <w:t xml:space="preserve">. The </w:t>
      </w:r>
      <w:r w:rsidR="008E64AD" w:rsidRPr="00CC39A2">
        <w:rPr>
          <w:lang w:val="en-GB"/>
        </w:rPr>
        <w:t xml:space="preserve">resulting </w:t>
      </w:r>
      <w:r w:rsidRPr="00CC39A2">
        <w:rPr>
          <w:lang w:val="en-GB"/>
        </w:rPr>
        <w:t xml:space="preserve">IMEP is mainly affected </w:t>
      </w:r>
      <w:r w:rsidR="008E64AD" w:rsidRPr="00CC39A2">
        <w:rPr>
          <w:lang w:val="en-GB"/>
        </w:rPr>
        <w:t xml:space="preserve">by </w:t>
      </w:r>
      <w:r w:rsidRPr="00CC39A2">
        <w:rPr>
          <w:lang w:val="en-GB"/>
        </w:rPr>
        <w:t>post injections close to the main combustion event</w:t>
      </w:r>
      <w:r w:rsidR="003C1923" w:rsidRPr="00CC39A2">
        <w:rPr>
          <w:lang w:val="en-GB"/>
        </w:rPr>
        <w:t>,</w:t>
      </w:r>
      <w:r w:rsidRPr="00CC39A2">
        <w:rPr>
          <w:lang w:val="en-GB"/>
        </w:rPr>
        <w:t xml:space="preserve"> </w:t>
      </w:r>
      <w:r w:rsidRPr="00CC39A2">
        <w:rPr>
          <w:i/>
          <w:lang w:val="en-GB"/>
        </w:rPr>
        <w:t>i.e.</w:t>
      </w:r>
      <w:r w:rsidRPr="00CC39A2">
        <w:rPr>
          <w:lang w:val="en-GB"/>
        </w:rPr>
        <w:t xml:space="preserve"> Cases A, B (apparently more </w:t>
      </w:r>
      <w:r w:rsidR="00EF5CC7" w:rsidRPr="00CC39A2">
        <w:rPr>
          <w:lang w:val="en-GB"/>
        </w:rPr>
        <w:t xml:space="preserve">so </w:t>
      </w:r>
      <w:r w:rsidRPr="00CC39A2">
        <w:rPr>
          <w:lang w:val="en-GB"/>
        </w:rPr>
        <w:t>in Case B</w:t>
      </w:r>
      <w:r w:rsidR="008E64AD" w:rsidRPr="00CC39A2">
        <w:rPr>
          <w:lang w:val="en-GB"/>
        </w:rPr>
        <w:t>,</w:t>
      </w:r>
      <w:r w:rsidRPr="00CC39A2">
        <w:rPr>
          <w:lang w:val="en-GB"/>
        </w:rPr>
        <w:t xml:space="preserve"> where more fuel is injected) while the IMEP obtained from schemes with post injections at </w:t>
      </w:r>
      <w:r w:rsidR="008E5F17" w:rsidRPr="00CC39A2">
        <w:rPr>
          <w:lang w:val="en-GB"/>
        </w:rPr>
        <w:t>10 or 15</w:t>
      </w:r>
      <w:r w:rsidRPr="00CC39A2">
        <w:rPr>
          <w:lang w:val="en-GB"/>
        </w:rPr>
        <w:t> CAD</w:t>
      </w:r>
      <w:r w:rsidR="009A20BD" w:rsidRPr="00CC39A2">
        <w:rPr>
          <w:lang w:val="en-GB"/>
        </w:rPr>
        <w:t> </w:t>
      </w:r>
      <w:r w:rsidRPr="00CC39A2">
        <w:rPr>
          <w:lang w:val="en-GB"/>
        </w:rPr>
        <w:t>aTDC</w:t>
      </w:r>
      <w:r w:rsidR="003C1923" w:rsidRPr="00CC39A2">
        <w:rPr>
          <w:lang w:val="en-GB"/>
        </w:rPr>
        <w:t>,</w:t>
      </w:r>
      <w:r w:rsidRPr="00CC39A2">
        <w:rPr>
          <w:lang w:val="en-GB"/>
        </w:rPr>
        <w:t xml:space="preserve"> </w:t>
      </w:r>
      <w:r w:rsidRPr="00CC39A2">
        <w:rPr>
          <w:i/>
          <w:lang w:val="en-GB"/>
        </w:rPr>
        <w:t>i.e.</w:t>
      </w:r>
      <w:r w:rsidRPr="00CC39A2">
        <w:rPr>
          <w:lang w:val="en-GB"/>
        </w:rPr>
        <w:t xml:space="preserve"> Cases C, D</w:t>
      </w:r>
      <w:r w:rsidR="008E64AD" w:rsidRPr="00CC39A2">
        <w:rPr>
          <w:lang w:val="en-GB"/>
        </w:rPr>
        <w:t>,</w:t>
      </w:r>
      <w:r w:rsidRPr="00CC39A2">
        <w:rPr>
          <w:lang w:val="en-GB"/>
        </w:rPr>
        <w:t xml:space="preserve"> remain</w:t>
      </w:r>
      <w:r w:rsidR="00EF5CC7" w:rsidRPr="00CC39A2">
        <w:rPr>
          <w:lang w:val="en-GB"/>
        </w:rPr>
        <w:t>ed</w:t>
      </w:r>
      <w:r w:rsidRPr="00CC39A2">
        <w:rPr>
          <w:lang w:val="en-GB"/>
        </w:rPr>
        <w:t xml:space="preserve"> relatively</w:t>
      </w:r>
      <w:r w:rsidR="008E5F17" w:rsidRPr="00CC39A2">
        <w:rPr>
          <w:lang w:val="en-GB"/>
        </w:rPr>
        <w:t xml:space="preserve"> </w:t>
      </w:r>
      <w:r w:rsidR="008E64AD" w:rsidRPr="00CC39A2">
        <w:rPr>
          <w:lang w:val="en-GB"/>
        </w:rPr>
        <w:t>unchanged</w:t>
      </w:r>
      <w:r w:rsidRPr="00CC39A2">
        <w:rPr>
          <w:lang w:val="en-GB"/>
        </w:rPr>
        <w:t xml:space="preserve"> in comparison to the Base Case.</w:t>
      </w:r>
      <w:r w:rsidR="008E5F17" w:rsidRPr="00CC39A2">
        <w:rPr>
          <w:lang w:val="en-GB"/>
        </w:rPr>
        <w:t xml:space="preserve"> </w:t>
      </w:r>
      <w:r w:rsidRPr="00CC39A2">
        <w:rPr>
          <w:lang w:val="en-GB"/>
        </w:rPr>
        <w:t xml:space="preserve">On the other hand, as the post injection </w:t>
      </w:r>
      <w:r w:rsidR="00EF5CC7" w:rsidRPr="00CC39A2">
        <w:rPr>
          <w:lang w:val="en-GB"/>
        </w:rPr>
        <w:t xml:space="preserve">was </w:t>
      </w:r>
      <w:r w:rsidR="008E64AD" w:rsidRPr="00CC39A2">
        <w:rPr>
          <w:lang w:val="en-GB"/>
        </w:rPr>
        <w:t>retarded relative to</w:t>
      </w:r>
      <w:r w:rsidRPr="00CC39A2">
        <w:rPr>
          <w:lang w:val="en-GB"/>
        </w:rPr>
        <w:t xml:space="preserve"> the main </w:t>
      </w:r>
      <w:r w:rsidR="008E64AD" w:rsidRPr="00CC39A2">
        <w:rPr>
          <w:lang w:val="en-GB"/>
        </w:rPr>
        <w:t>pulse</w:t>
      </w:r>
      <w:r w:rsidR="003C1923" w:rsidRPr="00CC39A2">
        <w:rPr>
          <w:lang w:val="en-GB"/>
        </w:rPr>
        <w:t>,</w:t>
      </w:r>
      <w:r w:rsidRPr="00CC39A2">
        <w:rPr>
          <w:lang w:val="en-GB"/>
        </w:rPr>
        <w:t xml:space="preserve"> the maximum pressure rise rate decreased; a fact that wi</w:t>
      </w:r>
      <w:r w:rsidR="00025C03" w:rsidRPr="00CC39A2">
        <w:rPr>
          <w:lang w:val="en-GB"/>
        </w:rPr>
        <w:t>ll</w:t>
      </w:r>
      <w:r w:rsidR="008E64AD" w:rsidRPr="00CC39A2">
        <w:rPr>
          <w:lang w:val="en-GB"/>
        </w:rPr>
        <w:t>,</w:t>
      </w:r>
      <w:r w:rsidR="00025C03" w:rsidRPr="00CC39A2">
        <w:rPr>
          <w:lang w:val="en-GB"/>
        </w:rPr>
        <w:t xml:space="preserve"> arguably</w:t>
      </w:r>
      <w:r w:rsidR="008E64AD" w:rsidRPr="00CC39A2">
        <w:rPr>
          <w:lang w:val="en-GB"/>
        </w:rPr>
        <w:t>,</w:t>
      </w:r>
      <w:r w:rsidR="00025C03" w:rsidRPr="00CC39A2">
        <w:rPr>
          <w:lang w:val="en-GB"/>
        </w:rPr>
        <w:t xml:space="preserve"> </w:t>
      </w:r>
      <w:r w:rsidR="008E64AD" w:rsidRPr="00CC39A2">
        <w:rPr>
          <w:lang w:val="en-GB"/>
        </w:rPr>
        <w:t xml:space="preserve">reduce combustion </w:t>
      </w:r>
      <w:r w:rsidR="00025C03" w:rsidRPr="00CC39A2">
        <w:rPr>
          <w:lang w:val="en-GB"/>
        </w:rPr>
        <w:t>noise.</w:t>
      </w:r>
    </w:p>
    <w:p w14:paraId="6A850CAF" w14:textId="77777777" w:rsidR="002E2513" w:rsidRPr="00CC39A2" w:rsidRDefault="002E2513" w:rsidP="00F33E7B">
      <w:pPr>
        <w:spacing w:before="240" w:after="240" w:line="480" w:lineRule="auto"/>
        <w:jc w:val="both"/>
        <w:rPr>
          <w:b/>
          <w:lang w:val="en-GB"/>
        </w:rPr>
      </w:pPr>
    </w:p>
    <w:p w14:paraId="0D4490E9" w14:textId="77777777" w:rsidR="00250113" w:rsidRPr="00CC39A2" w:rsidRDefault="00E27670" w:rsidP="00F33E7B">
      <w:pPr>
        <w:spacing w:before="240" w:after="240" w:line="480" w:lineRule="auto"/>
        <w:jc w:val="both"/>
        <w:rPr>
          <w:b/>
          <w:lang w:val="en-GB"/>
        </w:rPr>
      </w:pPr>
      <w:r w:rsidRPr="00CC39A2">
        <w:rPr>
          <w:b/>
          <w:lang w:val="en-GB"/>
        </w:rPr>
        <w:t>4. Flame luminosity and chemiluminescence</w:t>
      </w:r>
      <w:r w:rsidR="00E46CB2" w:rsidRPr="00CC39A2">
        <w:rPr>
          <w:b/>
          <w:lang w:val="en-GB"/>
        </w:rPr>
        <w:t xml:space="preserve"> signals</w:t>
      </w:r>
    </w:p>
    <w:p w14:paraId="1A77ED60" w14:textId="6446727D" w:rsidR="0091164E" w:rsidRPr="00CC39A2" w:rsidRDefault="00E46CB2" w:rsidP="004875CA">
      <w:pPr>
        <w:spacing w:before="240" w:after="240" w:line="480" w:lineRule="auto"/>
        <w:jc w:val="both"/>
        <w:rPr>
          <w:lang w:val="en-US"/>
        </w:rPr>
      </w:pPr>
      <w:r w:rsidRPr="00CC39A2">
        <w:rPr>
          <w:lang w:val="en-GB"/>
        </w:rPr>
        <w:lastRenderedPageBreak/>
        <w:t xml:space="preserve">Figure 3 </w:t>
      </w:r>
      <w:r w:rsidR="00C02A0D" w:rsidRPr="00CC39A2">
        <w:rPr>
          <w:lang w:val="en-GB"/>
        </w:rPr>
        <w:t xml:space="preserve">presents </w:t>
      </w:r>
      <w:r w:rsidRPr="00CC39A2">
        <w:rPr>
          <w:lang w:val="en-GB"/>
        </w:rPr>
        <w:t>the integrated flame natural luminosity signal for all cases</w:t>
      </w:r>
      <w:r w:rsidR="0091164E" w:rsidRPr="00CC39A2">
        <w:rPr>
          <w:lang w:val="en-GB"/>
        </w:rPr>
        <w:t xml:space="preserve"> which shows that combustion activity can be either prolonged or shortened when post injection is employed (cf. CA90 </w:t>
      </w:r>
      <w:r w:rsidR="00BB2DD6" w:rsidRPr="00CC39A2">
        <w:rPr>
          <w:lang w:val="en-GB"/>
        </w:rPr>
        <w:t xml:space="preserve">and combustion duration </w:t>
      </w:r>
      <w:r w:rsidR="0091164E" w:rsidRPr="00CC39A2">
        <w:rPr>
          <w:lang w:val="en-GB"/>
        </w:rPr>
        <w:t>values in Table 2). Both the dwell time between the main and the post injection as well as the amount of the post</w:t>
      </w:r>
      <w:r w:rsidR="00BB2DD6" w:rsidRPr="00CC39A2">
        <w:rPr>
          <w:lang w:val="en-GB"/>
        </w:rPr>
        <w:t xml:space="preserve"> </w:t>
      </w:r>
      <w:r w:rsidR="0091164E" w:rsidRPr="00CC39A2">
        <w:rPr>
          <w:lang w:val="en-GB"/>
        </w:rPr>
        <w:t>injection fuel</w:t>
      </w:r>
      <w:r w:rsidR="00FD7934" w:rsidRPr="00CC39A2">
        <w:rPr>
          <w:lang w:val="en-GB"/>
        </w:rPr>
        <w:t>,</w:t>
      </w:r>
      <w:r w:rsidR="0091164E" w:rsidRPr="00CC39A2">
        <w:rPr>
          <w:lang w:val="en-GB"/>
        </w:rPr>
        <w:t xml:space="preserve"> influence the recorded </w:t>
      </w:r>
      <w:r w:rsidR="00BB2DD6" w:rsidRPr="00CC39A2">
        <w:rPr>
          <w:lang w:val="en-GB"/>
        </w:rPr>
        <w:t xml:space="preserve">natural luminosity </w:t>
      </w:r>
      <w:r w:rsidR="0091164E" w:rsidRPr="00CC39A2">
        <w:rPr>
          <w:lang w:val="en-GB"/>
        </w:rPr>
        <w:t>signal</w:t>
      </w:r>
      <w:r w:rsidR="00C2453A" w:rsidRPr="00CC39A2">
        <w:rPr>
          <w:lang w:val="en-GB"/>
        </w:rPr>
        <w:t>s</w:t>
      </w:r>
      <w:r w:rsidR="0091164E" w:rsidRPr="00CC39A2">
        <w:rPr>
          <w:lang w:val="en-GB"/>
        </w:rPr>
        <w:t>. When a short dwell is employed (Cases A and B)</w:t>
      </w:r>
      <w:r w:rsidR="00BB2DD6" w:rsidRPr="00CC39A2">
        <w:rPr>
          <w:lang w:val="en-GB"/>
        </w:rPr>
        <w:t>,</w:t>
      </w:r>
      <w:r w:rsidR="0091164E" w:rsidRPr="00CC39A2">
        <w:rPr>
          <w:lang w:val="en-GB"/>
        </w:rPr>
        <w:t xml:space="preserve"> peak luminosity location is </w:t>
      </w:r>
      <w:r w:rsidR="00BB2DD6" w:rsidRPr="00CC39A2">
        <w:rPr>
          <w:lang w:val="en-GB"/>
        </w:rPr>
        <w:t xml:space="preserve">approximately 5 CAD retarted as compared to </w:t>
      </w:r>
      <w:r w:rsidR="0091164E" w:rsidRPr="00CC39A2">
        <w:rPr>
          <w:lang w:val="en-GB"/>
        </w:rPr>
        <w:t xml:space="preserve">the location of the peak in the </w:t>
      </w:r>
      <w:r w:rsidR="00BB2DD6" w:rsidRPr="00CC39A2">
        <w:rPr>
          <w:lang w:val="en-GB"/>
        </w:rPr>
        <w:t>B</w:t>
      </w:r>
      <w:r w:rsidR="0091164E" w:rsidRPr="00CC39A2">
        <w:rPr>
          <w:lang w:val="en-GB"/>
        </w:rPr>
        <w:t xml:space="preserve">ase </w:t>
      </w:r>
      <w:r w:rsidR="00BB2DD6" w:rsidRPr="00CC39A2">
        <w:rPr>
          <w:lang w:val="en-GB"/>
        </w:rPr>
        <w:t>C</w:t>
      </w:r>
      <w:r w:rsidR="0091164E" w:rsidRPr="00CC39A2">
        <w:rPr>
          <w:lang w:val="en-GB"/>
        </w:rPr>
        <w:t xml:space="preserve">ase, essentially indicating that the </w:t>
      </w:r>
      <w:r w:rsidR="00BB2DD6" w:rsidRPr="00CC39A2">
        <w:rPr>
          <w:lang w:val="en-GB"/>
        </w:rPr>
        <w:t xml:space="preserve">combustion imposed by the post-injection is expressed as an extension of the </w:t>
      </w:r>
      <w:r w:rsidR="0091164E" w:rsidRPr="00CC39A2">
        <w:rPr>
          <w:lang w:val="en-GB"/>
        </w:rPr>
        <w:t>main combustion event</w:t>
      </w:r>
      <w:r w:rsidR="00BB2DD6" w:rsidRPr="00CC39A2">
        <w:rPr>
          <w:lang w:val="en-GB"/>
        </w:rPr>
        <w:t>.</w:t>
      </w:r>
      <w:r w:rsidR="00747759" w:rsidRPr="00CC39A2">
        <w:rPr>
          <w:lang w:val="en-GB"/>
        </w:rPr>
        <w:t xml:space="preserve"> </w:t>
      </w:r>
      <w:r w:rsidR="00BB2DD6" w:rsidRPr="00CC39A2">
        <w:rPr>
          <w:lang w:val="en-GB"/>
        </w:rPr>
        <w:t>I</w:t>
      </w:r>
      <w:r w:rsidR="0091164E" w:rsidRPr="00CC39A2">
        <w:rPr>
          <w:lang w:val="en-GB"/>
        </w:rPr>
        <w:t>n the cases of a longer dwell (Cases C and D)</w:t>
      </w:r>
      <w:r w:rsidR="00BB2DD6" w:rsidRPr="00CC39A2">
        <w:rPr>
          <w:lang w:val="en-GB"/>
        </w:rPr>
        <w:t>,</w:t>
      </w:r>
      <w:r w:rsidR="0091164E" w:rsidRPr="00CC39A2">
        <w:rPr>
          <w:lang w:val="en-GB"/>
        </w:rPr>
        <w:t xml:space="preserve"> two distinct peaks can be observed, suggesting a second, discrete combustion event</w:t>
      </w:r>
      <w:r w:rsidR="0091164E" w:rsidRPr="00CC39A2">
        <w:rPr>
          <w:lang w:val="en-US"/>
        </w:rPr>
        <w:t xml:space="preserve"> due to the post</w:t>
      </w:r>
      <w:r w:rsidR="00BB2DD6" w:rsidRPr="00CC39A2">
        <w:rPr>
          <w:lang w:val="en-US"/>
        </w:rPr>
        <w:t xml:space="preserve"> </w:t>
      </w:r>
      <w:r w:rsidR="0091164E" w:rsidRPr="00CC39A2">
        <w:rPr>
          <w:lang w:val="en-US"/>
        </w:rPr>
        <w:t xml:space="preserve">injection. </w:t>
      </w:r>
    </w:p>
    <w:p w14:paraId="05DA2E3B" w14:textId="69905F18" w:rsidR="00747759" w:rsidRPr="00CC39A2" w:rsidRDefault="00747759" w:rsidP="004875CA">
      <w:pPr>
        <w:spacing w:before="240" w:after="240" w:line="480" w:lineRule="auto"/>
        <w:jc w:val="both"/>
        <w:rPr>
          <w:lang w:val="en-GB"/>
        </w:rPr>
      </w:pPr>
      <w:r w:rsidRPr="00CC39A2">
        <w:rPr>
          <w:lang w:val="en-GB"/>
        </w:rPr>
        <w:t>Closer inspection of the raw images of the Base Case, suggest that the flames of the main inj</w:t>
      </w:r>
      <w:r w:rsidR="00FD7934" w:rsidRPr="00CC39A2">
        <w:rPr>
          <w:lang w:val="en-GB"/>
        </w:rPr>
        <w:t>ection are closer to the engine</w:t>
      </w:r>
      <w:r w:rsidRPr="00CC39A2">
        <w:rPr>
          <w:lang w:val="en-GB"/>
        </w:rPr>
        <w:t xml:space="preserve"> walls, and due to the limited optical access of the </w:t>
      </w:r>
      <w:r w:rsidR="00DA4B91" w:rsidRPr="00CC39A2">
        <w:rPr>
          <w:lang w:val="en-GB"/>
        </w:rPr>
        <w:t>equipment</w:t>
      </w:r>
      <w:r w:rsidRPr="00CC39A2">
        <w:rPr>
          <w:lang w:val="en-GB"/>
        </w:rPr>
        <w:t xml:space="preserve"> (see Section 2)</w:t>
      </w:r>
      <w:r w:rsidR="00DA4B91" w:rsidRPr="00CC39A2">
        <w:rPr>
          <w:lang w:val="en-GB"/>
        </w:rPr>
        <w:t>,</w:t>
      </w:r>
      <w:r w:rsidRPr="00CC39A2">
        <w:rPr>
          <w:lang w:val="en-GB"/>
        </w:rPr>
        <w:t xml:space="preserve"> there is incomplete information about the main combustion event. In Cases A and B, the associated to the post injection event flames, produce luminosity in a larger portion of the optically accessible are</w:t>
      </w:r>
      <w:r w:rsidR="00FD7934" w:rsidRPr="00CC39A2">
        <w:rPr>
          <w:lang w:val="en-GB"/>
        </w:rPr>
        <w:t>a</w:t>
      </w:r>
      <w:r w:rsidRPr="00CC39A2">
        <w:rPr>
          <w:lang w:val="en-GB"/>
        </w:rPr>
        <w:t xml:space="preserve">, resulting thus to a higher signal. </w:t>
      </w:r>
      <w:r w:rsidR="00DA4B91" w:rsidRPr="00CC39A2">
        <w:rPr>
          <w:lang w:val="en-GB"/>
        </w:rPr>
        <w:t xml:space="preserve">The above can be also corroborated by the fact the in the Base Case, the main injection involves higher fuel mass, </w:t>
      </w:r>
      <w:r w:rsidR="00FD7934" w:rsidRPr="00CC39A2">
        <w:rPr>
          <w:lang w:val="en-GB"/>
        </w:rPr>
        <w:t>acquiring</w:t>
      </w:r>
      <w:r w:rsidR="00DA4B91" w:rsidRPr="00CC39A2">
        <w:rPr>
          <w:lang w:val="en-GB"/>
        </w:rPr>
        <w:t xml:space="preserve"> thus higher kinetic energy and resulting</w:t>
      </w:r>
      <w:r w:rsidR="00FD7934" w:rsidRPr="00CC39A2">
        <w:rPr>
          <w:lang w:val="en-GB"/>
        </w:rPr>
        <w:t xml:space="preserve"> in a longer </w:t>
      </w:r>
      <w:r w:rsidR="00DA4B91" w:rsidRPr="00CC39A2">
        <w:rPr>
          <w:lang w:val="en-GB"/>
        </w:rPr>
        <w:t xml:space="preserve">penetration </w:t>
      </w:r>
      <w:r w:rsidR="00FD7934" w:rsidRPr="00CC39A2">
        <w:rPr>
          <w:lang w:val="en-GB"/>
        </w:rPr>
        <w:t>length</w:t>
      </w:r>
      <w:r w:rsidR="00952259" w:rsidRPr="00CC39A2">
        <w:rPr>
          <w:lang w:val="en-GB"/>
        </w:rPr>
        <w:t>, leading eventually to wall impingement.</w:t>
      </w:r>
    </w:p>
    <w:p w14:paraId="1E2C434F" w14:textId="315F8D7B" w:rsidR="0091164E" w:rsidRPr="00CC39A2" w:rsidRDefault="00447B57" w:rsidP="004875CA">
      <w:pPr>
        <w:spacing w:before="240" w:after="240" w:line="480" w:lineRule="auto"/>
        <w:jc w:val="both"/>
        <w:rPr>
          <w:lang w:val="en-GB"/>
        </w:rPr>
      </w:pPr>
      <w:r w:rsidRPr="00CC39A2">
        <w:rPr>
          <w:lang w:val="en-GB"/>
        </w:rPr>
        <w:lastRenderedPageBreak/>
        <w:t>When</w:t>
      </w:r>
      <w:r w:rsidR="00824585" w:rsidRPr="00CC39A2">
        <w:rPr>
          <w:lang w:val="en-GB"/>
        </w:rPr>
        <w:t xml:space="preserve"> the amount of the post injection fuel </w:t>
      </w:r>
      <w:r w:rsidRPr="00CC39A2">
        <w:rPr>
          <w:lang w:val="en-GB"/>
        </w:rPr>
        <w:t>is doubled</w:t>
      </w:r>
      <w:r w:rsidR="00C02A0D" w:rsidRPr="00CC39A2">
        <w:rPr>
          <w:lang w:val="en-GB"/>
        </w:rPr>
        <w:t xml:space="preserve"> </w:t>
      </w:r>
      <w:r w:rsidR="004B3157" w:rsidRPr="00CC39A2">
        <w:rPr>
          <w:lang w:val="en-GB"/>
        </w:rPr>
        <w:t>(Cases A</w:t>
      </w:r>
      <w:r w:rsidR="004B3157" w:rsidRPr="00CC39A2">
        <w:rPr>
          <w:lang w:val="en-GB"/>
        </w:rPr>
        <w:sym w:font="Wingdings" w:char="F0E0"/>
      </w:r>
      <w:r w:rsidR="004B3157" w:rsidRPr="00CC39A2">
        <w:rPr>
          <w:lang w:val="en-GB"/>
        </w:rPr>
        <w:t>B)</w:t>
      </w:r>
      <w:r w:rsidR="00824585" w:rsidRPr="00CC39A2">
        <w:rPr>
          <w:lang w:val="en-GB"/>
        </w:rPr>
        <w:t xml:space="preserve">, peak natural luminosity is increased and the </w:t>
      </w:r>
      <w:r w:rsidR="00285DAB" w:rsidRPr="00CC39A2">
        <w:rPr>
          <w:lang w:val="en-GB"/>
        </w:rPr>
        <w:t>corresponding</w:t>
      </w:r>
      <w:r w:rsidR="00824585" w:rsidRPr="00CC39A2">
        <w:rPr>
          <w:lang w:val="en-GB"/>
        </w:rPr>
        <w:t xml:space="preserve"> </w:t>
      </w:r>
      <w:r w:rsidR="00BA2C70" w:rsidRPr="00CC39A2">
        <w:rPr>
          <w:lang w:val="en-GB"/>
        </w:rPr>
        <w:t>signal</w:t>
      </w:r>
      <w:r w:rsidR="00824585" w:rsidRPr="00CC39A2">
        <w:rPr>
          <w:lang w:val="en-GB"/>
        </w:rPr>
        <w:t xml:space="preserve"> remain</w:t>
      </w:r>
      <w:r w:rsidR="00C02A0D" w:rsidRPr="00CC39A2">
        <w:rPr>
          <w:lang w:val="en-GB"/>
        </w:rPr>
        <w:t>s</w:t>
      </w:r>
      <w:r w:rsidR="00824585" w:rsidRPr="00CC39A2">
        <w:rPr>
          <w:lang w:val="en-GB"/>
        </w:rPr>
        <w:t xml:space="preserve"> at</w:t>
      </w:r>
      <w:r w:rsidR="00E1694A" w:rsidRPr="00CC39A2">
        <w:rPr>
          <w:lang w:val="en-GB"/>
        </w:rPr>
        <w:t xml:space="preserve"> higher levels</w:t>
      </w:r>
      <w:r w:rsidR="00C839E6" w:rsidRPr="00CC39A2">
        <w:rPr>
          <w:lang w:val="en-GB"/>
        </w:rPr>
        <w:t xml:space="preserve"> during the expansion stroke</w:t>
      </w:r>
      <w:r w:rsidR="00E1694A" w:rsidRPr="00CC39A2">
        <w:rPr>
          <w:lang w:val="en-GB"/>
        </w:rPr>
        <w:t>.</w:t>
      </w:r>
      <w:r w:rsidR="00285DAB" w:rsidRPr="00CC39A2">
        <w:rPr>
          <w:lang w:val="en-GB"/>
        </w:rPr>
        <w:t xml:space="preserve"> </w:t>
      </w:r>
      <w:r w:rsidR="00C839E6" w:rsidRPr="00CC39A2">
        <w:rPr>
          <w:lang w:val="en-GB"/>
        </w:rPr>
        <w:t>As a con</w:t>
      </w:r>
      <w:r w:rsidR="00EC6FAB" w:rsidRPr="00CC39A2">
        <w:rPr>
          <w:lang w:val="en-GB"/>
        </w:rPr>
        <w:t>s</w:t>
      </w:r>
      <w:r w:rsidR="00C839E6" w:rsidRPr="00CC39A2">
        <w:rPr>
          <w:lang w:val="en-GB"/>
        </w:rPr>
        <w:t>equence</w:t>
      </w:r>
      <w:r w:rsidR="00E1694A" w:rsidRPr="00CC39A2">
        <w:rPr>
          <w:lang w:val="en-GB"/>
        </w:rPr>
        <w:t xml:space="preserve">, </w:t>
      </w:r>
      <w:r w:rsidR="00C839E6" w:rsidRPr="00CC39A2">
        <w:rPr>
          <w:lang w:val="en-GB"/>
        </w:rPr>
        <w:t xml:space="preserve">the </w:t>
      </w:r>
      <w:r w:rsidR="00EC6FAB" w:rsidRPr="00CC39A2">
        <w:rPr>
          <w:lang w:val="en-GB"/>
        </w:rPr>
        <w:t xml:space="preserve">luminosity </w:t>
      </w:r>
      <w:r w:rsidR="00C839E6" w:rsidRPr="00CC39A2">
        <w:rPr>
          <w:lang w:val="en-GB"/>
        </w:rPr>
        <w:t xml:space="preserve">signal in </w:t>
      </w:r>
      <w:r w:rsidR="00E1694A" w:rsidRPr="00CC39A2">
        <w:rPr>
          <w:lang w:val="en-GB"/>
        </w:rPr>
        <w:t>Case B</w:t>
      </w:r>
      <w:r w:rsidR="00824585" w:rsidRPr="00CC39A2">
        <w:rPr>
          <w:lang w:val="en-GB"/>
        </w:rPr>
        <w:t xml:space="preserve"> </w:t>
      </w:r>
      <w:r w:rsidR="00E1694A" w:rsidRPr="00CC39A2">
        <w:rPr>
          <w:lang w:val="en-GB"/>
        </w:rPr>
        <w:t xml:space="preserve">is detected </w:t>
      </w:r>
      <w:r w:rsidR="00C839E6" w:rsidRPr="00CC39A2">
        <w:rPr>
          <w:lang w:val="en-GB"/>
        </w:rPr>
        <w:t xml:space="preserve">later </w:t>
      </w:r>
      <w:r w:rsidR="00E1694A" w:rsidRPr="00CC39A2">
        <w:rPr>
          <w:lang w:val="en-GB"/>
        </w:rPr>
        <w:t xml:space="preserve">in the cycle, </w:t>
      </w:r>
      <w:r w:rsidR="00EC6FAB" w:rsidRPr="00CC39A2">
        <w:rPr>
          <w:lang w:val="en-GB"/>
        </w:rPr>
        <w:t xml:space="preserve">signifying </w:t>
      </w:r>
      <w:r w:rsidR="00E1694A" w:rsidRPr="00CC39A2">
        <w:rPr>
          <w:lang w:val="en-GB"/>
        </w:rPr>
        <w:t>that</w:t>
      </w:r>
      <w:r w:rsidR="00C839E6" w:rsidRPr="00CC39A2">
        <w:rPr>
          <w:lang w:val="en-GB"/>
        </w:rPr>
        <w:t xml:space="preserve"> detectable</w:t>
      </w:r>
      <w:r w:rsidR="00E1694A" w:rsidRPr="00CC39A2">
        <w:rPr>
          <w:lang w:val="en-GB"/>
        </w:rPr>
        <w:t xml:space="preserve"> soot oxidation takes place</w:t>
      </w:r>
      <w:r w:rsidR="00C839E6" w:rsidRPr="00CC39A2">
        <w:rPr>
          <w:lang w:val="en-GB"/>
        </w:rPr>
        <w:t xml:space="preserve"> for longer</w:t>
      </w:r>
      <w:r w:rsidR="00E1694A" w:rsidRPr="00CC39A2">
        <w:rPr>
          <w:lang w:val="en-GB"/>
        </w:rPr>
        <w:t xml:space="preserve">. </w:t>
      </w:r>
      <w:r w:rsidR="006D44E3" w:rsidRPr="00CC39A2">
        <w:rPr>
          <w:lang w:val="en-GB"/>
        </w:rPr>
        <w:t>Note that CA90 of Case B is also retarded as compared to CA90 of Case A (Table 2)</w:t>
      </w:r>
      <w:r w:rsidR="008C6FDC" w:rsidRPr="00CC39A2">
        <w:rPr>
          <w:lang w:val="en-GB"/>
        </w:rPr>
        <w:t>.</w:t>
      </w:r>
      <w:r w:rsidR="006D44E3" w:rsidRPr="00CC39A2">
        <w:rPr>
          <w:lang w:val="en-GB"/>
        </w:rPr>
        <w:t xml:space="preserve"> On the other hand, the longer dwell </w:t>
      </w:r>
      <w:r w:rsidR="0005580C" w:rsidRPr="00CC39A2">
        <w:rPr>
          <w:lang w:val="en-GB"/>
        </w:rPr>
        <w:t>C</w:t>
      </w:r>
      <w:r w:rsidR="006D44E3" w:rsidRPr="00CC39A2">
        <w:rPr>
          <w:lang w:val="en-GB"/>
        </w:rPr>
        <w:t xml:space="preserve">ases </w:t>
      </w:r>
      <w:r w:rsidR="0005580C" w:rsidRPr="00CC39A2">
        <w:rPr>
          <w:lang w:val="en-GB"/>
        </w:rPr>
        <w:t xml:space="preserve">C and D </w:t>
      </w:r>
      <w:r w:rsidR="006D44E3" w:rsidRPr="00CC39A2">
        <w:rPr>
          <w:lang w:val="en-GB"/>
        </w:rPr>
        <w:t xml:space="preserve">feature a lower than the Base Case first local peak </w:t>
      </w:r>
      <w:r w:rsidR="00A10274" w:rsidRPr="00CC39A2">
        <w:rPr>
          <w:lang w:val="en-GB"/>
        </w:rPr>
        <w:t xml:space="preserve">(around 8-10 CAD aTDC) </w:t>
      </w:r>
      <w:r w:rsidR="006D44E3" w:rsidRPr="00CC39A2">
        <w:rPr>
          <w:lang w:val="en-GB"/>
        </w:rPr>
        <w:t xml:space="preserve">and reach the maximum natural luminosity signal </w:t>
      </w:r>
      <w:r w:rsidR="00DA4B91" w:rsidRPr="00CC39A2">
        <w:rPr>
          <w:lang w:val="en-GB"/>
        </w:rPr>
        <w:t xml:space="preserve">when the combustion of the post </w:t>
      </w:r>
      <w:r w:rsidR="006D44E3" w:rsidRPr="00CC39A2">
        <w:rPr>
          <w:lang w:val="en-GB"/>
        </w:rPr>
        <w:t xml:space="preserve">injected fuel takes place. </w:t>
      </w:r>
      <w:r w:rsidR="0005580C" w:rsidRPr="00CC39A2">
        <w:rPr>
          <w:lang w:val="en-GB"/>
        </w:rPr>
        <w:t>Finally, although both Cases C and D feature the same post</w:t>
      </w:r>
      <w:r w:rsidR="00DA4B91" w:rsidRPr="00CC39A2">
        <w:rPr>
          <w:lang w:val="en-GB"/>
        </w:rPr>
        <w:t xml:space="preserve"> </w:t>
      </w:r>
      <w:r w:rsidR="0005580C" w:rsidRPr="00CC39A2">
        <w:rPr>
          <w:lang w:val="en-GB"/>
        </w:rPr>
        <w:t xml:space="preserve">injection amount, the higher </w:t>
      </w:r>
      <w:r w:rsidR="00831214" w:rsidRPr="00CC39A2">
        <w:rPr>
          <w:lang w:val="en-GB"/>
        </w:rPr>
        <w:t xml:space="preserve">late (20 – 30 CAD aTDC) local </w:t>
      </w:r>
      <w:r w:rsidR="0005580C" w:rsidRPr="00CC39A2">
        <w:rPr>
          <w:lang w:val="en-GB"/>
        </w:rPr>
        <w:t xml:space="preserve">peak in Case D comes in agreement with the values </w:t>
      </w:r>
      <w:r w:rsidR="00831214" w:rsidRPr="00CC39A2">
        <w:rPr>
          <w:lang w:val="en-GB"/>
        </w:rPr>
        <w:t xml:space="preserve">of the </w:t>
      </w:r>
      <w:r w:rsidR="0051616C" w:rsidRPr="00CC39A2">
        <w:rPr>
          <w:lang w:val="en-GB"/>
        </w:rPr>
        <w:t xml:space="preserve">associated </w:t>
      </w:r>
      <w:r w:rsidR="00831214" w:rsidRPr="00CC39A2">
        <w:rPr>
          <w:lang w:val="en-GB"/>
        </w:rPr>
        <w:t xml:space="preserve">cumulative energy release </w:t>
      </w:r>
      <w:r w:rsidR="0005580C" w:rsidRPr="00CC39A2">
        <w:rPr>
          <w:lang w:val="en-GB"/>
        </w:rPr>
        <w:t>reported in Table 3</w:t>
      </w:r>
      <w:r w:rsidR="008C6FDC" w:rsidRPr="00CC39A2">
        <w:rPr>
          <w:lang w:val="en-GB"/>
        </w:rPr>
        <w:t xml:space="preserve"> (see </w:t>
      </w:r>
      <w:r w:rsidR="00831214" w:rsidRPr="00CC39A2">
        <w:rPr>
          <w:lang w:val="en-GB"/>
        </w:rPr>
        <w:t xml:space="preserve">also </w:t>
      </w:r>
      <w:r w:rsidR="008C6FDC" w:rsidRPr="00CC39A2">
        <w:rPr>
          <w:lang w:val="en-GB"/>
        </w:rPr>
        <w:t>discussion later)</w:t>
      </w:r>
      <w:r w:rsidR="0005580C" w:rsidRPr="00CC39A2">
        <w:rPr>
          <w:lang w:val="en-GB"/>
        </w:rPr>
        <w:t xml:space="preserve">. </w:t>
      </w:r>
    </w:p>
    <w:p w14:paraId="231EF82E" w14:textId="77777777" w:rsidR="002B3FB3" w:rsidRPr="00CC39A2" w:rsidRDefault="00E46CB2" w:rsidP="00E807B0">
      <w:pPr>
        <w:spacing w:before="240" w:after="240" w:line="480" w:lineRule="auto"/>
        <w:jc w:val="both"/>
        <w:rPr>
          <w:lang w:val="en-GB"/>
        </w:rPr>
      </w:pPr>
      <w:r w:rsidRPr="00CC39A2">
        <w:rPr>
          <w:lang w:val="en-GB"/>
        </w:rPr>
        <w:t xml:space="preserve">Figures 4-6 present the integrated </w:t>
      </w:r>
      <w:r w:rsidR="0084480F" w:rsidRPr="00CC39A2">
        <w:rPr>
          <w:lang w:val="en-GB"/>
        </w:rPr>
        <w:t>CH</w:t>
      </w:r>
      <w:r w:rsidR="0084480F" w:rsidRPr="00CC39A2">
        <w:rPr>
          <w:vertAlign w:val="superscript"/>
          <w:lang w:val="en-GB"/>
        </w:rPr>
        <w:t>*</w:t>
      </w:r>
      <w:r w:rsidR="0084480F" w:rsidRPr="00CC39A2">
        <w:rPr>
          <w:lang w:val="en-GB"/>
        </w:rPr>
        <w:t xml:space="preserve">, </w:t>
      </w:r>
      <w:r w:rsidRPr="00CC39A2">
        <w:rPr>
          <w:lang w:val="en-GB"/>
        </w:rPr>
        <w:t>OH</w:t>
      </w:r>
      <w:r w:rsidRPr="00CC39A2">
        <w:rPr>
          <w:vertAlign w:val="superscript"/>
          <w:lang w:val="en-GB"/>
        </w:rPr>
        <w:t>*</w:t>
      </w:r>
      <w:r w:rsidRPr="00CC39A2">
        <w:rPr>
          <w:lang w:val="en-GB"/>
        </w:rPr>
        <w:t xml:space="preserve"> and C</w:t>
      </w:r>
      <w:r w:rsidRPr="00CC39A2">
        <w:rPr>
          <w:vertAlign w:val="subscript"/>
          <w:lang w:val="en-GB"/>
        </w:rPr>
        <w:t>2</w:t>
      </w:r>
      <w:r w:rsidRPr="00CC39A2">
        <w:rPr>
          <w:vertAlign w:val="superscript"/>
          <w:lang w:val="en-GB"/>
        </w:rPr>
        <w:t>*</w:t>
      </w:r>
      <w:r w:rsidRPr="00CC39A2">
        <w:rPr>
          <w:lang w:val="en-GB"/>
        </w:rPr>
        <w:t xml:space="preserve"> signals</w:t>
      </w:r>
      <w:r w:rsidR="00EC6FAB" w:rsidRPr="00CC39A2">
        <w:rPr>
          <w:lang w:val="en-GB"/>
        </w:rPr>
        <w:t>,</w:t>
      </w:r>
      <w:r w:rsidRPr="00CC39A2">
        <w:rPr>
          <w:lang w:val="en-GB"/>
        </w:rPr>
        <w:t xml:space="preserve"> </w:t>
      </w:r>
      <w:r w:rsidR="00F9328A" w:rsidRPr="00CC39A2">
        <w:rPr>
          <w:lang w:val="en-GB"/>
        </w:rPr>
        <w:t>respectively</w:t>
      </w:r>
      <w:r w:rsidRPr="00CC39A2">
        <w:rPr>
          <w:lang w:val="en-GB"/>
        </w:rPr>
        <w:t xml:space="preserve">. </w:t>
      </w:r>
      <w:r w:rsidR="00AD5D76" w:rsidRPr="00CC39A2">
        <w:rPr>
          <w:lang w:val="en-GB"/>
        </w:rPr>
        <w:t>P</w:t>
      </w:r>
      <w:r w:rsidR="00D90ECC" w:rsidRPr="00CC39A2">
        <w:rPr>
          <w:lang w:val="en-GB"/>
        </w:rPr>
        <w:t xml:space="preserve">rocesses </w:t>
      </w:r>
      <w:r w:rsidR="00AD5D76" w:rsidRPr="00CC39A2">
        <w:rPr>
          <w:lang w:val="en-GB"/>
        </w:rPr>
        <w:t xml:space="preserve">which are detected as </w:t>
      </w:r>
      <w:r w:rsidR="00EC6FAB" w:rsidRPr="00CC39A2">
        <w:rPr>
          <w:lang w:val="en-GB"/>
        </w:rPr>
        <w:t xml:space="preserve">apparent </w:t>
      </w:r>
      <w:r w:rsidR="00AD5D76" w:rsidRPr="00CC39A2">
        <w:rPr>
          <w:lang w:val="en-GB"/>
        </w:rPr>
        <w:t xml:space="preserve">heat </w:t>
      </w:r>
      <w:r w:rsidR="00EC6FAB" w:rsidRPr="00CC39A2">
        <w:rPr>
          <w:lang w:val="en-GB"/>
        </w:rPr>
        <w:t xml:space="preserve">transfer </w:t>
      </w:r>
      <w:r w:rsidR="00D90ECC" w:rsidRPr="00CC39A2">
        <w:rPr>
          <w:lang w:val="en-GB"/>
        </w:rPr>
        <w:t>are strongly linked to the overall mixture charge reactivity and</w:t>
      </w:r>
      <w:r w:rsidR="000C5AE3" w:rsidRPr="00CC39A2">
        <w:rPr>
          <w:lang w:val="en-GB"/>
        </w:rPr>
        <w:t>,</w:t>
      </w:r>
      <w:r w:rsidR="00D90ECC" w:rsidRPr="00CC39A2">
        <w:rPr>
          <w:lang w:val="en-GB"/>
        </w:rPr>
        <w:t xml:space="preserve"> therefore</w:t>
      </w:r>
      <w:r w:rsidR="000C5AE3" w:rsidRPr="00CC39A2">
        <w:rPr>
          <w:lang w:val="en-GB"/>
        </w:rPr>
        <w:t>,</w:t>
      </w:r>
      <w:r w:rsidR="00D90ECC" w:rsidRPr="00CC39A2">
        <w:rPr>
          <w:lang w:val="en-GB"/>
        </w:rPr>
        <w:t xml:space="preserve"> </w:t>
      </w:r>
      <w:r w:rsidR="000C5AE3" w:rsidRPr="00CC39A2">
        <w:rPr>
          <w:lang w:val="en-GB"/>
        </w:rPr>
        <w:t>to</w:t>
      </w:r>
      <w:r w:rsidR="00D90ECC" w:rsidRPr="00CC39A2">
        <w:rPr>
          <w:lang w:val="en-GB"/>
        </w:rPr>
        <w:t xml:space="preserve"> the intensity of CH</w:t>
      </w:r>
      <w:r w:rsidR="00D90ECC" w:rsidRPr="00CC39A2">
        <w:rPr>
          <w:vertAlign w:val="superscript"/>
          <w:lang w:val="en-GB"/>
        </w:rPr>
        <w:t>*</w:t>
      </w:r>
      <w:r w:rsidR="00D90ECC" w:rsidRPr="00CC39A2">
        <w:rPr>
          <w:lang w:val="en-GB"/>
        </w:rPr>
        <w:t xml:space="preserve"> signal, as the latter is a typical flame front marker. </w:t>
      </w:r>
      <w:r w:rsidR="000C5AE3" w:rsidRPr="00CC39A2">
        <w:rPr>
          <w:lang w:val="en-GB"/>
        </w:rPr>
        <w:t>A</w:t>
      </w:r>
      <w:r w:rsidR="00D90ECC" w:rsidRPr="00CC39A2">
        <w:rPr>
          <w:lang w:val="en-GB"/>
        </w:rPr>
        <w:t>ny post-injection strategy prolongs charge reactivity</w:t>
      </w:r>
      <w:r w:rsidR="00D10E49" w:rsidRPr="00CC39A2">
        <w:rPr>
          <w:lang w:val="en-GB"/>
        </w:rPr>
        <w:t xml:space="preserve"> (higher CH</w:t>
      </w:r>
      <w:r w:rsidR="00D10E49" w:rsidRPr="00CC39A2">
        <w:rPr>
          <w:vertAlign w:val="superscript"/>
          <w:lang w:val="en-GB"/>
        </w:rPr>
        <w:t>*</w:t>
      </w:r>
      <w:r w:rsidR="00D10E49" w:rsidRPr="00CC39A2">
        <w:rPr>
          <w:lang w:val="en-GB"/>
        </w:rPr>
        <w:t xml:space="preserve"> signal after 10 CAD aTDC)</w:t>
      </w:r>
      <w:r w:rsidR="00D90ECC" w:rsidRPr="00CC39A2">
        <w:rPr>
          <w:lang w:val="en-GB"/>
        </w:rPr>
        <w:t xml:space="preserve">, </w:t>
      </w:r>
      <w:r w:rsidR="00AD5D76" w:rsidRPr="00CC39A2">
        <w:rPr>
          <w:lang w:val="en-GB"/>
        </w:rPr>
        <w:t xml:space="preserve">because </w:t>
      </w:r>
      <w:r w:rsidR="00F9328A" w:rsidRPr="00CC39A2">
        <w:rPr>
          <w:lang w:val="en-GB"/>
        </w:rPr>
        <w:t>a</w:t>
      </w:r>
      <w:r w:rsidR="0067341A" w:rsidRPr="00CC39A2">
        <w:rPr>
          <w:lang w:val="en-GB"/>
        </w:rPr>
        <w:t xml:space="preserve"> certain</w:t>
      </w:r>
      <w:r w:rsidR="00F9328A" w:rsidRPr="00CC39A2">
        <w:rPr>
          <w:lang w:val="en-GB"/>
        </w:rPr>
        <w:t xml:space="preserve"> </w:t>
      </w:r>
      <w:r w:rsidR="0067341A" w:rsidRPr="00CC39A2">
        <w:rPr>
          <w:lang w:val="en-GB"/>
        </w:rPr>
        <w:t xml:space="preserve">amount of </w:t>
      </w:r>
      <w:r w:rsidR="00D90ECC" w:rsidRPr="00CC39A2">
        <w:rPr>
          <w:lang w:val="en-GB"/>
        </w:rPr>
        <w:t xml:space="preserve">fuel is </w:t>
      </w:r>
      <w:r w:rsidR="0067341A" w:rsidRPr="00CC39A2">
        <w:rPr>
          <w:lang w:val="en-GB"/>
        </w:rPr>
        <w:t xml:space="preserve">injected </w:t>
      </w:r>
      <w:r w:rsidR="00612591" w:rsidRPr="00CC39A2">
        <w:rPr>
          <w:lang w:val="en-GB"/>
        </w:rPr>
        <w:t>later</w:t>
      </w:r>
      <w:r w:rsidR="00F9328A" w:rsidRPr="00CC39A2">
        <w:rPr>
          <w:lang w:val="en-GB"/>
        </w:rPr>
        <w:t xml:space="preserve"> in the cycle</w:t>
      </w:r>
      <w:r w:rsidR="002B3FB3" w:rsidRPr="00CC39A2">
        <w:rPr>
          <w:lang w:val="en-GB"/>
        </w:rPr>
        <w:t>, see Figure 4. Note the relative higher noise-to-signal ratio in the long dwell Cases C and D, mainly attributed to the overall lower</w:t>
      </w:r>
      <w:r w:rsidR="00D90ECC" w:rsidRPr="00CC39A2">
        <w:rPr>
          <w:lang w:val="en-GB"/>
        </w:rPr>
        <w:t xml:space="preserve"> </w:t>
      </w:r>
      <w:r w:rsidR="002B3FB3" w:rsidRPr="00CC39A2">
        <w:rPr>
          <w:lang w:val="en-GB"/>
        </w:rPr>
        <w:t xml:space="preserve">intensity recorded (all images have been acquired with the same resolution of signal intensity). </w:t>
      </w:r>
      <w:r w:rsidR="00F9328A" w:rsidRPr="00CC39A2">
        <w:rPr>
          <w:lang w:val="en-GB"/>
        </w:rPr>
        <w:t xml:space="preserve">Charge reactivity is not </w:t>
      </w:r>
      <w:r w:rsidR="00F67789" w:rsidRPr="00CC39A2">
        <w:rPr>
          <w:lang w:val="en-GB"/>
        </w:rPr>
        <w:t xml:space="preserve">noticeably </w:t>
      </w:r>
      <w:r w:rsidR="00F9328A" w:rsidRPr="00CC39A2">
        <w:rPr>
          <w:lang w:val="en-GB"/>
        </w:rPr>
        <w:t xml:space="preserve">affected when the </w:t>
      </w:r>
      <w:r w:rsidR="00143D3A" w:rsidRPr="00CC39A2">
        <w:rPr>
          <w:lang w:val="en-GB"/>
        </w:rPr>
        <w:t xml:space="preserve">post injection amount increases </w:t>
      </w:r>
      <w:r w:rsidR="00F9328A" w:rsidRPr="00CC39A2">
        <w:rPr>
          <w:lang w:val="en-GB"/>
        </w:rPr>
        <w:t>(</w:t>
      </w:r>
      <w:r w:rsidR="00EC6FAB" w:rsidRPr="00CC39A2">
        <w:rPr>
          <w:lang w:val="en-GB"/>
        </w:rPr>
        <w:t xml:space="preserve">cf. </w:t>
      </w:r>
      <w:r w:rsidR="00F9328A" w:rsidRPr="00CC39A2">
        <w:rPr>
          <w:lang w:val="en-GB"/>
        </w:rPr>
        <w:t>Case</w:t>
      </w:r>
      <w:r w:rsidR="00EC6FAB" w:rsidRPr="00CC39A2">
        <w:rPr>
          <w:lang w:val="en-GB"/>
        </w:rPr>
        <w:t>s</w:t>
      </w:r>
      <w:r w:rsidR="00F9328A" w:rsidRPr="00CC39A2">
        <w:rPr>
          <w:lang w:val="en-GB"/>
        </w:rPr>
        <w:t xml:space="preserve"> A</w:t>
      </w:r>
      <w:r w:rsidR="00FF65F0" w:rsidRPr="00CC39A2">
        <w:rPr>
          <w:lang w:val="en-GB"/>
        </w:rPr>
        <w:t xml:space="preserve"> and </w:t>
      </w:r>
      <w:r w:rsidR="00F9328A" w:rsidRPr="00CC39A2">
        <w:rPr>
          <w:lang w:val="en-GB"/>
        </w:rPr>
        <w:t>B</w:t>
      </w:r>
      <w:r w:rsidR="00FF65F0" w:rsidRPr="00CC39A2">
        <w:rPr>
          <w:lang w:val="en-GB"/>
        </w:rPr>
        <w:t xml:space="preserve"> respectively</w:t>
      </w:r>
      <w:r w:rsidR="00F9328A" w:rsidRPr="00CC39A2">
        <w:rPr>
          <w:lang w:val="en-GB"/>
        </w:rPr>
        <w:t xml:space="preserve">) </w:t>
      </w:r>
      <w:r w:rsidR="008077DA" w:rsidRPr="00CC39A2">
        <w:rPr>
          <w:lang w:val="en-GB"/>
        </w:rPr>
        <w:t xml:space="preserve">at least on the </w:t>
      </w:r>
      <w:r w:rsidR="008077DA" w:rsidRPr="00CC39A2">
        <w:rPr>
          <w:lang w:val="en-GB"/>
        </w:rPr>
        <w:lastRenderedPageBreak/>
        <w:t xml:space="preserve">evidence that </w:t>
      </w:r>
      <w:r w:rsidR="00F9328A" w:rsidRPr="00CC39A2">
        <w:rPr>
          <w:lang w:val="en-GB"/>
        </w:rPr>
        <w:t>the peak CH</w:t>
      </w:r>
      <w:r w:rsidR="00F9328A" w:rsidRPr="00CC39A2">
        <w:rPr>
          <w:vertAlign w:val="superscript"/>
          <w:lang w:val="en-GB"/>
        </w:rPr>
        <w:t>*</w:t>
      </w:r>
      <w:r w:rsidR="00F9328A" w:rsidRPr="00CC39A2">
        <w:rPr>
          <w:lang w:val="en-GB"/>
        </w:rPr>
        <w:t xml:space="preserve"> signal is not </w:t>
      </w:r>
      <w:r w:rsidR="00831214" w:rsidRPr="00CC39A2">
        <w:rPr>
          <w:lang w:val="en-GB"/>
        </w:rPr>
        <w:t xml:space="preserve">significantly </w:t>
      </w:r>
      <w:r w:rsidR="00F9328A" w:rsidRPr="00CC39A2">
        <w:rPr>
          <w:lang w:val="en-GB"/>
        </w:rPr>
        <w:t xml:space="preserve">affected, in agreement with Fig. 1, where the local AHTR values are almost the same. </w:t>
      </w:r>
    </w:p>
    <w:p w14:paraId="7623C550" w14:textId="77777777" w:rsidR="002B3FB3" w:rsidRPr="00CC39A2" w:rsidRDefault="002B3FB3" w:rsidP="00E807B0">
      <w:pPr>
        <w:spacing w:before="240" w:after="240" w:line="480" w:lineRule="auto"/>
        <w:jc w:val="both"/>
        <w:rPr>
          <w:lang w:val="en-GB"/>
        </w:rPr>
      </w:pPr>
    </w:p>
    <w:p w14:paraId="55558EA3" w14:textId="31DB1828" w:rsidR="002A08F1" w:rsidRPr="00CC39A2" w:rsidRDefault="00831214" w:rsidP="00E807B0">
      <w:pPr>
        <w:spacing w:before="240" w:after="240" w:line="480" w:lineRule="auto"/>
        <w:jc w:val="both"/>
        <w:rPr>
          <w:lang w:val="en-GB"/>
        </w:rPr>
      </w:pPr>
      <w:r w:rsidRPr="00CC39A2">
        <w:rPr>
          <w:lang w:val="en-GB"/>
        </w:rPr>
        <w:t>CH</w:t>
      </w:r>
      <w:r w:rsidRPr="00CC39A2">
        <w:rPr>
          <w:vertAlign w:val="superscript"/>
          <w:lang w:val="en-GB"/>
        </w:rPr>
        <w:t>*</w:t>
      </w:r>
      <w:r w:rsidRPr="00CC39A2">
        <w:rPr>
          <w:lang w:val="en-GB"/>
        </w:rPr>
        <w:t xml:space="preserve"> chemiluminescence signals can be used to </w:t>
      </w:r>
      <w:r w:rsidR="00A10274" w:rsidRPr="00CC39A2">
        <w:rPr>
          <w:lang w:val="en-GB"/>
        </w:rPr>
        <w:t>discuss</w:t>
      </w:r>
      <w:r w:rsidRPr="00CC39A2">
        <w:rPr>
          <w:lang w:val="en-GB"/>
        </w:rPr>
        <w:t xml:space="preserve"> the delay period between fuel injection and combustion. </w:t>
      </w:r>
      <w:r w:rsidR="00D10E49" w:rsidRPr="00CC39A2">
        <w:rPr>
          <w:lang w:val="en-GB"/>
        </w:rPr>
        <w:t>For Cases A and B, the CH</w:t>
      </w:r>
      <w:r w:rsidR="00D10E49" w:rsidRPr="00CC39A2">
        <w:rPr>
          <w:vertAlign w:val="superscript"/>
          <w:lang w:val="en-GB"/>
        </w:rPr>
        <w:t>*</w:t>
      </w:r>
      <w:r w:rsidR="00D10E49" w:rsidRPr="00CC39A2">
        <w:rPr>
          <w:lang w:val="en-GB"/>
        </w:rPr>
        <w:t xml:space="preserve"> peak occurs slightly later than the peak of the Base Case (approx. 15 </w:t>
      </w:r>
      <w:r w:rsidR="00D10E49" w:rsidRPr="00CC39A2">
        <w:rPr>
          <w:i/>
          <w:lang w:val="en-GB"/>
        </w:rPr>
        <w:t>vs.</w:t>
      </w:r>
      <w:r w:rsidR="00D10E49" w:rsidRPr="00CC39A2">
        <w:rPr>
          <w:lang w:val="en-GB"/>
        </w:rPr>
        <w:t xml:space="preserve"> 12 CAD aTDC respectively) indicating the extended mixing and reaction</w:t>
      </w:r>
      <w:r w:rsidR="00A10274" w:rsidRPr="00CC39A2">
        <w:rPr>
          <w:lang w:val="en-GB"/>
        </w:rPr>
        <w:t xml:space="preserve"> </w:t>
      </w:r>
      <w:r w:rsidR="00D10E49" w:rsidRPr="00CC39A2">
        <w:rPr>
          <w:lang w:val="en-GB"/>
        </w:rPr>
        <w:t>period induced by the post injection</w:t>
      </w:r>
      <w:r w:rsidR="00A10274" w:rsidRPr="00CC39A2">
        <w:rPr>
          <w:lang w:val="en-GB"/>
        </w:rPr>
        <w:t xml:space="preserve"> (cf. also C</w:t>
      </w:r>
      <w:r w:rsidR="00A10274" w:rsidRPr="00CC39A2">
        <w:rPr>
          <w:vertAlign w:val="subscript"/>
          <w:lang w:val="en-GB"/>
        </w:rPr>
        <w:t>2</w:t>
      </w:r>
      <w:r w:rsidR="00A10274" w:rsidRPr="00CC39A2">
        <w:rPr>
          <w:vertAlign w:val="superscript"/>
          <w:lang w:val="en-GB"/>
        </w:rPr>
        <w:t>*</w:t>
      </w:r>
      <w:r w:rsidR="00A10274" w:rsidRPr="00CC39A2">
        <w:rPr>
          <w:lang w:val="en-GB"/>
        </w:rPr>
        <w:t xml:space="preserve"> signal peaks in Fig. 6)</w:t>
      </w:r>
      <w:r w:rsidR="00D10E49" w:rsidRPr="00CC39A2">
        <w:rPr>
          <w:lang w:val="en-GB"/>
        </w:rPr>
        <w:t>. The effect of post injection fuel mass (2</w:t>
      </w:r>
      <w:r w:rsidRPr="00CC39A2">
        <w:rPr>
          <w:lang w:val="en-GB"/>
        </w:rPr>
        <w:t> </w:t>
      </w:r>
      <w:r w:rsidR="00D10E49" w:rsidRPr="00CC39A2">
        <w:rPr>
          <w:lang w:val="en-GB"/>
        </w:rPr>
        <w:t>mg in Case B, 1</w:t>
      </w:r>
      <w:r w:rsidRPr="00CC39A2">
        <w:rPr>
          <w:lang w:val="en-GB"/>
        </w:rPr>
        <w:t> </w:t>
      </w:r>
      <w:r w:rsidR="00D10E49" w:rsidRPr="00CC39A2">
        <w:rPr>
          <w:lang w:val="en-GB"/>
        </w:rPr>
        <w:t xml:space="preserve">mg in Case A) does not seem to affect the location of the peak signal and only results in a higher peak value. Thus, the higher kinetic energy associated with the higher fuel amount </w:t>
      </w:r>
      <w:r w:rsidR="002A08F1" w:rsidRPr="00CC39A2">
        <w:rPr>
          <w:lang w:val="en-GB"/>
        </w:rPr>
        <w:t xml:space="preserve">is </w:t>
      </w:r>
      <w:r w:rsidRPr="00CC39A2">
        <w:rPr>
          <w:lang w:val="en-GB"/>
        </w:rPr>
        <w:t>also directly translated</w:t>
      </w:r>
      <w:r w:rsidR="002A08F1" w:rsidRPr="00CC39A2">
        <w:rPr>
          <w:lang w:val="en-GB"/>
        </w:rPr>
        <w:t xml:space="preserve"> as enhanced local mixing</w:t>
      </w:r>
      <w:r w:rsidRPr="00CC39A2">
        <w:rPr>
          <w:lang w:val="en-GB"/>
        </w:rPr>
        <w:t xml:space="preserve"> and reactivity</w:t>
      </w:r>
      <w:r w:rsidR="002A08F1" w:rsidRPr="00CC39A2">
        <w:rPr>
          <w:lang w:val="en-GB"/>
        </w:rPr>
        <w:t>. The long dwell Cases C and D feature significantly lower overall peak integrated CH</w:t>
      </w:r>
      <w:r w:rsidR="002A08F1" w:rsidRPr="00CC39A2">
        <w:rPr>
          <w:vertAlign w:val="superscript"/>
          <w:lang w:val="en-GB"/>
        </w:rPr>
        <w:t>*</w:t>
      </w:r>
      <w:r w:rsidR="002A08F1" w:rsidRPr="00CC39A2">
        <w:rPr>
          <w:lang w:val="en-GB"/>
        </w:rPr>
        <w:t xml:space="preserve"> signals</w:t>
      </w:r>
      <w:r w:rsidR="003F4ECB" w:rsidRPr="00CC39A2">
        <w:rPr>
          <w:lang w:val="en-GB"/>
        </w:rPr>
        <w:t>. It is interesting to note that the peak of CH</w:t>
      </w:r>
      <w:r w:rsidR="003F4ECB" w:rsidRPr="00CC39A2">
        <w:rPr>
          <w:vertAlign w:val="superscript"/>
          <w:lang w:val="en-GB"/>
        </w:rPr>
        <w:t>*</w:t>
      </w:r>
      <w:r w:rsidR="003F4ECB" w:rsidRPr="00CC39A2">
        <w:rPr>
          <w:lang w:val="en-GB"/>
        </w:rPr>
        <w:t xml:space="preserve"> signals in </w:t>
      </w:r>
      <w:r w:rsidR="003E72E9" w:rsidRPr="00CC39A2">
        <w:rPr>
          <w:lang w:val="en-GB"/>
        </w:rPr>
        <w:t>the short dwell</w:t>
      </w:r>
      <w:r w:rsidR="003F4ECB" w:rsidRPr="00CC39A2">
        <w:rPr>
          <w:lang w:val="en-GB"/>
        </w:rPr>
        <w:t xml:space="preserve"> post-injection cases occurs </w:t>
      </w:r>
      <w:r w:rsidR="003E72E9" w:rsidRPr="00CC39A2">
        <w:rPr>
          <w:lang w:val="en-GB"/>
        </w:rPr>
        <w:t>ca. 10 CAD</w:t>
      </w:r>
      <w:r w:rsidR="000A3F1B" w:rsidRPr="00CC39A2">
        <w:rPr>
          <w:lang w:val="en-GB"/>
        </w:rPr>
        <w:t xml:space="preserve"> after the post injection</w:t>
      </w:r>
      <w:r w:rsidR="0035002C" w:rsidRPr="00CC39A2">
        <w:rPr>
          <w:lang w:val="en-GB"/>
        </w:rPr>
        <w:t xml:space="preserve"> timing</w:t>
      </w:r>
      <w:r w:rsidR="000A3F1B" w:rsidRPr="00CC39A2">
        <w:rPr>
          <w:lang w:val="en-GB"/>
        </w:rPr>
        <w:t xml:space="preserve">, whereas </w:t>
      </w:r>
      <w:r w:rsidR="003E72E9" w:rsidRPr="00CC39A2">
        <w:rPr>
          <w:lang w:val="en-GB"/>
        </w:rPr>
        <w:t xml:space="preserve">in the long dwell cases after ca. 8 CAD </w:t>
      </w:r>
      <w:r w:rsidR="000A3F1B" w:rsidRPr="00CC39A2">
        <w:rPr>
          <w:lang w:val="en-GB"/>
        </w:rPr>
        <w:t xml:space="preserve">of the post injection, </w:t>
      </w:r>
      <w:r w:rsidR="003E72E9" w:rsidRPr="00CC39A2">
        <w:rPr>
          <w:lang w:val="en-GB"/>
        </w:rPr>
        <w:t xml:space="preserve">indicating the effect of the in-cylinder thermodynamic conditions at the moment of post-injection. </w:t>
      </w:r>
    </w:p>
    <w:p w14:paraId="4E4DF7BA" w14:textId="77777777" w:rsidR="002B3FB3" w:rsidRPr="00CC39A2" w:rsidRDefault="002B3FB3" w:rsidP="00E807B0">
      <w:pPr>
        <w:spacing w:before="240" w:after="240" w:line="480" w:lineRule="auto"/>
        <w:jc w:val="both"/>
        <w:rPr>
          <w:lang w:val="en-GB"/>
        </w:rPr>
      </w:pPr>
    </w:p>
    <w:p w14:paraId="5A87B3F1" w14:textId="21AB2C14" w:rsidR="004D1FD3" w:rsidRPr="00CC39A2" w:rsidRDefault="002B3FB3" w:rsidP="002B3FB3">
      <w:pPr>
        <w:spacing w:before="240" w:after="240" w:line="480" w:lineRule="auto"/>
        <w:jc w:val="both"/>
        <w:rPr>
          <w:lang w:val="en-GB"/>
        </w:rPr>
      </w:pPr>
      <w:r w:rsidRPr="00CC39A2">
        <w:rPr>
          <w:bCs/>
          <w:lang w:val="en-GB"/>
        </w:rPr>
        <w:lastRenderedPageBreak/>
        <w:t xml:space="preserve">All considered post injection strategies extend </w:t>
      </w:r>
      <w:r w:rsidR="00EF7505" w:rsidRPr="00CC39A2">
        <w:rPr>
          <w:bCs/>
          <w:lang w:val="en-GB"/>
        </w:rPr>
        <w:t xml:space="preserve">the duration of </w:t>
      </w:r>
      <w:r w:rsidRPr="00CC39A2">
        <w:rPr>
          <w:bCs/>
          <w:lang w:val="en-GB"/>
        </w:rPr>
        <w:t>the heat release zone, as may be inferred from the analysis of the OH</w:t>
      </w:r>
      <w:r w:rsidRPr="00CC39A2">
        <w:rPr>
          <w:bCs/>
          <w:vertAlign w:val="superscript"/>
          <w:lang w:val="en-GB"/>
        </w:rPr>
        <w:t>*</w:t>
      </w:r>
      <w:r w:rsidRPr="00CC39A2">
        <w:rPr>
          <w:bCs/>
          <w:lang w:val="en-GB"/>
        </w:rPr>
        <w:t xml:space="preserve"> chemiluminescence measurements, see Figure 5. While the onset of OH</w:t>
      </w:r>
      <w:r w:rsidRPr="00CC39A2">
        <w:rPr>
          <w:bCs/>
          <w:vertAlign w:val="superscript"/>
          <w:lang w:val="en-GB"/>
        </w:rPr>
        <w:t>*</w:t>
      </w:r>
      <w:r w:rsidRPr="00CC39A2">
        <w:rPr>
          <w:bCs/>
          <w:lang w:val="en-GB"/>
        </w:rPr>
        <w:t xml:space="preserve"> signal for all cases occurs almost at the same </w:t>
      </w:r>
      <w:r w:rsidR="008E191A" w:rsidRPr="00CC39A2">
        <w:rPr>
          <w:bCs/>
          <w:lang w:val="en-GB"/>
        </w:rPr>
        <w:t>location</w:t>
      </w:r>
      <w:r w:rsidRPr="00CC39A2">
        <w:rPr>
          <w:bCs/>
          <w:lang w:val="en-GB"/>
        </w:rPr>
        <w:t>, Case D starts a bit earlier and feature a noticeable early local peak, similar to the behaviour observed for the CH</w:t>
      </w:r>
      <w:r w:rsidRPr="00CC39A2">
        <w:rPr>
          <w:bCs/>
          <w:vertAlign w:val="superscript"/>
          <w:lang w:val="en-GB"/>
        </w:rPr>
        <w:t>*</w:t>
      </w:r>
      <w:r w:rsidRPr="00CC39A2">
        <w:rPr>
          <w:bCs/>
          <w:lang w:val="en-GB"/>
        </w:rPr>
        <w:t xml:space="preserve"> case as well (see Fig. 4). T</w:t>
      </w:r>
      <w:r w:rsidR="008E191A" w:rsidRPr="00CC39A2">
        <w:rPr>
          <w:bCs/>
          <w:lang w:val="en-GB"/>
        </w:rPr>
        <w:t xml:space="preserve">his difference in the </w:t>
      </w:r>
      <w:r w:rsidR="007C29CF" w:rsidRPr="00CC39A2">
        <w:rPr>
          <w:bCs/>
          <w:lang w:val="en-GB"/>
        </w:rPr>
        <w:t xml:space="preserve">early </w:t>
      </w:r>
      <w:r w:rsidR="008E191A" w:rsidRPr="00CC39A2">
        <w:rPr>
          <w:bCs/>
          <w:lang w:val="en-GB"/>
        </w:rPr>
        <w:t>behaviour</w:t>
      </w:r>
      <w:r w:rsidR="007C29CF" w:rsidRPr="00CC39A2">
        <w:rPr>
          <w:bCs/>
          <w:lang w:val="en-GB"/>
        </w:rPr>
        <w:t xml:space="preserve"> of OH</w:t>
      </w:r>
      <w:r w:rsidR="007C29CF" w:rsidRPr="00CC39A2">
        <w:rPr>
          <w:bCs/>
          <w:vertAlign w:val="superscript"/>
          <w:lang w:val="en-GB"/>
        </w:rPr>
        <w:t>*</w:t>
      </w:r>
      <w:r w:rsidR="008E191A" w:rsidRPr="00CC39A2">
        <w:rPr>
          <w:bCs/>
          <w:lang w:val="en-GB"/>
        </w:rPr>
        <w:t xml:space="preserve">, particularly, </w:t>
      </w:r>
      <w:r w:rsidR="007C29CF" w:rsidRPr="00CC39A2">
        <w:rPr>
          <w:bCs/>
          <w:lang w:val="en-GB"/>
        </w:rPr>
        <w:t>between</w:t>
      </w:r>
      <w:r w:rsidR="008E191A" w:rsidRPr="00CC39A2">
        <w:rPr>
          <w:bCs/>
          <w:lang w:val="en-GB"/>
        </w:rPr>
        <w:t xml:space="preserve"> Cases C and D</w:t>
      </w:r>
      <w:r w:rsidR="007C29CF" w:rsidRPr="00CC39A2">
        <w:rPr>
          <w:bCs/>
          <w:lang w:val="en-GB"/>
        </w:rPr>
        <w:t xml:space="preserve">, is troublesome. However, analysis of all individual cycles recorded suggest that this behaviour is consistent and </w:t>
      </w:r>
      <w:r w:rsidR="009C2F0B" w:rsidRPr="00CC39A2">
        <w:rPr>
          <w:bCs/>
          <w:lang w:val="en-GB"/>
        </w:rPr>
        <w:t xml:space="preserve">it </w:t>
      </w:r>
      <w:r w:rsidR="007C29CF" w:rsidRPr="00CC39A2">
        <w:rPr>
          <w:bCs/>
          <w:lang w:val="en-GB"/>
        </w:rPr>
        <w:t>can be possibly attributed to the slight</w:t>
      </w:r>
      <w:r w:rsidR="009C2F0B" w:rsidRPr="00CC39A2">
        <w:rPr>
          <w:bCs/>
          <w:lang w:val="en-GB"/>
        </w:rPr>
        <w:t>ly different in</w:t>
      </w:r>
      <w:r w:rsidR="007C29CF" w:rsidRPr="00CC39A2">
        <w:rPr>
          <w:bCs/>
          <w:lang w:val="en-GB"/>
        </w:rPr>
        <w:t xml:space="preserve">take air mass </w:t>
      </w:r>
      <w:r w:rsidR="009C2F0B" w:rsidRPr="00CC39A2">
        <w:rPr>
          <w:bCs/>
          <w:lang w:val="en-GB"/>
        </w:rPr>
        <w:t>recorded for</w:t>
      </w:r>
      <w:r w:rsidR="007C29CF" w:rsidRPr="00CC39A2">
        <w:rPr>
          <w:bCs/>
          <w:lang w:val="en-GB"/>
        </w:rPr>
        <w:t xml:space="preserve"> Case D. </w:t>
      </w:r>
      <w:r w:rsidR="00C643E8" w:rsidRPr="00CC39A2">
        <w:rPr>
          <w:bCs/>
          <w:lang w:val="en-GB"/>
        </w:rPr>
        <w:t>OH</w:t>
      </w:r>
      <w:r w:rsidR="00C643E8" w:rsidRPr="00CC39A2">
        <w:rPr>
          <w:bCs/>
          <w:vertAlign w:val="superscript"/>
          <w:lang w:val="en-GB"/>
        </w:rPr>
        <w:t>*</w:t>
      </w:r>
      <w:r w:rsidR="00C643E8" w:rsidRPr="00CC39A2">
        <w:rPr>
          <w:bCs/>
          <w:lang w:val="en-GB"/>
        </w:rPr>
        <w:t xml:space="preserve"> results indicate that when the fuel mass is doubled and the timing is retained (Case</w:t>
      </w:r>
      <w:r w:rsidR="00411FD7" w:rsidRPr="00CC39A2">
        <w:rPr>
          <w:bCs/>
          <w:lang w:val="en-GB"/>
        </w:rPr>
        <w:t>s</w:t>
      </w:r>
      <w:r w:rsidR="00C643E8" w:rsidRPr="00CC39A2">
        <w:rPr>
          <w:bCs/>
          <w:lang w:val="en-GB"/>
        </w:rPr>
        <w:t xml:space="preserve"> A </w:t>
      </w:r>
      <w:r w:rsidR="00411FD7" w:rsidRPr="00CC39A2">
        <w:rPr>
          <w:bCs/>
          <w:lang w:val="en-GB"/>
        </w:rPr>
        <w:t xml:space="preserve">and </w:t>
      </w:r>
      <w:r w:rsidR="00C643E8" w:rsidRPr="00CC39A2">
        <w:rPr>
          <w:bCs/>
          <w:lang w:val="en-GB"/>
        </w:rPr>
        <w:t xml:space="preserve">B), the heat release processes are intensified. </w:t>
      </w:r>
      <w:r w:rsidRPr="00CC39A2">
        <w:rPr>
          <w:lang w:val="en-GB"/>
        </w:rPr>
        <w:t>Case B, as compared to Case A, feature</w:t>
      </w:r>
      <w:r w:rsidR="009C2F0B" w:rsidRPr="00CC39A2">
        <w:rPr>
          <w:lang w:val="en-GB"/>
        </w:rPr>
        <w:t xml:space="preserve">s </w:t>
      </w:r>
      <w:r w:rsidRPr="00CC39A2">
        <w:rPr>
          <w:lang w:val="en-GB"/>
        </w:rPr>
        <w:t>similar peak CH</w:t>
      </w:r>
      <w:r w:rsidRPr="00CC39A2">
        <w:rPr>
          <w:vertAlign w:val="superscript"/>
          <w:lang w:val="en-GB"/>
        </w:rPr>
        <w:t>*</w:t>
      </w:r>
      <w:r w:rsidRPr="00CC39A2">
        <w:rPr>
          <w:lang w:val="en-GB"/>
        </w:rPr>
        <w:t xml:space="preserve"> signal</w:t>
      </w:r>
      <w:r w:rsidR="009C2F0B" w:rsidRPr="00CC39A2">
        <w:rPr>
          <w:lang w:val="en-GB"/>
        </w:rPr>
        <w:t xml:space="preserve">, but, </w:t>
      </w:r>
      <w:r w:rsidRPr="00CC39A2">
        <w:rPr>
          <w:lang w:val="en-GB"/>
        </w:rPr>
        <w:t>higher peak OH</w:t>
      </w:r>
      <w:r w:rsidRPr="00CC39A2">
        <w:rPr>
          <w:vertAlign w:val="superscript"/>
          <w:lang w:val="en-GB"/>
        </w:rPr>
        <w:t>*</w:t>
      </w:r>
      <w:r w:rsidR="00C643E8" w:rsidRPr="00CC39A2">
        <w:rPr>
          <w:lang w:val="en-GB"/>
        </w:rPr>
        <w:t xml:space="preserve"> signal;</w:t>
      </w:r>
      <w:r w:rsidRPr="00CC39A2">
        <w:rPr>
          <w:lang w:val="en-GB"/>
        </w:rPr>
        <w:t xml:space="preserve"> it can be inferred that, besides the overall lean conditions (equivalence ratio </w:t>
      </w:r>
      <w:r w:rsidRPr="00CC39A2">
        <w:rPr>
          <w:rFonts w:ascii="Symbol" w:hAnsi="Symbol"/>
          <w:lang w:val="en-GB"/>
        </w:rPr>
        <w:t></w:t>
      </w:r>
      <w:r w:rsidRPr="00CC39A2">
        <w:rPr>
          <w:rFonts w:ascii="Symbol" w:hAnsi="Symbol"/>
          <w:lang w:val="en-GB"/>
        </w:rPr>
        <w:t></w:t>
      </w:r>
      <w:r w:rsidRPr="00CC39A2">
        <w:rPr>
          <w:lang w:val="en-GB"/>
        </w:rPr>
        <w:t>≈ 0.8 for all cases studied), the local O</w:t>
      </w:r>
      <w:r w:rsidRPr="00CC39A2">
        <w:rPr>
          <w:vertAlign w:val="subscript"/>
          <w:lang w:val="en-GB"/>
        </w:rPr>
        <w:t>2</w:t>
      </w:r>
      <w:r w:rsidRPr="00CC39A2">
        <w:rPr>
          <w:lang w:val="en-GB"/>
        </w:rPr>
        <w:t xml:space="preserve"> concentration due to mixing and turbulent motion may not be sufficient to completely oxidize the additional fuel</w:t>
      </w:r>
      <w:r w:rsidR="003508BB" w:rsidRPr="00CC39A2">
        <w:rPr>
          <w:lang w:val="en-GB"/>
        </w:rPr>
        <w:t>,</w:t>
      </w:r>
      <w:r w:rsidRPr="00CC39A2">
        <w:rPr>
          <w:lang w:val="en-GB"/>
        </w:rPr>
        <w:t xml:space="preserve"> and thus to provide a more vigorous additional local heat release</w:t>
      </w:r>
      <w:r w:rsidR="003508BB" w:rsidRPr="00CC39A2">
        <w:rPr>
          <w:lang w:val="en-GB"/>
        </w:rPr>
        <w:t>, in Case A</w:t>
      </w:r>
      <w:r w:rsidRPr="00CC39A2">
        <w:rPr>
          <w:lang w:val="en-GB"/>
        </w:rPr>
        <w:t xml:space="preserve">. </w:t>
      </w:r>
      <w:r w:rsidR="003508BB" w:rsidRPr="00CC39A2">
        <w:rPr>
          <w:lang w:val="en-GB"/>
        </w:rPr>
        <w:t xml:space="preserve">This can be </w:t>
      </w:r>
      <w:r w:rsidR="00124AC4" w:rsidRPr="00CC39A2">
        <w:rPr>
          <w:lang w:val="en-GB"/>
        </w:rPr>
        <w:t xml:space="preserve">can be further supported by the higher </w:t>
      </w:r>
      <w:r w:rsidR="004D1FD3" w:rsidRPr="00CC39A2">
        <w:rPr>
          <w:lang w:val="en-GB"/>
        </w:rPr>
        <w:t>C</w:t>
      </w:r>
      <w:r w:rsidR="004D1FD3" w:rsidRPr="00CC39A2">
        <w:rPr>
          <w:vertAlign w:val="subscript"/>
          <w:lang w:val="en-GB"/>
        </w:rPr>
        <w:t>2</w:t>
      </w:r>
      <w:r w:rsidR="004D1FD3" w:rsidRPr="00CC39A2">
        <w:rPr>
          <w:vertAlign w:val="superscript"/>
          <w:lang w:val="en-GB"/>
        </w:rPr>
        <w:t>*</w:t>
      </w:r>
      <w:r w:rsidR="00124AC4" w:rsidRPr="00CC39A2">
        <w:rPr>
          <w:lang w:val="en-GB"/>
        </w:rPr>
        <w:t xml:space="preserve">peak value </w:t>
      </w:r>
      <w:r w:rsidR="004D1FD3" w:rsidRPr="00CC39A2">
        <w:rPr>
          <w:lang w:val="en-GB"/>
        </w:rPr>
        <w:t xml:space="preserve">of Case A as compared to Case </w:t>
      </w:r>
      <w:r w:rsidR="00232B80" w:rsidRPr="00CC39A2">
        <w:rPr>
          <w:lang w:val="en-GB"/>
        </w:rPr>
        <w:t>B</w:t>
      </w:r>
      <w:r w:rsidR="004D1FD3" w:rsidRPr="00CC39A2">
        <w:rPr>
          <w:lang w:val="en-GB"/>
        </w:rPr>
        <w:t xml:space="preserve"> (see Fig. 6); fuel rich pockets occupy larger cylinder area and reduce O</w:t>
      </w:r>
      <w:r w:rsidR="004D1FD3" w:rsidRPr="00CC39A2">
        <w:rPr>
          <w:vertAlign w:val="subscript"/>
          <w:lang w:val="en-GB"/>
        </w:rPr>
        <w:t>2</w:t>
      </w:r>
      <w:r w:rsidR="004D1FD3" w:rsidRPr="00CC39A2">
        <w:rPr>
          <w:lang w:val="en-GB"/>
        </w:rPr>
        <w:t xml:space="preserve"> availability. </w:t>
      </w:r>
    </w:p>
    <w:p w14:paraId="15AA8CBD" w14:textId="77777777" w:rsidR="001310E9" w:rsidRPr="00CC39A2" w:rsidRDefault="001310E9" w:rsidP="002B3FB3">
      <w:pPr>
        <w:spacing w:before="240" w:after="240" w:line="480" w:lineRule="auto"/>
        <w:jc w:val="both"/>
        <w:rPr>
          <w:lang w:val="en-GB"/>
        </w:rPr>
      </w:pPr>
    </w:p>
    <w:p w14:paraId="230F050F" w14:textId="77777777" w:rsidR="002B3FB3" w:rsidRPr="00CC39A2" w:rsidRDefault="008272B2" w:rsidP="002B3FB3">
      <w:pPr>
        <w:spacing w:before="240" w:after="240" w:line="480" w:lineRule="auto"/>
        <w:jc w:val="both"/>
        <w:rPr>
          <w:bCs/>
          <w:lang w:val="en-GB"/>
        </w:rPr>
      </w:pPr>
      <w:r w:rsidRPr="00CC39A2">
        <w:rPr>
          <w:lang w:val="en-GB"/>
        </w:rPr>
        <w:lastRenderedPageBreak/>
        <w:t>OH</w:t>
      </w:r>
      <w:r w:rsidRPr="00CC39A2">
        <w:rPr>
          <w:vertAlign w:val="superscript"/>
          <w:lang w:val="en-GB"/>
        </w:rPr>
        <w:t>*</w:t>
      </w:r>
      <w:r w:rsidRPr="00CC39A2">
        <w:rPr>
          <w:lang w:val="en-GB"/>
        </w:rPr>
        <w:t xml:space="preserve"> and CH</w:t>
      </w:r>
      <w:r w:rsidRPr="00CC39A2">
        <w:rPr>
          <w:vertAlign w:val="superscript"/>
          <w:lang w:val="en-GB"/>
        </w:rPr>
        <w:t>*</w:t>
      </w:r>
      <w:r w:rsidRPr="00CC39A2">
        <w:rPr>
          <w:lang w:val="en-GB"/>
        </w:rPr>
        <w:t xml:space="preserve"> signals peak at the same location for Case C and for Case D as well, </w:t>
      </w:r>
      <w:r w:rsidR="002B3FB3" w:rsidRPr="00CC39A2">
        <w:rPr>
          <w:lang w:val="en-GB"/>
        </w:rPr>
        <w:t>and generally follow the local peak in the apparent heat transfer rates (AHTR)</w:t>
      </w:r>
      <w:r w:rsidR="003508BB" w:rsidRPr="00CC39A2">
        <w:rPr>
          <w:lang w:val="en-GB"/>
        </w:rPr>
        <w:t>, see Fig. 1</w:t>
      </w:r>
      <w:r w:rsidR="002B3FB3" w:rsidRPr="00CC39A2">
        <w:rPr>
          <w:lang w:val="en-GB"/>
        </w:rPr>
        <w:t xml:space="preserve">. </w:t>
      </w:r>
      <w:r w:rsidR="002B3FB3" w:rsidRPr="00CC39A2">
        <w:rPr>
          <w:bCs/>
          <w:lang w:val="en-GB"/>
        </w:rPr>
        <w:t xml:space="preserve">The </w:t>
      </w:r>
      <w:r w:rsidRPr="00CC39A2">
        <w:rPr>
          <w:bCs/>
          <w:lang w:val="en-GB"/>
        </w:rPr>
        <w:t>long dwell Cases C and D</w:t>
      </w:r>
      <w:r w:rsidR="002B3FB3" w:rsidRPr="00CC39A2">
        <w:rPr>
          <w:bCs/>
          <w:lang w:val="en-GB"/>
        </w:rPr>
        <w:t xml:space="preserve"> of the late post</w:t>
      </w:r>
      <w:r w:rsidR="009C2F0B" w:rsidRPr="00CC39A2">
        <w:rPr>
          <w:bCs/>
          <w:lang w:val="en-GB"/>
        </w:rPr>
        <w:t xml:space="preserve"> </w:t>
      </w:r>
      <w:r w:rsidR="002B3FB3" w:rsidRPr="00CC39A2">
        <w:rPr>
          <w:bCs/>
          <w:lang w:val="en-GB"/>
        </w:rPr>
        <w:t>injection</w:t>
      </w:r>
      <w:r w:rsidRPr="00CC39A2">
        <w:rPr>
          <w:bCs/>
          <w:lang w:val="en-GB"/>
        </w:rPr>
        <w:t>s</w:t>
      </w:r>
      <w:r w:rsidR="002B3FB3" w:rsidRPr="00CC39A2">
        <w:rPr>
          <w:bCs/>
          <w:lang w:val="en-GB"/>
        </w:rPr>
        <w:t xml:space="preserve"> at </w:t>
      </w:r>
      <w:r w:rsidRPr="00CC39A2">
        <w:rPr>
          <w:bCs/>
          <w:lang w:val="en-GB"/>
        </w:rPr>
        <w:t xml:space="preserve">10 and </w:t>
      </w:r>
      <w:r w:rsidR="002B3FB3" w:rsidRPr="00CC39A2">
        <w:rPr>
          <w:bCs/>
          <w:lang w:val="en-GB"/>
        </w:rPr>
        <w:t xml:space="preserve">15 CAD aTDC </w:t>
      </w:r>
      <w:r w:rsidRPr="00CC39A2">
        <w:rPr>
          <w:bCs/>
          <w:lang w:val="en-GB"/>
        </w:rPr>
        <w:t>respectively, result</w:t>
      </w:r>
      <w:r w:rsidR="002B3FB3" w:rsidRPr="00CC39A2">
        <w:rPr>
          <w:bCs/>
          <w:lang w:val="en-GB"/>
        </w:rPr>
        <w:t xml:space="preserve"> in a secondary </w:t>
      </w:r>
      <w:r w:rsidR="009C2F0B" w:rsidRPr="00CC39A2">
        <w:rPr>
          <w:bCs/>
          <w:lang w:val="en-GB"/>
        </w:rPr>
        <w:t>heat release</w:t>
      </w:r>
      <w:r w:rsidR="002B3FB3" w:rsidRPr="00CC39A2">
        <w:rPr>
          <w:bCs/>
          <w:lang w:val="en-GB"/>
        </w:rPr>
        <w:t xml:space="preserve"> zone, in agreement with the observations made earlier with respect to CH</w:t>
      </w:r>
      <w:r w:rsidR="002B3FB3" w:rsidRPr="00CC39A2">
        <w:rPr>
          <w:bCs/>
          <w:vertAlign w:val="superscript"/>
          <w:lang w:val="en-GB"/>
        </w:rPr>
        <w:t>*</w:t>
      </w:r>
      <w:r w:rsidR="002B3FB3" w:rsidRPr="00CC39A2">
        <w:rPr>
          <w:bCs/>
          <w:lang w:val="en-GB"/>
        </w:rPr>
        <w:t xml:space="preserve"> chemiluminescent species</w:t>
      </w:r>
      <w:r w:rsidR="009C2F0B" w:rsidRPr="00CC39A2">
        <w:rPr>
          <w:bCs/>
          <w:lang w:val="en-GB"/>
        </w:rPr>
        <w:t xml:space="preserve"> (CH</w:t>
      </w:r>
      <w:r w:rsidR="009C2F0B" w:rsidRPr="00CC39A2">
        <w:rPr>
          <w:bCs/>
          <w:vertAlign w:val="superscript"/>
          <w:lang w:val="en-GB"/>
        </w:rPr>
        <w:t>*</w:t>
      </w:r>
      <w:r w:rsidR="009C2F0B" w:rsidRPr="00CC39A2">
        <w:rPr>
          <w:bCs/>
          <w:lang w:val="en-GB"/>
        </w:rPr>
        <w:t xml:space="preserve"> indicates the existence of a flame front, OH</w:t>
      </w:r>
      <w:r w:rsidR="009C2F0B" w:rsidRPr="00CC39A2">
        <w:rPr>
          <w:bCs/>
          <w:vertAlign w:val="superscript"/>
          <w:lang w:val="en-GB"/>
        </w:rPr>
        <w:t>*</w:t>
      </w:r>
      <w:r w:rsidR="009C2F0B" w:rsidRPr="00CC39A2">
        <w:rPr>
          <w:bCs/>
          <w:lang w:val="en-GB"/>
        </w:rPr>
        <w:t xml:space="preserve"> depicts the associated heat release)</w:t>
      </w:r>
      <w:r w:rsidR="002B3FB3" w:rsidRPr="00CC39A2">
        <w:rPr>
          <w:bCs/>
          <w:lang w:val="en-GB"/>
        </w:rPr>
        <w:t xml:space="preserve">. </w:t>
      </w:r>
    </w:p>
    <w:p w14:paraId="1241E87E" w14:textId="77777777" w:rsidR="002B3FB3" w:rsidRPr="00CC39A2" w:rsidRDefault="002B3FB3" w:rsidP="00E807B0">
      <w:pPr>
        <w:spacing w:before="240" w:after="240" w:line="480" w:lineRule="auto"/>
        <w:jc w:val="both"/>
        <w:rPr>
          <w:lang w:val="en-GB"/>
        </w:rPr>
      </w:pPr>
    </w:p>
    <w:p w14:paraId="0580EDAA" w14:textId="32798E1C" w:rsidR="00D036BA" w:rsidRPr="00CC39A2" w:rsidRDefault="00D036BA" w:rsidP="00D036BA">
      <w:pPr>
        <w:spacing w:before="240" w:after="240" w:line="480" w:lineRule="auto"/>
        <w:jc w:val="both"/>
        <w:rPr>
          <w:rFonts w:eastAsia="SimSun"/>
          <w:bCs/>
          <w:lang w:val="en-GB"/>
        </w:rPr>
      </w:pPr>
      <w:r w:rsidRPr="00CC39A2">
        <w:rPr>
          <w:lang w:val="en-GB"/>
        </w:rPr>
        <w:t xml:space="preserve">Measurements of </w:t>
      </w:r>
      <w:r w:rsidRPr="00CC39A2">
        <w:rPr>
          <w:bCs/>
          <w:lang w:val="en-GB"/>
        </w:rPr>
        <w:t>C</w:t>
      </w:r>
      <w:r w:rsidRPr="00CC39A2">
        <w:rPr>
          <w:bCs/>
          <w:vertAlign w:val="subscript"/>
          <w:lang w:val="en-GB"/>
        </w:rPr>
        <w:t>2</w:t>
      </w:r>
      <w:r w:rsidRPr="00CC39A2">
        <w:rPr>
          <w:bCs/>
          <w:vertAlign w:val="superscript"/>
          <w:lang w:val="en-GB"/>
        </w:rPr>
        <w:t>*</w:t>
      </w:r>
      <w:r w:rsidRPr="00CC39A2">
        <w:rPr>
          <w:lang w:val="en-GB"/>
        </w:rPr>
        <w:t xml:space="preserve"> provide</w:t>
      </w:r>
      <w:r w:rsidR="009C64F4" w:rsidRPr="00CC39A2">
        <w:rPr>
          <w:lang w:val="en-GB"/>
        </w:rPr>
        <w:t xml:space="preserve">, in </w:t>
      </w:r>
      <w:r w:rsidR="00B87A63" w:rsidRPr="00CC39A2">
        <w:rPr>
          <w:lang w:val="en-GB"/>
        </w:rPr>
        <w:t>F</w:t>
      </w:r>
      <w:r w:rsidR="009C64F4" w:rsidRPr="00CC39A2">
        <w:rPr>
          <w:lang w:val="en-GB"/>
        </w:rPr>
        <w:t xml:space="preserve">igure </w:t>
      </w:r>
      <w:r w:rsidR="00B87A63" w:rsidRPr="00CC39A2">
        <w:rPr>
          <w:lang w:val="en-GB"/>
        </w:rPr>
        <w:t>6</w:t>
      </w:r>
      <w:r w:rsidR="009C64F4" w:rsidRPr="00CC39A2">
        <w:rPr>
          <w:lang w:val="en-GB"/>
        </w:rPr>
        <w:t>,</w:t>
      </w:r>
      <w:r w:rsidRPr="00CC39A2">
        <w:rPr>
          <w:lang w:val="en-GB"/>
        </w:rPr>
        <w:t xml:space="preserve"> an insight on the effect of the late injection on exhaust stream and post injection mixing and, in conjunction with mixture reactivity </w:t>
      </w:r>
      <w:r w:rsidR="008F6E9B" w:rsidRPr="00CC39A2">
        <w:rPr>
          <w:lang w:val="en-GB"/>
        </w:rPr>
        <w:t xml:space="preserve">and heat release </w:t>
      </w:r>
      <w:r w:rsidRPr="00CC39A2">
        <w:rPr>
          <w:lang w:val="en-GB"/>
        </w:rPr>
        <w:t>observations</w:t>
      </w:r>
      <w:r w:rsidR="008F6E9B" w:rsidRPr="00CC39A2">
        <w:rPr>
          <w:lang w:val="en-GB"/>
        </w:rPr>
        <w:t xml:space="preserve"> (see </w:t>
      </w:r>
      <w:r w:rsidR="00D82ADF" w:rsidRPr="00CC39A2">
        <w:rPr>
          <w:lang w:val="en-GB"/>
        </w:rPr>
        <w:t xml:space="preserve">earlier </w:t>
      </w:r>
      <w:r w:rsidR="008F6E9B" w:rsidRPr="00CC39A2">
        <w:rPr>
          <w:lang w:val="en-GB"/>
        </w:rPr>
        <w:t>discussion on CH</w:t>
      </w:r>
      <w:r w:rsidR="008F6E9B" w:rsidRPr="00CC39A2">
        <w:rPr>
          <w:vertAlign w:val="superscript"/>
          <w:lang w:val="en-GB"/>
        </w:rPr>
        <w:t>*</w:t>
      </w:r>
      <w:r w:rsidR="008F6E9B" w:rsidRPr="00CC39A2">
        <w:rPr>
          <w:lang w:val="en-GB"/>
        </w:rPr>
        <w:t xml:space="preserve"> and OH</w:t>
      </w:r>
      <w:r w:rsidR="008F6E9B" w:rsidRPr="00CC39A2">
        <w:rPr>
          <w:vertAlign w:val="superscript"/>
          <w:lang w:val="en-GB"/>
        </w:rPr>
        <w:t>*</w:t>
      </w:r>
      <w:r w:rsidR="008F6E9B" w:rsidRPr="00CC39A2">
        <w:rPr>
          <w:lang w:val="en-GB"/>
        </w:rPr>
        <w:t>)</w:t>
      </w:r>
      <w:r w:rsidRPr="00CC39A2">
        <w:rPr>
          <w:lang w:val="en-GB"/>
        </w:rPr>
        <w:t xml:space="preserve">, further support the arguments on flame pattern identification. </w:t>
      </w:r>
      <w:r w:rsidR="009141A1" w:rsidRPr="00CC39A2">
        <w:rPr>
          <w:lang w:val="en-GB"/>
        </w:rPr>
        <w:t>Following the discussion made in the natural luminosity section, the onset of C</w:t>
      </w:r>
      <w:r w:rsidR="009141A1" w:rsidRPr="00CC39A2">
        <w:rPr>
          <w:vertAlign w:val="subscript"/>
          <w:lang w:val="en-GB"/>
        </w:rPr>
        <w:t>2</w:t>
      </w:r>
      <w:r w:rsidR="009141A1" w:rsidRPr="00CC39A2">
        <w:rPr>
          <w:vertAlign w:val="superscript"/>
          <w:lang w:val="en-GB"/>
        </w:rPr>
        <w:t>*</w:t>
      </w:r>
      <w:r w:rsidR="009141A1" w:rsidRPr="00CC39A2">
        <w:rPr>
          <w:lang w:val="en-GB"/>
        </w:rPr>
        <w:t xml:space="preserve"> signals for Cases A-D is recorded earlier than the respective signal of the Base Case. </w:t>
      </w:r>
      <w:r w:rsidRPr="00CC39A2">
        <w:rPr>
          <w:lang w:val="en-GB"/>
        </w:rPr>
        <w:t xml:space="preserve">For Cases A and B (post injection close </w:t>
      </w:r>
      <w:r w:rsidR="00AD5D76" w:rsidRPr="00CC39A2">
        <w:rPr>
          <w:lang w:val="en-GB"/>
        </w:rPr>
        <w:t xml:space="preserve">to </w:t>
      </w:r>
      <w:r w:rsidRPr="00CC39A2">
        <w:rPr>
          <w:lang w:val="en-GB"/>
        </w:rPr>
        <w:t xml:space="preserve">TDC), there is a virtual overlapping of </w:t>
      </w:r>
      <w:r w:rsidR="009C64F4" w:rsidRPr="00CC39A2">
        <w:rPr>
          <w:lang w:val="en-GB"/>
        </w:rPr>
        <w:t xml:space="preserve">reacting </w:t>
      </w:r>
      <w:r w:rsidRPr="00CC39A2">
        <w:rPr>
          <w:lang w:val="en-GB"/>
        </w:rPr>
        <w:t>premixed fuel rich areas between the post injection and the main combustion event until 20 CAD aTDC.</w:t>
      </w:r>
      <w:r w:rsidR="00AD5D76" w:rsidRPr="00CC39A2">
        <w:rPr>
          <w:lang w:val="en-GB"/>
        </w:rPr>
        <w:t xml:space="preserve"> </w:t>
      </w:r>
      <w:r w:rsidR="009141A1" w:rsidRPr="00CC39A2">
        <w:rPr>
          <w:lang w:val="en-GB"/>
        </w:rPr>
        <w:t xml:space="preserve">Peak values in Cases A and B are much higher than the peak value of the Base Case because of wall impingement and optical limitations (see also discussion above and in the natural luminosity section). </w:t>
      </w:r>
      <w:r w:rsidR="00AD5D76" w:rsidRPr="00CC39A2">
        <w:rPr>
          <w:lang w:val="en-GB"/>
        </w:rPr>
        <w:t>In Cases C and D,</w:t>
      </w:r>
      <w:r w:rsidRPr="00CC39A2">
        <w:rPr>
          <w:lang w:val="en-GB"/>
        </w:rPr>
        <w:t xml:space="preserve"> </w:t>
      </w:r>
      <w:r w:rsidR="00AD5D76" w:rsidRPr="00CC39A2">
        <w:rPr>
          <w:lang w:val="en-GB"/>
        </w:rPr>
        <w:t xml:space="preserve">on </w:t>
      </w:r>
      <w:r w:rsidRPr="00CC39A2">
        <w:rPr>
          <w:lang w:val="en-GB"/>
        </w:rPr>
        <w:t xml:space="preserve">the other hand, </w:t>
      </w:r>
      <w:r w:rsidR="000D1AE9" w:rsidRPr="00CC39A2">
        <w:rPr>
          <w:lang w:val="en-GB"/>
        </w:rPr>
        <w:t xml:space="preserve">the recorded </w:t>
      </w:r>
      <w:r w:rsidRPr="00CC39A2">
        <w:rPr>
          <w:lang w:val="en-GB"/>
        </w:rPr>
        <w:t>C</w:t>
      </w:r>
      <w:r w:rsidRPr="00CC39A2">
        <w:rPr>
          <w:vertAlign w:val="subscript"/>
          <w:lang w:val="en-GB"/>
        </w:rPr>
        <w:t>2</w:t>
      </w:r>
      <w:r w:rsidRPr="00CC39A2">
        <w:rPr>
          <w:vertAlign w:val="superscript"/>
          <w:lang w:val="en-GB"/>
        </w:rPr>
        <w:t>*</w:t>
      </w:r>
      <w:r w:rsidRPr="00CC39A2">
        <w:rPr>
          <w:lang w:val="en-GB"/>
        </w:rPr>
        <w:t xml:space="preserve"> signal </w:t>
      </w:r>
      <w:r w:rsidR="000D1AE9" w:rsidRPr="00CC39A2">
        <w:rPr>
          <w:lang w:val="en-GB"/>
        </w:rPr>
        <w:t xml:space="preserve">peaks </w:t>
      </w:r>
      <w:r w:rsidRPr="00CC39A2">
        <w:rPr>
          <w:lang w:val="en-GB"/>
        </w:rPr>
        <w:t>between 20 and 30</w:t>
      </w:r>
      <w:r w:rsidR="004B3157" w:rsidRPr="00CC39A2">
        <w:rPr>
          <w:lang w:val="en-GB"/>
        </w:rPr>
        <w:t> </w:t>
      </w:r>
      <w:r w:rsidRPr="00CC39A2">
        <w:rPr>
          <w:lang w:val="en-GB"/>
        </w:rPr>
        <w:t>CAD</w:t>
      </w:r>
      <w:r w:rsidR="004B3157" w:rsidRPr="00CC39A2">
        <w:rPr>
          <w:lang w:val="en-GB"/>
        </w:rPr>
        <w:t> </w:t>
      </w:r>
      <w:r w:rsidRPr="00CC39A2">
        <w:rPr>
          <w:lang w:val="en-GB"/>
        </w:rPr>
        <w:t>aTDC</w:t>
      </w:r>
      <w:r w:rsidR="000D1AE9" w:rsidRPr="00CC39A2">
        <w:rPr>
          <w:lang w:val="en-GB"/>
        </w:rPr>
        <w:t xml:space="preserve"> in the associated with the post</w:t>
      </w:r>
      <w:r w:rsidR="009141A1" w:rsidRPr="00CC39A2">
        <w:rPr>
          <w:lang w:val="en-GB"/>
        </w:rPr>
        <w:t xml:space="preserve"> </w:t>
      </w:r>
      <w:r w:rsidR="000D1AE9" w:rsidRPr="00CC39A2">
        <w:rPr>
          <w:lang w:val="en-GB"/>
        </w:rPr>
        <w:t xml:space="preserve">injection </w:t>
      </w:r>
      <w:r w:rsidR="008F2115" w:rsidRPr="00CC39A2">
        <w:rPr>
          <w:lang w:val="en-GB"/>
        </w:rPr>
        <w:t xml:space="preserve">combustion </w:t>
      </w:r>
      <w:r w:rsidR="000D1AE9" w:rsidRPr="00CC39A2">
        <w:rPr>
          <w:lang w:val="en-GB"/>
        </w:rPr>
        <w:t>event</w:t>
      </w:r>
      <w:r w:rsidR="00AD5D76" w:rsidRPr="00CC39A2">
        <w:rPr>
          <w:lang w:val="en-GB"/>
        </w:rPr>
        <w:t>,</w:t>
      </w:r>
      <w:r w:rsidRPr="00CC39A2">
        <w:rPr>
          <w:lang w:val="en-GB"/>
        </w:rPr>
        <w:t xml:space="preserve"> </w:t>
      </w:r>
      <w:r w:rsidRPr="00CC39A2">
        <w:rPr>
          <w:rFonts w:eastAsia="SimSun"/>
          <w:bCs/>
          <w:lang w:val="en-GB"/>
        </w:rPr>
        <w:t xml:space="preserve">indicating thus </w:t>
      </w:r>
      <w:r w:rsidRPr="00CC39A2">
        <w:rPr>
          <w:rFonts w:eastAsia="SimSun"/>
          <w:bCs/>
          <w:lang w:val="en-GB"/>
        </w:rPr>
        <w:lastRenderedPageBreak/>
        <w:t xml:space="preserve">the increased extent of the induced mixing </w:t>
      </w:r>
      <w:r w:rsidR="0051303E" w:rsidRPr="00CC39A2">
        <w:rPr>
          <w:rFonts w:eastAsia="SimSun"/>
          <w:bCs/>
          <w:lang w:val="en-GB"/>
        </w:rPr>
        <w:t xml:space="preserve">and reaction </w:t>
      </w:r>
      <w:r w:rsidRPr="00CC39A2">
        <w:rPr>
          <w:rFonts w:eastAsia="SimSun"/>
          <w:bCs/>
          <w:lang w:val="en-GB"/>
        </w:rPr>
        <w:t xml:space="preserve">by a </w:t>
      </w:r>
      <w:r w:rsidR="00EC6FAB" w:rsidRPr="00CC39A2">
        <w:rPr>
          <w:rFonts w:eastAsia="SimSun"/>
          <w:bCs/>
          <w:lang w:val="en-GB"/>
        </w:rPr>
        <w:t xml:space="preserve">retarded </w:t>
      </w:r>
      <w:r w:rsidRPr="00CC39A2">
        <w:rPr>
          <w:rFonts w:eastAsia="SimSun"/>
          <w:bCs/>
          <w:lang w:val="en-GB"/>
        </w:rPr>
        <w:t>post injection scheme.</w:t>
      </w:r>
      <w:r w:rsidR="0051303E" w:rsidRPr="00CC39A2">
        <w:rPr>
          <w:rFonts w:eastAsia="SimSun"/>
          <w:bCs/>
          <w:lang w:val="en-GB"/>
        </w:rPr>
        <w:t xml:space="preserve"> Note that the relative C</w:t>
      </w:r>
      <w:r w:rsidR="0051303E" w:rsidRPr="00CC39A2">
        <w:rPr>
          <w:rFonts w:eastAsia="SimSun"/>
          <w:bCs/>
          <w:vertAlign w:val="subscript"/>
          <w:lang w:val="en-GB"/>
        </w:rPr>
        <w:t>2</w:t>
      </w:r>
      <w:r w:rsidR="0051303E" w:rsidRPr="00CC39A2">
        <w:rPr>
          <w:rFonts w:eastAsia="SimSun"/>
          <w:bCs/>
          <w:vertAlign w:val="superscript"/>
          <w:lang w:val="en-GB"/>
        </w:rPr>
        <w:t>*</w:t>
      </w:r>
      <w:r w:rsidR="0051303E" w:rsidRPr="00CC39A2">
        <w:rPr>
          <w:rFonts w:eastAsia="SimSun"/>
          <w:bCs/>
          <w:lang w:val="en-GB"/>
        </w:rPr>
        <w:t xml:space="preserve"> peak location in Cases C and D agrees with the respective post</w:t>
      </w:r>
      <w:r w:rsidR="009141A1" w:rsidRPr="00CC39A2">
        <w:rPr>
          <w:rFonts w:eastAsia="SimSun"/>
          <w:bCs/>
          <w:lang w:val="en-GB"/>
        </w:rPr>
        <w:t xml:space="preserve"> </w:t>
      </w:r>
      <w:r w:rsidR="0051303E" w:rsidRPr="00CC39A2">
        <w:rPr>
          <w:rFonts w:eastAsia="SimSun"/>
          <w:bCs/>
          <w:lang w:val="en-GB"/>
        </w:rPr>
        <w:t>injection timing. Despite the same fuel mass injected in the post-injection, Case C</w:t>
      </w:r>
      <w:r w:rsidR="000F44C7" w:rsidRPr="00CC39A2">
        <w:rPr>
          <w:rFonts w:eastAsia="SimSun"/>
          <w:bCs/>
          <w:lang w:val="en-GB"/>
        </w:rPr>
        <w:t xml:space="preserve"> features a higher peak in the C</w:t>
      </w:r>
      <w:r w:rsidR="000F44C7" w:rsidRPr="00CC39A2">
        <w:rPr>
          <w:rFonts w:eastAsia="SimSun"/>
          <w:bCs/>
          <w:vertAlign w:val="subscript"/>
          <w:lang w:val="en-GB"/>
        </w:rPr>
        <w:t>2</w:t>
      </w:r>
      <w:r w:rsidR="000F44C7" w:rsidRPr="00CC39A2">
        <w:rPr>
          <w:rFonts w:eastAsia="SimSun"/>
          <w:bCs/>
          <w:vertAlign w:val="superscript"/>
          <w:lang w:val="en-GB"/>
        </w:rPr>
        <w:t>*</w:t>
      </w:r>
      <w:r w:rsidR="000F44C7" w:rsidRPr="00CC39A2">
        <w:rPr>
          <w:rFonts w:eastAsia="SimSun"/>
          <w:bCs/>
          <w:lang w:val="en-GB"/>
        </w:rPr>
        <w:t xml:space="preserve"> signal as compared to Case D, indicating that a post-injection under a</w:t>
      </w:r>
      <w:r w:rsidR="0051303E" w:rsidRPr="00CC39A2">
        <w:rPr>
          <w:rFonts w:eastAsia="SimSun"/>
          <w:bCs/>
          <w:lang w:val="en-GB"/>
        </w:rPr>
        <w:t xml:space="preserve"> hotter environment (5</w:t>
      </w:r>
      <w:r w:rsidR="000F44C7" w:rsidRPr="00CC39A2">
        <w:rPr>
          <w:rFonts w:eastAsia="SimSun"/>
          <w:bCs/>
          <w:lang w:val="en-GB"/>
        </w:rPr>
        <w:t> </w:t>
      </w:r>
      <w:r w:rsidR="0051303E" w:rsidRPr="00CC39A2">
        <w:rPr>
          <w:rFonts w:eastAsia="SimSun"/>
          <w:bCs/>
          <w:lang w:val="en-GB"/>
        </w:rPr>
        <w:t>CAD</w:t>
      </w:r>
      <w:r w:rsidR="000A3F1B" w:rsidRPr="00CC39A2">
        <w:rPr>
          <w:rFonts w:eastAsia="SimSun"/>
          <w:bCs/>
          <w:lang w:val="en-GB"/>
        </w:rPr>
        <w:t xml:space="preserve"> </w:t>
      </w:r>
      <w:r w:rsidR="0051303E" w:rsidRPr="00CC39A2">
        <w:rPr>
          <w:rFonts w:eastAsia="SimSun"/>
          <w:bCs/>
          <w:lang w:val="en-GB"/>
        </w:rPr>
        <w:t>advanced</w:t>
      </w:r>
      <w:r w:rsidR="000F44C7" w:rsidRPr="00CC39A2">
        <w:rPr>
          <w:rFonts w:eastAsia="SimSun"/>
          <w:bCs/>
          <w:lang w:val="en-GB"/>
        </w:rPr>
        <w:t xml:space="preserve"> post-injection</w:t>
      </w:r>
      <w:r w:rsidR="0051303E" w:rsidRPr="00CC39A2">
        <w:rPr>
          <w:rFonts w:eastAsia="SimSun"/>
          <w:bCs/>
          <w:lang w:val="en-GB"/>
        </w:rPr>
        <w:t>)</w:t>
      </w:r>
      <w:r w:rsidR="000F44C7" w:rsidRPr="00CC39A2">
        <w:rPr>
          <w:rFonts w:eastAsia="SimSun"/>
          <w:bCs/>
          <w:lang w:val="en-GB"/>
        </w:rPr>
        <w:t xml:space="preserve"> enhances </w:t>
      </w:r>
      <w:r w:rsidR="00A02F2C" w:rsidRPr="00CC39A2">
        <w:rPr>
          <w:rFonts w:eastAsia="SimSun"/>
          <w:bCs/>
          <w:lang w:val="en-GB"/>
        </w:rPr>
        <w:t xml:space="preserve">the local formation of reactive fuel rich pockets. </w:t>
      </w:r>
    </w:p>
    <w:p w14:paraId="66EC3971" w14:textId="77777777" w:rsidR="00E770E5" w:rsidRPr="00CC39A2" w:rsidRDefault="00E770E5" w:rsidP="00D036BA">
      <w:pPr>
        <w:spacing w:before="240" w:after="240" w:line="480" w:lineRule="auto"/>
        <w:jc w:val="both"/>
        <w:rPr>
          <w:lang w:val="en-GB"/>
        </w:rPr>
      </w:pPr>
    </w:p>
    <w:p w14:paraId="74571A2D" w14:textId="3F51B239" w:rsidR="00EF7505" w:rsidRPr="00CC39A2" w:rsidRDefault="00EF7505" w:rsidP="00D036BA">
      <w:pPr>
        <w:spacing w:before="240" w:after="240" w:line="480" w:lineRule="auto"/>
        <w:jc w:val="both"/>
        <w:rPr>
          <w:lang w:val="en-GB"/>
        </w:rPr>
      </w:pPr>
      <w:r w:rsidRPr="00CC39A2">
        <w:rPr>
          <w:lang w:val="en-GB"/>
        </w:rPr>
        <w:t xml:space="preserve">Overall, the combined analysis of optical measurements and pressure traces can be beneficial for delineating the effect of the post injection strategy on </w:t>
      </w:r>
      <w:r w:rsidR="008F2115" w:rsidRPr="00CC39A2">
        <w:rPr>
          <w:lang w:val="en-GB"/>
        </w:rPr>
        <w:t>in-cylinder combustion</w:t>
      </w:r>
      <w:r w:rsidRPr="00CC39A2">
        <w:rPr>
          <w:lang w:val="en-GB"/>
        </w:rPr>
        <w:t xml:space="preserve"> evolution. </w:t>
      </w:r>
      <w:r w:rsidR="00E770E5" w:rsidRPr="00CC39A2">
        <w:rPr>
          <w:lang w:val="en-GB"/>
        </w:rPr>
        <w:t xml:space="preserve">Indications based on pressure trace analysis can be further explained and discussed on the evidence of optical information inside the cylinder. </w:t>
      </w:r>
      <w:r w:rsidR="006A6CB7" w:rsidRPr="00CC39A2">
        <w:rPr>
          <w:lang w:val="en-GB"/>
        </w:rPr>
        <w:t>In Cases A and B (shorter dwell of 10 CAD) all signals evolve smoothly and one can suggest that the reactivity imposed by the post injection extends the reactivity provoked by the main injection event. The larger post injection fuel amount (Case B) results in higher levels of heat release (higher OH</w:t>
      </w:r>
      <w:r w:rsidR="006A6CB7" w:rsidRPr="00CC39A2">
        <w:rPr>
          <w:vertAlign w:val="superscript"/>
          <w:lang w:val="en-GB"/>
        </w:rPr>
        <w:t>*</w:t>
      </w:r>
      <w:r w:rsidR="006A6CB7" w:rsidRPr="00CC39A2">
        <w:rPr>
          <w:lang w:val="en-GB"/>
        </w:rPr>
        <w:t xml:space="preserve"> than Case A) and flame</w:t>
      </w:r>
      <w:r w:rsidR="008F2115" w:rsidRPr="00CC39A2">
        <w:rPr>
          <w:lang w:val="en-GB"/>
        </w:rPr>
        <w:t xml:space="preserve"> reactivity</w:t>
      </w:r>
      <w:r w:rsidR="006A6CB7" w:rsidRPr="00CC39A2">
        <w:rPr>
          <w:lang w:val="en-GB"/>
        </w:rPr>
        <w:t xml:space="preserve"> (higher CH</w:t>
      </w:r>
      <w:r w:rsidR="006A6CB7" w:rsidRPr="00CC39A2">
        <w:rPr>
          <w:vertAlign w:val="superscript"/>
          <w:lang w:val="en-GB"/>
        </w:rPr>
        <w:t>*</w:t>
      </w:r>
      <w:r w:rsidR="006A6CB7" w:rsidRPr="00CC39A2">
        <w:rPr>
          <w:lang w:val="en-GB"/>
        </w:rPr>
        <w:t xml:space="preserve"> than Case A), while, naturally, the existence of fuel rich reactive pockets is restricted (lower C</w:t>
      </w:r>
      <w:r w:rsidR="006A6CB7" w:rsidRPr="00CC39A2">
        <w:rPr>
          <w:vertAlign w:val="subscript"/>
          <w:lang w:val="en-GB"/>
        </w:rPr>
        <w:t>2</w:t>
      </w:r>
      <w:r w:rsidR="006A6CB7" w:rsidRPr="00CC39A2">
        <w:rPr>
          <w:vertAlign w:val="superscript"/>
          <w:lang w:val="en-GB"/>
        </w:rPr>
        <w:t>*</w:t>
      </w:r>
      <w:r w:rsidR="006A6CB7" w:rsidRPr="00CC39A2">
        <w:rPr>
          <w:lang w:val="en-GB"/>
        </w:rPr>
        <w:t xml:space="preserve"> than Case A).</w:t>
      </w:r>
      <w:r w:rsidR="001409AC" w:rsidRPr="00CC39A2">
        <w:rPr>
          <w:lang w:val="en-GB"/>
        </w:rPr>
        <w:t xml:space="preserve"> The above are in agreement with the broader natural luminosity profile and the higher local ARHT at ca. 8 CAD aTDC.</w:t>
      </w:r>
      <w:r w:rsidR="000F40B3" w:rsidRPr="00CC39A2">
        <w:rPr>
          <w:lang w:val="en-GB"/>
        </w:rPr>
        <w:t xml:space="preserve"> </w:t>
      </w:r>
    </w:p>
    <w:p w14:paraId="76A715D5" w14:textId="77777777" w:rsidR="00E770E5" w:rsidRPr="00CC39A2" w:rsidRDefault="00E770E5" w:rsidP="00D036BA">
      <w:pPr>
        <w:spacing w:before="240" w:after="240" w:line="480" w:lineRule="auto"/>
        <w:jc w:val="both"/>
        <w:rPr>
          <w:lang w:val="en-GB"/>
        </w:rPr>
      </w:pPr>
    </w:p>
    <w:p w14:paraId="4C942A41" w14:textId="5ED474BB" w:rsidR="000F40B3" w:rsidRPr="00CC39A2" w:rsidRDefault="000F40B3" w:rsidP="00D036BA">
      <w:pPr>
        <w:spacing w:before="240" w:after="240" w:line="480" w:lineRule="auto"/>
        <w:jc w:val="both"/>
        <w:rPr>
          <w:lang w:val="en-GB"/>
        </w:rPr>
      </w:pPr>
      <w:r w:rsidRPr="00CC39A2">
        <w:rPr>
          <w:lang w:val="en-GB"/>
        </w:rPr>
        <w:lastRenderedPageBreak/>
        <w:t xml:space="preserve">When a longer dwell between the main and the post injection is applied, </w:t>
      </w:r>
      <w:r w:rsidR="00BE0B17" w:rsidRPr="00CC39A2">
        <w:rPr>
          <w:lang w:val="en-GB"/>
        </w:rPr>
        <w:t xml:space="preserve">the combustion induced by the post injection is separated from the main combustion event. Moreover, </w:t>
      </w:r>
      <w:r w:rsidRPr="00CC39A2">
        <w:rPr>
          <w:lang w:val="en-GB"/>
        </w:rPr>
        <w:t xml:space="preserve">the particular post injection timing during the expansion cycle is of importance. </w:t>
      </w:r>
      <w:r w:rsidR="00BE0B17" w:rsidRPr="00CC39A2">
        <w:rPr>
          <w:lang w:val="en-GB"/>
        </w:rPr>
        <w:t xml:space="preserve">In Case C, where post injection occurs in a hotter environment than Case D </w:t>
      </w:r>
      <w:r w:rsidR="00E230E0" w:rsidRPr="00CC39A2">
        <w:rPr>
          <w:lang w:val="en-GB"/>
        </w:rPr>
        <w:t>(</w:t>
      </w:r>
      <w:r w:rsidR="00B92FDB" w:rsidRPr="00CC39A2">
        <w:rPr>
          <w:lang w:val="en-GB"/>
        </w:rPr>
        <w:t>post injection at</w:t>
      </w:r>
      <w:r w:rsidR="00E230E0" w:rsidRPr="00CC39A2">
        <w:rPr>
          <w:lang w:val="en-GB"/>
        </w:rPr>
        <w:t xml:space="preserve"> 1</w:t>
      </w:r>
      <w:r w:rsidR="00B92FDB" w:rsidRPr="00CC39A2">
        <w:rPr>
          <w:lang w:val="en-GB"/>
        </w:rPr>
        <w:t>0</w:t>
      </w:r>
      <w:r w:rsidR="00BE0B17" w:rsidRPr="00CC39A2">
        <w:rPr>
          <w:lang w:val="en-GB"/>
        </w:rPr>
        <w:t xml:space="preserve"> </w:t>
      </w:r>
      <w:r w:rsidR="00BE0B17" w:rsidRPr="00CC39A2">
        <w:rPr>
          <w:i/>
          <w:lang w:val="en-GB"/>
        </w:rPr>
        <w:t>vs.</w:t>
      </w:r>
      <w:r w:rsidR="00BE0B17" w:rsidRPr="00CC39A2">
        <w:rPr>
          <w:lang w:val="en-GB"/>
        </w:rPr>
        <w:t xml:space="preserve"> </w:t>
      </w:r>
      <w:r w:rsidR="00B92FDB" w:rsidRPr="00CC39A2">
        <w:rPr>
          <w:lang w:val="en-GB"/>
        </w:rPr>
        <w:t>15</w:t>
      </w:r>
      <w:r w:rsidR="00E230E0" w:rsidRPr="00CC39A2">
        <w:rPr>
          <w:lang w:val="en-GB"/>
        </w:rPr>
        <w:t> CAD</w:t>
      </w:r>
      <w:r w:rsidR="00B92FDB" w:rsidRPr="00CC39A2">
        <w:rPr>
          <w:lang w:val="en-GB"/>
        </w:rPr>
        <w:t> aTDC</w:t>
      </w:r>
      <w:r w:rsidR="00E230E0" w:rsidRPr="00CC39A2">
        <w:rPr>
          <w:lang w:val="en-GB"/>
        </w:rPr>
        <w:t>)</w:t>
      </w:r>
      <w:r w:rsidR="00BE0B17" w:rsidRPr="00CC39A2">
        <w:rPr>
          <w:lang w:val="en-GB"/>
        </w:rPr>
        <w:t xml:space="preserve">, </w:t>
      </w:r>
      <w:r w:rsidR="00E770E5" w:rsidRPr="00CC39A2">
        <w:rPr>
          <w:lang w:val="en-GB"/>
        </w:rPr>
        <w:t>a</w:t>
      </w:r>
      <w:r w:rsidR="00BE0B17" w:rsidRPr="00CC39A2">
        <w:rPr>
          <w:lang w:val="en-GB"/>
        </w:rPr>
        <w:t xml:space="preserve"> broader flame </w:t>
      </w:r>
      <w:r w:rsidR="00E770E5" w:rsidRPr="00CC39A2">
        <w:rPr>
          <w:lang w:val="en-GB"/>
        </w:rPr>
        <w:t>inside the cylinder</w:t>
      </w:r>
      <w:r w:rsidR="00BE0B17" w:rsidRPr="00CC39A2">
        <w:rPr>
          <w:lang w:val="en-GB"/>
        </w:rPr>
        <w:t xml:space="preserve"> </w:t>
      </w:r>
      <w:r w:rsidR="00E770E5" w:rsidRPr="00CC39A2">
        <w:rPr>
          <w:lang w:val="en-GB"/>
        </w:rPr>
        <w:t xml:space="preserve">results in </w:t>
      </w:r>
      <w:r w:rsidR="00BE0B17" w:rsidRPr="00CC39A2">
        <w:rPr>
          <w:lang w:val="en-GB"/>
        </w:rPr>
        <w:t xml:space="preserve">higher </w:t>
      </w:r>
      <w:r w:rsidR="00E770E5" w:rsidRPr="00CC39A2">
        <w:rPr>
          <w:lang w:val="en-GB"/>
        </w:rPr>
        <w:t xml:space="preserve">total </w:t>
      </w:r>
      <w:r w:rsidR="00BE0B17" w:rsidRPr="00CC39A2">
        <w:rPr>
          <w:lang w:val="en-GB"/>
        </w:rPr>
        <w:t>CH</w:t>
      </w:r>
      <w:r w:rsidR="00BE0B17" w:rsidRPr="00CC39A2">
        <w:rPr>
          <w:vertAlign w:val="superscript"/>
          <w:lang w:val="en-GB"/>
        </w:rPr>
        <w:t>*</w:t>
      </w:r>
      <w:r w:rsidR="00E770E5" w:rsidRPr="00CC39A2">
        <w:rPr>
          <w:lang w:val="en-GB"/>
        </w:rPr>
        <w:t xml:space="preserve"> signal, that is however </w:t>
      </w:r>
      <w:r w:rsidR="00BE0B17" w:rsidRPr="00CC39A2">
        <w:rPr>
          <w:lang w:val="en-GB"/>
        </w:rPr>
        <w:t xml:space="preserve">accompanied by </w:t>
      </w:r>
      <w:r w:rsidR="00E770E5" w:rsidRPr="00CC39A2">
        <w:rPr>
          <w:lang w:val="en-GB"/>
        </w:rPr>
        <w:t xml:space="preserve">overall </w:t>
      </w:r>
      <w:r w:rsidR="00BE0B17" w:rsidRPr="00CC39A2">
        <w:rPr>
          <w:lang w:val="en-GB"/>
        </w:rPr>
        <w:t>less intense heat release (lower OH</w:t>
      </w:r>
      <w:r w:rsidR="00BE0B17" w:rsidRPr="00CC39A2">
        <w:rPr>
          <w:vertAlign w:val="superscript"/>
          <w:lang w:val="en-GB"/>
        </w:rPr>
        <w:t>*</w:t>
      </w:r>
      <w:r w:rsidR="00BE0B17" w:rsidRPr="00CC39A2">
        <w:rPr>
          <w:lang w:val="en-GB"/>
        </w:rPr>
        <w:t xml:space="preserve">, as well as lower </w:t>
      </w:r>
      <w:r w:rsidR="00B92FDB" w:rsidRPr="00CC39A2">
        <w:rPr>
          <w:lang w:val="en-GB"/>
        </w:rPr>
        <w:t xml:space="preserve">local </w:t>
      </w:r>
      <w:r w:rsidR="00BE0B17" w:rsidRPr="00CC39A2">
        <w:rPr>
          <w:lang w:val="en-GB"/>
        </w:rPr>
        <w:t>ARHT</w:t>
      </w:r>
      <w:r w:rsidR="00B92FDB" w:rsidRPr="00CC39A2">
        <w:rPr>
          <w:lang w:val="en-GB"/>
        </w:rPr>
        <w:t xml:space="preserve"> peak</w:t>
      </w:r>
      <w:r w:rsidR="006B1A1B" w:rsidRPr="00CC39A2">
        <w:rPr>
          <w:lang w:val="en-GB"/>
        </w:rPr>
        <w:t xml:space="preserve">). </w:t>
      </w:r>
      <w:r w:rsidR="00E770E5" w:rsidRPr="00CC39A2">
        <w:rPr>
          <w:lang w:val="en-GB"/>
        </w:rPr>
        <w:t>Finally</w:t>
      </w:r>
      <w:r w:rsidR="006B1A1B" w:rsidRPr="00CC39A2">
        <w:rPr>
          <w:lang w:val="en-GB"/>
        </w:rPr>
        <w:t xml:space="preserve">, </w:t>
      </w:r>
      <w:r w:rsidR="00E770E5" w:rsidRPr="00CC39A2">
        <w:rPr>
          <w:lang w:val="en-GB"/>
        </w:rPr>
        <w:t xml:space="preserve">presumably </w:t>
      </w:r>
      <w:r w:rsidR="006B1A1B" w:rsidRPr="00CC39A2">
        <w:rPr>
          <w:lang w:val="en-GB"/>
        </w:rPr>
        <w:t xml:space="preserve">due to the shorter lift-off height of the post injection flames in Case C over Case D, more fuel rich reactive areas can be </w:t>
      </w:r>
      <w:r w:rsidR="00E770E5" w:rsidRPr="00CC39A2">
        <w:rPr>
          <w:lang w:val="en-GB"/>
        </w:rPr>
        <w:t>detected</w:t>
      </w:r>
      <w:r w:rsidR="006B1A1B" w:rsidRPr="00CC39A2">
        <w:rPr>
          <w:lang w:val="en-GB"/>
        </w:rPr>
        <w:t xml:space="preserve"> in the line-of-sight measurements (higher C</w:t>
      </w:r>
      <w:r w:rsidR="006B1A1B" w:rsidRPr="00CC39A2">
        <w:rPr>
          <w:vertAlign w:val="subscript"/>
          <w:lang w:val="en-GB"/>
        </w:rPr>
        <w:t>2</w:t>
      </w:r>
      <w:r w:rsidR="006B1A1B" w:rsidRPr="00CC39A2">
        <w:rPr>
          <w:vertAlign w:val="superscript"/>
          <w:lang w:val="en-GB"/>
        </w:rPr>
        <w:t>*</w:t>
      </w:r>
      <w:r w:rsidR="006B1A1B" w:rsidRPr="00CC39A2">
        <w:rPr>
          <w:lang w:val="en-GB"/>
        </w:rPr>
        <w:t xml:space="preserve"> signal). </w:t>
      </w:r>
    </w:p>
    <w:p w14:paraId="6B25EDD5" w14:textId="77777777" w:rsidR="00EF7505" w:rsidRPr="00CC39A2" w:rsidRDefault="00EF7505" w:rsidP="00D036BA">
      <w:pPr>
        <w:spacing w:before="240" w:after="240" w:line="480" w:lineRule="auto"/>
        <w:jc w:val="both"/>
        <w:rPr>
          <w:lang w:val="en-GB"/>
        </w:rPr>
      </w:pPr>
    </w:p>
    <w:p w14:paraId="2B8411C3" w14:textId="77777777" w:rsidR="00E27670" w:rsidRPr="00CC39A2" w:rsidRDefault="00285DAB" w:rsidP="00F87671">
      <w:pPr>
        <w:tabs>
          <w:tab w:val="left" w:pos="397"/>
        </w:tabs>
        <w:autoSpaceDE w:val="0"/>
        <w:autoSpaceDN w:val="0"/>
        <w:adjustRightInd w:val="0"/>
        <w:spacing w:before="240" w:after="240" w:line="480" w:lineRule="auto"/>
        <w:rPr>
          <w:b/>
          <w:lang w:val="en-GB" w:eastAsia="zh-TW"/>
        </w:rPr>
      </w:pPr>
      <w:r w:rsidRPr="00CC39A2">
        <w:rPr>
          <w:b/>
          <w:lang w:val="en-GB" w:eastAsia="zh-TW"/>
        </w:rPr>
        <w:t>5</w:t>
      </w:r>
      <w:r w:rsidR="00E27670" w:rsidRPr="00CC39A2">
        <w:rPr>
          <w:b/>
          <w:lang w:val="en-GB" w:eastAsia="zh-TW"/>
        </w:rPr>
        <w:t>. Laser induced incandescence</w:t>
      </w:r>
    </w:p>
    <w:p w14:paraId="04AA2A8E" w14:textId="77777777" w:rsidR="00E661A3" w:rsidRPr="00CC39A2" w:rsidRDefault="00E661A3" w:rsidP="00E661A3">
      <w:pPr>
        <w:tabs>
          <w:tab w:val="left" w:pos="397"/>
        </w:tabs>
        <w:autoSpaceDE w:val="0"/>
        <w:autoSpaceDN w:val="0"/>
        <w:adjustRightInd w:val="0"/>
        <w:spacing w:before="240" w:after="240" w:line="480" w:lineRule="auto"/>
        <w:jc w:val="both"/>
        <w:rPr>
          <w:lang w:val="en-GB" w:eastAsia="zh-TW"/>
        </w:rPr>
      </w:pPr>
      <w:r w:rsidRPr="00CC39A2">
        <w:rPr>
          <w:lang w:val="en-GB" w:eastAsia="zh-TW"/>
        </w:rPr>
        <w:t>Fig</w:t>
      </w:r>
      <w:r w:rsidR="004B3157" w:rsidRPr="00CC39A2">
        <w:rPr>
          <w:lang w:val="en-GB" w:eastAsia="zh-TW"/>
        </w:rPr>
        <w:t>ure</w:t>
      </w:r>
      <w:r w:rsidRPr="00CC39A2">
        <w:rPr>
          <w:lang w:val="en-GB" w:eastAsia="zh-TW"/>
        </w:rPr>
        <w:t xml:space="preserve"> 7 shows the </w:t>
      </w:r>
      <w:r w:rsidR="00AD5D76" w:rsidRPr="00CC39A2">
        <w:rPr>
          <w:lang w:val="en-GB" w:eastAsia="zh-TW"/>
        </w:rPr>
        <w:t xml:space="preserve">bore-averaged </w:t>
      </w:r>
      <w:r w:rsidRPr="00CC39A2">
        <w:rPr>
          <w:lang w:val="en-GB" w:eastAsia="zh-TW"/>
        </w:rPr>
        <w:t xml:space="preserve">recorded </w:t>
      </w:r>
      <w:r w:rsidR="00DD080E" w:rsidRPr="00CC39A2">
        <w:rPr>
          <w:lang w:val="en-GB" w:eastAsia="zh-TW"/>
        </w:rPr>
        <w:t>p</w:t>
      </w:r>
      <w:r w:rsidRPr="00CC39A2">
        <w:rPr>
          <w:lang w:val="en-GB" w:eastAsia="zh-TW"/>
        </w:rPr>
        <w:t xml:space="preserve">LII signal intensity </w:t>
      </w:r>
      <w:r w:rsidR="00E758B2" w:rsidRPr="00CC39A2">
        <w:rPr>
          <w:lang w:val="en-GB" w:eastAsia="zh-TW"/>
        </w:rPr>
        <w:t xml:space="preserve">at 31 and 50 CAD aTDC </w:t>
      </w:r>
      <w:r w:rsidRPr="00CC39A2">
        <w:rPr>
          <w:lang w:val="en-GB" w:eastAsia="zh-TW"/>
        </w:rPr>
        <w:t>for all cases considered</w:t>
      </w:r>
      <w:r w:rsidR="00E758B2" w:rsidRPr="00CC39A2">
        <w:rPr>
          <w:lang w:val="en-GB" w:eastAsia="zh-TW"/>
        </w:rPr>
        <w:t xml:space="preserve">; the signal </w:t>
      </w:r>
      <w:r w:rsidR="00AD5D76" w:rsidRPr="00CC39A2">
        <w:rPr>
          <w:lang w:val="en-GB" w:eastAsia="zh-TW"/>
        </w:rPr>
        <w:t xml:space="preserve">was </w:t>
      </w:r>
      <w:r w:rsidRPr="00CC39A2">
        <w:rPr>
          <w:lang w:val="en-GB" w:eastAsia="zh-TW"/>
        </w:rPr>
        <w:t xml:space="preserve">normalized </w:t>
      </w:r>
      <w:r w:rsidR="00E04D6F" w:rsidRPr="00CC39A2">
        <w:rPr>
          <w:lang w:val="en-GB" w:eastAsia="zh-TW"/>
        </w:rPr>
        <w:t xml:space="preserve">by </w:t>
      </w:r>
      <w:r w:rsidRPr="00CC39A2">
        <w:rPr>
          <w:lang w:val="en-GB" w:eastAsia="zh-TW"/>
        </w:rPr>
        <w:t>the maximum</w:t>
      </w:r>
      <w:r w:rsidR="0026496F" w:rsidRPr="00CC39A2">
        <w:rPr>
          <w:lang w:val="en-GB" w:eastAsia="zh-TW"/>
        </w:rPr>
        <w:t xml:space="preserve"> </w:t>
      </w:r>
      <w:r w:rsidRPr="00CC39A2">
        <w:rPr>
          <w:lang w:val="en-GB" w:eastAsia="zh-TW"/>
        </w:rPr>
        <w:t>recorded value</w:t>
      </w:r>
      <w:r w:rsidR="00E758B2" w:rsidRPr="00CC39A2">
        <w:rPr>
          <w:lang w:val="en-GB" w:eastAsia="zh-TW"/>
        </w:rPr>
        <w:t xml:space="preserve"> among all cases considered</w:t>
      </w:r>
      <w:r w:rsidRPr="00CC39A2">
        <w:rPr>
          <w:lang w:val="en-GB" w:eastAsia="zh-TW"/>
        </w:rPr>
        <w:t xml:space="preserve">. It </w:t>
      </w:r>
      <w:r w:rsidR="004B3157" w:rsidRPr="00CC39A2">
        <w:rPr>
          <w:lang w:val="en-GB" w:eastAsia="zh-TW"/>
        </w:rPr>
        <w:t xml:space="preserve">is </w:t>
      </w:r>
      <w:r w:rsidR="00240E1F" w:rsidRPr="00CC39A2">
        <w:rPr>
          <w:lang w:val="en-GB" w:eastAsia="zh-TW"/>
        </w:rPr>
        <w:t xml:space="preserve">curious </w:t>
      </w:r>
      <w:r w:rsidRPr="00CC39A2">
        <w:rPr>
          <w:lang w:val="en-GB" w:eastAsia="zh-TW"/>
        </w:rPr>
        <w:t xml:space="preserve">to note that </w:t>
      </w:r>
      <w:r w:rsidR="0026496F" w:rsidRPr="00CC39A2">
        <w:rPr>
          <w:lang w:val="en-GB" w:eastAsia="zh-TW"/>
        </w:rPr>
        <w:t xml:space="preserve">for </w:t>
      </w:r>
      <w:r w:rsidRPr="00CC39A2">
        <w:rPr>
          <w:lang w:val="en-GB" w:eastAsia="zh-TW"/>
        </w:rPr>
        <w:t xml:space="preserve">the </w:t>
      </w:r>
      <w:r w:rsidR="004B3157" w:rsidRPr="00CC39A2">
        <w:rPr>
          <w:lang w:val="en-GB" w:eastAsia="zh-TW"/>
        </w:rPr>
        <w:t>B</w:t>
      </w:r>
      <w:r w:rsidRPr="00CC39A2">
        <w:rPr>
          <w:lang w:val="en-GB" w:eastAsia="zh-TW"/>
        </w:rPr>
        <w:t xml:space="preserve">ase </w:t>
      </w:r>
      <w:r w:rsidR="004B3157" w:rsidRPr="00CC39A2">
        <w:rPr>
          <w:lang w:val="en-GB" w:eastAsia="zh-TW"/>
        </w:rPr>
        <w:t>C</w:t>
      </w:r>
      <w:r w:rsidRPr="00CC39A2">
        <w:rPr>
          <w:lang w:val="en-GB" w:eastAsia="zh-TW"/>
        </w:rPr>
        <w:t>ase the total captured signal at 50 CAD aTDC is greater than the one at 31 CAD</w:t>
      </w:r>
      <w:r w:rsidR="004B3157" w:rsidRPr="00CC39A2">
        <w:rPr>
          <w:lang w:val="en-GB" w:eastAsia="zh-TW"/>
        </w:rPr>
        <w:t> </w:t>
      </w:r>
      <w:r w:rsidRPr="00CC39A2">
        <w:rPr>
          <w:lang w:val="en-GB" w:eastAsia="zh-TW"/>
        </w:rPr>
        <w:t xml:space="preserve">aTDC. This may either be attributed to </w:t>
      </w:r>
      <w:r w:rsidR="00D66D16" w:rsidRPr="00CC39A2">
        <w:rPr>
          <w:lang w:val="en-GB" w:eastAsia="zh-TW"/>
        </w:rPr>
        <w:t xml:space="preserve">the </w:t>
      </w:r>
      <w:r w:rsidR="0026496F" w:rsidRPr="00CC39A2">
        <w:rPr>
          <w:lang w:val="en-GB" w:eastAsia="zh-TW"/>
        </w:rPr>
        <w:t xml:space="preserve">effects of the </w:t>
      </w:r>
      <w:r w:rsidRPr="00CC39A2">
        <w:rPr>
          <w:lang w:val="en-GB" w:eastAsia="zh-TW"/>
        </w:rPr>
        <w:t>limited optical access (the laser sheet is visible</w:t>
      </w:r>
      <w:r w:rsidR="00427BC8" w:rsidRPr="00CC39A2">
        <w:rPr>
          <w:lang w:val="en-GB" w:eastAsia="zh-TW"/>
        </w:rPr>
        <w:t xml:space="preserve"> in the pictures</w:t>
      </w:r>
      <w:r w:rsidR="00606248" w:rsidRPr="00CC39A2">
        <w:rPr>
          <w:lang w:val="en-GB" w:eastAsia="zh-TW"/>
        </w:rPr>
        <w:t xml:space="preserve"> of Fig. 8</w:t>
      </w:r>
      <w:r w:rsidRPr="00CC39A2">
        <w:rPr>
          <w:lang w:val="en-GB" w:eastAsia="zh-TW"/>
        </w:rPr>
        <w:t>)</w:t>
      </w:r>
      <w:r w:rsidR="00D66D16" w:rsidRPr="00CC39A2">
        <w:rPr>
          <w:lang w:val="en-GB" w:eastAsia="zh-TW"/>
        </w:rPr>
        <w:t xml:space="preserve"> </w:t>
      </w:r>
      <w:r w:rsidR="0026496F" w:rsidRPr="00CC39A2">
        <w:rPr>
          <w:lang w:val="en-GB" w:eastAsia="zh-TW"/>
        </w:rPr>
        <w:t>and/</w:t>
      </w:r>
      <w:r w:rsidR="00D66D16" w:rsidRPr="00CC39A2">
        <w:rPr>
          <w:lang w:val="en-GB" w:eastAsia="zh-TW"/>
        </w:rPr>
        <w:t>or to</w:t>
      </w:r>
      <w:r w:rsidR="00CB1896" w:rsidRPr="00CC39A2">
        <w:rPr>
          <w:lang w:val="en-GB" w:eastAsia="zh-TW"/>
        </w:rPr>
        <w:t xml:space="preserve"> the</w:t>
      </w:r>
      <w:r w:rsidR="00D66D16" w:rsidRPr="00CC39A2">
        <w:rPr>
          <w:lang w:val="en-GB" w:eastAsia="zh-TW"/>
        </w:rPr>
        <w:t xml:space="preserve"> </w:t>
      </w:r>
      <w:r w:rsidR="0026496F" w:rsidRPr="00CC39A2">
        <w:rPr>
          <w:lang w:val="en-GB" w:eastAsia="zh-TW"/>
        </w:rPr>
        <w:t>redistribution (</w:t>
      </w:r>
      <w:r w:rsidR="0026496F" w:rsidRPr="00CC39A2">
        <w:rPr>
          <w:i/>
          <w:lang w:val="en-GB" w:eastAsia="zh-TW"/>
        </w:rPr>
        <w:t>e.g.</w:t>
      </w:r>
      <w:r w:rsidR="0026496F" w:rsidRPr="00CC39A2">
        <w:rPr>
          <w:lang w:val="en-GB" w:eastAsia="zh-TW"/>
        </w:rPr>
        <w:t xml:space="preserve"> </w:t>
      </w:r>
      <w:r w:rsidR="00D66D16" w:rsidRPr="00CC39A2">
        <w:rPr>
          <w:lang w:val="en-GB" w:eastAsia="zh-TW"/>
        </w:rPr>
        <w:t>recirculation</w:t>
      </w:r>
      <w:r w:rsidR="0026496F" w:rsidRPr="00CC39A2">
        <w:rPr>
          <w:lang w:val="en-GB" w:eastAsia="zh-TW"/>
        </w:rPr>
        <w:t>)</w:t>
      </w:r>
      <w:r w:rsidR="00D66D16" w:rsidRPr="00CC39A2">
        <w:rPr>
          <w:lang w:val="en-GB" w:eastAsia="zh-TW"/>
        </w:rPr>
        <w:t xml:space="preserve"> of the charge</w:t>
      </w:r>
      <w:r w:rsidR="0026496F" w:rsidRPr="00CC39A2">
        <w:rPr>
          <w:lang w:val="en-GB" w:eastAsia="zh-TW"/>
        </w:rPr>
        <w:t>, and hence of the soot also,</w:t>
      </w:r>
      <w:r w:rsidR="00D66D16" w:rsidRPr="00CC39A2">
        <w:rPr>
          <w:lang w:val="en-GB" w:eastAsia="zh-TW"/>
        </w:rPr>
        <w:t xml:space="preserve"> towards the centre of the bore, due to the </w:t>
      </w:r>
      <w:r w:rsidR="0026496F" w:rsidRPr="00CC39A2">
        <w:rPr>
          <w:lang w:val="en-GB" w:eastAsia="zh-TW"/>
        </w:rPr>
        <w:t xml:space="preserve">reverse-squish </w:t>
      </w:r>
      <w:r w:rsidR="00D66D16" w:rsidRPr="00CC39A2">
        <w:rPr>
          <w:lang w:val="en-GB" w:eastAsia="zh-TW"/>
        </w:rPr>
        <w:t xml:space="preserve">flow induced by the piston movement. It may also be </w:t>
      </w:r>
      <w:r w:rsidR="0026496F" w:rsidRPr="00CC39A2">
        <w:rPr>
          <w:lang w:val="en-GB" w:eastAsia="zh-TW"/>
        </w:rPr>
        <w:t xml:space="preserve">partly </w:t>
      </w:r>
      <w:r w:rsidR="00D66D16" w:rsidRPr="00CC39A2">
        <w:rPr>
          <w:lang w:val="en-GB" w:eastAsia="zh-TW"/>
        </w:rPr>
        <w:t xml:space="preserve">attributed </w:t>
      </w:r>
      <w:r w:rsidRPr="00CC39A2">
        <w:rPr>
          <w:lang w:val="en-GB" w:eastAsia="zh-TW"/>
        </w:rPr>
        <w:t xml:space="preserve">to the fact that the soot oxidation </w:t>
      </w:r>
      <w:r w:rsidR="00E04D6F" w:rsidRPr="00CC39A2">
        <w:rPr>
          <w:lang w:val="en-GB" w:eastAsia="zh-TW"/>
        </w:rPr>
        <w:lastRenderedPageBreak/>
        <w:t>‘</w:t>
      </w:r>
      <w:r w:rsidRPr="00CC39A2">
        <w:rPr>
          <w:lang w:val="en-GB" w:eastAsia="zh-TW"/>
        </w:rPr>
        <w:t>freezes</w:t>
      </w:r>
      <w:r w:rsidR="00E04D6F" w:rsidRPr="00CC39A2">
        <w:rPr>
          <w:lang w:val="en-GB" w:eastAsia="zh-TW"/>
        </w:rPr>
        <w:t>’</w:t>
      </w:r>
      <w:r w:rsidRPr="00CC39A2">
        <w:rPr>
          <w:lang w:val="en-GB" w:eastAsia="zh-TW"/>
        </w:rPr>
        <w:t xml:space="preserve"> as the in-cylinder volume expands. The opposite </w:t>
      </w:r>
      <w:r w:rsidR="00240E1F" w:rsidRPr="00CC39A2">
        <w:rPr>
          <w:lang w:val="en-GB" w:eastAsia="zh-TW"/>
        </w:rPr>
        <w:t xml:space="preserve">behaviour </w:t>
      </w:r>
      <w:r w:rsidRPr="00CC39A2">
        <w:rPr>
          <w:lang w:val="en-GB" w:eastAsia="zh-TW"/>
        </w:rPr>
        <w:t xml:space="preserve">is captured for the cases </w:t>
      </w:r>
      <w:r w:rsidR="00427BC8" w:rsidRPr="00CC39A2">
        <w:rPr>
          <w:lang w:val="en-GB" w:eastAsia="zh-TW"/>
        </w:rPr>
        <w:t xml:space="preserve">featuring </w:t>
      </w:r>
      <w:r w:rsidRPr="00CC39A2">
        <w:rPr>
          <w:lang w:val="en-GB" w:eastAsia="zh-TW"/>
        </w:rPr>
        <w:t>post injection</w:t>
      </w:r>
      <w:r w:rsidR="00427BC8" w:rsidRPr="00CC39A2">
        <w:rPr>
          <w:lang w:val="en-GB" w:eastAsia="zh-TW"/>
        </w:rPr>
        <w:t>s</w:t>
      </w:r>
      <w:r w:rsidRPr="00CC39A2">
        <w:rPr>
          <w:lang w:val="en-GB" w:eastAsia="zh-TW"/>
        </w:rPr>
        <w:t>. The greater reduction is recorded for Case</w:t>
      </w:r>
      <w:r w:rsidR="004B3157" w:rsidRPr="00CC39A2">
        <w:rPr>
          <w:lang w:val="en-GB" w:eastAsia="zh-TW"/>
        </w:rPr>
        <w:t>s</w:t>
      </w:r>
      <w:r w:rsidRPr="00CC39A2">
        <w:rPr>
          <w:lang w:val="en-GB" w:eastAsia="zh-TW"/>
        </w:rPr>
        <w:t xml:space="preserve"> C and D although</w:t>
      </w:r>
      <w:r w:rsidR="00E04D6F" w:rsidRPr="00CC39A2">
        <w:rPr>
          <w:lang w:val="en-GB" w:eastAsia="zh-TW"/>
        </w:rPr>
        <w:t>,</w:t>
      </w:r>
      <w:r w:rsidRPr="00CC39A2">
        <w:rPr>
          <w:lang w:val="en-GB" w:eastAsia="zh-TW"/>
        </w:rPr>
        <w:t xml:space="preserve"> for these cases</w:t>
      </w:r>
      <w:r w:rsidR="00E04D6F" w:rsidRPr="00CC39A2">
        <w:rPr>
          <w:lang w:val="en-GB" w:eastAsia="zh-TW"/>
        </w:rPr>
        <w:t>,</w:t>
      </w:r>
      <w:r w:rsidRPr="00CC39A2">
        <w:rPr>
          <w:lang w:val="en-GB" w:eastAsia="zh-TW"/>
        </w:rPr>
        <w:t xml:space="preserve"> the </w:t>
      </w:r>
      <w:r w:rsidR="00DD080E" w:rsidRPr="00CC39A2">
        <w:rPr>
          <w:lang w:val="en-GB" w:eastAsia="zh-TW"/>
        </w:rPr>
        <w:t>p</w:t>
      </w:r>
      <w:r w:rsidRPr="00CC39A2">
        <w:rPr>
          <w:lang w:val="en-GB" w:eastAsia="zh-TW"/>
        </w:rPr>
        <w:t>LII signal</w:t>
      </w:r>
      <w:r w:rsidR="00E758B2" w:rsidRPr="00CC39A2">
        <w:rPr>
          <w:lang w:val="en-GB" w:eastAsia="zh-TW"/>
        </w:rPr>
        <w:t xml:space="preserve"> and</w:t>
      </w:r>
      <w:r w:rsidR="00240E1F" w:rsidRPr="00CC39A2">
        <w:rPr>
          <w:lang w:val="en-GB" w:eastAsia="zh-TW"/>
        </w:rPr>
        <w:t>, presumably,</w:t>
      </w:r>
      <w:r w:rsidR="00E758B2" w:rsidRPr="00CC39A2">
        <w:rPr>
          <w:lang w:val="en-GB" w:eastAsia="zh-TW"/>
        </w:rPr>
        <w:t xml:space="preserve"> the analogous soot concentration,</w:t>
      </w:r>
      <w:r w:rsidRPr="00CC39A2">
        <w:rPr>
          <w:lang w:val="en-GB" w:eastAsia="zh-TW"/>
        </w:rPr>
        <w:t xml:space="preserve"> is </w:t>
      </w:r>
      <w:r w:rsidR="00240E1F" w:rsidRPr="00CC39A2">
        <w:rPr>
          <w:lang w:val="en-GB" w:eastAsia="zh-TW"/>
        </w:rPr>
        <w:t xml:space="preserve">substantially </w:t>
      </w:r>
      <w:r w:rsidRPr="00CC39A2">
        <w:rPr>
          <w:lang w:val="en-GB" w:eastAsia="zh-TW"/>
        </w:rPr>
        <w:t xml:space="preserve">higher in comparison to the </w:t>
      </w:r>
      <w:r w:rsidR="004B3157" w:rsidRPr="00CC39A2">
        <w:rPr>
          <w:lang w:val="en-GB" w:eastAsia="zh-TW"/>
        </w:rPr>
        <w:t>B</w:t>
      </w:r>
      <w:r w:rsidRPr="00CC39A2">
        <w:rPr>
          <w:lang w:val="en-GB" w:eastAsia="zh-TW"/>
        </w:rPr>
        <w:t xml:space="preserve">ase </w:t>
      </w:r>
      <w:r w:rsidR="004B3157" w:rsidRPr="00CC39A2">
        <w:rPr>
          <w:lang w:val="en-GB" w:eastAsia="zh-TW"/>
        </w:rPr>
        <w:t>C</w:t>
      </w:r>
      <w:r w:rsidRPr="00CC39A2">
        <w:rPr>
          <w:lang w:val="en-GB" w:eastAsia="zh-TW"/>
        </w:rPr>
        <w:t>ase</w:t>
      </w:r>
      <w:r w:rsidR="00606248" w:rsidRPr="00CC39A2">
        <w:rPr>
          <w:lang w:val="en-GB" w:eastAsia="zh-TW"/>
        </w:rPr>
        <w:t xml:space="preserve"> and Cases A and B as well</w:t>
      </w:r>
      <w:r w:rsidRPr="00CC39A2">
        <w:rPr>
          <w:lang w:val="en-GB" w:eastAsia="zh-TW"/>
        </w:rPr>
        <w:t xml:space="preserve">. </w:t>
      </w:r>
      <w:r w:rsidR="00A02F2C" w:rsidRPr="00CC39A2">
        <w:rPr>
          <w:lang w:val="en-GB" w:eastAsia="zh-TW"/>
        </w:rPr>
        <w:t>T</w:t>
      </w:r>
      <w:r w:rsidRPr="00CC39A2">
        <w:rPr>
          <w:lang w:val="en-GB" w:eastAsia="zh-TW"/>
        </w:rPr>
        <w:t xml:space="preserve">he </w:t>
      </w:r>
      <w:r w:rsidR="00DD080E" w:rsidRPr="00CC39A2">
        <w:rPr>
          <w:lang w:val="en-GB" w:eastAsia="zh-TW"/>
        </w:rPr>
        <w:t>p</w:t>
      </w:r>
      <w:r w:rsidRPr="00CC39A2">
        <w:rPr>
          <w:lang w:val="en-GB" w:eastAsia="zh-TW"/>
        </w:rPr>
        <w:t xml:space="preserve">LII signal </w:t>
      </w:r>
      <w:r w:rsidR="00E04D6F" w:rsidRPr="00CC39A2">
        <w:rPr>
          <w:lang w:val="en-GB" w:eastAsia="zh-TW"/>
        </w:rPr>
        <w:t xml:space="preserve">for </w:t>
      </w:r>
      <w:r w:rsidRPr="00CC39A2">
        <w:rPr>
          <w:lang w:val="en-GB" w:eastAsia="zh-TW"/>
        </w:rPr>
        <w:t>Case B is the lowe</w:t>
      </w:r>
      <w:r w:rsidR="00E04D6F" w:rsidRPr="00CC39A2">
        <w:rPr>
          <w:lang w:val="en-GB" w:eastAsia="zh-TW"/>
        </w:rPr>
        <w:t>st</w:t>
      </w:r>
      <w:r w:rsidRPr="00CC39A2">
        <w:rPr>
          <w:lang w:val="en-GB" w:eastAsia="zh-TW"/>
        </w:rPr>
        <w:t xml:space="preserve"> of all cases and</w:t>
      </w:r>
      <w:r w:rsidR="00E758B2" w:rsidRPr="00CC39A2">
        <w:rPr>
          <w:lang w:val="en-GB" w:eastAsia="zh-TW"/>
        </w:rPr>
        <w:t>,</w:t>
      </w:r>
      <w:r w:rsidRPr="00CC39A2">
        <w:rPr>
          <w:lang w:val="en-GB" w:eastAsia="zh-TW"/>
        </w:rPr>
        <w:t xml:space="preserve"> in fact</w:t>
      </w:r>
      <w:r w:rsidR="00E758B2" w:rsidRPr="00CC39A2">
        <w:rPr>
          <w:lang w:val="en-GB" w:eastAsia="zh-TW"/>
        </w:rPr>
        <w:t>,</w:t>
      </w:r>
      <w:r w:rsidRPr="00CC39A2">
        <w:rPr>
          <w:lang w:val="en-GB" w:eastAsia="zh-TW"/>
        </w:rPr>
        <w:t xml:space="preserve"> at 50 CAD</w:t>
      </w:r>
      <w:r w:rsidR="004B3157" w:rsidRPr="00CC39A2">
        <w:rPr>
          <w:lang w:val="en-GB" w:eastAsia="zh-TW"/>
        </w:rPr>
        <w:t> </w:t>
      </w:r>
      <w:r w:rsidRPr="00CC39A2">
        <w:rPr>
          <w:lang w:val="en-GB" w:eastAsia="zh-TW"/>
        </w:rPr>
        <w:t xml:space="preserve">aTDC is even less than the </w:t>
      </w:r>
      <w:r w:rsidR="00FC131A" w:rsidRPr="00CC39A2">
        <w:rPr>
          <w:lang w:val="en-GB" w:eastAsia="zh-TW"/>
        </w:rPr>
        <w:t>Base Case</w:t>
      </w:r>
      <w:r w:rsidR="00606248" w:rsidRPr="00CC39A2">
        <w:rPr>
          <w:lang w:val="en-GB" w:eastAsia="zh-TW"/>
        </w:rPr>
        <w:t>,</w:t>
      </w:r>
      <w:r w:rsidR="00FC131A" w:rsidRPr="00CC39A2">
        <w:rPr>
          <w:lang w:val="en-GB" w:eastAsia="zh-TW"/>
        </w:rPr>
        <w:t xml:space="preserve"> </w:t>
      </w:r>
      <w:r w:rsidRPr="00CC39A2">
        <w:rPr>
          <w:lang w:val="en-GB" w:eastAsia="zh-TW"/>
        </w:rPr>
        <w:t xml:space="preserve">exhibiting the overall lower </w:t>
      </w:r>
      <w:r w:rsidR="00E04D6F" w:rsidRPr="00CC39A2">
        <w:rPr>
          <w:lang w:val="en-GB" w:eastAsia="zh-TW"/>
        </w:rPr>
        <w:t xml:space="preserve">recorded </w:t>
      </w:r>
      <w:r w:rsidR="00DD080E" w:rsidRPr="00CC39A2">
        <w:rPr>
          <w:lang w:val="en-GB" w:eastAsia="zh-TW"/>
        </w:rPr>
        <w:t>p</w:t>
      </w:r>
      <w:r w:rsidRPr="00CC39A2">
        <w:rPr>
          <w:lang w:val="en-GB" w:eastAsia="zh-TW"/>
        </w:rPr>
        <w:t>LII signal</w:t>
      </w:r>
      <w:r w:rsidR="00E04D6F" w:rsidRPr="00CC39A2">
        <w:rPr>
          <w:lang w:val="en-GB" w:eastAsia="zh-TW"/>
        </w:rPr>
        <w:t xml:space="preserve"> intensity</w:t>
      </w:r>
      <w:r w:rsidRPr="00CC39A2">
        <w:rPr>
          <w:lang w:val="en-GB" w:eastAsia="zh-TW"/>
        </w:rPr>
        <w:t xml:space="preserve">. This is </w:t>
      </w:r>
      <w:r w:rsidR="00240E1F" w:rsidRPr="00CC39A2">
        <w:rPr>
          <w:lang w:val="en-GB" w:eastAsia="zh-TW"/>
        </w:rPr>
        <w:t>to be contrasted with</w:t>
      </w:r>
      <w:r w:rsidRPr="00CC39A2">
        <w:rPr>
          <w:lang w:val="en-GB" w:eastAsia="zh-TW"/>
        </w:rPr>
        <w:t xml:space="preserve"> Case A</w:t>
      </w:r>
      <w:r w:rsidR="00240E1F" w:rsidRPr="00CC39A2">
        <w:rPr>
          <w:lang w:val="en-GB" w:eastAsia="zh-TW"/>
        </w:rPr>
        <w:t>,</w:t>
      </w:r>
      <w:r w:rsidRPr="00CC39A2">
        <w:rPr>
          <w:lang w:val="en-GB" w:eastAsia="zh-TW"/>
        </w:rPr>
        <w:t xml:space="preserve"> </w:t>
      </w:r>
      <w:r w:rsidR="00240E1F" w:rsidRPr="00CC39A2">
        <w:rPr>
          <w:lang w:val="en-GB" w:eastAsia="zh-TW"/>
        </w:rPr>
        <w:t xml:space="preserve">for which </w:t>
      </w:r>
      <w:r w:rsidRPr="00CC39A2">
        <w:rPr>
          <w:lang w:val="en-GB" w:eastAsia="zh-TW"/>
        </w:rPr>
        <w:t xml:space="preserve">the post injection is realized at the same timing </w:t>
      </w:r>
      <w:r w:rsidR="00606248" w:rsidRPr="00CC39A2">
        <w:rPr>
          <w:lang w:val="en-GB" w:eastAsia="zh-TW"/>
        </w:rPr>
        <w:t xml:space="preserve">as Case B </w:t>
      </w:r>
      <w:r w:rsidRPr="00CC39A2">
        <w:rPr>
          <w:lang w:val="en-GB" w:eastAsia="zh-TW"/>
        </w:rPr>
        <w:t xml:space="preserve">but with less </w:t>
      </w:r>
      <w:r w:rsidR="00E04D6F" w:rsidRPr="00CC39A2">
        <w:rPr>
          <w:lang w:val="en-GB" w:eastAsia="zh-TW"/>
        </w:rPr>
        <w:t xml:space="preserve">injected </w:t>
      </w:r>
      <w:r w:rsidRPr="00CC39A2">
        <w:rPr>
          <w:lang w:val="en-GB" w:eastAsia="zh-TW"/>
        </w:rPr>
        <w:t>fuel</w:t>
      </w:r>
      <w:r w:rsidR="00DE4B14" w:rsidRPr="00CC39A2">
        <w:rPr>
          <w:lang w:val="en-GB" w:eastAsia="zh-TW"/>
        </w:rPr>
        <w:t xml:space="preserve"> mass</w:t>
      </w:r>
      <w:r w:rsidR="00240E1F" w:rsidRPr="00CC39A2">
        <w:rPr>
          <w:lang w:val="en-GB" w:eastAsia="zh-TW"/>
        </w:rPr>
        <w:t>.</w:t>
      </w:r>
      <w:r w:rsidRPr="00CC39A2">
        <w:rPr>
          <w:lang w:val="en-GB" w:eastAsia="zh-TW"/>
        </w:rPr>
        <w:t xml:space="preserve"> </w:t>
      </w:r>
      <w:r w:rsidR="0026496F" w:rsidRPr="00CC39A2">
        <w:rPr>
          <w:lang w:val="en-GB" w:eastAsia="zh-TW"/>
        </w:rPr>
        <w:t>T</w:t>
      </w:r>
      <w:r w:rsidRPr="00CC39A2">
        <w:rPr>
          <w:lang w:val="en-GB" w:eastAsia="zh-TW"/>
        </w:rPr>
        <w:t xml:space="preserve">his </w:t>
      </w:r>
      <w:r w:rsidR="0026496F" w:rsidRPr="00CC39A2">
        <w:rPr>
          <w:lang w:val="en-GB" w:eastAsia="zh-TW"/>
        </w:rPr>
        <w:t xml:space="preserve">additional </w:t>
      </w:r>
      <w:r w:rsidRPr="00CC39A2">
        <w:rPr>
          <w:lang w:val="en-GB" w:eastAsia="zh-TW"/>
        </w:rPr>
        <w:t>fuel</w:t>
      </w:r>
      <w:r w:rsidR="0026496F" w:rsidRPr="00CC39A2">
        <w:rPr>
          <w:lang w:val="en-GB" w:eastAsia="zh-TW"/>
        </w:rPr>
        <w:t>,</w:t>
      </w:r>
      <w:r w:rsidRPr="00CC39A2">
        <w:rPr>
          <w:lang w:val="en-GB" w:eastAsia="zh-TW"/>
        </w:rPr>
        <w:t xml:space="preserve"> </w:t>
      </w:r>
      <w:r w:rsidR="00240E1F" w:rsidRPr="00CC39A2">
        <w:rPr>
          <w:lang w:val="en-GB" w:eastAsia="zh-TW"/>
        </w:rPr>
        <w:t>during the post injection</w:t>
      </w:r>
      <w:r w:rsidR="0026496F" w:rsidRPr="00CC39A2">
        <w:rPr>
          <w:lang w:val="en-GB" w:eastAsia="zh-TW"/>
        </w:rPr>
        <w:t>, presumably</w:t>
      </w:r>
      <w:r w:rsidR="00240E1F" w:rsidRPr="00CC39A2">
        <w:rPr>
          <w:lang w:val="en-GB" w:eastAsia="zh-TW"/>
        </w:rPr>
        <w:t xml:space="preserve"> creat</w:t>
      </w:r>
      <w:r w:rsidR="0026496F" w:rsidRPr="00CC39A2">
        <w:rPr>
          <w:lang w:val="en-GB" w:eastAsia="zh-TW"/>
        </w:rPr>
        <w:t>es</w:t>
      </w:r>
      <w:r w:rsidR="00240E1F" w:rsidRPr="00CC39A2">
        <w:rPr>
          <w:lang w:val="en-GB" w:eastAsia="zh-TW"/>
        </w:rPr>
        <w:t xml:space="preserve"> </w:t>
      </w:r>
      <w:r w:rsidRPr="00CC39A2">
        <w:rPr>
          <w:lang w:val="en-GB" w:eastAsia="zh-TW"/>
        </w:rPr>
        <w:t xml:space="preserve">conditions </w:t>
      </w:r>
      <w:r w:rsidR="00DD080E" w:rsidRPr="00CC39A2">
        <w:rPr>
          <w:lang w:val="en-GB" w:eastAsia="zh-TW"/>
        </w:rPr>
        <w:t xml:space="preserve">favourable </w:t>
      </w:r>
      <w:r w:rsidRPr="00CC39A2">
        <w:rPr>
          <w:lang w:val="en-GB" w:eastAsia="zh-TW"/>
        </w:rPr>
        <w:t>for soot oxidation</w:t>
      </w:r>
      <w:r w:rsidR="00DE4B14" w:rsidRPr="00CC39A2">
        <w:rPr>
          <w:lang w:val="en-GB" w:eastAsia="zh-TW"/>
        </w:rPr>
        <w:t xml:space="preserve"> </w:t>
      </w:r>
      <w:r w:rsidR="00DE4B14" w:rsidRPr="00CC39A2">
        <w:rPr>
          <w:i/>
          <w:lang w:val="en-GB" w:eastAsia="zh-TW"/>
        </w:rPr>
        <w:t>via</w:t>
      </w:r>
      <w:r w:rsidR="00DE4B14" w:rsidRPr="00CC39A2">
        <w:rPr>
          <w:lang w:val="en-GB" w:eastAsia="zh-TW"/>
        </w:rPr>
        <w:t xml:space="preserve"> an increase in the bulk gas temperature</w:t>
      </w:r>
      <w:r w:rsidR="00606248" w:rsidRPr="00CC39A2">
        <w:rPr>
          <w:lang w:val="en-GB" w:eastAsia="zh-TW"/>
        </w:rPr>
        <w:t xml:space="preserve"> and enhanced mixing (see earlier discussion on </w:t>
      </w:r>
      <w:r w:rsidR="00DC00CB" w:rsidRPr="00CC39A2">
        <w:rPr>
          <w:lang w:val="en-GB" w:eastAsia="zh-TW"/>
        </w:rPr>
        <w:t xml:space="preserve">the </w:t>
      </w:r>
      <w:r w:rsidR="00606248" w:rsidRPr="00CC39A2">
        <w:rPr>
          <w:lang w:val="en-GB" w:eastAsia="zh-TW"/>
        </w:rPr>
        <w:t>chemiluminescence signals)</w:t>
      </w:r>
      <w:r w:rsidRPr="00CC39A2">
        <w:rPr>
          <w:lang w:val="en-GB" w:eastAsia="zh-TW"/>
        </w:rPr>
        <w:t xml:space="preserve">. </w:t>
      </w:r>
      <w:r w:rsidR="00E04D6F" w:rsidRPr="00CC39A2">
        <w:rPr>
          <w:lang w:val="en-GB" w:eastAsia="zh-TW"/>
        </w:rPr>
        <w:t>I</w:t>
      </w:r>
      <w:r w:rsidR="00E758B2" w:rsidRPr="00CC39A2">
        <w:rPr>
          <w:lang w:val="en-GB" w:eastAsia="zh-TW"/>
        </w:rPr>
        <w:t>n the context of engine operation, this may prove particularly beneficial as the cylinder charge has equal carbon content for all cases considered</w:t>
      </w:r>
      <w:r w:rsidR="00E04D6F" w:rsidRPr="00CC39A2">
        <w:rPr>
          <w:lang w:val="en-GB" w:eastAsia="zh-TW"/>
        </w:rPr>
        <w:t>,</w:t>
      </w:r>
      <w:r w:rsidR="00E758B2" w:rsidRPr="00CC39A2">
        <w:rPr>
          <w:lang w:val="en-GB" w:eastAsia="zh-TW"/>
        </w:rPr>
        <w:t xml:space="preserve"> while Case B exhibits the higher IMEP value.</w:t>
      </w:r>
    </w:p>
    <w:p w14:paraId="0F2F2C5B" w14:textId="622EFE35" w:rsidR="00E661A3" w:rsidRPr="00CC39A2" w:rsidRDefault="00E661A3" w:rsidP="00E661A3">
      <w:pPr>
        <w:tabs>
          <w:tab w:val="left" w:pos="397"/>
        </w:tabs>
        <w:autoSpaceDE w:val="0"/>
        <w:autoSpaceDN w:val="0"/>
        <w:adjustRightInd w:val="0"/>
        <w:spacing w:before="240" w:after="240" w:line="480" w:lineRule="auto"/>
        <w:jc w:val="both"/>
        <w:rPr>
          <w:lang w:val="en-GB" w:eastAsia="zh-TW"/>
        </w:rPr>
      </w:pPr>
      <w:r w:rsidRPr="00CC39A2">
        <w:rPr>
          <w:lang w:val="en-GB" w:eastAsia="zh-TW"/>
        </w:rPr>
        <w:t xml:space="preserve">The effect of the post injection schemes on in-cylinder soot emissions </w:t>
      </w:r>
      <w:r w:rsidR="000A3F85" w:rsidRPr="00CC39A2">
        <w:rPr>
          <w:lang w:val="en-GB" w:eastAsia="zh-TW"/>
        </w:rPr>
        <w:t xml:space="preserve">is </w:t>
      </w:r>
      <w:r w:rsidRPr="00CC39A2">
        <w:rPr>
          <w:lang w:val="en-GB" w:eastAsia="zh-TW"/>
        </w:rPr>
        <w:t xml:space="preserve">further discussed </w:t>
      </w:r>
      <w:r w:rsidRPr="00CC39A2">
        <w:rPr>
          <w:i/>
          <w:lang w:val="en-GB" w:eastAsia="zh-TW"/>
        </w:rPr>
        <w:t>via</w:t>
      </w:r>
      <w:r w:rsidRPr="00CC39A2">
        <w:rPr>
          <w:lang w:val="en-GB" w:eastAsia="zh-TW"/>
        </w:rPr>
        <w:t xml:space="preserve"> assessing</w:t>
      </w:r>
      <w:r w:rsidR="00240E1F" w:rsidRPr="00CC39A2">
        <w:rPr>
          <w:lang w:val="en-GB" w:eastAsia="zh-TW"/>
        </w:rPr>
        <w:t xml:space="preserve"> the spatial distribution in</w:t>
      </w:r>
      <w:r w:rsidRPr="00CC39A2">
        <w:rPr>
          <w:lang w:val="en-GB" w:eastAsia="zh-TW"/>
        </w:rPr>
        <w:t xml:space="preserve"> flame luminosity in terms of </w:t>
      </w:r>
      <w:r w:rsidR="00240E1F" w:rsidRPr="00CC39A2">
        <w:rPr>
          <w:lang w:val="en-GB" w:eastAsia="zh-TW"/>
        </w:rPr>
        <w:t xml:space="preserve">broadband </w:t>
      </w:r>
      <w:r w:rsidRPr="00CC39A2">
        <w:rPr>
          <w:lang w:val="en-GB" w:eastAsia="zh-TW"/>
        </w:rPr>
        <w:t>visible, UV (OH</w:t>
      </w:r>
      <w:r w:rsidRPr="00CC39A2">
        <w:rPr>
          <w:vertAlign w:val="superscript"/>
          <w:lang w:val="en-GB" w:eastAsia="zh-TW"/>
        </w:rPr>
        <w:t>*</w:t>
      </w:r>
      <w:r w:rsidRPr="00CC39A2">
        <w:rPr>
          <w:lang w:val="en-GB" w:eastAsia="zh-TW"/>
        </w:rPr>
        <w:t>), CH</w:t>
      </w:r>
      <w:r w:rsidRPr="00CC39A2">
        <w:rPr>
          <w:vertAlign w:val="superscript"/>
          <w:lang w:val="en-GB" w:eastAsia="zh-TW"/>
        </w:rPr>
        <w:t>*</w:t>
      </w:r>
      <w:r w:rsidRPr="00CC39A2">
        <w:rPr>
          <w:lang w:val="en-GB" w:eastAsia="zh-TW"/>
        </w:rPr>
        <w:t xml:space="preserve"> and C</w:t>
      </w:r>
      <w:r w:rsidRPr="00CC39A2">
        <w:rPr>
          <w:vertAlign w:val="subscript"/>
          <w:lang w:val="en-GB" w:eastAsia="zh-TW"/>
        </w:rPr>
        <w:t>2</w:t>
      </w:r>
      <w:r w:rsidRPr="00CC39A2">
        <w:rPr>
          <w:vertAlign w:val="superscript"/>
          <w:lang w:val="en-GB" w:eastAsia="zh-TW"/>
        </w:rPr>
        <w:t>*</w:t>
      </w:r>
      <w:r w:rsidRPr="00CC39A2">
        <w:rPr>
          <w:lang w:val="en-GB" w:eastAsia="zh-TW"/>
        </w:rPr>
        <w:t xml:space="preserve"> chemiluminescence, against planar </w:t>
      </w:r>
      <w:r w:rsidR="00DD080E" w:rsidRPr="00CC39A2">
        <w:rPr>
          <w:lang w:val="en-GB" w:eastAsia="zh-TW"/>
        </w:rPr>
        <w:t>p</w:t>
      </w:r>
      <w:r w:rsidRPr="00CC39A2">
        <w:rPr>
          <w:lang w:val="en-GB" w:eastAsia="zh-TW"/>
        </w:rPr>
        <w:t>LII measurements at 31 and 50 CAD</w:t>
      </w:r>
      <w:r w:rsidR="004B3157" w:rsidRPr="00CC39A2">
        <w:rPr>
          <w:lang w:val="en-GB" w:eastAsia="zh-TW"/>
        </w:rPr>
        <w:t> </w:t>
      </w:r>
      <w:r w:rsidRPr="00CC39A2">
        <w:rPr>
          <w:lang w:val="en-GB" w:eastAsia="zh-TW"/>
        </w:rPr>
        <w:t xml:space="preserve">aTDC. Figure 8a presents superimposed </w:t>
      </w:r>
      <w:r w:rsidR="009141A1" w:rsidRPr="00CC39A2">
        <w:rPr>
          <w:lang w:val="en-US"/>
        </w:rPr>
        <w:t>a</w:t>
      </w:r>
      <w:r w:rsidR="009141A1" w:rsidRPr="00CC39A2">
        <w:t>nd ensemble averaged</w:t>
      </w:r>
      <w:r w:rsidR="009141A1" w:rsidRPr="00CC39A2">
        <w:rPr>
          <w:lang w:val="en-GB" w:eastAsia="zh-TW"/>
        </w:rPr>
        <w:t xml:space="preserve"> </w:t>
      </w:r>
      <w:r w:rsidRPr="00CC39A2">
        <w:rPr>
          <w:lang w:val="en-GB" w:eastAsia="zh-TW"/>
        </w:rPr>
        <w:t>images of flame spectroscopic measurements at 31 CAD</w:t>
      </w:r>
      <w:r w:rsidR="004B3157" w:rsidRPr="00CC39A2">
        <w:rPr>
          <w:lang w:val="en-GB" w:eastAsia="zh-TW"/>
        </w:rPr>
        <w:t> </w:t>
      </w:r>
      <w:r w:rsidRPr="00CC39A2">
        <w:rPr>
          <w:lang w:val="en-GB" w:eastAsia="zh-TW"/>
        </w:rPr>
        <w:t xml:space="preserve">aTDC (upper) and the corresponding </w:t>
      </w:r>
      <w:r w:rsidR="00DD080E" w:rsidRPr="00CC39A2">
        <w:rPr>
          <w:lang w:val="en-GB" w:eastAsia="zh-TW"/>
        </w:rPr>
        <w:t>p</w:t>
      </w:r>
      <w:r w:rsidRPr="00CC39A2">
        <w:rPr>
          <w:lang w:val="en-GB" w:eastAsia="zh-TW"/>
        </w:rPr>
        <w:t>LII imaging measurements</w:t>
      </w:r>
      <w:r w:rsidR="006F1F67" w:rsidRPr="00CC39A2">
        <w:rPr>
          <w:lang w:val="en-GB" w:eastAsia="zh-TW"/>
        </w:rPr>
        <w:t xml:space="preserve"> (lower)</w:t>
      </w:r>
      <w:r w:rsidRPr="00CC39A2">
        <w:rPr>
          <w:lang w:val="en-GB" w:eastAsia="zh-TW"/>
        </w:rPr>
        <w:t xml:space="preserve"> for the same piston </w:t>
      </w:r>
      <w:r w:rsidR="001A6B4C" w:rsidRPr="00CC39A2">
        <w:rPr>
          <w:lang w:val="en-GB" w:eastAsia="zh-TW"/>
        </w:rPr>
        <w:t>position</w:t>
      </w:r>
      <w:r w:rsidRPr="00CC39A2">
        <w:rPr>
          <w:lang w:val="en-GB" w:eastAsia="zh-TW"/>
        </w:rPr>
        <w:t>. Accordingly, Fig. 8b shows similar findings for 50 CAD</w:t>
      </w:r>
      <w:r w:rsidR="004B3157" w:rsidRPr="00CC39A2">
        <w:rPr>
          <w:lang w:val="en-GB" w:eastAsia="zh-TW"/>
        </w:rPr>
        <w:t> </w:t>
      </w:r>
      <w:r w:rsidRPr="00CC39A2">
        <w:rPr>
          <w:lang w:val="en-GB" w:eastAsia="zh-TW"/>
        </w:rPr>
        <w:t xml:space="preserve">aTDC. The images exhibit the following colour coding; </w:t>
      </w:r>
      <w:r w:rsidRPr="00CC39A2">
        <w:rPr>
          <w:lang w:val="en-GB" w:eastAsia="zh-TW"/>
        </w:rPr>
        <w:lastRenderedPageBreak/>
        <w:t xml:space="preserve">visible flame luminosity is depicted </w:t>
      </w:r>
      <w:r w:rsidR="0026496F" w:rsidRPr="00CC39A2">
        <w:rPr>
          <w:lang w:val="en-GB" w:eastAsia="zh-TW"/>
        </w:rPr>
        <w:t xml:space="preserve">in </w:t>
      </w:r>
      <w:r w:rsidRPr="00CC39A2">
        <w:rPr>
          <w:lang w:val="en-GB" w:eastAsia="zh-TW"/>
        </w:rPr>
        <w:t>White, and the</w:t>
      </w:r>
      <w:r w:rsidRPr="00CC39A2">
        <w:rPr>
          <w:lang w:val="en-GB"/>
        </w:rPr>
        <w:t xml:space="preserve"> </w:t>
      </w:r>
      <w:r w:rsidRPr="00CC39A2">
        <w:rPr>
          <w:lang w:val="en-GB" w:eastAsia="zh-TW"/>
        </w:rPr>
        <w:t>chemiluminescen</w:t>
      </w:r>
      <w:r w:rsidR="000A3F85" w:rsidRPr="00CC39A2">
        <w:rPr>
          <w:lang w:val="en-GB" w:eastAsia="zh-TW"/>
        </w:rPr>
        <w:t>t intensity</w:t>
      </w:r>
      <w:r w:rsidRPr="00CC39A2">
        <w:rPr>
          <w:lang w:val="en-GB" w:eastAsia="zh-TW"/>
        </w:rPr>
        <w:t xml:space="preserve"> signal of CH</w:t>
      </w:r>
      <w:r w:rsidRPr="00CC39A2">
        <w:rPr>
          <w:vertAlign w:val="superscript"/>
          <w:lang w:val="en-GB" w:eastAsia="zh-TW"/>
        </w:rPr>
        <w:t>*</w:t>
      </w:r>
      <w:r w:rsidRPr="00CC39A2">
        <w:rPr>
          <w:lang w:val="en-GB" w:eastAsia="zh-TW"/>
        </w:rPr>
        <w:t>, C</w:t>
      </w:r>
      <w:r w:rsidRPr="00CC39A2">
        <w:rPr>
          <w:vertAlign w:val="subscript"/>
          <w:lang w:val="en-GB" w:eastAsia="zh-TW"/>
        </w:rPr>
        <w:t>2</w:t>
      </w:r>
      <w:r w:rsidRPr="00CC39A2">
        <w:rPr>
          <w:vertAlign w:val="superscript"/>
          <w:lang w:val="en-GB" w:eastAsia="zh-TW"/>
        </w:rPr>
        <w:t>*</w:t>
      </w:r>
      <w:r w:rsidRPr="00CC39A2">
        <w:rPr>
          <w:lang w:val="en-GB" w:eastAsia="zh-TW"/>
        </w:rPr>
        <w:t xml:space="preserve"> and OH</w:t>
      </w:r>
      <w:r w:rsidRPr="00CC39A2">
        <w:rPr>
          <w:vertAlign w:val="superscript"/>
          <w:lang w:val="en-GB" w:eastAsia="zh-TW"/>
        </w:rPr>
        <w:t>*</w:t>
      </w:r>
      <w:r w:rsidRPr="00CC39A2">
        <w:rPr>
          <w:lang w:val="en-GB" w:eastAsia="zh-TW"/>
        </w:rPr>
        <w:t xml:space="preserve"> </w:t>
      </w:r>
      <w:r w:rsidR="0026496F" w:rsidRPr="00CC39A2">
        <w:rPr>
          <w:lang w:val="en-GB" w:eastAsia="zh-TW"/>
        </w:rPr>
        <w:t xml:space="preserve">are </w:t>
      </w:r>
      <w:r w:rsidRPr="00CC39A2">
        <w:rPr>
          <w:lang w:val="en-GB" w:eastAsia="zh-TW"/>
        </w:rPr>
        <w:t xml:space="preserve">shown </w:t>
      </w:r>
      <w:r w:rsidR="0026496F" w:rsidRPr="00CC39A2">
        <w:rPr>
          <w:lang w:val="en-GB" w:eastAsia="zh-TW"/>
        </w:rPr>
        <w:t xml:space="preserve">as </w:t>
      </w:r>
      <w:r w:rsidR="006F1F67" w:rsidRPr="00CC39A2">
        <w:rPr>
          <w:lang w:val="en-GB" w:eastAsia="zh-TW"/>
        </w:rPr>
        <w:t>R</w:t>
      </w:r>
      <w:r w:rsidRPr="00CC39A2">
        <w:rPr>
          <w:lang w:val="en-GB" w:eastAsia="zh-TW"/>
        </w:rPr>
        <w:t xml:space="preserve">ed, </w:t>
      </w:r>
      <w:r w:rsidR="006F1F67" w:rsidRPr="00CC39A2">
        <w:rPr>
          <w:lang w:val="en-GB" w:eastAsia="zh-TW"/>
        </w:rPr>
        <w:t>G</w:t>
      </w:r>
      <w:r w:rsidRPr="00CC39A2">
        <w:rPr>
          <w:lang w:val="en-GB" w:eastAsia="zh-TW"/>
        </w:rPr>
        <w:t xml:space="preserve">reen and </w:t>
      </w:r>
      <w:r w:rsidR="006F1F67" w:rsidRPr="00CC39A2">
        <w:rPr>
          <w:lang w:val="en-GB" w:eastAsia="zh-TW"/>
        </w:rPr>
        <w:t>B</w:t>
      </w:r>
      <w:r w:rsidRPr="00CC39A2">
        <w:rPr>
          <w:lang w:val="en-GB" w:eastAsia="zh-TW"/>
        </w:rPr>
        <w:t>lue respectively. This approach is beneficial as, for instance, the OH</w:t>
      </w:r>
      <w:r w:rsidRPr="00CC39A2">
        <w:rPr>
          <w:vertAlign w:val="superscript"/>
          <w:lang w:val="en-GB" w:eastAsia="zh-TW"/>
        </w:rPr>
        <w:t>*</w:t>
      </w:r>
      <w:r w:rsidRPr="00CC39A2">
        <w:rPr>
          <w:lang w:val="en-GB" w:eastAsia="zh-TW"/>
        </w:rPr>
        <w:t xml:space="preserve"> signal </w:t>
      </w:r>
      <w:r w:rsidR="009B2AA9" w:rsidRPr="00CC39A2">
        <w:rPr>
          <w:lang w:val="en-GB" w:eastAsia="zh-TW"/>
        </w:rPr>
        <w:t>intensity can</w:t>
      </w:r>
      <w:r w:rsidRPr="00CC39A2">
        <w:rPr>
          <w:lang w:val="en-GB" w:eastAsia="zh-TW"/>
        </w:rPr>
        <w:t xml:space="preserve"> facilitat</w:t>
      </w:r>
      <w:r w:rsidR="009B2AA9" w:rsidRPr="00CC39A2">
        <w:rPr>
          <w:lang w:val="en-GB" w:eastAsia="zh-TW"/>
        </w:rPr>
        <w:t>e</w:t>
      </w:r>
      <w:r w:rsidRPr="00CC39A2">
        <w:rPr>
          <w:lang w:val="en-GB" w:eastAsia="zh-TW"/>
        </w:rPr>
        <w:t xml:space="preserve"> arguments related to the overall soot oxidation</w:t>
      </w:r>
      <w:r w:rsidR="009B2AA9" w:rsidRPr="00CC39A2">
        <w:rPr>
          <w:lang w:val="en-GB" w:eastAsia="zh-TW"/>
        </w:rPr>
        <w:t xml:space="preserve"> </w:t>
      </w:r>
      <w:r w:rsidR="00DC00CB" w:rsidRPr="00CC39A2">
        <w:rPr>
          <w:lang w:val="en-GB" w:eastAsia="zh-TW"/>
        </w:rPr>
        <w:t>(since OH</w:t>
      </w:r>
      <w:r w:rsidR="00DC00CB" w:rsidRPr="00CC39A2">
        <w:rPr>
          <w:vertAlign w:val="superscript"/>
          <w:lang w:val="en-GB" w:eastAsia="zh-TW"/>
        </w:rPr>
        <w:t>*</w:t>
      </w:r>
      <w:r w:rsidR="00DC00CB" w:rsidRPr="00CC39A2">
        <w:rPr>
          <w:lang w:val="en-GB" w:eastAsia="zh-TW"/>
        </w:rPr>
        <w:t xml:space="preserve"> is linked with the local heat release processes) </w:t>
      </w:r>
      <w:r w:rsidR="009B2AA9" w:rsidRPr="00CC39A2">
        <w:rPr>
          <w:lang w:val="en-GB" w:eastAsia="zh-TW"/>
        </w:rPr>
        <w:t>and</w:t>
      </w:r>
      <w:r w:rsidR="00DD080E" w:rsidRPr="00CC39A2">
        <w:rPr>
          <w:lang w:val="en-GB" w:eastAsia="zh-TW"/>
        </w:rPr>
        <w:t>, thus,</w:t>
      </w:r>
      <w:r w:rsidR="009B2AA9" w:rsidRPr="00CC39A2">
        <w:rPr>
          <w:lang w:val="en-GB" w:eastAsia="zh-TW"/>
        </w:rPr>
        <w:t xml:space="preserve"> the availability of </w:t>
      </w:r>
      <w:r w:rsidR="00515449" w:rsidRPr="00CC39A2">
        <w:rPr>
          <w:lang w:val="en-GB" w:eastAsia="zh-TW"/>
        </w:rPr>
        <w:t>oxidation agents in the charge</w:t>
      </w:r>
      <w:r w:rsidRPr="00CC39A2">
        <w:rPr>
          <w:lang w:val="en-GB" w:eastAsia="zh-TW"/>
        </w:rPr>
        <w:t>. According to the current understanding of the soot oxidation mechanisms (</w:t>
      </w:r>
      <w:r w:rsidRPr="00CC39A2">
        <w:rPr>
          <w:i/>
          <w:lang w:val="en-GB" w:eastAsia="zh-TW"/>
        </w:rPr>
        <w:t>e.g.</w:t>
      </w:r>
      <w:r w:rsidRPr="00CC39A2">
        <w:rPr>
          <w:lang w:val="en-GB" w:eastAsia="zh-TW"/>
        </w:rPr>
        <w:t xml:space="preserve"> O’Connor and Musculus, 2013; Oppenauer and Alberer, 2013), soot precursors as well as soot particle oxidation by OH radicals can be of equal importance to the direct oxidation </w:t>
      </w:r>
      <w:r w:rsidRPr="00CC39A2">
        <w:rPr>
          <w:i/>
          <w:lang w:val="en-GB" w:eastAsia="zh-TW"/>
        </w:rPr>
        <w:t>via</w:t>
      </w:r>
      <w:r w:rsidRPr="00CC39A2">
        <w:rPr>
          <w:lang w:val="en-GB" w:eastAsia="zh-TW"/>
        </w:rPr>
        <w:t xml:space="preserve"> O</w:t>
      </w:r>
      <w:r w:rsidRPr="00CC39A2">
        <w:rPr>
          <w:vertAlign w:val="subscript"/>
          <w:lang w:val="en-GB" w:eastAsia="zh-TW"/>
        </w:rPr>
        <w:t>2</w:t>
      </w:r>
      <w:r w:rsidRPr="00CC39A2">
        <w:rPr>
          <w:lang w:val="en-GB" w:eastAsia="zh-TW"/>
        </w:rPr>
        <w:t>. Indeed, in the present dataset, OH</w:t>
      </w:r>
      <w:r w:rsidR="000A3F85" w:rsidRPr="00CC39A2">
        <w:rPr>
          <w:vertAlign w:val="superscript"/>
          <w:lang w:val="en-GB" w:eastAsia="zh-TW"/>
        </w:rPr>
        <w:t>*</w:t>
      </w:r>
      <w:r w:rsidRPr="00CC39A2">
        <w:rPr>
          <w:lang w:val="en-GB" w:eastAsia="zh-TW"/>
        </w:rPr>
        <w:t xml:space="preserve"> chemiluminescence and natural luminosity</w:t>
      </w:r>
      <w:r w:rsidR="001A6B4C" w:rsidRPr="00CC39A2">
        <w:rPr>
          <w:lang w:val="en-GB" w:eastAsia="zh-TW"/>
        </w:rPr>
        <w:t xml:space="preserve"> signals</w:t>
      </w:r>
      <w:r w:rsidRPr="00CC39A2">
        <w:rPr>
          <w:lang w:val="en-GB" w:eastAsia="zh-TW"/>
        </w:rPr>
        <w:t xml:space="preserve"> are </w:t>
      </w:r>
      <w:r w:rsidR="001A6B4C" w:rsidRPr="00CC39A2">
        <w:rPr>
          <w:lang w:val="en-GB" w:eastAsia="zh-TW"/>
        </w:rPr>
        <w:t>substantially intensified</w:t>
      </w:r>
      <w:r w:rsidRPr="00CC39A2">
        <w:rPr>
          <w:lang w:val="en-GB" w:eastAsia="zh-TW"/>
        </w:rPr>
        <w:t>, indicating that the post-injections contribute to the creation of</w:t>
      </w:r>
      <w:r w:rsidR="001A6B4C" w:rsidRPr="00CC39A2">
        <w:rPr>
          <w:lang w:val="en-GB" w:eastAsia="zh-TW"/>
        </w:rPr>
        <w:t xml:space="preserve"> conditions conducive to</w:t>
      </w:r>
      <w:r w:rsidRPr="00CC39A2">
        <w:rPr>
          <w:lang w:val="en-GB" w:eastAsia="zh-TW"/>
        </w:rPr>
        <w:t xml:space="preserve"> soot oxidation. This is in agreement with the expectation that the fuel </w:t>
      </w:r>
      <w:r w:rsidR="0026496F" w:rsidRPr="00CC39A2">
        <w:rPr>
          <w:lang w:val="en-GB" w:eastAsia="zh-TW"/>
        </w:rPr>
        <w:t>in</w:t>
      </w:r>
      <w:r w:rsidRPr="00CC39A2">
        <w:rPr>
          <w:lang w:val="en-GB" w:eastAsia="zh-TW"/>
        </w:rPr>
        <w:t xml:space="preserve"> the post-injection serve</w:t>
      </w:r>
      <w:r w:rsidR="001A6B4C" w:rsidRPr="00CC39A2">
        <w:rPr>
          <w:lang w:val="en-GB" w:eastAsia="zh-TW"/>
        </w:rPr>
        <w:t>s</w:t>
      </w:r>
      <w:r w:rsidRPr="00CC39A2">
        <w:rPr>
          <w:lang w:val="en-GB" w:eastAsia="zh-TW"/>
        </w:rPr>
        <w:t xml:space="preserve"> as a ‘</w:t>
      </w:r>
      <w:r w:rsidR="001A6B4C" w:rsidRPr="00CC39A2">
        <w:rPr>
          <w:lang w:val="en-GB" w:eastAsia="zh-TW"/>
        </w:rPr>
        <w:t>trigger</w:t>
      </w:r>
      <w:r w:rsidR="00DD080E" w:rsidRPr="00CC39A2">
        <w:rPr>
          <w:lang w:val="en-GB" w:eastAsia="zh-TW"/>
        </w:rPr>
        <w:t>’</w:t>
      </w:r>
      <w:r w:rsidR="001A6B4C" w:rsidRPr="00CC39A2">
        <w:rPr>
          <w:lang w:val="en-GB" w:eastAsia="zh-TW"/>
        </w:rPr>
        <w:t xml:space="preserve"> </w:t>
      </w:r>
      <w:r w:rsidRPr="00CC39A2">
        <w:rPr>
          <w:lang w:val="en-GB" w:eastAsia="zh-TW"/>
        </w:rPr>
        <w:t xml:space="preserve">for the enhancement of local mixing towards the oxidation of any remaining carbonaceous products from the main combustion. In particular, Case B shows at </w:t>
      </w:r>
      <w:r w:rsidR="00A66257" w:rsidRPr="00CC39A2">
        <w:rPr>
          <w:lang w:val="en-GB" w:eastAsia="zh-TW"/>
        </w:rPr>
        <w:t>31 </w:t>
      </w:r>
      <w:r w:rsidRPr="00CC39A2">
        <w:rPr>
          <w:lang w:val="en-GB" w:eastAsia="zh-TW"/>
        </w:rPr>
        <w:t>CAD aTDC a more homogenized distribution of both OH</w:t>
      </w:r>
      <w:r w:rsidR="009B2AA9" w:rsidRPr="00CC39A2">
        <w:rPr>
          <w:vertAlign w:val="superscript"/>
          <w:lang w:val="en-GB" w:eastAsia="zh-TW"/>
        </w:rPr>
        <w:t>*</w:t>
      </w:r>
      <w:r w:rsidRPr="00CC39A2">
        <w:rPr>
          <w:lang w:val="en-GB" w:eastAsia="zh-TW"/>
        </w:rPr>
        <w:t xml:space="preserve"> and C</w:t>
      </w:r>
      <w:r w:rsidRPr="00CC39A2">
        <w:rPr>
          <w:vertAlign w:val="subscript"/>
          <w:lang w:val="en-GB" w:eastAsia="zh-TW"/>
        </w:rPr>
        <w:t>2</w:t>
      </w:r>
      <w:r w:rsidR="009B2AA9" w:rsidRPr="00CC39A2">
        <w:rPr>
          <w:vertAlign w:val="superscript"/>
          <w:lang w:val="en-GB" w:eastAsia="zh-TW"/>
        </w:rPr>
        <w:t>*</w:t>
      </w:r>
      <w:r w:rsidRPr="00CC39A2">
        <w:rPr>
          <w:lang w:val="en-GB" w:eastAsia="zh-TW"/>
        </w:rPr>
        <w:t xml:space="preserve"> species as well as </w:t>
      </w:r>
      <w:r w:rsidR="009B2AA9" w:rsidRPr="00CC39A2">
        <w:rPr>
          <w:lang w:val="en-GB" w:eastAsia="zh-TW"/>
        </w:rPr>
        <w:t xml:space="preserve">excited </w:t>
      </w:r>
      <w:r w:rsidRPr="00CC39A2">
        <w:rPr>
          <w:lang w:val="en-GB" w:eastAsia="zh-TW"/>
        </w:rPr>
        <w:t>CH</w:t>
      </w:r>
      <w:r w:rsidR="00850C9E" w:rsidRPr="00CC39A2">
        <w:rPr>
          <w:vertAlign w:val="superscript"/>
          <w:lang w:val="en-GB" w:eastAsia="zh-TW"/>
        </w:rPr>
        <w:t>*</w:t>
      </w:r>
      <w:r w:rsidRPr="00CC39A2">
        <w:rPr>
          <w:lang w:val="en-GB" w:eastAsia="zh-TW"/>
        </w:rPr>
        <w:t xml:space="preserve"> radicals </w:t>
      </w:r>
      <w:r w:rsidR="0026496F" w:rsidRPr="00CC39A2">
        <w:rPr>
          <w:lang w:val="en-GB" w:eastAsia="zh-TW"/>
        </w:rPr>
        <w:t xml:space="preserve">all over </w:t>
      </w:r>
      <w:r w:rsidRPr="00CC39A2">
        <w:rPr>
          <w:lang w:val="en-GB" w:eastAsia="zh-TW"/>
        </w:rPr>
        <w:t>the chamber, indicating enhanced premixing and</w:t>
      </w:r>
      <w:r w:rsidR="00850C9E" w:rsidRPr="00CC39A2">
        <w:rPr>
          <w:lang w:val="en-GB" w:eastAsia="zh-TW"/>
        </w:rPr>
        <w:t>,</w:t>
      </w:r>
      <w:r w:rsidRPr="00CC39A2">
        <w:rPr>
          <w:lang w:val="en-GB" w:eastAsia="zh-TW"/>
        </w:rPr>
        <w:t xml:space="preserve"> as a result</w:t>
      </w:r>
      <w:r w:rsidR="00850C9E" w:rsidRPr="00CC39A2">
        <w:rPr>
          <w:lang w:val="en-GB" w:eastAsia="zh-TW"/>
        </w:rPr>
        <w:t>,</w:t>
      </w:r>
      <w:r w:rsidRPr="00CC39A2">
        <w:rPr>
          <w:lang w:val="en-GB" w:eastAsia="zh-TW"/>
        </w:rPr>
        <w:t xml:space="preserve"> improved soot oxidation</w:t>
      </w:r>
      <w:r w:rsidR="008B053B" w:rsidRPr="00CC39A2">
        <w:rPr>
          <w:lang w:val="en-GB" w:eastAsia="zh-TW"/>
        </w:rPr>
        <w:t>, as compared to Case A</w:t>
      </w:r>
      <w:r w:rsidRPr="00CC39A2">
        <w:rPr>
          <w:lang w:val="en-GB" w:eastAsia="zh-TW"/>
        </w:rPr>
        <w:t>. This is not the case for Cases C and D</w:t>
      </w:r>
      <w:r w:rsidR="00850C9E" w:rsidRPr="00CC39A2">
        <w:rPr>
          <w:lang w:val="en-GB" w:eastAsia="zh-TW"/>
        </w:rPr>
        <w:t>,</w:t>
      </w:r>
      <w:r w:rsidRPr="00CC39A2">
        <w:rPr>
          <w:lang w:val="en-GB" w:eastAsia="zh-TW"/>
        </w:rPr>
        <w:t xml:space="preserve"> where </w:t>
      </w:r>
      <w:r w:rsidR="0026496F" w:rsidRPr="00CC39A2">
        <w:rPr>
          <w:lang w:val="en-GB" w:eastAsia="zh-TW"/>
        </w:rPr>
        <w:t xml:space="preserve">post injection </w:t>
      </w:r>
      <w:r w:rsidRPr="00CC39A2">
        <w:rPr>
          <w:lang w:val="en-GB" w:eastAsia="zh-TW"/>
        </w:rPr>
        <w:t xml:space="preserve">flame </w:t>
      </w:r>
      <w:r w:rsidR="001A6B4C" w:rsidRPr="00CC39A2">
        <w:rPr>
          <w:lang w:val="en-GB" w:eastAsia="zh-TW"/>
        </w:rPr>
        <w:t>“</w:t>
      </w:r>
      <w:r w:rsidRPr="00CC39A2">
        <w:rPr>
          <w:lang w:val="en-GB" w:eastAsia="zh-TW"/>
        </w:rPr>
        <w:t>fingers</w:t>
      </w:r>
      <w:r w:rsidR="001A6B4C" w:rsidRPr="00CC39A2">
        <w:rPr>
          <w:lang w:val="en-GB" w:eastAsia="zh-TW"/>
        </w:rPr>
        <w:t>”</w:t>
      </w:r>
      <w:r w:rsidRPr="00CC39A2">
        <w:rPr>
          <w:lang w:val="en-GB" w:eastAsia="zh-TW"/>
        </w:rPr>
        <w:t xml:space="preserve"> are still observable </w:t>
      </w:r>
      <w:r w:rsidR="006F1F67" w:rsidRPr="00CC39A2">
        <w:rPr>
          <w:lang w:val="en-GB" w:eastAsia="zh-TW"/>
        </w:rPr>
        <w:t xml:space="preserve">in both chemiluminescence and </w:t>
      </w:r>
      <w:r w:rsidR="00DE4B14" w:rsidRPr="00CC39A2">
        <w:rPr>
          <w:lang w:val="en-GB" w:eastAsia="zh-TW"/>
        </w:rPr>
        <w:t>p</w:t>
      </w:r>
      <w:r w:rsidR="006F1F67" w:rsidRPr="00CC39A2">
        <w:rPr>
          <w:lang w:val="en-GB" w:eastAsia="zh-TW"/>
        </w:rPr>
        <w:t>LII</w:t>
      </w:r>
      <w:r w:rsidRPr="00CC39A2">
        <w:rPr>
          <w:lang w:val="en-GB" w:eastAsia="zh-TW"/>
        </w:rPr>
        <w:t xml:space="preserve"> measurements. Moreover, the topography of </w:t>
      </w:r>
      <w:r w:rsidR="001A6B4C" w:rsidRPr="00CC39A2">
        <w:rPr>
          <w:lang w:val="en-GB" w:eastAsia="zh-TW"/>
        </w:rPr>
        <w:t xml:space="preserve">the </w:t>
      </w:r>
      <w:r w:rsidRPr="00CC39A2">
        <w:rPr>
          <w:lang w:val="en-GB" w:eastAsia="zh-TW"/>
        </w:rPr>
        <w:t>chemiluminescence measurements and</w:t>
      </w:r>
      <w:r w:rsidR="006F1F67" w:rsidRPr="00CC39A2">
        <w:rPr>
          <w:lang w:val="en-GB" w:eastAsia="zh-TW"/>
        </w:rPr>
        <w:t>,</w:t>
      </w:r>
      <w:r w:rsidRPr="00CC39A2">
        <w:rPr>
          <w:lang w:val="en-GB" w:eastAsia="zh-TW"/>
        </w:rPr>
        <w:t xml:space="preserve"> in particular</w:t>
      </w:r>
      <w:r w:rsidR="006F1F67" w:rsidRPr="00CC39A2">
        <w:rPr>
          <w:lang w:val="en-GB" w:eastAsia="zh-TW"/>
        </w:rPr>
        <w:t>,</w:t>
      </w:r>
      <w:r w:rsidRPr="00CC39A2">
        <w:rPr>
          <w:lang w:val="en-GB" w:eastAsia="zh-TW"/>
        </w:rPr>
        <w:t xml:space="preserve"> the poor overlapping of CH</w:t>
      </w:r>
      <w:r w:rsidR="004B3157" w:rsidRPr="00CC39A2">
        <w:rPr>
          <w:vertAlign w:val="superscript"/>
          <w:lang w:val="en-GB" w:eastAsia="zh-TW"/>
        </w:rPr>
        <w:t>*</w:t>
      </w:r>
      <w:r w:rsidRPr="00CC39A2">
        <w:rPr>
          <w:lang w:val="en-GB" w:eastAsia="zh-TW"/>
        </w:rPr>
        <w:t>, OH</w:t>
      </w:r>
      <w:r w:rsidR="004B3157" w:rsidRPr="00CC39A2">
        <w:rPr>
          <w:vertAlign w:val="superscript"/>
          <w:lang w:val="en-GB" w:eastAsia="zh-TW"/>
        </w:rPr>
        <w:t>*</w:t>
      </w:r>
      <w:r w:rsidRPr="00CC39A2">
        <w:rPr>
          <w:lang w:val="en-GB" w:eastAsia="zh-TW"/>
        </w:rPr>
        <w:t xml:space="preserve"> </w:t>
      </w:r>
      <w:r w:rsidRPr="00CC39A2">
        <w:rPr>
          <w:lang w:val="en-GB" w:eastAsia="zh-TW"/>
        </w:rPr>
        <w:lastRenderedPageBreak/>
        <w:t>and C</w:t>
      </w:r>
      <w:r w:rsidRPr="00CC39A2">
        <w:rPr>
          <w:vertAlign w:val="subscript"/>
          <w:lang w:val="en-GB" w:eastAsia="zh-TW"/>
        </w:rPr>
        <w:t>2</w:t>
      </w:r>
      <w:r w:rsidR="004B3157" w:rsidRPr="00CC39A2">
        <w:rPr>
          <w:vertAlign w:val="superscript"/>
          <w:lang w:val="en-GB" w:eastAsia="zh-TW"/>
        </w:rPr>
        <w:t>*</w:t>
      </w:r>
      <w:r w:rsidRPr="00CC39A2">
        <w:rPr>
          <w:lang w:val="en-GB" w:eastAsia="zh-TW"/>
        </w:rPr>
        <w:t xml:space="preserve"> radicals implies that a significant portion of the detected soot will not be further oxidized</w:t>
      </w:r>
      <w:r w:rsidR="006F1F67" w:rsidRPr="00CC39A2">
        <w:rPr>
          <w:lang w:val="en-GB" w:eastAsia="zh-TW"/>
        </w:rPr>
        <w:t xml:space="preserve"> </w:t>
      </w:r>
      <w:r w:rsidR="00BB49F6" w:rsidRPr="00CC39A2">
        <w:rPr>
          <w:lang w:val="en-GB" w:eastAsia="zh-TW"/>
        </w:rPr>
        <w:t xml:space="preserve">for </w:t>
      </w:r>
      <w:r w:rsidR="00515449" w:rsidRPr="00CC39A2">
        <w:rPr>
          <w:lang w:val="en-GB" w:eastAsia="zh-TW"/>
        </w:rPr>
        <w:t>C</w:t>
      </w:r>
      <w:r w:rsidR="006F1F67" w:rsidRPr="00CC39A2">
        <w:rPr>
          <w:lang w:val="en-GB" w:eastAsia="zh-TW"/>
        </w:rPr>
        <w:t>ases</w:t>
      </w:r>
      <w:r w:rsidR="00515449" w:rsidRPr="00CC39A2">
        <w:rPr>
          <w:lang w:val="en-GB" w:eastAsia="zh-TW"/>
        </w:rPr>
        <w:t xml:space="preserve"> C and D.</w:t>
      </w:r>
      <w:r w:rsidR="006F1F67" w:rsidRPr="00CC39A2">
        <w:rPr>
          <w:lang w:val="en-GB" w:eastAsia="zh-TW"/>
        </w:rPr>
        <w:t xml:space="preserve"> </w:t>
      </w:r>
    </w:p>
    <w:p w14:paraId="1FC55D54" w14:textId="77777777" w:rsidR="00E661A3" w:rsidRPr="00CC39A2" w:rsidRDefault="00DD65D5" w:rsidP="00E661A3">
      <w:pPr>
        <w:spacing w:before="240" w:after="240" w:line="480" w:lineRule="auto"/>
        <w:jc w:val="both"/>
        <w:rPr>
          <w:lang w:val="en-GB" w:eastAsia="zh-TW"/>
        </w:rPr>
      </w:pPr>
      <w:r w:rsidRPr="00CC39A2">
        <w:rPr>
          <w:lang w:val="en-GB"/>
        </w:rPr>
        <w:t>A</w:t>
      </w:r>
      <w:r w:rsidR="00E661A3" w:rsidRPr="00CC39A2">
        <w:rPr>
          <w:lang w:val="en-GB"/>
        </w:rPr>
        <w:t xml:space="preserve"> close coupled main and post injection scheme </w:t>
      </w:r>
      <w:r w:rsidRPr="00CC39A2">
        <w:rPr>
          <w:lang w:val="en-GB"/>
        </w:rPr>
        <w:t xml:space="preserve">may prove </w:t>
      </w:r>
      <w:r w:rsidR="00E661A3" w:rsidRPr="00CC39A2">
        <w:rPr>
          <w:lang w:val="en-GB"/>
        </w:rPr>
        <w:t>beneficial for end-soot reduction due to enhanced mixing and oxidation</w:t>
      </w:r>
      <w:r w:rsidRPr="00CC39A2">
        <w:rPr>
          <w:lang w:val="en-GB"/>
        </w:rPr>
        <w:t>; e</w:t>
      </w:r>
      <w:r w:rsidR="00E661A3" w:rsidRPr="00CC39A2">
        <w:rPr>
          <w:lang w:val="en-GB"/>
        </w:rPr>
        <w:t>ngine-out soot levels will be determined by the combined effect</w:t>
      </w:r>
      <w:r w:rsidR="00686B8F" w:rsidRPr="00CC39A2">
        <w:rPr>
          <w:lang w:val="en-GB"/>
        </w:rPr>
        <w:t>s</w:t>
      </w:r>
      <w:r w:rsidR="00E661A3" w:rsidRPr="00CC39A2">
        <w:rPr>
          <w:lang w:val="en-GB"/>
        </w:rPr>
        <w:t xml:space="preserve"> of the enhanced mixing between the </w:t>
      </w:r>
      <w:r w:rsidR="0026496F" w:rsidRPr="00CC39A2">
        <w:rPr>
          <w:lang w:val="en-GB"/>
        </w:rPr>
        <w:t xml:space="preserve">soot </w:t>
      </w:r>
      <w:r w:rsidR="00686B8F" w:rsidRPr="00CC39A2">
        <w:rPr>
          <w:lang w:val="en-GB"/>
        </w:rPr>
        <w:t>(</w:t>
      </w:r>
      <w:r w:rsidR="0026496F" w:rsidRPr="00CC39A2">
        <w:rPr>
          <w:lang w:val="en-GB"/>
        </w:rPr>
        <w:t xml:space="preserve">originating from the </w:t>
      </w:r>
      <w:r w:rsidR="00E661A3" w:rsidRPr="00CC39A2">
        <w:rPr>
          <w:lang w:val="en-GB"/>
        </w:rPr>
        <w:t xml:space="preserve">main combustion </w:t>
      </w:r>
      <w:r w:rsidR="0026496F" w:rsidRPr="00CC39A2">
        <w:rPr>
          <w:lang w:val="en-GB"/>
        </w:rPr>
        <w:t>event</w:t>
      </w:r>
      <w:r w:rsidR="00686B8F" w:rsidRPr="00CC39A2">
        <w:rPr>
          <w:lang w:val="en-GB"/>
        </w:rPr>
        <w:t>)</w:t>
      </w:r>
      <w:r w:rsidR="0026496F" w:rsidRPr="00CC39A2">
        <w:rPr>
          <w:lang w:val="en-GB"/>
        </w:rPr>
        <w:t xml:space="preserve"> </w:t>
      </w:r>
      <w:r w:rsidR="00E661A3" w:rsidRPr="00CC39A2">
        <w:rPr>
          <w:lang w:val="en-GB"/>
        </w:rPr>
        <w:t xml:space="preserve">and the oxygen that </w:t>
      </w:r>
      <w:r w:rsidR="00686B8F" w:rsidRPr="00CC39A2">
        <w:rPr>
          <w:lang w:val="en-GB"/>
        </w:rPr>
        <w:t>remains</w:t>
      </w:r>
      <w:r w:rsidR="00E661A3" w:rsidRPr="00CC39A2">
        <w:rPr>
          <w:lang w:val="en-GB"/>
        </w:rPr>
        <w:t xml:space="preserve"> available during the post</w:t>
      </w:r>
      <w:r w:rsidR="00EA0595" w:rsidRPr="00CC39A2">
        <w:rPr>
          <w:lang w:val="en-GB"/>
        </w:rPr>
        <w:t xml:space="preserve"> </w:t>
      </w:r>
      <w:r w:rsidR="00E661A3" w:rsidRPr="00CC39A2">
        <w:rPr>
          <w:lang w:val="en-GB"/>
        </w:rPr>
        <w:t>injection and the increased temperature and chemical reactivity resulting from the post-injection burn (</w:t>
      </w:r>
      <w:r w:rsidR="00E661A3" w:rsidRPr="00CC39A2">
        <w:rPr>
          <w:i/>
          <w:lang w:val="en-GB"/>
        </w:rPr>
        <w:t>e.g.</w:t>
      </w:r>
      <w:r w:rsidR="00E661A3" w:rsidRPr="00CC39A2">
        <w:rPr>
          <w:lang w:val="en-GB"/>
        </w:rPr>
        <w:t xml:space="preserve"> Barro </w:t>
      </w:r>
      <w:r w:rsidR="00E661A3" w:rsidRPr="00CC39A2">
        <w:rPr>
          <w:i/>
          <w:lang w:val="en-GB"/>
        </w:rPr>
        <w:t>et al.</w:t>
      </w:r>
      <w:r w:rsidR="00E661A3" w:rsidRPr="00CC39A2">
        <w:rPr>
          <w:lang w:val="en-GB"/>
        </w:rPr>
        <w:t xml:space="preserve">, 2012). Overall, although it cannot be </w:t>
      </w:r>
      <w:r w:rsidR="00255A87" w:rsidRPr="00CC39A2">
        <w:rPr>
          <w:lang w:val="en-GB"/>
        </w:rPr>
        <w:t>quantified</w:t>
      </w:r>
      <w:r w:rsidR="00E661A3" w:rsidRPr="00CC39A2">
        <w:rPr>
          <w:lang w:val="en-GB"/>
        </w:rPr>
        <w:t xml:space="preserve">, the acquired images suggest that in-cylinder mixing is enhanced </w:t>
      </w:r>
      <w:r w:rsidR="00686B8F" w:rsidRPr="00CC39A2">
        <w:rPr>
          <w:lang w:val="en-GB"/>
        </w:rPr>
        <w:t xml:space="preserve">in </w:t>
      </w:r>
      <w:r w:rsidR="00E661A3" w:rsidRPr="00CC39A2">
        <w:rPr>
          <w:lang w:val="en-GB"/>
        </w:rPr>
        <w:t xml:space="preserve">the expansion stroke </w:t>
      </w:r>
      <w:r w:rsidR="00E661A3" w:rsidRPr="00CC39A2">
        <w:rPr>
          <w:i/>
          <w:lang w:val="en-GB"/>
        </w:rPr>
        <w:t>via</w:t>
      </w:r>
      <w:r w:rsidR="00E661A3" w:rsidRPr="00CC39A2">
        <w:rPr>
          <w:lang w:val="en-GB"/>
        </w:rPr>
        <w:t xml:space="preserve"> the post injection event; this is corroborated by the presence of radial gradients in the natural luminosity </w:t>
      </w:r>
      <w:r w:rsidR="00EA0595" w:rsidRPr="00CC39A2">
        <w:rPr>
          <w:lang w:val="en-GB"/>
        </w:rPr>
        <w:t xml:space="preserve">images </w:t>
      </w:r>
      <w:r w:rsidR="00E661A3" w:rsidRPr="00CC39A2">
        <w:rPr>
          <w:lang w:val="en-GB"/>
        </w:rPr>
        <w:t xml:space="preserve">at higher CADs in Fig. 8, and is in agreement with previous work, </w:t>
      </w:r>
      <w:r w:rsidR="00E661A3" w:rsidRPr="00CC39A2">
        <w:rPr>
          <w:i/>
          <w:lang w:val="en-GB"/>
        </w:rPr>
        <w:t>e.g.</w:t>
      </w:r>
      <w:r w:rsidR="00E661A3" w:rsidRPr="00CC39A2">
        <w:rPr>
          <w:lang w:val="en-GB"/>
        </w:rPr>
        <w:t xml:space="preserve"> Desantes </w:t>
      </w:r>
      <w:r w:rsidR="00E661A3" w:rsidRPr="00CC39A2">
        <w:rPr>
          <w:i/>
          <w:lang w:val="en-GB"/>
        </w:rPr>
        <w:t>et al.</w:t>
      </w:r>
      <w:r w:rsidR="00E661A3" w:rsidRPr="00CC39A2">
        <w:rPr>
          <w:lang w:val="en-GB"/>
        </w:rPr>
        <w:t xml:space="preserve"> (2007). </w:t>
      </w:r>
    </w:p>
    <w:p w14:paraId="719A10D1" w14:textId="72329E45" w:rsidR="0068359C" w:rsidRPr="00CC39A2" w:rsidRDefault="00515449" w:rsidP="00AA1C6D">
      <w:pPr>
        <w:tabs>
          <w:tab w:val="left" w:pos="397"/>
        </w:tabs>
        <w:autoSpaceDE w:val="0"/>
        <w:autoSpaceDN w:val="0"/>
        <w:adjustRightInd w:val="0"/>
        <w:spacing w:before="240" w:after="240" w:line="480" w:lineRule="auto"/>
        <w:jc w:val="both"/>
        <w:rPr>
          <w:lang w:val="en-GB" w:eastAsia="zh-TW"/>
        </w:rPr>
      </w:pPr>
      <w:r w:rsidRPr="00CC39A2">
        <w:rPr>
          <w:lang w:val="en-GB" w:eastAsia="zh-TW"/>
        </w:rPr>
        <w:t>The</w:t>
      </w:r>
      <w:r w:rsidR="00255A87" w:rsidRPr="00CC39A2">
        <w:rPr>
          <w:lang w:val="en-GB" w:eastAsia="zh-TW"/>
        </w:rPr>
        <w:t xml:space="preserve"> </w:t>
      </w:r>
      <w:r w:rsidR="00427B74" w:rsidRPr="00CC39A2">
        <w:rPr>
          <w:lang w:val="en-GB" w:eastAsia="zh-TW"/>
        </w:rPr>
        <w:t>combined thermodynamic and optical analysis</w:t>
      </w:r>
      <w:r w:rsidRPr="00CC39A2">
        <w:rPr>
          <w:lang w:val="en-GB" w:eastAsia="zh-TW"/>
        </w:rPr>
        <w:t xml:space="preserve"> of the present work</w:t>
      </w:r>
      <w:r w:rsidR="00427B74" w:rsidRPr="00CC39A2">
        <w:rPr>
          <w:lang w:val="en-GB" w:eastAsia="zh-TW"/>
        </w:rPr>
        <w:t xml:space="preserve"> can be beneficial in explaining the observed the trends. Table 3 shows the total </w:t>
      </w:r>
      <w:r w:rsidR="00280F3C" w:rsidRPr="00CC39A2">
        <w:rPr>
          <w:lang w:val="en-GB" w:eastAsia="zh-TW"/>
        </w:rPr>
        <w:t>(</w:t>
      </w:r>
      <w:r w:rsidR="00280F3C" w:rsidRPr="00CC39A2">
        <w:rPr>
          <w:i/>
          <w:lang w:val="en-GB" w:eastAsia="zh-TW"/>
        </w:rPr>
        <w:t>i.e.</w:t>
      </w:r>
      <w:r w:rsidR="00280F3C" w:rsidRPr="00CC39A2">
        <w:rPr>
          <w:lang w:val="en-GB" w:eastAsia="zh-TW"/>
        </w:rPr>
        <w:t xml:space="preserve"> including </w:t>
      </w:r>
      <w:r w:rsidR="00686B8F" w:rsidRPr="00CC39A2">
        <w:rPr>
          <w:lang w:val="en-GB" w:eastAsia="zh-TW"/>
        </w:rPr>
        <w:t xml:space="preserve">a </w:t>
      </w:r>
      <w:r w:rsidR="00280F3C" w:rsidRPr="00CC39A2">
        <w:rPr>
          <w:lang w:val="en-GB" w:eastAsia="zh-TW"/>
        </w:rPr>
        <w:t xml:space="preserve">heat loss estimate according to Woschni, </w:t>
      </w:r>
      <w:r w:rsidR="00280F3C" w:rsidRPr="00CC39A2">
        <w:rPr>
          <w:i/>
          <w:lang w:val="en-GB" w:eastAsia="zh-TW"/>
        </w:rPr>
        <w:t>e.g.</w:t>
      </w:r>
      <w:r w:rsidR="00280F3C" w:rsidRPr="00CC39A2">
        <w:rPr>
          <w:lang w:val="en-GB" w:eastAsia="zh-TW"/>
        </w:rPr>
        <w:t xml:space="preserve"> Heywood, 1989) </w:t>
      </w:r>
      <w:r w:rsidR="00427B74" w:rsidRPr="00CC39A2">
        <w:rPr>
          <w:lang w:val="en-GB" w:eastAsia="zh-TW"/>
        </w:rPr>
        <w:t xml:space="preserve">apparent heat transfer from the end of the main injection (approx. 3 CAD aTDC, common </w:t>
      </w:r>
      <w:r w:rsidR="00255A87" w:rsidRPr="00CC39A2">
        <w:rPr>
          <w:lang w:val="en-GB" w:eastAsia="zh-TW"/>
        </w:rPr>
        <w:t xml:space="preserve">to </w:t>
      </w:r>
      <w:r w:rsidR="00427B74" w:rsidRPr="00CC39A2">
        <w:rPr>
          <w:lang w:val="en-GB" w:eastAsia="zh-TW"/>
        </w:rPr>
        <w:t xml:space="preserve">all cases) to the end of the overall combustion process (as indicated by the CAD value where the cumulative apparent heat </w:t>
      </w:r>
      <w:r w:rsidR="00686B8F" w:rsidRPr="00CC39A2">
        <w:rPr>
          <w:lang w:val="en-GB" w:eastAsia="zh-TW"/>
        </w:rPr>
        <w:t>reaches an upper limit</w:t>
      </w:r>
      <w:r w:rsidR="00427B74" w:rsidRPr="00CC39A2">
        <w:rPr>
          <w:lang w:val="en-GB" w:eastAsia="zh-TW"/>
        </w:rPr>
        <w:t xml:space="preserve">) for all cases investigated. This energy </w:t>
      </w:r>
      <w:r w:rsidR="00255A87" w:rsidRPr="00CC39A2">
        <w:rPr>
          <w:lang w:val="en-GB" w:eastAsia="zh-TW"/>
        </w:rPr>
        <w:t xml:space="preserve">addition </w:t>
      </w:r>
      <w:r w:rsidR="00427B74" w:rsidRPr="00CC39A2">
        <w:rPr>
          <w:lang w:val="en-GB" w:eastAsia="zh-TW"/>
        </w:rPr>
        <w:t>during the expansion stroke results in favo</w:t>
      </w:r>
      <w:r w:rsidR="00686B8F" w:rsidRPr="00CC39A2">
        <w:rPr>
          <w:lang w:val="en-GB" w:eastAsia="zh-TW"/>
        </w:rPr>
        <w:t>u</w:t>
      </w:r>
      <w:r w:rsidR="00427B74" w:rsidRPr="00CC39A2">
        <w:rPr>
          <w:lang w:val="en-GB" w:eastAsia="zh-TW"/>
        </w:rPr>
        <w:t xml:space="preserve">rable conditions for soot oxidation and, along </w:t>
      </w:r>
      <w:r w:rsidR="00427B74" w:rsidRPr="00CC39A2">
        <w:rPr>
          <w:lang w:val="en-GB" w:eastAsia="zh-TW"/>
        </w:rPr>
        <w:lastRenderedPageBreak/>
        <w:t xml:space="preserve">with the induced turbulence from the injection itself, which enhances mixing, soot oxidation is enhanced. It is evident that for Case B the energy released during </w:t>
      </w:r>
      <w:r w:rsidR="00255A87" w:rsidRPr="00CC39A2">
        <w:rPr>
          <w:lang w:val="en-GB" w:eastAsia="zh-TW"/>
        </w:rPr>
        <w:t>the post injection event</w:t>
      </w:r>
      <w:r w:rsidR="00427B74" w:rsidRPr="00CC39A2">
        <w:rPr>
          <w:lang w:val="en-GB" w:eastAsia="zh-TW"/>
        </w:rPr>
        <w:t xml:space="preserve"> is the highest amongst all cases and this correlate</w:t>
      </w:r>
      <w:r w:rsidR="00255A87" w:rsidRPr="00CC39A2">
        <w:rPr>
          <w:lang w:val="en-GB" w:eastAsia="zh-TW"/>
        </w:rPr>
        <w:t>s</w:t>
      </w:r>
      <w:r w:rsidR="00280F3C" w:rsidRPr="00CC39A2">
        <w:rPr>
          <w:lang w:val="en-GB" w:eastAsia="zh-TW"/>
        </w:rPr>
        <w:t xml:space="preserve"> </w:t>
      </w:r>
      <w:r w:rsidR="00686B8F" w:rsidRPr="00CC39A2">
        <w:rPr>
          <w:lang w:val="en-GB" w:eastAsia="zh-TW"/>
        </w:rPr>
        <w:t xml:space="preserve">well </w:t>
      </w:r>
      <w:r w:rsidR="00427B74" w:rsidRPr="00CC39A2">
        <w:rPr>
          <w:lang w:val="en-GB" w:eastAsia="zh-TW"/>
        </w:rPr>
        <w:t xml:space="preserve">with the </w:t>
      </w:r>
      <w:r w:rsidR="00280F3C" w:rsidRPr="00CC39A2">
        <w:rPr>
          <w:lang w:val="en-GB" w:eastAsia="zh-TW"/>
        </w:rPr>
        <w:t>p</w:t>
      </w:r>
      <w:r w:rsidR="00427B74" w:rsidRPr="00CC39A2">
        <w:rPr>
          <w:lang w:val="en-GB" w:eastAsia="zh-TW"/>
        </w:rPr>
        <w:t xml:space="preserve">LII measurements for Case B, which exhibit the lowest levels of soot at </w:t>
      </w:r>
      <w:r w:rsidR="00EA0595" w:rsidRPr="00CC39A2">
        <w:rPr>
          <w:lang w:val="en-GB" w:eastAsia="zh-TW"/>
        </w:rPr>
        <w:t>50 CAD </w:t>
      </w:r>
      <w:r w:rsidR="00427B74" w:rsidRPr="00CC39A2">
        <w:rPr>
          <w:lang w:val="en-GB" w:eastAsia="zh-TW"/>
        </w:rPr>
        <w:t>aTDC.</w:t>
      </w:r>
    </w:p>
    <w:p w14:paraId="3E840FB2" w14:textId="77777777" w:rsidR="00427B74" w:rsidRPr="00CC39A2" w:rsidRDefault="00427B74" w:rsidP="00F87671">
      <w:pPr>
        <w:tabs>
          <w:tab w:val="left" w:pos="397"/>
        </w:tabs>
        <w:autoSpaceDE w:val="0"/>
        <w:autoSpaceDN w:val="0"/>
        <w:adjustRightInd w:val="0"/>
        <w:spacing w:before="240" w:after="240" w:line="480" w:lineRule="auto"/>
        <w:rPr>
          <w:highlight w:val="yellow"/>
          <w:lang w:val="en-GB" w:eastAsia="zh-TW"/>
        </w:rPr>
      </w:pPr>
    </w:p>
    <w:p w14:paraId="6B5AFD8C" w14:textId="77777777" w:rsidR="009D24C5" w:rsidRPr="00CC39A2" w:rsidRDefault="00285DAB" w:rsidP="00F87671">
      <w:pPr>
        <w:tabs>
          <w:tab w:val="left" w:pos="397"/>
        </w:tabs>
        <w:autoSpaceDE w:val="0"/>
        <w:autoSpaceDN w:val="0"/>
        <w:adjustRightInd w:val="0"/>
        <w:spacing w:before="240" w:after="240" w:line="480" w:lineRule="auto"/>
        <w:rPr>
          <w:b/>
          <w:lang w:val="en-GB" w:eastAsia="zh-TW"/>
        </w:rPr>
      </w:pPr>
      <w:r w:rsidRPr="00CC39A2">
        <w:rPr>
          <w:b/>
          <w:lang w:val="en-GB" w:eastAsia="zh-TW"/>
        </w:rPr>
        <w:t>6</w:t>
      </w:r>
      <w:r w:rsidR="00E27670" w:rsidRPr="00CC39A2">
        <w:rPr>
          <w:b/>
          <w:lang w:val="en-GB" w:eastAsia="zh-TW"/>
        </w:rPr>
        <w:t>. Summary and c</w:t>
      </w:r>
      <w:r w:rsidR="004B3D8D" w:rsidRPr="00CC39A2">
        <w:rPr>
          <w:b/>
          <w:lang w:val="en-GB" w:eastAsia="zh-TW"/>
        </w:rPr>
        <w:t>onclu</w:t>
      </w:r>
      <w:r w:rsidR="00E27670" w:rsidRPr="00CC39A2">
        <w:rPr>
          <w:b/>
          <w:lang w:val="en-GB" w:eastAsia="zh-TW"/>
        </w:rPr>
        <w:t>sions</w:t>
      </w:r>
    </w:p>
    <w:p w14:paraId="1CBDD48E" w14:textId="77777777" w:rsidR="0044740C" w:rsidRPr="00CC39A2" w:rsidRDefault="009D24C5" w:rsidP="00BF46BE">
      <w:pPr>
        <w:tabs>
          <w:tab w:val="left" w:pos="397"/>
        </w:tabs>
        <w:autoSpaceDE w:val="0"/>
        <w:autoSpaceDN w:val="0"/>
        <w:adjustRightInd w:val="0"/>
        <w:spacing w:before="240" w:after="240" w:line="480" w:lineRule="auto"/>
        <w:ind w:right="-21"/>
        <w:jc w:val="both"/>
        <w:rPr>
          <w:lang w:val="en-GB" w:eastAsia="zh-TW"/>
        </w:rPr>
      </w:pPr>
      <w:r w:rsidRPr="00CC39A2">
        <w:rPr>
          <w:lang w:val="en-GB"/>
        </w:rPr>
        <w:t xml:space="preserve">The combination of </w:t>
      </w:r>
      <w:r w:rsidR="006B1C6F" w:rsidRPr="00CC39A2">
        <w:rPr>
          <w:lang w:val="en-GB"/>
        </w:rPr>
        <w:t xml:space="preserve">pre- and </w:t>
      </w:r>
      <w:r w:rsidR="0044740C" w:rsidRPr="00CC39A2">
        <w:rPr>
          <w:lang w:val="en-GB"/>
        </w:rPr>
        <w:t>post-injection</w:t>
      </w:r>
      <w:r w:rsidR="006B1C6F" w:rsidRPr="00CC39A2">
        <w:rPr>
          <w:lang w:val="en-GB"/>
        </w:rPr>
        <w:t xml:space="preserve"> events </w:t>
      </w:r>
      <w:r w:rsidR="00C33E36" w:rsidRPr="00CC39A2">
        <w:rPr>
          <w:lang w:val="en-GB"/>
        </w:rPr>
        <w:t xml:space="preserve">was </w:t>
      </w:r>
      <w:r w:rsidR="006B1C6F" w:rsidRPr="00CC39A2">
        <w:rPr>
          <w:lang w:val="en-GB"/>
        </w:rPr>
        <w:t>e</w:t>
      </w:r>
      <w:r w:rsidR="00632C2E" w:rsidRPr="00CC39A2">
        <w:rPr>
          <w:lang w:val="en-GB"/>
        </w:rPr>
        <w:t xml:space="preserve">xperimentally investigated in an optical </w:t>
      </w:r>
      <w:r w:rsidR="006B1C6F" w:rsidRPr="00CC39A2">
        <w:rPr>
          <w:lang w:val="en-GB"/>
        </w:rPr>
        <w:t xml:space="preserve">single-cylinder </w:t>
      </w:r>
      <w:r w:rsidR="00632C2E" w:rsidRPr="00CC39A2">
        <w:rPr>
          <w:lang w:val="en-GB"/>
        </w:rPr>
        <w:t>low duty diesel engine operated in a PPC mode</w:t>
      </w:r>
      <w:r w:rsidR="0044740C" w:rsidRPr="00CC39A2">
        <w:rPr>
          <w:lang w:val="en-GB"/>
        </w:rPr>
        <w:t xml:space="preserve"> under low load, low speed </w:t>
      </w:r>
      <w:r w:rsidR="00632C2E" w:rsidRPr="00CC39A2">
        <w:rPr>
          <w:lang w:val="en-GB"/>
        </w:rPr>
        <w:t>(</w:t>
      </w:r>
      <w:r w:rsidR="0044740C" w:rsidRPr="00CC39A2">
        <w:rPr>
          <w:lang w:val="en-GB"/>
        </w:rPr>
        <w:t>ca. 2.</w:t>
      </w:r>
      <w:r w:rsidR="009A6DED" w:rsidRPr="00CC39A2">
        <w:rPr>
          <w:lang w:val="en-GB"/>
        </w:rPr>
        <w:t>0</w:t>
      </w:r>
      <w:r w:rsidR="0044740C" w:rsidRPr="00CC39A2">
        <w:rPr>
          <w:lang w:val="en-GB"/>
        </w:rPr>
        <w:t> bar IMEP, 1200 rpm</w:t>
      </w:r>
      <w:r w:rsidR="00632C2E" w:rsidRPr="00CC39A2">
        <w:rPr>
          <w:lang w:val="en-GB"/>
        </w:rPr>
        <w:t>) conditions</w:t>
      </w:r>
      <w:r w:rsidR="006B1C6F" w:rsidRPr="00CC39A2">
        <w:rPr>
          <w:lang w:val="en-GB"/>
        </w:rPr>
        <w:t xml:space="preserve">. </w:t>
      </w:r>
      <w:r w:rsidRPr="00CC39A2">
        <w:rPr>
          <w:lang w:val="en-GB"/>
        </w:rPr>
        <w:t xml:space="preserve">The </w:t>
      </w:r>
      <w:r w:rsidR="006B1C6F" w:rsidRPr="00CC39A2">
        <w:rPr>
          <w:lang w:val="en-GB"/>
        </w:rPr>
        <w:t>work</w:t>
      </w:r>
      <w:r w:rsidRPr="00CC39A2">
        <w:rPr>
          <w:lang w:val="en-GB"/>
        </w:rPr>
        <w:t xml:space="preserve"> </w:t>
      </w:r>
      <w:r w:rsidR="006B1C6F" w:rsidRPr="00CC39A2">
        <w:rPr>
          <w:lang w:val="en-GB"/>
        </w:rPr>
        <w:t>focuse</w:t>
      </w:r>
      <w:r w:rsidR="00C33E36" w:rsidRPr="00CC39A2">
        <w:rPr>
          <w:lang w:val="en-GB"/>
        </w:rPr>
        <w:t>d</w:t>
      </w:r>
      <w:r w:rsidR="006B1C6F" w:rsidRPr="00CC39A2">
        <w:rPr>
          <w:lang w:val="en-GB"/>
        </w:rPr>
        <w:t xml:space="preserve"> on the influence of </w:t>
      </w:r>
      <w:r w:rsidR="00632C2E" w:rsidRPr="00CC39A2">
        <w:rPr>
          <w:lang w:val="en-GB"/>
        </w:rPr>
        <w:t xml:space="preserve">the </w:t>
      </w:r>
      <w:r w:rsidR="0072682F" w:rsidRPr="00CC39A2">
        <w:rPr>
          <w:lang w:val="en-GB"/>
        </w:rPr>
        <w:t xml:space="preserve">amount of </w:t>
      </w:r>
      <w:r w:rsidR="006B1C6F" w:rsidRPr="00CC39A2">
        <w:rPr>
          <w:lang w:val="en-GB"/>
        </w:rPr>
        <w:t>post</w:t>
      </w:r>
      <w:r w:rsidR="0044740C" w:rsidRPr="00CC39A2">
        <w:rPr>
          <w:lang w:val="en-GB"/>
        </w:rPr>
        <w:t xml:space="preserve"> </w:t>
      </w:r>
      <w:r w:rsidRPr="00CC39A2">
        <w:rPr>
          <w:lang w:val="en-GB"/>
        </w:rPr>
        <w:t>inject</w:t>
      </w:r>
      <w:r w:rsidR="0072682F" w:rsidRPr="00CC39A2">
        <w:rPr>
          <w:lang w:val="en-GB"/>
        </w:rPr>
        <w:t>ed</w:t>
      </w:r>
      <w:r w:rsidRPr="00CC39A2">
        <w:rPr>
          <w:lang w:val="en-GB"/>
        </w:rPr>
        <w:t xml:space="preserve"> </w:t>
      </w:r>
      <w:r w:rsidR="00632C2E" w:rsidRPr="00CC39A2">
        <w:rPr>
          <w:lang w:val="en-GB"/>
        </w:rPr>
        <w:t xml:space="preserve">fuel and timing on flame patterns and the respective implications </w:t>
      </w:r>
      <w:r w:rsidR="006F1F67" w:rsidRPr="00CC39A2">
        <w:rPr>
          <w:lang w:val="en-GB"/>
        </w:rPr>
        <w:t>on</w:t>
      </w:r>
      <w:r w:rsidR="00C33E36" w:rsidRPr="00CC39A2">
        <w:rPr>
          <w:lang w:val="en-GB"/>
        </w:rPr>
        <w:t xml:space="preserve"> </w:t>
      </w:r>
      <w:r w:rsidR="00C9053F" w:rsidRPr="00CC39A2">
        <w:rPr>
          <w:lang w:val="en-GB"/>
        </w:rPr>
        <w:t xml:space="preserve">exhaust </w:t>
      </w:r>
      <w:r w:rsidR="00C33E36" w:rsidRPr="00CC39A2">
        <w:rPr>
          <w:lang w:val="en-GB"/>
        </w:rPr>
        <w:t xml:space="preserve">soot </w:t>
      </w:r>
      <w:r w:rsidR="00632C2E" w:rsidRPr="00CC39A2">
        <w:rPr>
          <w:lang w:val="en-GB"/>
        </w:rPr>
        <w:t xml:space="preserve">emissions. Results are </w:t>
      </w:r>
      <w:r w:rsidR="0044740C" w:rsidRPr="00CC39A2">
        <w:rPr>
          <w:lang w:val="en-GB"/>
        </w:rPr>
        <w:t>deduced</w:t>
      </w:r>
      <w:r w:rsidR="00632C2E" w:rsidRPr="00CC39A2">
        <w:rPr>
          <w:lang w:val="en-GB"/>
        </w:rPr>
        <w:t xml:space="preserve"> </w:t>
      </w:r>
      <w:r w:rsidR="00632C2E" w:rsidRPr="00CC39A2">
        <w:rPr>
          <w:i/>
          <w:lang w:val="en-GB"/>
        </w:rPr>
        <w:t>via</w:t>
      </w:r>
      <w:r w:rsidR="00632C2E" w:rsidRPr="00CC39A2">
        <w:rPr>
          <w:lang w:val="en-GB"/>
        </w:rPr>
        <w:t xml:space="preserve"> a combination of </w:t>
      </w:r>
      <w:r w:rsidR="006F1F67" w:rsidRPr="00CC39A2">
        <w:rPr>
          <w:lang w:val="en-GB"/>
        </w:rPr>
        <w:t xml:space="preserve">in-cylinder </w:t>
      </w:r>
      <w:r w:rsidR="00632C2E" w:rsidRPr="00CC39A2">
        <w:rPr>
          <w:lang w:val="en-GB"/>
        </w:rPr>
        <w:t xml:space="preserve">pressure trace </w:t>
      </w:r>
      <w:r w:rsidR="006F1F67" w:rsidRPr="00CC39A2">
        <w:rPr>
          <w:lang w:val="en-GB"/>
        </w:rPr>
        <w:t>analysis</w:t>
      </w:r>
      <w:r w:rsidR="00632C2E" w:rsidRPr="00CC39A2">
        <w:rPr>
          <w:lang w:val="en-GB"/>
        </w:rPr>
        <w:t xml:space="preserve">, </w:t>
      </w:r>
      <w:r w:rsidR="006F1F67" w:rsidRPr="00CC39A2">
        <w:rPr>
          <w:lang w:val="en-GB"/>
        </w:rPr>
        <w:t>spectroscopic chemiluminescence measurements and LII signals at selected CAD</w:t>
      </w:r>
      <w:r w:rsidR="00632C2E" w:rsidRPr="00CC39A2">
        <w:rPr>
          <w:lang w:val="en-GB"/>
        </w:rPr>
        <w:t xml:space="preserve">. </w:t>
      </w:r>
      <w:r w:rsidR="006F1F67" w:rsidRPr="00CC39A2">
        <w:rPr>
          <w:lang w:val="en-GB"/>
        </w:rPr>
        <w:t>In particular, t</w:t>
      </w:r>
      <w:r w:rsidRPr="00CC39A2">
        <w:rPr>
          <w:lang w:val="en-GB"/>
        </w:rPr>
        <w:t xml:space="preserve">he </w:t>
      </w:r>
      <w:r w:rsidR="006F1F67" w:rsidRPr="00CC39A2">
        <w:rPr>
          <w:lang w:val="en-GB"/>
        </w:rPr>
        <w:t xml:space="preserve">diverse </w:t>
      </w:r>
      <w:r w:rsidRPr="00CC39A2">
        <w:rPr>
          <w:lang w:val="en-GB"/>
        </w:rPr>
        <w:t xml:space="preserve">combustion </w:t>
      </w:r>
      <w:r w:rsidR="00632C2E" w:rsidRPr="00CC39A2">
        <w:rPr>
          <w:lang w:val="en-GB"/>
        </w:rPr>
        <w:t xml:space="preserve">patterns are </w:t>
      </w:r>
      <w:r w:rsidRPr="00CC39A2">
        <w:rPr>
          <w:lang w:val="en-GB"/>
        </w:rPr>
        <w:t xml:space="preserve">visualized by means of high speed imaging </w:t>
      </w:r>
      <w:r w:rsidR="003A3F2F" w:rsidRPr="00CC39A2">
        <w:rPr>
          <w:lang w:val="en-GB"/>
        </w:rPr>
        <w:t xml:space="preserve">of flame natural luminosity </w:t>
      </w:r>
      <w:r w:rsidR="00235624" w:rsidRPr="00CC39A2">
        <w:rPr>
          <w:lang w:val="en-GB"/>
        </w:rPr>
        <w:t>and CH</w:t>
      </w:r>
      <w:r w:rsidR="0072682F" w:rsidRPr="00CC39A2">
        <w:rPr>
          <w:lang w:val="en-GB"/>
        </w:rPr>
        <w:t>*</w:t>
      </w:r>
      <w:r w:rsidR="00235624" w:rsidRPr="00CC39A2">
        <w:rPr>
          <w:lang w:val="en-GB"/>
        </w:rPr>
        <w:t xml:space="preserve">, </w:t>
      </w:r>
      <w:r w:rsidRPr="00CC39A2">
        <w:rPr>
          <w:lang w:val="en-GB"/>
        </w:rPr>
        <w:t>C</w:t>
      </w:r>
      <w:r w:rsidRPr="00CC39A2">
        <w:rPr>
          <w:vertAlign w:val="subscript"/>
          <w:lang w:val="en-GB"/>
        </w:rPr>
        <w:t>2</w:t>
      </w:r>
      <w:r w:rsidR="0072682F" w:rsidRPr="00CC39A2">
        <w:rPr>
          <w:lang w:val="en-GB"/>
        </w:rPr>
        <w:t xml:space="preserve">* </w:t>
      </w:r>
      <w:r w:rsidR="00235624" w:rsidRPr="00CC39A2">
        <w:rPr>
          <w:lang w:val="en-GB"/>
        </w:rPr>
        <w:t>and OH</w:t>
      </w:r>
      <w:r w:rsidR="0072682F" w:rsidRPr="00CC39A2">
        <w:rPr>
          <w:lang w:val="en-GB"/>
        </w:rPr>
        <w:t>*</w:t>
      </w:r>
      <w:r w:rsidR="00235624" w:rsidRPr="00CC39A2">
        <w:rPr>
          <w:lang w:val="en-GB"/>
        </w:rPr>
        <w:t xml:space="preserve"> </w:t>
      </w:r>
      <w:r w:rsidR="003A3F2F" w:rsidRPr="00CC39A2">
        <w:rPr>
          <w:lang w:val="en-GB"/>
        </w:rPr>
        <w:t>chemiluminescence</w:t>
      </w:r>
      <w:r w:rsidR="006F1F67" w:rsidRPr="00CC39A2">
        <w:rPr>
          <w:lang w:val="en-GB"/>
        </w:rPr>
        <w:t xml:space="preserve">, while planar LII experiments </w:t>
      </w:r>
      <w:r w:rsidR="006F1F67" w:rsidRPr="00CC39A2">
        <w:rPr>
          <w:lang w:val="en-GB" w:eastAsia="zh-TW"/>
        </w:rPr>
        <w:t>at 31 and 50 CAD</w:t>
      </w:r>
      <w:r w:rsidR="000F4C39" w:rsidRPr="00CC39A2">
        <w:rPr>
          <w:lang w:val="en-GB" w:eastAsia="zh-TW"/>
        </w:rPr>
        <w:t> </w:t>
      </w:r>
      <w:r w:rsidR="006F1F67" w:rsidRPr="00CC39A2">
        <w:rPr>
          <w:lang w:val="en-GB" w:eastAsia="zh-TW"/>
        </w:rPr>
        <w:t xml:space="preserve">aTDC indicate the soot concentration </w:t>
      </w:r>
      <w:r w:rsidR="0072682F" w:rsidRPr="00CC39A2">
        <w:rPr>
          <w:lang w:val="en-GB" w:eastAsia="zh-TW"/>
        </w:rPr>
        <w:t xml:space="preserve">at </w:t>
      </w:r>
      <w:r w:rsidR="006F1F67" w:rsidRPr="00CC39A2">
        <w:rPr>
          <w:lang w:val="en-GB" w:eastAsia="zh-TW"/>
        </w:rPr>
        <w:t>the given piston position</w:t>
      </w:r>
      <w:r w:rsidR="003A3F2F" w:rsidRPr="00CC39A2">
        <w:rPr>
          <w:lang w:val="en-GB"/>
        </w:rPr>
        <w:t xml:space="preserve">. </w:t>
      </w:r>
      <w:r w:rsidR="002640BA" w:rsidRPr="00CC39A2">
        <w:rPr>
          <w:lang w:val="en-GB"/>
        </w:rPr>
        <w:t>As a result,</w:t>
      </w:r>
      <w:r w:rsidR="003A3F2F" w:rsidRPr="00CC39A2">
        <w:rPr>
          <w:lang w:val="en-GB"/>
        </w:rPr>
        <w:t xml:space="preserve"> </w:t>
      </w:r>
      <w:r w:rsidR="00973196" w:rsidRPr="00CC39A2">
        <w:rPr>
          <w:lang w:val="en-GB"/>
        </w:rPr>
        <w:t xml:space="preserve">a </w:t>
      </w:r>
      <w:r w:rsidR="002640BA" w:rsidRPr="00CC39A2">
        <w:rPr>
          <w:lang w:val="en-GB"/>
        </w:rPr>
        <w:t>magnitude of evidence regarding</w:t>
      </w:r>
      <w:r w:rsidR="003A3F2F" w:rsidRPr="00CC39A2">
        <w:rPr>
          <w:lang w:val="en-GB"/>
        </w:rPr>
        <w:t xml:space="preserve"> soot oxid</w:t>
      </w:r>
      <w:r w:rsidR="00235624" w:rsidRPr="00CC39A2">
        <w:rPr>
          <w:lang w:val="en-GB"/>
        </w:rPr>
        <w:t xml:space="preserve">ation rates, overall reactivity, </w:t>
      </w:r>
      <w:r w:rsidR="003A3F2F" w:rsidRPr="00CC39A2">
        <w:rPr>
          <w:lang w:val="en-GB"/>
        </w:rPr>
        <w:t xml:space="preserve">premixed fuel rich areas </w:t>
      </w:r>
      <w:r w:rsidR="00235624" w:rsidRPr="00CC39A2">
        <w:rPr>
          <w:lang w:val="en-GB"/>
        </w:rPr>
        <w:t xml:space="preserve">and oxidation zones </w:t>
      </w:r>
      <w:r w:rsidR="002640BA" w:rsidRPr="00CC39A2">
        <w:rPr>
          <w:lang w:val="en-GB"/>
        </w:rPr>
        <w:t>is captured</w:t>
      </w:r>
      <w:r w:rsidR="00151714" w:rsidRPr="00CC39A2">
        <w:rPr>
          <w:lang w:val="en-GB"/>
        </w:rPr>
        <w:t xml:space="preserve">. </w:t>
      </w:r>
      <w:r w:rsidR="003A3F2F" w:rsidRPr="00CC39A2">
        <w:rPr>
          <w:lang w:val="en-GB"/>
        </w:rPr>
        <w:t xml:space="preserve">Results indicate that flame intensity is strongly affected when </w:t>
      </w:r>
      <w:r w:rsidR="00235624" w:rsidRPr="00CC39A2">
        <w:rPr>
          <w:lang w:val="en-GB"/>
        </w:rPr>
        <w:t>post</w:t>
      </w:r>
      <w:r w:rsidR="00151714" w:rsidRPr="00CC39A2">
        <w:rPr>
          <w:lang w:val="en-GB"/>
        </w:rPr>
        <w:t xml:space="preserve"> </w:t>
      </w:r>
      <w:r w:rsidR="003A3F2F" w:rsidRPr="00CC39A2">
        <w:rPr>
          <w:lang w:val="en-GB"/>
        </w:rPr>
        <w:t xml:space="preserve">injection is </w:t>
      </w:r>
      <w:r w:rsidR="00151714" w:rsidRPr="00CC39A2">
        <w:rPr>
          <w:lang w:val="en-GB"/>
        </w:rPr>
        <w:t xml:space="preserve">employed </w:t>
      </w:r>
      <w:r w:rsidR="003A3F2F" w:rsidRPr="00CC39A2">
        <w:rPr>
          <w:lang w:val="en-GB"/>
        </w:rPr>
        <w:t xml:space="preserve">close </w:t>
      </w:r>
      <w:r w:rsidR="00151714" w:rsidRPr="00CC39A2">
        <w:rPr>
          <w:lang w:val="en-GB"/>
        </w:rPr>
        <w:t>to</w:t>
      </w:r>
      <w:r w:rsidR="003A3F2F" w:rsidRPr="00CC39A2">
        <w:rPr>
          <w:lang w:val="en-GB"/>
        </w:rPr>
        <w:t xml:space="preserve"> the main injection event</w:t>
      </w:r>
      <w:r w:rsidR="00151714" w:rsidRPr="00CC39A2">
        <w:rPr>
          <w:lang w:val="en-GB"/>
        </w:rPr>
        <w:t>,</w:t>
      </w:r>
      <w:r w:rsidR="003A3F2F" w:rsidRPr="00CC39A2">
        <w:rPr>
          <w:lang w:val="en-GB"/>
        </w:rPr>
        <w:t xml:space="preserve"> whereas a </w:t>
      </w:r>
      <w:r w:rsidR="00C33E36" w:rsidRPr="00CC39A2">
        <w:rPr>
          <w:lang w:val="en-GB"/>
        </w:rPr>
        <w:t xml:space="preserve">retarded </w:t>
      </w:r>
      <w:r w:rsidR="003A3F2F" w:rsidRPr="00CC39A2">
        <w:rPr>
          <w:lang w:val="en-GB"/>
        </w:rPr>
        <w:t xml:space="preserve">post-injection </w:t>
      </w:r>
      <w:r w:rsidR="00C33E36" w:rsidRPr="00CC39A2">
        <w:rPr>
          <w:lang w:val="en-GB"/>
        </w:rPr>
        <w:lastRenderedPageBreak/>
        <w:t xml:space="preserve">event </w:t>
      </w:r>
      <w:r w:rsidR="003A3F2F" w:rsidRPr="00CC39A2">
        <w:rPr>
          <w:lang w:val="en-GB"/>
        </w:rPr>
        <w:t>leads to a virtually second</w:t>
      </w:r>
      <w:r w:rsidR="00DC6AE6" w:rsidRPr="00CC39A2">
        <w:rPr>
          <w:lang w:val="en-GB"/>
        </w:rPr>
        <w:t xml:space="preserve"> </w:t>
      </w:r>
      <w:r w:rsidR="003A3F2F" w:rsidRPr="00CC39A2">
        <w:rPr>
          <w:lang w:val="en-GB"/>
        </w:rPr>
        <w:t>flame front formation. An increase of the post</w:t>
      </w:r>
      <w:r w:rsidR="00731100" w:rsidRPr="00CC39A2">
        <w:rPr>
          <w:lang w:val="en-GB"/>
        </w:rPr>
        <w:t>-</w:t>
      </w:r>
      <w:r w:rsidR="003A3F2F" w:rsidRPr="00CC39A2">
        <w:rPr>
          <w:lang w:val="en-GB"/>
        </w:rPr>
        <w:t>inject</w:t>
      </w:r>
      <w:r w:rsidR="00731100" w:rsidRPr="00CC39A2">
        <w:rPr>
          <w:lang w:val="en-GB"/>
        </w:rPr>
        <w:t>ed</w:t>
      </w:r>
      <w:r w:rsidR="003A3F2F" w:rsidRPr="00CC39A2">
        <w:rPr>
          <w:lang w:val="en-GB"/>
        </w:rPr>
        <w:t xml:space="preserve"> fuel amount close to the main combustion event does not significantly affect the flame structure and evolution, whereas post injection further </w:t>
      </w:r>
      <w:r w:rsidR="00C33E36" w:rsidRPr="00CC39A2">
        <w:rPr>
          <w:lang w:val="en-GB"/>
        </w:rPr>
        <w:t>retarded during</w:t>
      </w:r>
      <w:r w:rsidR="003A3F2F" w:rsidRPr="00CC39A2">
        <w:rPr>
          <w:lang w:val="en-GB"/>
        </w:rPr>
        <w:t xml:space="preserve"> the expansion stroke lead</w:t>
      </w:r>
      <w:r w:rsidR="00731100" w:rsidRPr="00CC39A2">
        <w:rPr>
          <w:lang w:val="en-GB"/>
        </w:rPr>
        <w:t>s</w:t>
      </w:r>
      <w:r w:rsidR="003A3F2F" w:rsidRPr="00CC39A2">
        <w:rPr>
          <w:lang w:val="en-GB"/>
        </w:rPr>
        <w:t xml:space="preserve"> to higher soot</w:t>
      </w:r>
      <w:r w:rsidR="00C33E36" w:rsidRPr="00CC39A2">
        <w:rPr>
          <w:lang w:val="en-GB"/>
        </w:rPr>
        <w:t>-out</w:t>
      </w:r>
      <w:r w:rsidR="003A3F2F" w:rsidRPr="00CC39A2">
        <w:rPr>
          <w:lang w:val="en-GB"/>
        </w:rPr>
        <w:t xml:space="preserve"> emissions. </w:t>
      </w:r>
      <w:bookmarkStart w:id="10" w:name="OLE_LINK11"/>
      <w:bookmarkStart w:id="11" w:name="OLE_LINK12"/>
      <w:bookmarkStart w:id="12" w:name="OLE_LINK13"/>
      <w:r w:rsidR="00C33E36" w:rsidRPr="00CC39A2">
        <w:rPr>
          <w:lang w:val="en-GB"/>
        </w:rPr>
        <w:t>I</w:t>
      </w:r>
      <w:r w:rsidR="0044740C" w:rsidRPr="00CC39A2">
        <w:rPr>
          <w:lang w:val="en-GB"/>
        </w:rPr>
        <w:t xml:space="preserve">ncreased injected fuel at </w:t>
      </w:r>
      <w:r w:rsidR="00C33E36" w:rsidRPr="00CC39A2">
        <w:rPr>
          <w:lang w:val="en-GB"/>
        </w:rPr>
        <w:t>a given</w:t>
      </w:r>
      <w:r w:rsidR="0044740C" w:rsidRPr="00CC39A2">
        <w:rPr>
          <w:lang w:val="en-GB"/>
        </w:rPr>
        <w:t xml:space="preserve"> timing enhances the reaction zone to span a larger </w:t>
      </w:r>
      <w:r w:rsidR="00C33E36" w:rsidRPr="00CC39A2">
        <w:rPr>
          <w:lang w:val="en-GB"/>
        </w:rPr>
        <w:t xml:space="preserve">area (and presumably </w:t>
      </w:r>
      <w:r w:rsidR="0044740C" w:rsidRPr="00CC39A2">
        <w:rPr>
          <w:lang w:val="en-GB"/>
        </w:rPr>
        <w:t>volume</w:t>
      </w:r>
      <w:r w:rsidR="00C33E36" w:rsidRPr="00CC39A2">
        <w:rPr>
          <w:lang w:val="en-GB"/>
        </w:rPr>
        <w:t>)</w:t>
      </w:r>
      <w:r w:rsidR="0044740C" w:rsidRPr="00CC39A2">
        <w:rPr>
          <w:lang w:val="en-GB"/>
        </w:rPr>
        <w:t xml:space="preserve"> in the cylinder</w:t>
      </w:r>
      <w:bookmarkEnd w:id="10"/>
      <w:bookmarkEnd w:id="11"/>
      <w:bookmarkEnd w:id="12"/>
      <w:r w:rsidR="0044740C" w:rsidRPr="00CC39A2">
        <w:rPr>
          <w:lang w:val="en-GB"/>
        </w:rPr>
        <w:t xml:space="preserve">, while </w:t>
      </w:r>
      <w:r w:rsidR="00A8269C" w:rsidRPr="00CC39A2">
        <w:rPr>
          <w:lang w:val="en-GB"/>
        </w:rPr>
        <w:t xml:space="preserve">local </w:t>
      </w:r>
      <w:r w:rsidR="0044740C" w:rsidRPr="00CC39A2">
        <w:rPr>
          <w:lang w:val="en-GB"/>
        </w:rPr>
        <w:t xml:space="preserve">premixing levels remain essentially unaffected. </w:t>
      </w:r>
      <w:r w:rsidR="007A1F8B" w:rsidRPr="00CC39A2">
        <w:rPr>
          <w:lang w:val="en-GB"/>
        </w:rPr>
        <w:t xml:space="preserve">The reactivity induced by the post-injection is a key parameter in the determination of the extent of soot oxidation; the injected fuel amount in Case B was more efficient in terms of enriching fuel-lean areas in the partially premixed zone and in turn lead to </w:t>
      </w:r>
      <w:r w:rsidR="00C33E36" w:rsidRPr="00CC39A2">
        <w:rPr>
          <w:lang w:val="en-GB"/>
        </w:rPr>
        <w:t>faster</w:t>
      </w:r>
      <w:r w:rsidR="007A1F8B" w:rsidRPr="00CC39A2">
        <w:rPr>
          <w:lang w:val="en-GB"/>
        </w:rPr>
        <w:t xml:space="preserve"> </w:t>
      </w:r>
      <w:r w:rsidR="00C33E36" w:rsidRPr="00CC39A2">
        <w:rPr>
          <w:lang w:val="en-GB"/>
        </w:rPr>
        <w:t xml:space="preserve">completion of </w:t>
      </w:r>
      <w:r w:rsidR="007A1F8B" w:rsidRPr="00CC39A2">
        <w:rPr>
          <w:lang w:val="en-GB"/>
        </w:rPr>
        <w:t xml:space="preserve">reaction. This is even more pronounced in Case C, where </w:t>
      </w:r>
      <w:r w:rsidR="00C33E36" w:rsidRPr="00CC39A2">
        <w:rPr>
          <w:lang w:val="en-GB"/>
        </w:rPr>
        <w:t>the smaller dwell of post-injection schedule after the</w:t>
      </w:r>
      <w:r w:rsidR="007A1F8B" w:rsidRPr="00CC39A2">
        <w:rPr>
          <w:lang w:val="en-GB"/>
        </w:rPr>
        <w:t xml:space="preserve"> TDC fuel</w:t>
      </w:r>
      <w:r w:rsidR="00275553" w:rsidRPr="00CC39A2">
        <w:rPr>
          <w:lang w:val="en-GB"/>
        </w:rPr>
        <w:t xml:space="preserve"> injection</w:t>
      </w:r>
      <w:r w:rsidR="007A1F8B" w:rsidRPr="00CC39A2">
        <w:rPr>
          <w:lang w:val="en-GB"/>
        </w:rPr>
        <w:t xml:space="preserve"> increases flame luminosity, as well as mixture reactivity and premixed zones as noted through the total recorded signal of CH</w:t>
      </w:r>
      <w:r w:rsidR="007A1F8B" w:rsidRPr="00CC39A2">
        <w:rPr>
          <w:vertAlign w:val="superscript"/>
          <w:lang w:val="en-GB"/>
        </w:rPr>
        <w:t>*</w:t>
      </w:r>
      <w:r w:rsidR="007A1F8B" w:rsidRPr="00CC39A2">
        <w:rPr>
          <w:lang w:val="en-GB"/>
        </w:rPr>
        <w:t xml:space="preserve"> and C</w:t>
      </w:r>
      <w:r w:rsidR="007A1F8B" w:rsidRPr="00CC39A2">
        <w:rPr>
          <w:vertAlign w:val="subscript"/>
          <w:lang w:val="en-GB"/>
        </w:rPr>
        <w:t>2</w:t>
      </w:r>
      <w:r w:rsidR="007A1F8B" w:rsidRPr="00CC39A2">
        <w:rPr>
          <w:vertAlign w:val="superscript"/>
          <w:lang w:val="en-GB"/>
        </w:rPr>
        <w:t xml:space="preserve">* </w:t>
      </w:r>
      <w:r w:rsidR="0044740C" w:rsidRPr="00CC39A2">
        <w:rPr>
          <w:lang w:val="en-GB"/>
        </w:rPr>
        <w:t xml:space="preserve">respectively. </w:t>
      </w:r>
      <w:r w:rsidR="00973196" w:rsidRPr="00CC39A2">
        <w:rPr>
          <w:lang w:val="en-GB"/>
        </w:rPr>
        <w:t>The analysis also suggests that optimization of timing and amount of the post injection should consider the combined effects of oxygen enrichment of fuel lean areas, the further increase of the in-cylinder temperature, and the enhanced burn-out mixing conditions.</w:t>
      </w:r>
      <w:r w:rsidR="00731100" w:rsidRPr="00CC39A2">
        <w:rPr>
          <w:lang w:val="en-GB"/>
        </w:rPr>
        <w:t xml:space="preserve"> </w:t>
      </w:r>
      <w:r w:rsidR="00731100" w:rsidRPr="00CC39A2">
        <w:rPr>
          <w:lang w:val="en-GB" w:eastAsia="zh-TW"/>
        </w:rPr>
        <w:t>Overall</w:t>
      </w:r>
      <w:r w:rsidR="00E758B2" w:rsidRPr="00CC39A2">
        <w:rPr>
          <w:lang w:val="en-GB" w:eastAsia="zh-TW"/>
        </w:rPr>
        <w:t xml:space="preserve">, </w:t>
      </w:r>
      <w:r w:rsidR="00731100" w:rsidRPr="00CC39A2">
        <w:rPr>
          <w:lang w:val="en-GB" w:eastAsia="zh-TW"/>
        </w:rPr>
        <w:t xml:space="preserve">results suggest that a careful employment of </w:t>
      </w:r>
      <w:r w:rsidR="00A8269C" w:rsidRPr="00CC39A2">
        <w:rPr>
          <w:lang w:val="en-GB" w:eastAsia="zh-TW"/>
        </w:rPr>
        <w:t xml:space="preserve">an appropriate </w:t>
      </w:r>
      <w:r w:rsidR="00731100" w:rsidRPr="00CC39A2">
        <w:rPr>
          <w:lang w:val="en-GB" w:eastAsia="zh-TW"/>
        </w:rPr>
        <w:t xml:space="preserve">fuel amount </w:t>
      </w:r>
      <w:r w:rsidR="009F068E" w:rsidRPr="00CC39A2">
        <w:rPr>
          <w:lang w:val="en-GB" w:eastAsia="zh-TW"/>
        </w:rPr>
        <w:t xml:space="preserve">close to the main combustion phasing </w:t>
      </w:r>
      <w:r w:rsidR="00E758B2" w:rsidRPr="00CC39A2">
        <w:rPr>
          <w:lang w:val="en-GB" w:eastAsia="zh-TW"/>
        </w:rPr>
        <w:t xml:space="preserve">may </w:t>
      </w:r>
      <w:r w:rsidR="00731100" w:rsidRPr="00CC39A2">
        <w:rPr>
          <w:lang w:val="en-GB" w:eastAsia="zh-TW"/>
        </w:rPr>
        <w:t xml:space="preserve">reduce end-soot emission </w:t>
      </w:r>
      <w:r w:rsidR="009F068E" w:rsidRPr="00CC39A2">
        <w:rPr>
          <w:lang w:val="en-GB" w:eastAsia="zh-TW"/>
        </w:rPr>
        <w:t>for low load, low speed engine operation</w:t>
      </w:r>
      <w:r w:rsidR="00E758B2" w:rsidRPr="00CC39A2">
        <w:rPr>
          <w:lang w:val="en-GB" w:eastAsia="zh-TW"/>
        </w:rPr>
        <w:t>.</w:t>
      </w:r>
      <w:r w:rsidR="00731100" w:rsidRPr="00CC39A2">
        <w:rPr>
          <w:lang w:val="en-GB" w:eastAsia="zh-TW"/>
        </w:rPr>
        <w:t xml:space="preserve"> This could be accompanied by </w:t>
      </w:r>
      <w:r w:rsidR="00A8269C" w:rsidRPr="00CC39A2">
        <w:rPr>
          <w:lang w:val="en-GB" w:eastAsia="zh-TW"/>
        </w:rPr>
        <w:t xml:space="preserve">increased </w:t>
      </w:r>
      <w:r w:rsidR="00731100" w:rsidRPr="00CC39A2">
        <w:rPr>
          <w:lang w:val="en-GB" w:eastAsia="zh-TW"/>
        </w:rPr>
        <w:t xml:space="preserve">IMEP levels at the same specific fuel consumption (same carbon content is injected </w:t>
      </w:r>
      <w:r w:rsidR="00731100" w:rsidRPr="00CC39A2">
        <w:rPr>
          <w:i/>
          <w:lang w:val="en-GB" w:eastAsia="zh-TW"/>
        </w:rPr>
        <w:t xml:space="preserve">per </w:t>
      </w:r>
      <w:r w:rsidR="00731100" w:rsidRPr="00CC39A2">
        <w:rPr>
          <w:lang w:val="en-GB" w:eastAsia="zh-TW"/>
        </w:rPr>
        <w:t>cycle</w:t>
      </w:r>
      <w:r w:rsidR="009F068E" w:rsidRPr="00CC39A2">
        <w:rPr>
          <w:lang w:val="en-GB" w:eastAsia="zh-TW"/>
        </w:rPr>
        <w:t xml:space="preserve">) </w:t>
      </w:r>
      <w:r w:rsidR="0072682F" w:rsidRPr="00CC39A2">
        <w:rPr>
          <w:lang w:val="en-GB" w:eastAsia="zh-TW"/>
        </w:rPr>
        <w:t xml:space="preserve">at </w:t>
      </w:r>
      <w:r w:rsidR="009F068E" w:rsidRPr="00CC39A2">
        <w:rPr>
          <w:lang w:val="en-GB" w:eastAsia="zh-TW"/>
        </w:rPr>
        <w:t xml:space="preserve">the expense of engine noise, as the maximum pressure rise rate is slightly increased. The work provides a roadmap for </w:t>
      </w:r>
      <w:r w:rsidR="009F068E" w:rsidRPr="00CC39A2">
        <w:rPr>
          <w:lang w:val="en-GB" w:eastAsia="zh-TW"/>
        </w:rPr>
        <w:lastRenderedPageBreak/>
        <w:t xml:space="preserve">future, in-depth investigation of the given combustion regime at low load to medium engine speeds and loads. </w:t>
      </w:r>
    </w:p>
    <w:p w14:paraId="39900641" w14:textId="77777777" w:rsidR="009F068E" w:rsidRPr="00CC39A2" w:rsidRDefault="009F068E" w:rsidP="00BF46BE">
      <w:pPr>
        <w:tabs>
          <w:tab w:val="left" w:pos="397"/>
        </w:tabs>
        <w:autoSpaceDE w:val="0"/>
        <w:autoSpaceDN w:val="0"/>
        <w:adjustRightInd w:val="0"/>
        <w:spacing w:before="240" w:after="240" w:line="480" w:lineRule="auto"/>
        <w:ind w:right="-21"/>
        <w:jc w:val="both"/>
        <w:rPr>
          <w:lang w:val="en-GB"/>
        </w:rPr>
      </w:pPr>
    </w:p>
    <w:p w14:paraId="654CCE11" w14:textId="77777777" w:rsidR="00285E2B" w:rsidRPr="00CC39A2" w:rsidRDefault="00285E2B" w:rsidP="00285E2B">
      <w:pPr>
        <w:tabs>
          <w:tab w:val="left" w:pos="397"/>
        </w:tabs>
        <w:autoSpaceDE w:val="0"/>
        <w:autoSpaceDN w:val="0"/>
        <w:adjustRightInd w:val="0"/>
        <w:spacing w:before="240" w:after="240" w:line="480" w:lineRule="auto"/>
        <w:jc w:val="both"/>
        <w:rPr>
          <w:lang w:val="en-GB" w:eastAsia="zh-TW"/>
        </w:rPr>
      </w:pPr>
      <w:r w:rsidRPr="00CC39A2">
        <w:rPr>
          <w:b/>
          <w:bCs/>
          <w:lang w:val="en-GB" w:eastAsia="zh-TW"/>
        </w:rPr>
        <w:t>Acknowledgments</w:t>
      </w:r>
    </w:p>
    <w:p w14:paraId="4E8A55F0" w14:textId="77777777" w:rsidR="00285E2B" w:rsidRPr="00CC39A2" w:rsidRDefault="00285E2B" w:rsidP="00285E2B">
      <w:pPr>
        <w:tabs>
          <w:tab w:val="left" w:pos="397"/>
        </w:tabs>
        <w:autoSpaceDE w:val="0"/>
        <w:autoSpaceDN w:val="0"/>
        <w:adjustRightInd w:val="0"/>
        <w:spacing w:before="240" w:after="240" w:line="480" w:lineRule="auto"/>
        <w:jc w:val="both"/>
        <w:rPr>
          <w:lang w:val="en-GB" w:eastAsia="zh-TW"/>
        </w:rPr>
      </w:pPr>
      <w:r w:rsidRPr="00CC39A2">
        <w:rPr>
          <w:lang w:val="en-GB" w:eastAsia="zh-TW"/>
        </w:rPr>
        <w:t>The authors are thankful to the following people for their contribution over the last years, presented in alphabetical order; Edward Benbow and Asanka Munasinghe from Imperial College</w:t>
      </w:r>
      <w:r w:rsidR="007E10B5" w:rsidRPr="00CC39A2">
        <w:rPr>
          <w:lang w:val="en-GB" w:eastAsia="zh-TW"/>
        </w:rPr>
        <w:t xml:space="preserve"> and </w:t>
      </w:r>
      <w:r w:rsidRPr="00CC39A2">
        <w:rPr>
          <w:lang w:val="en-GB" w:eastAsia="zh-TW"/>
        </w:rPr>
        <w:t>Colin Hall from Obelisk Technology Ltd.</w:t>
      </w:r>
    </w:p>
    <w:p w14:paraId="2C0FCA61" w14:textId="77777777" w:rsidR="006F7B3F" w:rsidRPr="00CC39A2" w:rsidRDefault="00285E2B" w:rsidP="00BF46BE">
      <w:pPr>
        <w:tabs>
          <w:tab w:val="left" w:pos="397"/>
        </w:tabs>
        <w:autoSpaceDE w:val="0"/>
        <w:autoSpaceDN w:val="0"/>
        <w:adjustRightInd w:val="0"/>
        <w:spacing w:before="240" w:after="240" w:line="480" w:lineRule="auto"/>
        <w:ind w:right="-21"/>
        <w:jc w:val="both"/>
        <w:rPr>
          <w:lang w:val="en-GB"/>
        </w:rPr>
      </w:pPr>
      <w:r w:rsidRPr="00CC39A2">
        <w:rPr>
          <w:lang w:val="en-GB" w:eastAsia="zh-TW"/>
        </w:rPr>
        <w:t>The authors from Imperial College would like to acknowledge support from Ford Motor Co. Ltd. UK. The research has also received funding from the People Programme (Marie Curie Actions) of the European Union's Seventh Framework Programme FP7/2007-2013/ under REA grant agreement n° 607214 (ECCO-MATE Project).</w:t>
      </w:r>
    </w:p>
    <w:p w14:paraId="74D3BE2E" w14:textId="77777777" w:rsidR="00FC131A" w:rsidRPr="00CC39A2" w:rsidRDefault="00FC131A" w:rsidP="00BF46BE">
      <w:pPr>
        <w:tabs>
          <w:tab w:val="left" w:pos="397"/>
        </w:tabs>
        <w:autoSpaceDE w:val="0"/>
        <w:autoSpaceDN w:val="0"/>
        <w:adjustRightInd w:val="0"/>
        <w:spacing w:before="240" w:after="240" w:line="480" w:lineRule="auto"/>
        <w:ind w:right="-21"/>
        <w:jc w:val="both"/>
        <w:rPr>
          <w:b/>
          <w:lang w:val="en-GB"/>
        </w:rPr>
      </w:pPr>
    </w:p>
    <w:p w14:paraId="7A33EDD5" w14:textId="77777777" w:rsidR="00DD2394" w:rsidRPr="00CC39A2" w:rsidRDefault="00DD2394" w:rsidP="00BF46BE">
      <w:pPr>
        <w:tabs>
          <w:tab w:val="left" w:pos="397"/>
        </w:tabs>
        <w:autoSpaceDE w:val="0"/>
        <w:autoSpaceDN w:val="0"/>
        <w:adjustRightInd w:val="0"/>
        <w:spacing w:before="240" w:after="240" w:line="480" w:lineRule="auto"/>
        <w:ind w:right="-21"/>
        <w:jc w:val="both"/>
        <w:rPr>
          <w:b/>
          <w:lang w:val="en-GB"/>
        </w:rPr>
      </w:pPr>
      <w:r w:rsidRPr="00CC39A2">
        <w:rPr>
          <w:b/>
          <w:lang w:val="en-GB"/>
        </w:rPr>
        <w:t>References</w:t>
      </w:r>
    </w:p>
    <w:p w14:paraId="3537FFC9" w14:textId="77777777" w:rsidR="002C051A" w:rsidRPr="00CC39A2" w:rsidRDefault="002C051A" w:rsidP="00BF46BE">
      <w:pPr>
        <w:tabs>
          <w:tab w:val="left" w:pos="397"/>
        </w:tabs>
        <w:autoSpaceDE w:val="0"/>
        <w:autoSpaceDN w:val="0"/>
        <w:adjustRightInd w:val="0"/>
        <w:spacing w:before="240" w:after="240" w:line="480" w:lineRule="auto"/>
        <w:ind w:right="-21"/>
        <w:jc w:val="both"/>
        <w:rPr>
          <w:lang w:val="en-GB"/>
        </w:rPr>
      </w:pPr>
    </w:p>
    <w:p w14:paraId="405CA227" w14:textId="77777777" w:rsidR="00975C34" w:rsidRPr="00CC39A2" w:rsidRDefault="00975C34" w:rsidP="0036573C">
      <w:pPr>
        <w:autoSpaceDE w:val="0"/>
        <w:autoSpaceDN w:val="0"/>
        <w:adjustRightInd w:val="0"/>
        <w:spacing w:before="240" w:after="240" w:line="480" w:lineRule="auto"/>
        <w:jc w:val="both"/>
        <w:rPr>
          <w:lang w:val="en-GB"/>
        </w:rPr>
      </w:pPr>
      <w:r w:rsidRPr="00CC39A2">
        <w:rPr>
          <w:lang w:val="en-GB"/>
        </w:rPr>
        <w:t xml:space="preserve">Aleiferis P.G., Hardalupas Y., Taylor A.M.K.P., Ishii K., Urata Y. (2004) Flame Chemiluminescence Studies of Cyclic Combustion Variations and Air-to-Fuel Ratio of </w:t>
      </w:r>
      <w:r w:rsidRPr="00CC39A2">
        <w:rPr>
          <w:lang w:val="en-GB"/>
        </w:rPr>
        <w:lastRenderedPageBreak/>
        <w:t>the Reacting Mixture in a Lean-Burn Stratified-Charge Spark-Ignition Engine. Combust. Flame 136:72-90</w:t>
      </w:r>
    </w:p>
    <w:p w14:paraId="3CC58DBB"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Anders, H</w:t>
      </w:r>
      <w:bookmarkStart w:id="13" w:name="OLE_LINK3"/>
      <w:r w:rsidRPr="00CC39A2">
        <w:rPr>
          <w:lang w:val="en-GB"/>
        </w:rPr>
        <w:t xml:space="preserve">. </w:t>
      </w:r>
      <w:r w:rsidRPr="00CC39A2">
        <w:rPr>
          <w:i/>
          <w:lang w:val="en-GB"/>
        </w:rPr>
        <w:t>et al.</w:t>
      </w:r>
      <w:r w:rsidRPr="00CC39A2">
        <w:rPr>
          <w:lang w:val="en-GB"/>
        </w:rPr>
        <w:t xml:space="preserve"> (1999) A Study of the Homogeneous Charge Compression Ignition Combustion Process by Chemiluminescence Imaging</w:t>
      </w:r>
      <w:bookmarkEnd w:id="13"/>
      <w:r w:rsidRPr="00CC39A2">
        <w:rPr>
          <w:lang w:val="en-GB"/>
        </w:rPr>
        <w:t>. SAE Technical Paper 1999-01-3680.</w:t>
      </w:r>
    </w:p>
    <w:p w14:paraId="01DB176E"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 xml:space="preserve">Anselmi, P., Kashdan, J. </w:t>
      </w:r>
      <w:r w:rsidRPr="00CC39A2">
        <w:rPr>
          <w:i/>
          <w:lang w:val="en-GB"/>
        </w:rPr>
        <w:t>et al.</w:t>
      </w:r>
      <w:r w:rsidRPr="00CC39A2">
        <w:rPr>
          <w:lang w:val="en-GB"/>
        </w:rPr>
        <w:t xml:space="preserve"> (2010) Improving Emissions, Noise and Fuel Economy Trade-Off by using Multiple Injection Strategies in Diesel Low Temperature Combustion (LTC) Mode. SAE Technical Paper 2010-01-2162</w:t>
      </w:r>
    </w:p>
    <w:p w14:paraId="4D1E77EE" w14:textId="77777777" w:rsidR="00F0548D" w:rsidRPr="00CC39A2" w:rsidRDefault="00F0548D" w:rsidP="00FD616C">
      <w:pPr>
        <w:autoSpaceDE w:val="0"/>
        <w:autoSpaceDN w:val="0"/>
        <w:adjustRightInd w:val="0"/>
        <w:spacing w:before="240" w:after="240" w:line="480" w:lineRule="auto"/>
        <w:jc w:val="both"/>
        <w:rPr>
          <w:lang w:val="en-GB"/>
        </w:rPr>
      </w:pPr>
      <w:r w:rsidRPr="00CC39A2">
        <w:rPr>
          <w:lang w:val="en-GB"/>
        </w:rPr>
        <w:t xml:space="preserve">Aronsson U., Chartier C., </w:t>
      </w:r>
      <w:r w:rsidRPr="00CC39A2">
        <w:rPr>
          <w:i/>
          <w:lang w:val="en-GB"/>
        </w:rPr>
        <w:t>et al.</w:t>
      </w:r>
      <w:r w:rsidRPr="00CC39A2">
        <w:rPr>
          <w:lang w:val="en-GB"/>
        </w:rPr>
        <w:t xml:space="preserve"> (2014) Analysis of EGR Effects on the Soot Distribution in a Heavy Duty Diesel Engine using Time-Resolved Laser Induced Incandescence. SAE Technical Paper 2010-01-2104</w:t>
      </w:r>
    </w:p>
    <w:p w14:paraId="24EBBC4F" w14:textId="77777777" w:rsidR="00F0548D" w:rsidRPr="00CC39A2" w:rsidRDefault="00F0548D" w:rsidP="0036573C">
      <w:pPr>
        <w:spacing w:before="240" w:after="240" w:line="480" w:lineRule="auto"/>
        <w:jc w:val="both"/>
        <w:rPr>
          <w:lang w:val="en-GB"/>
        </w:rPr>
      </w:pPr>
      <w:r w:rsidRPr="00CC39A2">
        <w:rPr>
          <w:lang w:val="en-GB"/>
        </w:rPr>
        <w:t xml:space="preserve">Bakker, P. </w:t>
      </w:r>
      <w:r w:rsidRPr="00CC39A2">
        <w:rPr>
          <w:i/>
          <w:lang w:val="en-GB"/>
        </w:rPr>
        <w:t>et al.</w:t>
      </w:r>
      <w:r w:rsidRPr="00CC39A2">
        <w:rPr>
          <w:lang w:val="en-GB"/>
        </w:rPr>
        <w:t xml:space="preserve"> (2014) Characterization of Low Load PPC Operation using RON70 Fuels. SAE Technical Paper 2014-01-1304.</w:t>
      </w:r>
    </w:p>
    <w:p w14:paraId="02A3DAD3"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 xml:space="preserve">Bao, Z., Cheng, X., </w:t>
      </w:r>
      <w:r w:rsidRPr="00CC39A2">
        <w:rPr>
          <w:i/>
          <w:lang w:val="en-GB"/>
        </w:rPr>
        <w:t>et al.</w:t>
      </w:r>
      <w:r w:rsidRPr="00CC39A2">
        <w:rPr>
          <w:lang w:val="en-GB"/>
        </w:rPr>
        <w:t xml:space="preserve"> (2014) Investigation Into Partially Premixed Combustion in a Light-Duty Diesel Engine Based on Different Injection Strategies. SAE Technical Paper 2014-01-2681</w:t>
      </w:r>
    </w:p>
    <w:p w14:paraId="630E8600"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 xml:space="preserve">Barro, C. </w:t>
      </w:r>
      <w:r w:rsidRPr="00CC39A2">
        <w:rPr>
          <w:i/>
          <w:lang w:val="en-GB"/>
        </w:rPr>
        <w:t>et al.</w:t>
      </w:r>
      <w:r w:rsidRPr="00CC39A2">
        <w:rPr>
          <w:lang w:val="en-GB"/>
        </w:rPr>
        <w:t xml:space="preserve"> (2012) Influence of post-injection parameters on soot formation and oxidation in a common-rail-diesel engine using multi-color-pyrometry. Proceedings of </w:t>
      </w:r>
      <w:r w:rsidRPr="00CC39A2">
        <w:rPr>
          <w:lang w:val="en-GB"/>
        </w:rPr>
        <w:lastRenderedPageBreak/>
        <w:t>the ASME 2012 Internal Combustion Engine Division Fall Technical Conference, (ICEF2012-92075)</w:t>
      </w:r>
    </w:p>
    <w:p w14:paraId="3F37946E" w14:textId="77777777" w:rsidR="00F0548D" w:rsidRPr="00CC39A2" w:rsidRDefault="00F0548D" w:rsidP="0036573C">
      <w:pPr>
        <w:autoSpaceDE w:val="0"/>
        <w:autoSpaceDN w:val="0"/>
        <w:adjustRightInd w:val="0"/>
        <w:spacing w:before="240" w:after="240" w:line="480" w:lineRule="auto"/>
        <w:jc w:val="both"/>
        <w:rPr>
          <w:lang w:val="en-GB"/>
        </w:rPr>
      </w:pPr>
      <w:bookmarkStart w:id="14" w:name="_Ref410724098"/>
      <w:r w:rsidRPr="00CC39A2">
        <w:rPr>
          <w:lang w:val="en-GB"/>
        </w:rPr>
        <w:t xml:space="preserve">Benajes, J., Molina, S., </w:t>
      </w:r>
      <w:r w:rsidRPr="00CC39A2">
        <w:rPr>
          <w:i/>
          <w:lang w:val="en-GB"/>
        </w:rPr>
        <w:t>et al.</w:t>
      </w:r>
      <w:r w:rsidRPr="00CC39A2">
        <w:rPr>
          <w:lang w:val="en-GB"/>
        </w:rPr>
        <w:t xml:space="preserve"> (2008) Advanced Injection Strategies to Attain Partially Premixed Combustion Process in a Heavy Duty Diesel Engine. SAE Technical Paper 2008-01-0642</w:t>
      </w:r>
      <w:bookmarkEnd w:id="14"/>
      <w:r w:rsidRPr="00CC39A2">
        <w:rPr>
          <w:lang w:val="en-GB"/>
        </w:rPr>
        <w:t>.</w:t>
      </w:r>
    </w:p>
    <w:p w14:paraId="5246160E" w14:textId="77777777" w:rsidR="004C65D8" w:rsidRPr="00CC39A2" w:rsidRDefault="004C65D8" w:rsidP="0036573C">
      <w:pPr>
        <w:autoSpaceDE w:val="0"/>
        <w:autoSpaceDN w:val="0"/>
        <w:adjustRightInd w:val="0"/>
        <w:spacing w:before="240" w:after="240" w:line="480" w:lineRule="auto"/>
        <w:jc w:val="both"/>
        <w:rPr>
          <w:lang w:val="en-GB"/>
        </w:rPr>
      </w:pPr>
      <w:r w:rsidRPr="00CC39A2">
        <w:rPr>
          <w:lang w:val="en-GB"/>
        </w:rPr>
        <w:t>Bessonette, P., Schleyer, C., Duffy, K., Hardy, W. et al., "Effects of Fuel Property Changes on Heavy-Duty HCCI Combustion," SAE Technical Paper 2007-01-0191, 2007, doi:10.4271/2007-01-0191.</w:t>
      </w:r>
    </w:p>
    <w:p w14:paraId="65C8E59C"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 xml:space="preserve">Bladh, H., J. Johnsson, </w:t>
      </w:r>
      <w:r w:rsidRPr="00CC39A2">
        <w:rPr>
          <w:i/>
          <w:lang w:val="en-GB"/>
        </w:rPr>
        <w:t>et al.</w:t>
      </w:r>
      <w:r w:rsidRPr="00CC39A2">
        <w:rPr>
          <w:lang w:val="en-GB"/>
        </w:rPr>
        <w:t xml:space="preserve"> (2007). On the dependence of the laser-induced incandescence (LII) signal on soot volume fraction for variations in particle size. Applied Physics B 90(1):109-125</w:t>
      </w:r>
    </w:p>
    <w:p w14:paraId="671D794C" w14:textId="77777777" w:rsidR="00F0548D" w:rsidRPr="00CC39A2" w:rsidRDefault="00F0548D" w:rsidP="0036573C">
      <w:pPr>
        <w:autoSpaceDE w:val="0"/>
        <w:autoSpaceDN w:val="0"/>
        <w:adjustRightInd w:val="0"/>
        <w:spacing w:before="240" w:after="240" w:line="480" w:lineRule="auto"/>
        <w:jc w:val="both"/>
        <w:rPr>
          <w:lang w:val="en-GB"/>
        </w:rPr>
      </w:pPr>
      <w:bookmarkStart w:id="15" w:name="OLE_LINK20"/>
      <w:bookmarkStart w:id="16" w:name="OLE_LINK21"/>
      <w:bookmarkStart w:id="17" w:name="OLE_LINK22"/>
      <w:r w:rsidRPr="00CC39A2">
        <w:rPr>
          <w:lang w:val="en-GB"/>
        </w:rPr>
        <w:t>Bozkurt</w:t>
      </w:r>
      <w:bookmarkEnd w:id="15"/>
      <w:bookmarkEnd w:id="16"/>
      <w:bookmarkEnd w:id="17"/>
      <w:r w:rsidRPr="00CC39A2">
        <w:rPr>
          <w:lang w:val="en-GB"/>
        </w:rPr>
        <w:t>, M., Fikri, M., Schulz, C. (2012) Investigation of the kinetics of OH</w:t>
      </w:r>
      <w:r w:rsidRPr="00CC39A2">
        <w:rPr>
          <w:vertAlign w:val="superscript"/>
          <w:lang w:val="en-GB"/>
        </w:rPr>
        <w:t>*</w:t>
      </w:r>
      <w:r w:rsidRPr="00CC39A2">
        <w:rPr>
          <w:lang w:val="en-GB"/>
        </w:rPr>
        <w:t xml:space="preserve"> and CH</w:t>
      </w:r>
      <w:r w:rsidRPr="00CC39A2">
        <w:rPr>
          <w:vertAlign w:val="superscript"/>
          <w:lang w:val="en-GB"/>
        </w:rPr>
        <w:t>*</w:t>
      </w:r>
      <w:r w:rsidRPr="00CC39A2">
        <w:rPr>
          <w:lang w:val="en-GB"/>
        </w:rPr>
        <w:t xml:space="preserve"> chemiluminescence in hydrocarbon oxidation behind reflected shock waves. Appl. Phys. B 107:515-527</w:t>
      </w:r>
    </w:p>
    <w:p w14:paraId="70C33A77" w14:textId="77777777" w:rsidR="00F0548D" w:rsidRPr="00CC39A2" w:rsidRDefault="00F0548D" w:rsidP="0036573C">
      <w:pPr>
        <w:autoSpaceDE w:val="0"/>
        <w:autoSpaceDN w:val="0"/>
        <w:adjustRightInd w:val="0"/>
        <w:spacing w:before="240" w:after="240" w:line="480" w:lineRule="auto"/>
        <w:jc w:val="both"/>
        <w:rPr>
          <w:lang w:val="en-GB"/>
        </w:rPr>
      </w:pPr>
      <w:bookmarkStart w:id="18" w:name="_Ref410316071"/>
      <w:r w:rsidRPr="00CC39A2">
        <w:rPr>
          <w:lang w:val="en-GB"/>
        </w:rPr>
        <w:t xml:space="preserve">Chartier, C., Andersson O., </w:t>
      </w:r>
      <w:r w:rsidRPr="00CC39A2">
        <w:rPr>
          <w:i/>
          <w:lang w:val="en-GB"/>
        </w:rPr>
        <w:t>et al.</w:t>
      </w:r>
      <w:r w:rsidRPr="00CC39A2">
        <w:rPr>
          <w:lang w:val="en-GB"/>
        </w:rPr>
        <w:t xml:space="preserve"> (2011) Effects of Post-Injection Strategies on Near-Injector Over-Lean Mixtures and Unburned Hydrocarbon Emission in a Heavy-Duty Optical Diesel Engine. SAE Technical Paper 2011-01-1383</w:t>
      </w:r>
      <w:bookmarkEnd w:id="18"/>
    </w:p>
    <w:p w14:paraId="0CA6C99D" w14:textId="77777777" w:rsidR="00F0548D" w:rsidRPr="00CC39A2" w:rsidRDefault="00F0548D" w:rsidP="00FD616C">
      <w:pPr>
        <w:autoSpaceDE w:val="0"/>
        <w:autoSpaceDN w:val="0"/>
        <w:adjustRightInd w:val="0"/>
        <w:spacing w:before="240" w:after="240" w:line="480" w:lineRule="auto"/>
        <w:jc w:val="both"/>
        <w:rPr>
          <w:lang w:val="en-GB"/>
        </w:rPr>
      </w:pPr>
      <w:r w:rsidRPr="00CC39A2">
        <w:rPr>
          <w:lang w:val="en-GB"/>
        </w:rPr>
        <w:lastRenderedPageBreak/>
        <w:t>Chen S.K. (2000) Simultaneous Reduction of NOx and Particulate Emissions by Using Multiple Injections in a Small Diesel Engine. SAE Technical Paper 2000-01-3084</w:t>
      </w:r>
    </w:p>
    <w:p w14:paraId="7591528A" w14:textId="77777777" w:rsidR="00F0548D" w:rsidRPr="00CC39A2" w:rsidRDefault="00F0548D" w:rsidP="0036573C">
      <w:pPr>
        <w:autoSpaceDE w:val="0"/>
        <w:autoSpaceDN w:val="0"/>
        <w:adjustRightInd w:val="0"/>
        <w:spacing w:before="240" w:after="240" w:line="480" w:lineRule="auto"/>
        <w:jc w:val="both"/>
        <w:rPr>
          <w:lang w:val="en-GB"/>
        </w:rPr>
      </w:pPr>
      <w:bookmarkStart w:id="19" w:name="_Ref410235457"/>
      <w:r w:rsidRPr="00CC39A2">
        <w:rPr>
          <w:lang w:val="en-GB"/>
        </w:rPr>
        <w:t>Dec, J.E. (2009) Advanced compression-ignition engines–understanding the in-cylinder processes. Proc. Combust. Inst. 32,2727–2742</w:t>
      </w:r>
      <w:bookmarkEnd w:id="19"/>
    </w:p>
    <w:p w14:paraId="63187569"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 xml:space="preserve">Desantes, J., Bermudez, V., </w:t>
      </w:r>
      <w:r w:rsidRPr="00CC39A2">
        <w:rPr>
          <w:i/>
          <w:lang w:val="en-GB"/>
        </w:rPr>
        <w:t>et al.</w:t>
      </w:r>
      <w:r w:rsidRPr="00CC39A2">
        <w:rPr>
          <w:lang w:val="en-GB"/>
        </w:rPr>
        <w:t xml:space="preserve"> (2011) An Investigation of Particle Size Distributions with Post Injection in DI Diesel Engines. SAE Technical Paper 2011-01-1379</w:t>
      </w:r>
    </w:p>
    <w:p w14:paraId="3C5D31F5"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 xml:space="preserve">Desantes, J.M, Arrègle, J, </w:t>
      </w:r>
      <w:r w:rsidRPr="00CC39A2">
        <w:rPr>
          <w:i/>
          <w:lang w:val="en-GB"/>
        </w:rPr>
        <w:t>et al.</w:t>
      </w:r>
      <w:r w:rsidRPr="00CC39A2">
        <w:rPr>
          <w:lang w:val="en-GB"/>
        </w:rPr>
        <w:t xml:space="preserve"> (2007) Comprehensive Study of Diesel Combustion and Emissions with Post-injection. SAE Technical Paper 2007-01-0915</w:t>
      </w:r>
    </w:p>
    <w:p w14:paraId="5E5264A9"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Desgroux P., Mercier X., Thomson K.A. (2013). Study of the formation of soot and its precursors in flames using optical diagnostics. Proc. Combust. Inst. 34:1713–38</w:t>
      </w:r>
    </w:p>
    <w:p w14:paraId="19EC8D60" w14:textId="77777777" w:rsidR="00F0548D" w:rsidRPr="00CC39A2" w:rsidRDefault="00F0548D" w:rsidP="0036573C">
      <w:pPr>
        <w:autoSpaceDE w:val="0"/>
        <w:autoSpaceDN w:val="0"/>
        <w:adjustRightInd w:val="0"/>
        <w:spacing w:before="240" w:after="240" w:line="480" w:lineRule="auto"/>
        <w:jc w:val="both"/>
        <w:rPr>
          <w:lang w:val="en-GB"/>
        </w:rPr>
      </w:pPr>
      <w:bookmarkStart w:id="20" w:name="_Ref408329057"/>
      <w:r w:rsidRPr="00CC39A2">
        <w:rPr>
          <w:lang w:val="en-GB"/>
        </w:rPr>
        <w:t xml:space="preserve">Epping, K., Aceves, S., </w:t>
      </w:r>
      <w:r w:rsidRPr="00CC39A2">
        <w:rPr>
          <w:i/>
          <w:lang w:val="en-GB"/>
        </w:rPr>
        <w:t>et al.</w:t>
      </w:r>
      <w:r w:rsidRPr="00CC39A2">
        <w:rPr>
          <w:lang w:val="en-GB"/>
        </w:rPr>
        <w:t xml:space="preserve"> (2002) The Potential of HCCI Combustion for High Efficiency and Low Emissions. SAE Technical Paper 2002-01-1923</w:t>
      </w:r>
      <w:bookmarkEnd w:id="20"/>
    </w:p>
    <w:p w14:paraId="22F85785"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 xml:space="preserve">Founti, M., </w:t>
      </w:r>
      <w:r w:rsidRPr="00CC39A2">
        <w:rPr>
          <w:i/>
          <w:lang w:val="en-GB"/>
        </w:rPr>
        <w:t>et al.</w:t>
      </w:r>
      <w:r w:rsidRPr="00CC39A2">
        <w:rPr>
          <w:lang w:val="en-GB"/>
        </w:rPr>
        <w:t xml:space="preserve"> (2015) An Experimental Investigation on the Effect of Diluent Addition on Flame Characteristics in a Single Cylinder Optical Diesel Engine. SAE Technical Paper 2015-24-2438</w:t>
      </w:r>
    </w:p>
    <w:p w14:paraId="2C425346" w14:textId="77777777" w:rsidR="00F0548D" w:rsidRPr="00CC39A2" w:rsidRDefault="00F0548D" w:rsidP="0036573C">
      <w:pPr>
        <w:autoSpaceDE w:val="0"/>
        <w:autoSpaceDN w:val="0"/>
        <w:adjustRightInd w:val="0"/>
        <w:spacing w:before="240" w:after="240" w:line="480" w:lineRule="auto"/>
        <w:jc w:val="both"/>
        <w:rPr>
          <w:lang w:val="en-GB"/>
        </w:rPr>
      </w:pPr>
      <w:bookmarkStart w:id="21" w:name="_Ref410315078"/>
      <w:r w:rsidRPr="00CC39A2">
        <w:rPr>
          <w:lang w:val="en-GB"/>
        </w:rPr>
        <w:lastRenderedPageBreak/>
        <w:t>Frapolli, N., Bolla, M., Boulouchos, K., Wright, Y. (2014) Simulations of In-Cylinder Processes in a Diesel Engine Operated with Post-Injections Using an Extended CMC Model. SAE Technical Paper 2014-01-2571</w:t>
      </w:r>
      <w:bookmarkEnd w:id="21"/>
    </w:p>
    <w:p w14:paraId="078162A0"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 xml:space="preserve">Guan B., Zhan R. </w:t>
      </w:r>
      <w:r w:rsidRPr="00CC39A2">
        <w:rPr>
          <w:i/>
          <w:lang w:val="en-GB"/>
        </w:rPr>
        <w:t>et al.</w:t>
      </w:r>
      <w:r w:rsidRPr="00CC39A2">
        <w:rPr>
          <w:lang w:val="en-GB"/>
        </w:rPr>
        <w:t xml:space="preserve"> (2015) Review of the state-of-the-art of exhaust particulate filter technology in internal combustion engines. J. Environ. Manage. 154:225-258</w:t>
      </w:r>
    </w:p>
    <w:p w14:paraId="09B13E77" w14:textId="77777777" w:rsidR="00975C34" w:rsidRPr="00CC39A2" w:rsidRDefault="00975C34" w:rsidP="00975C34">
      <w:pPr>
        <w:tabs>
          <w:tab w:val="left" w:pos="397"/>
        </w:tabs>
        <w:autoSpaceDE w:val="0"/>
        <w:autoSpaceDN w:val="0"/>
        <w:adjustRightInd w:val="0"/>
        <w:spacing w:before="240" w:after="240" w:line="480" w:lineRule="auto"/>
        <w:ind w:right="-21"/>
        <w:jc w:val="both"/>
        <w:rPr>
          <w:lang w:val="en-GB" w:bidi="x-none"/>
        </w:rPr>
      </w:pPr>
      <w:r w:rsidRPr="00CC39A2">
        <w:rPr>
          <w:lang w:val="en-GB" w:bidi="x-none"/>
        </w:rPr>
        <w:t>Hardalupas Y., Orain M. (2004) Local measurements of the time-dependent heat release rate and equivalence ratio using chemiluminescent emission from a flame. Combust.  Flame 139:188-207.</w:t>
      </w:r>
    </w:p>
    <w:p w14:paraId="343A0021"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Heywood, J. B. Internal combustion engines fundamentals. McGraw-Hill, New York, 1988</w:t>
      </w:r>
    </w:p>
    <w:p w14:paraId="3023B8F2" w14:textId="77777777" w:rsidR="00F0548D" w:rsidRPr="00CC39A2" w:rsidRDefault="00F0548D" w:rsidP="0036573C">
      <w:pPr>
        <w:autoSpaceDE w:val="0"/>
        <w:autoSpaceDN w:val="0"/>
        <w:adjustRightInd w:val="0"/>
        <w:spacing w:before="240" w:after="240" w:line="480" w:lineRule="auto"/>
        <w:jc w:val="both"/>
        <w:rPr>
          <w:lang w:val="en-GB"/>
        </w:rPr>
      </w:pPr>
      <w:bookmarkStart w:id="22" w:name="_Ref404253951"/>
      <w:r w:rsidRPr="00CC39A2">
        <w:rPr>
          <w:lang w:val="en-GB"/>
        </w:rPr>
        <w:t>Hong, C. (2015) Laser Induced Incandescence and High Speed Imaging in Hydra Optical Diesel Engine, PhD Thesis Imperial College London, London UK</w:t>
      </w:r>
      <w:bookmarkEnd w:id="22"/>
    </w:p>
    <w:p w14:paraId="657AF647"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Idicheria, C. A. and L. M. Pickett (2005). Soot Formation in Diesel Combustion Under High-EGR Conditions. SAE 2005-01-3834.</w:t>
      </w:r>
    </w:p>
    <w:p w14:paraId="3946DDE1"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Johnson, T.V. (2015) Review of Vehicular Emissions Trends. SAE Technical Paper 2015-01-0993</w:t>
      </w:r>
    </w:p>
    <w:p w14:paraId="6EBAE3A4"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lastRenderedPageBreak/>
        <w:t>Kalghatgi, G.T., Kumara Gurubaran, R., Davenport, A., Harrison, A.J., Hardalupas, Y., Taylor, A.M.K.P. (2013) Some advantages and challenges of running a Euro IV, V6 diesel engine on a gasoline fuel. Fuel, 108:197-207</w:t>
      </w:r>
    </w:p>
    <w:p w14:paraId="12BC01CB" w14:textId="77777777" w:rsidR="00F0548D" w:rsidRPr="00CC39A2" w:rsidRDefault="00F0548D" w:rsidP="0036573C">
      <w:pPr>
        <w:autoSpaceDE w:val="0"/>
        <w:autoSpaceDN w:val="0"/>
        <w:adjustRightInd w:val="0"/>
        <w:spacing w:before="240" w:after="240" w:line="480" w:lineRule="auto"/>
        <w:jc w:val="both"/>
        <w:rPr>
          <w:lang w:val="en-GB"/>
        </w:rPr>
      </w:pPr>
      <w:bookmarkStart w:id="23" w:name="OLE_LINK33"/>
      <w:bookmarkStart w:id="24" w:name="OLE_LINK34"/>
      <w:r w:rsidRPr="00CC39A2">
        <w:rPr>
          <w:lang w:val="en-GB"/>
        </w:rPr>
        <w:t>Kathrotia</w:t>
      </w:r>
      <w:bookmarkEnd w:id="23"/>
      <w:bookmarkEnd w:id="24"/>
      <w:r w:rsidRPr="00CC39A2">
        <w:rPr>
          <w:lang w:val="en-GB"/>
        </w:rPr>
        <w:t xml:space="preserve">, T. </w:t>
      </w:r>
      <w:r w:rsidRPr="00CC39A2">
        <w:rPr>
          <w:i/>
          <w:lang w:val="en-GB"/>
        </w:rPr>
        <w:t>et al.</w:t>
      </w:r>
      <w:r w:rsidRPr="00CC39A2">
        <w:rPr>
          <w:lang w:val="en-GB"/>
        </w:rPr>
        <w:t xml:space="preserve"> (2012) Experimental and numerical study of chemiluminescent species in low-pressure flames. Appl. Phys. B 107:571-584</w:t>
      </w:r>
    </w:p>
    <w:p w14:paraId="519D7BEC"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 xml:space="preserve">Koci Ch. P., Ra Y., Krieger R. </w:t>
      </w:r>
      <w:r w:rsidRPr="00CC39A2">
        <w:rPr>
          <w:i/>
          <w:lang w:val="en-GB"/>
        </w:rPr>
        <w:t>et al.</w:t>
      </w:r>
      <w:r w:rsidRPr="00CC39A2">
        <w:rPr>
          <w:lang w:val="en-GB"/>
        </w:rPr>
        <w:t xml:space="preserve"> (2009) Multiple-Event Fuel Injection Investigations in a Highly-Dilute Diesel Low Temperature Combustion Regime, SAE Technical Paper 2009-04-20</w:t>
      </w:r>
    </w:p>
    <w:p w14:paraId="21A7E8E6" w14:textId="77777777" w:rsidR="00F0548D" w:rsidRPr="00CC39A2" w:rsidRDefault="00F0548D" w:rsidP="0036573C">
      <w:pPr>
        <w:autoSpaceDE w:val="0"/>
        <w:autoSpaceDN w:val="0"/>
        <w:adjustRightInd w:val="0"/>
        <w:spacing w:before="240" w:after="240" w:line="480" w:lineRule="auto"/>
        <w:jc w:val="both"/>
        <w:rPr>
          <w:lang w:val="en-GB"/>
        </w:rPr>
      </w:pPr>
      <w:bookmarkStart w:id="25" w:name="_Ref409195593"/>
      <w:r w:rsidRPr="00CC39A2">
        <w:rPr>
          <w:lang w:val="en-GB"/>
        </w:rPr>
        <w:t>Kohse-Höinghaus, K. (1994) Laser techniques for the quantitative detection of reactive intermediates in combustion systems. Prog. Energy Combust. Sci. 20,203-279</w:t>
      </w:r>
      <w:bookmarkEnd w:id="25"/>
    </w:p>
    <w:p w14:paraId="419E8311"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 xml:space="preserve">Leermakers, C.A. J., </w:t>
      </w:r>
      <w:r w:rsidRPr="00CC39A2">
        <w:rPr>
          <w:i/>
          <w:lang w:val="en-GB"/>
        </w:rPr>
        <w:t>et al.</w:t>
      </w:r>
      <w:r w:rsidRPr="00CC39A2">
        <w:rPr>
          <w:lang w:val="en-GB"/>
        </w:rPr>
        <w:t xml:space="preserve"> (2011) Experimental study of fuel composition impact on PCCI combustion in a heavy-duty diesel engine. SAE Technical Paper 2011-01-1351</w:t>
      </w:r>
    </w:p>
    <w:p w14:paraId="7916EFE6" w14:textId="77777777" w:rsidR="00E05DBE" w:rsidRPr="00CC39A2" w:rsidRDefault="00E05DBE" w:rsidP="0036573C">
      <w:pPr>
        <w:autoSpaceDE w:val="0"/>
        <w:autoSpaceDN w:val="0"/>
        <w:adjustRightInd w:val="0"/>
        <w:spacing w:before="240" w:after="240" w:line="480" w:lineRule="auto"/>
        <w:jc w:val="both"/>
        <w:rPr>
          <w:lang w:val="en-GB"/>
        </w:rPr>
      </w:pPr>
      <w:r w:rsidRPr="00CC39A2">
        <w:rPr>
          <w:lang w:val="en-GB"/>
        </w:rPr>
        <w:t>Li X., Guan C., Luo Y., Huang Z. (2015) Effect of multiple-injection strategies on diesel engine exhaust particle size and nanostructure. Journal of Aerosol Science 89 (2015) 69-76.</w:t>
      </w:r>
    </w:p>
    <w:p w14:paraId="7FFE4AC1"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Melton, L. A. (1984). Soot diagnostics based on laser heating. Applied Optics 23(13): 2201</w:t>
      </w:r>
    </w:p>
    <w:p w14:paraId="5986C639"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lastRenderedPageBreak/>
        <w:t xml:space="preserve">Menkiel, B., A. Donkerbroek, </w:t>
      </w:r>
      <w:r w:rsidRPr="00CC39A2">
        <w:rPr>
          <w:i/>
          <w:lang w:val="en-GB"/>
        </w:rPr>
        <w:t>et al.</w:t>
      </w:r>
      <w:r w:rsidRPr="00CC39A2">
        <w:rPr>
          <w:lang w:val="en-GB"/>
        </w:rPr>
        <w:t xml:space="preserve"> (2012) Measurement of in-cylinder soot particles and their distribution in an optical HSDI diesel engine using time resolved laser induced incandescence (TR-LII). Combust. Flame 159:2985-2998.</w:t>
      </w:r>
    </w:p>
    <w:p w14:paraId="226F5924"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 xml:space="preserve">Michelsen H.A., </w:t>
      </w:r>
      <w:r w:rsidRPr="00CC39A2">
        <w:rPr>
          <w:i/>
          <w:lang w:val="en-GB"/>
        </w:rPr>
        <w:t>et al.</w:t>
      </w:r>
      <w:r w:rsidRPr="00CC39A2">
        <w:rPr>
          <w:lang w:val="en-GB"/>
        </w:rPr>
        <w:t xml:space="preserve"> (2015) Laser-induced incandescence: Particulate diagnostics for combustion, atmospheric, and industrial applications. Prog Energy Combust Sci, 51;2-48</w:t>
      </w:r>
    </w:p>
    <w:p w14:paraId="24BB8B27" w14:textId="77777777" w:rsidR="00E05DBE" w:rsidRPr="00CC39A2" w:rsidRDefault="00E05DBE" w:rsidP="0036573C">
      <w:pPr>
        <w:autoSpaceDE w:val="0"/>
        <w:autoSpaceDN w:val="0"/>
        <w:adjustRightInd w:val="0"/>
        <w:spacing w:before="240" w:after="240" w:line="480" w:lineRule="auto"/>
        <w:jc w:val="both"/>
        <w:rPr>
          <w:lang w:val="en-GB"/>
        </w:rPr>
      </w:pPr>
      <w:r w:rsidRPr="00CC39A2">
        <w:rPr>
          <w:lang w:val="en-GB"/>
        </w:rPr>
        <w:t>Mohan B., Yang W., Chou S.k. (2013) Fuel injection strategies for performance improvement and emisions reduction in compression ignition engines – A review. Renewable and Sustainable Energy Reviews 28 (2013) 664-676.</w:t>
      </w:r>
    </w:p>
    <w:p w14:paraId="49D61F2C"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Musculus P.B.M., Paul C.M., Lyle M.P. (2013) Conceptual models for partially premixed low temperature diesel combustion. Prog Energy Combust Sci, 39:246–283</w:t>
      </w:r>
    </w:p>
    <w:p w14:paraId="3676CA2E" w14:textId="77777777" w:rsidR="00F0548D" w:rsidRPr="00CC39A2" w:rsidRDefault="00F0548D" w:rsidP="00FD616C">
      <w:pPr>
        <w:autoSpaceDE w:val="0"/>
        <w:autoSpaceDN w:val="0"/>
        <w:adjustRightInd w:val="0"/>
        <w:spacing w:before="240" w:after="240" w:line="480" w:lineRule="auto"/>
        <w:jc w:val="both"/>
        <w:rPr>
          <w:lang w:val="en-GB"/>
        </w:rPr>
      </w:pPr>
      <w:r w:rsidRPr="00CC39A2">
        <w:rPr>
          <w:lang w:val="en-GB"/>
        </w:rPr>
        <w:t xml:space="preserve">Nimodia S., Senthilkumar K. </w:t>
      </w:r>
      <w:r w:rsidRPr="00CC39A2">
        <w:rPr>
          <w:i/>
          <w:lang w:val="en-GB"/>
        </w:rPr>
        <w:t>et al.</w:t>
      </w:r>
      <w:r w:rsidRPr="00CC39A2">
        <w:rPr>
          <w:lang w:val="en-GB"/>
        </w:rPr>
        <w:t xml:space="preserve"> (2013) Simultaneous Reduction of NOx and Soot Using Early Post Injection. SAE Technical Paper 2013-26-0055.</w:t>
      </w:r>
    </w:p>
    <w:p w14:paraId="06370F78"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O'Connor, J., Musculus, M. (2013) Post injections for soot reduction in diesel engines: A review of current understanding. SAE Technical Paper 2013-01-019</w:t>
      </w:r>
    </w:p>
    <w:p w14:paraId="09593062" w14:textId="77777777" w:rsidR="00F0548D" w:rsidRPr="00CC39A2" w:rsidRDefault="00F0548D" w:rsidP="0036573C">
      <w:pPr>
        <w:spacing w:before="240" w:after="240" w:line="480" w:lineRule="auto"/>
        <w:jc w:val="both"/>
        <w:rPr>
          <w:lang w:val="en-GB"/>
        </w:rPr>
      </w:pPr>
      <w:r w:rsidRPr="00CC39A2">
        <w:rPr>
          <w:lang w:val="en-GB"/>
        </w:rPr>
        <w:t>Oppenauer, K.S., Alberer, D. (2013) Soot formation and oxidation mechanisms during diesel combustion: Analysis and modeling impacts. International J. of Engine Research 15,954-964</w:t>
      </w:r>
    </w:p>
    <w:p w14:paraId="3DA1E583"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lastRenderedPageBreak/>
        <w:t>Panoutsos, C.S., Hardalupas Y., and Taylor A.M.K.P. (2009) Numerical evaluation of equivalence ratio measurement using OH</w:t>
      </w:r>
      <w:r w:rsidRPr="00CC39A2">
        <w:rPr>
          <w:vertAlign w:val="superscript"/>
          <w:lang w:val="en-GB"/>
        </w:rPr>
        <w:t>*</w:t>
      </w:r>
      <w:r w:rsidRPr="00CC39A2">
        <w:rPr>
          <w:lang w:val="en-GB"/>
        </w:rPr>
        <w:t xml:space="preserve"> and CH</w:t>
      </w:r>
      <w:r w:rsidRPr="00CC39A2">
        <w:rPr>
          <w:vertAlign w:val="superscript"/>
          <w:lang w:val="en-GB"/>
        </w:rPr>
        <w:t>*</w:t>
      </w:r>
      <w:r w:rsidRPr="00CC39A2">
        <w:rPr>
          <w:lang w:val="en-GB"/>
        </w:rPr>
        <w:t xml:space="preserve"> chemiluminescence in premixed and nonpremixed methane-air flames. Combust. Flame, 156,273-291</w:t>
      </w:r>
    </w:p>
    <w:p w14:paraId="06EE9821" w14:textId="77777777" w:rsidR="00F0548D" w:rsidRPr="00CC39A2" w:rsidRDefault="00F0548D" w:rsidP="00FD616C">
      <w:pPr>
        <w:autoSpaceDE w:val="0"/>
        <w:autoSpaceDN w:val="0"/>
        <w:adjustRightInd w:val="0"/>
        <w:spacing w:before="240" w:after="240" w:line="480" w:lineRule="auto"/>
        <w:jc w:val="both"/>
        <w:rPr>
          <w:lang w:val="en-GB"/>
        </w:rPr>
      </w:pPr>
      <w:bookmarkStart w:id="26" w:name="_Ref406755333"/>
      <w:r w:rsidRPr="00CC39A2">
        <w:rPr>
          <w:lang w:val="en-GB"/>
        </w:rPr>
        <w:t>Park Y., Bae C. (2013) Effects of single and double post injections on diesel PCCI combustion. SAE Technical Papers 2013-01-0010</w:t>
      </w:r>
    </w:p>
    <w:bookmarkEnd w:id="26"/>
    <w:p w14:paraId="0A4ECCAF"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Reitz R.D., Duraisamy G. (2015) Review of high efficiency and clean reactivity controlled compression ignition (RCCI) combustion in internal combustion engines. Prog. Energy Combust. Sci. 46:12-71</w:t>
      </w:r>
    </w:p>
    <w:p w14:paraId="0C0F0CE0" w14:textId="77777777" w:rsidR="00F0548D" w:rsidRPr="00CC39A2" w:rsidRDefault="00F0548D" w:rsidP="00FD616C">
      <w:pPr>
        <w:autoSpaceDE w:val="0"/>
        <w:autoSpaceDN w:val="0"/>
        <w:adjustRightInd w:val="0"/>
        <w:spacing w:before="240" w:after="240" w:line="480" w:lineRule="auto"/>
        <w:jc w:val="both"/>
        <w:rPr>
          <w:lang w:val="en-GB"/>
        </w:rPr>
      </w:pPr>
      <w:r w:rsidRPr="00CC39A2">
        <w:rPr>
          <w:lang w:val="en-GB"/>
        </w:rPr>
        <w:t>Reitz, R.D. (2013) Directions in internal combustion engine research. Combust. Flame 160,1-8</w:t>
      </w:r>
    </w:p>
    <w:p w14:paraId="386DA2CD" w14:textId="77777777" w:rsidR="00F0548D" w:rsidRPr="00CC39A2" w:rsidRDefault="00F0548D" w:rsidP="0036573C">
      <w:pPr>
        <w:autoSpaceDE w:val="0"/>
        <w:autoSpaceDN w:val="0"/>
        <w:adjustRightInd w:val="0"/>
        <w:spacing w:before="240" w:after="240" w:line="480" w:lineRule="auto"/>
        <w:jc w:val="both"/>
        <w:rPr>
          <w:lang w:val="en-GB"/>
        </w:rPr>
      </w:pPr>
      <w:bookmarkStart w:id="27" w:name="_Ref404092944"/>
      <w:r w:rsidRPr="00CC39A2">
        <w:rPr>
          <w:lang w:val="en-GB"/>
        </w:rPr>
        <w:t>Saxena, S., Bedoya, I.D. (2013) Fundamental phenomena affecting low temperature combustion and HCCI engines, high load limits and strategies for extending these limits. Prog. Energy Combust. Sci. 39:457-488</w:t>
      </w:r>
      <w:bookmarkEnd w:id="27"/>
    </w:p>
    <w:p w14:paraId="610B5981"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 xml:space="preserve">Schulz, C., B. F. Kock, </w:t>
      </w:r>
      <w:r w:rsidRPr="00CC39A2">
        <w:rPr>
          <w:i/>
          <w:lang w:val="en-GB"/>
        </w:rPr>
        <w:t>et al.</w:t>
      </w:r>
      <w:r w:rsidRPr="00CC39A2">
        <w:rPr>
          <w:lang w:val="en-GB"/>
        </w:rPr>
        <w:t xml:space="preserve"> (2006). Laser-induced incandescence: recent trends and current questions. Applied Physics B-Lasers and Optics 83(3):333-354.</w:t>
      </w:r>
    </w:p>
    <w:p w14:paraId="0B758B33" w14:textId="77777777" w:rsidR="00F0548D" w:rsidRPr="00CC39A2" w:rsidRDefault="00F0548D" w:rsidP="0036573C">
      <w:pPr>
        <w:autoSpaceDE w:val="0"/>
        <w:autoSpaceDN w:val="0"/>
        <w:adjustRightInd w:val="0"/>
        <w:spacing w:before="240" w:after="240" w:line="480" w:lineRule="auto"/>
        <w:jc w:val="both"/>
        <w:rPr>
          <w:lang w:val="en-GB"/>
        </w:rPr>
      </w:pPr>
      <w:bookmarkStart w:id="28" w:name="_Ref408331568"/>
      <w:r w:rsidRPr="00CC39A2">
        <w:rPr>
          <w:lang w:val="en-GB"/>
        </w:rPr>
        <w:t>Stanglmaier, R.H., Roberts, C.E. (1999) Homogeneous Charge Compression Ignition: Benefits, Compromises and Future Engine Applications. SAE Technical Paper 1999-01-3682</w:t>
      </w:r>
      <w:bookmarkEnd w:id="28"/>
    </w:p>
    <w:p w14:paraId="3769D521"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lastRenderedPageBreak/>
        <w:t xml:space="preserve">Tropea, C., A. Yarin, </w:t>
      </w:r>
      <w:r w:rsidRPr="00CC39A2">
        <w:rPr>
          <w:i/>
          <w:lang w:val="en-GB"/>
        </w:rPr>
        <w:t>et al.</w:t>
      </w:r>
      <w:r w:rsidRPr="00CC39A2">
        <w:rPr>
          <w:lang w:val="en-GB"/>
        </w:rPr>
        <w:t xml:space="preserve"> (2007). Combustion Diagnostics. Springer Handbook of Experimental Fluid Mechanics. Springer Berlin Heidelberg.</w:t>
      </w:r>
    </w:p>
    <w:p w14:paraId="72223644" w14:textId="77777777" w:rsidR="00F0548D" w:rsidRPr="00CC39A2" w:rsidRDefault="00F0548D" w:rsidP="0036573C">
      <w:pPr>
        <w:autoSpaceDE w:val="0"/>
        <w:autoSpaceDN w:val="0"/>
        <w:adjustRightInd w:val="0"/>
        <w:spacing w:before="240" w:after="240" w:line="480" w:lineRule="auto"/>
        <w:jc w:val="both"/>
        <w:rPr>
          <w:lang w:val="en-GB"/>
        </w:rPr>
      </w:pPr>
      <w:r w:rsidRPr="00CC39A2">
        <w:rPr>
          <w:lang w:val="en-GB"/>
        </w:rPr>
        <w:t>Vogel T., Riess S., Fluegel A., Wensing M. (2013) Soot formation of different diesel-fuels investigated by chemical luminescence and laser induced incandescence</w:t>
      </w:r>
      <w:r w:rsidR="00347974" w:rsidRPr="00CC39A2">
        <w:rPr>
          <w:lang w:val="en-GB"/>
        </w:rPr>
        <w:t>.</w:t>
      </w:r>
      <w:r w:rsidRPr="00CC39A2">
        <w:rPr>
          <w:lang w:val="en-GB"/>
        </w:rPr>
        <w:t xml:space="preserve"> SAE Technical Papers 2013-01-2667.</w:t>
      </w:r>
    </w:p>
    <w:p w14:paraId="2588C265" w14:textId="77777777" w:rsidR="00E05DBE" w:rsidRPr="00CC39A2" w:rsidRDefault="00E05DBE" w:rsidP="0036573C">
      <w:pPr>
        <w:autoSpaceDE w:val="0"/>
        <w:autoSpaceDN w:val="0"/>
        <w:adjustRightInd w:val="0"/>
        <w:spacing w:before="240" w:after="240" w:line="480" w:lineRule="auto"/>
        <w:jc w:val="both"/>
        <w:rPr>
          <w:lang w:val="en-GB"/>
        </w:rPr>
      </w:pPr>
      <w:r w:rsidRPr="00CC39A2">
        <w:rPr>
          <w:lang w:val="en-GB"/>
        </w:rPr>
        <w:t>Xu Z., Li X., Guan C., Huang Z. (2015) Effects of Injection Pressure on Diesel Engine Particle Physico-Chemical Properties. Aerosol Science and Technology 48:2, 128-138, DOI: 10.1080/02786826.2013.862589.</w:t>
      </w:r>
    </w:p>
    <w:p w14:paraId="0A96618E" w14:textId="77777777" w:rsidR="00F0548D" w:rsidRPr="00CC39A2" w:rsidRDefault="00F0548D" w:rsidP="0036573C">
      <w:pPr>
        <w:autoSpaceDE w:val="0"/>
        <w:autoSpaceDN w:val="0"/>
        <w:adjustRightInd w:val="0"/>
        <w:spacing w:before="240" w:after="240" w:line="480" w:lineRule="auto"/>
        <w:jc w:val="both"/>
        <w:rPr>
          <w:lang w:val="en-GB"/>
        </w:rPr>
      </w:pPr>
      <w:bookmarkStart w:id="29" w:name="_Ref410295800"/>
      <w:r w:rsidRPr="00CC39A2">
        <w:rPr>
          <w:lang w:val="en-GB"/>
        </w:rPr>
        <w:t>Yao, M., Zheng, Z., Liu, H. (2009) Progress and recent trends in homogeneous charge compression ignition engines. Prog. Energy Combust. Sci. 35:398–437</w:t>
      </w:r>
      <w:bookmarkEnd w:id="29"/>
    </w:p>
    <w:p w14:paraId="4629354A" w14:textId="77777777" w:rsidR="00347974" w:rsidRPr="00CC39A2" w:rsidRDefault="00347974" w:rsidP="00347974">
      <w:pPr>
        <w:autoSpaceDE w:val="0"/>
        <w:autoSpaceDN w:val="0"/>
        <w:adjustRightInd w:val="0"/>
        <w:spacing w:before="240" w:after="240" w:line="480" w:lineRule="auto"/>
        <w:jc w:val="both"/>
        <w:rPr>
          <w:lang w:val="en-GB"/>
        </w:rPr>
      </w:pPr>
      <w:r w:rsidRPr="00CC39A2">
        <w:rPr>
          <w:lang w:val="en-GB"/>
        </w:rPr>
        <w:t>Yamamoto, K., Takada, K., Kusaka, J., Kanno, Y., and Nagata, M. (2006) Influence of Diesel Post Injection Timing on HC Emissions and Catalytic Oxidation Performance.  SAE Technical Papers 2006-01-3442.</w:t>
      </w:r>
      <w:bookmarkStart w:id="30" w:name="_GoBack"/>
      <w:bookmarkEnd w:id="30"/>
    </w:p>
    <w:sectPr w:rsidR="00347974" w:rsidRPr="00CC39A2" w:rsidSect="002E2513">
      <w:footerReference w:type="default" r:id="rId8"/>
      <w:pgSz w:w="11906" w:h="16838" w:code="9"/>
      <w:pgMar w:top="2835" w:right="1701" w:bottom="2835" w:left="170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D0C5B" w14:textId="77777777" w:rsidR="00702C35" w:rsidRDefault="00702C35">
      <w:r>
        <w:separator/>
      </w:r>
    </w:p>
  </w:endnote>
  <w:endnote w:type="continuationSeparator" w:id="0">
    <w:p w14:paraId="0894A443" w14:textId="77777777" w:rsidR="00702C35" w:rsidRDefault="00702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251DB" w14:textId="77777777" w:rsidR="00653C1D" w:rsidRDefault="00653C1D" w:rsidP="00DA697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59B84" w14:textId="77777777" w:rsidR="00702C35" w:rsidRDefault="00702C35">
      <w:r>
        <w:separator/>
      </w:r>
    </w:p>
  </w:footnote>
  <w:footnote w:type="continuationSeparator" w:id="0">
    <w:p w14:paraId="2CDA132F" w14:textId="77777777" w:rsidR="00702C35" w:rsidRDefault="00702C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2006B"/>
    <w:multiLevelType w:val="multilevel"/>
    <w:tmpl w:val="6E24E834"/>
    <w:lvl w:ilvl="0">
      <w:start w:val="1"/>
      <w:numFmt w:val="decimal"/>
      <w:lvlText w:val="[%1]"/>
      <w:lvlJc w:val="left"/>
      <w:pPr>
        <w:tabs>
          <w:tab w:val="num" w:pos="340"/>
        </w:tabs>
        <w:ind w:left="340" w:hanging="340"/>
      </w:pPr>
      <w:rPr>
        <w:rFonts w:ascii="Times New Roman" w:hAnsi="Times New Roman"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6A977A2"/>
    <w:multiLevelType w:val="hybridMultilevel"/>
    <w:tmpl w:val="AAEA8160"/>
    <w:lvl w:ilvl="0" w:tplc="DB689CCC">
      <w:start w:val="1"/>
      <w:numFmt w:val="bullet"/>
      <w:lvlText w:val=""/>
      <w:lvlJc w:val="left"/>
      <w:pPr>
        <w:tabs>
          <w:tab w:val="num" w:pos="720"/>
        </w:tabs>
        <w:ind w:left="720" w:hanging="360"/>
      </w:pPr>
      <w:rPr>
        <w:rFonts w:ascii="Wingdings" w:hAnsi="Wingdings" w:hint="default"/>
      </w:rPr>
    </w:lvl>
    <w:lvl w:ilvl="1" w:tplc="A6ACBE12" w:tentative="1">
      <w:start w:val="1"/>
      <w:numFmt w:val="bullet"/>
      <w:lvlText w:val=""/>
      <w:lvlJc w:val="left"/>
      <w:pPr>
        <w:tabs>
          <w:tab w:val="num" w:pos="1440"/>
        </w:tabs>
        <w:ind w:left="1440" w:hanging="360"/>
      </w:pPr>
      <w:rPr>
        <w:rFonts w:ascii="Wingdings" w:hAnsi="Wingdings" w:hint="default"/>
      </w:rPr>
    </w:lvl>
    <w:lvl w:ilvl="2" w:tplc="66680A48" w:tentative="1">
      <w:start w:val="1"/>
      <w:numFmt w:val="bullet"/>
      <w:lvlText w:val=""/>
      <w:lvlJc w:val="left"/>
      <w:pPr>
        <w:tabs>
          <w:tab w:val="num" w:pos="2160"/>
        </w:tabs>
        <w:ind w:left="2160" w:hanging="360"/>
      </w:pPr>
      <w:rPr>
        <w:rFonts w:ascii="Wingdings" w:hAnsi="Wingdings" w:hint="default"/>
      </w:rPr>
    </w:lvl>
    <w:lvl w:ilvl="3" w:tplc="C9D4645C" w:tentative="1">
      <w:start w:val="1"/>
      <w:numFmt w:val="bullet"/>
      <w:lvlText w:val=""/>
      <w:lvlJc w:val="left"/>
      <w:pPr>
        <w:tabs>
          <w:tab w:val="num" w:pos="2880"/>
        </w:tabs>
        <w:ind w:left="2880" w:hanging="360"/>
      </w:pPr>
      <w:rPr>
        <w:rFonts w:ascii="Wingdings" w:hAnsi="Wingdings" w:hint="default"/>
      </w:rPr>
    </w:lvl>
    <w:lvl w:ilvl="4" w:tplc="756624F8" w:tentative="1">
      <w:start w:val="1"/>
      <w:numFmt w:val="bullet"/>
      <w:lvlText w:val=""/>
      <w:lvlJc w:val="left"/>
      <w:pPr>
        <w:tabs>
          <w:tab w:val="num" w:pos="3600"/>
        </w:tabs>
        <w:ind w:left="3600" w:hanging="360"/>
      </w:pPr>
      <w:rPr>
        <w:rFonts w:ascii="Wingdings" w:hAnsi="Wingdings" w:hint="default"/>
      </w:rPr>
    </w:lvl>
    <w:lvl w:ilvl="5" w:tplc="B6DC8D18" w:tentative="1">
      <w:start w:val="1"/>
      <w:numFmt w:val="bullet"/>
      <w:lvlText w:val=""/>
      <w:lvlJc w:val="left"/>
      <w:pPr>
        <w:tabs>
          <w:tab w:val="num" w:pos="4320"/>
        </w:tabs>
        <w:ind w:left="4320" w:hanging="360"/>
      </w:pPr>
      <w:rPr>
        <w:rFonts w:ascii="Wingdings" w:hAnsi="Wingdings" w:hint="default"/>
      </w:rPr>
    </w:lvl>
    <w:lvl w:ilvl="6" w:tplc="5314812E" w:tentative="1">
      <w:start w:val="1"/>
      <w:numFmt w:val="bullet"/>
      <w:lvlText w:val=""/>
      <w:lvlJc w:val="left"/>
      <w:pPr>
        <w:tabs>
          <w:tab w:val="num" w:pos="5040"/>
        </w:tabs>
        <w:ind w:left="5040" w:hanging="360"/>
      </w:pPr>
      <w:rPr>
        <w:rFonts w:ascii="Wingdings" w:hAnsi="Wingdings" w:hint="default"/>
      </w:rPr>
    </w:lvl>
    <w:lvl w:ilvl="7" w:tplc="3306CADA" w:tentative="1">
      <w:start w:val="1"/>
      <w:numFmt w:val="bullet"/>
      <w:lvlText w:val=""/>
      <w:lvlJc w:val="left"/>
      <w:pPr>
        <w:tabs>
          <w:tab w:val="num" w:pos="5760"/>
        </w:tabs>
        <w:ind w:left="5760" w:hanging="360"/>
      </w:pPr>
      <w:rPr>
        <w:rFonts w:ascii="Wingdings" w:hAnsi="Wingdings" w:hint="default"/>
      </w:rPr>
    </w:lvl>
    <w:lvl w:ilvl="8" w:tplc="C230521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A8129D"/>
    <w:multiLevelType w:val="multilevel"/>
    <w:tmpl w:val="B80E8FD0"/>
    <w:lvl w:ilvl="0">
      <w:start w:val="1"/>
      <w:numFmt w:val="none"/>
      <w:lvlText w:val="[1]"/>
      <w:lvlJc w:val="left"/>
      <w:pPr>
        <w:tabs>
          <w:tab w:val="num" w:pos="340"/>
        </w:tabs>
        <w:ind w:left="340" w:hanging="340"/>
      </w:pPr>
      <w:rPr>
        <w:rFonts w:ascii="Times New Roman" w:hAnsi="Times New Roman"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C8B69D1"/>
    <w:multiLevelType w:val="hybridMultilevel"/>
    <w:tmpl w:val="7DDAA48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5910A08"/>
    <w:multiLevelType w:val="hybridMultilevel"/>
    <w:tmpl w:val="F5AA2B90"/>
    <w:lvl w:ilvl="0" w:tplc="8F16A942">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EF28E4"/>
    <w:multiLevelType w:val="hybridMultilevel"/>
    <w:tmpl w:val="67325E26"/>
    <w:lvl w:ilvl="0" w:tplc="5EEC1286">
      <w:start w:val="1"/>
      <w:numFmt w:val="decimal"/>
      <w:lvlText w:val="[%1]"/>
      <w:lvlJc w:val="left"/>
      <w:pPr>
        <w:tabs>
          <w:tab w:val="num" w:pos="397"/>
        </w:tabs>
        <w:ind w:left="397" w:hanging="397"/>
      </w:pPr>
      <w:rPr>
        <w:rFonts w:ascii="Times New Roman" w:hAnsi="Times New Roman" w:hint="default"/>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0A96395"/>
    <w:multiLevelType w:val="hybridMultilevel"/>
    <w:tmpl w:val="2AB4C0C4"/>
    <w:lvl w:ilvl="0" w:tplc="D220CE20">
      <w:start w:val="3"/>
      <w:numFmt w:val="bullet"/>
      <w:lvlText w:val=""/>
      <w:lvlJc w:val="left"/>
      <w:pPr>
        <w:ind w:left="720" w:hanging="360"/>
      </w:pPr>
      <w:rPr>
        <w:rFonts w:ascii="Wingdings" w:eastAsia="PMingLiU"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activeWritingStyle w:appName="MSWord" w:lang="en-GB" w:vendorID="64" w:dllVersion="131078" w:nlCheck="1" w:checkStyle="0"/>
  <w:activeWritingStyle w:appName="MSWord" w:lang="en-US" w:vendorID="64" w:dllVersion="131078" w:nlCheck="1" w:checkStyle="0"/>
  <w:trackRevisions/>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549"/>
    <w:rsid w:val="00002FE4"/>
    <w:rsid w:val="000045CC"/>
    <w:rsid w:val="000078DA"/>
    <w:rsid w:val="00012311"/>
    <w:rsid w:val="000130C3"/>
    <w:rsid w:val="00020982"/>
    <w:rsid w:val="000238AB"/>
    <w:rsid w:val="00024A3F"/>
    <w:rsid w:val="00025191"/>
    <w:rsid w:val="00025C03"/>
    <w:rsid w:val="00026381"/>
    <w:rsid w:val="00033CB1"/>
    <w:rsid w:val="000347D5"/>
    <w:rsid w:val="000406AC"/>
    <w:rsid w:val="00042325"/>
    <w:rsid w:val="000470B7"/>
    <w:rsid w:val="00050B27"/>
    <w:rsid w:val="00051A6D"/>
    <w:rsid w:val="00054BB4"/>
    <w:rsid w:val="000557AB"/>
    <w:rsid w:val="0005580C"/>
    <w:rsid w:val="00055FB4"/>
    <w:rsid w:val="000570FF"/>
    <w:rsid w:val="00057C69"/>
    <w:rsid w:val="00061DF2"/>
    <w:rsid w:val="00062E0A"/>
    <w:rsid w:val="00063D17"/>
    <w:rsid w:val="00070758"/>
    <w:rsid w:val="00071527"/>
    <w:rsid w:val="00080E08"/>
    <w:rsid w:val="00082276"/>
    <w:rsid w:val="00087BFF"/>
    <w:rsid w:val="00090A62"/>
    <w:rsid w:val="000912EE"/>
    <w:rsid w:val="0009669E"/>
    <w:rsid w:val="00097757"/>
    <w:rsid w:val="0009797C"/>
    <w:rsid w:val="000A1468"/>
    <w:rsid w:val="000A35A0"/>
    <w:rsid w:val="000A36D2"/>
    <w:rsid w:val="000A3F1B"/>
    <w:rsid w:val="000A3F85"/>
    <w:rsid w:val="000B07A2"/>
    <w:rsid w:val="000B2CCE"/>
    <w:rsid w:val="000B4205"/>
    <w:rsid w:val="000B59CB"/>
    <w:rsid w:val="000B6BB2"/>
    <w:rsid w:val="000C5AE3"/>
    <w:rsid w:val="000D1216"/>
    <w:rsid w:val="000D1AE9"/>
    <w:rsid w:val="000D2AE6"/>
    <w:rsid w:val="000D359D"/>
    <w:rsid w:val="000D4DB0"/>
    <w:rsid w:val="000E359D"/>
    <w:rsid w:val="000E3B35"/>
    <w:rsid w:val="000E4169"/>
    <w:rsid w:val="000E4E4F"/>
    <w:rsid w:val="000E550C"/>
    <w:rsid w:val="000E653E"/>
    <w:rsid w:val="000F3C54"/>
    <w:rsid w:val="000F3F9C"/>
    <w:rsid w:val="000F40B3"/>
    <w:rsid w:val="000F44C7"/>
    <w:rsid w:val="000F4C39"/>
    <w:rsid w:val="001013CB"/>
    <w:rsid w:val="001025AB"/>
    <w:rsid w:val="00106DF1"/>
    <w:rsid w:val="001107C7"/>
    <w:rsid w:val="001151F7"/>
    <w:rsid w:val="00115470"/>
    <w:rsid w:val="001223B0"/>
    <w:rsid w:val="00123759"/>
    <w:rsid w:val="001239A8"/>
    <w:rsid w:val="00124AC4"/>
    <w:rsid w:val="0012720B"/>
    <w:rsid w:val="00127557"/>
    <w:rsid w:val="001310E9"/>
    <w:rsid w:val="00132A38"/>
    <w:rsid w:val="00132A5D"/>
    <w:rsid w:val="001409AC"/>
    <w:rsid w:val="00142828"/>
    <w:rsid w:val="00143981"/>
    <w:rsid w:val="00143D3A"/>
    <w:rsid w:val="00144BCA"/>
    <w:rsid w:val="0014799B"/>
    <w:rsid w:val="00150B69"/>
    <w:rsid w:val="001511B2"/>
    <w:rsid w:val="00151714"/>
    <w:rsid w:val="00153694"/>
    <w:rsid w:val="00153F3E"/>
    <w:rsid w:val="001542D2"/>
    <w:rsid w:val="0015549F"/>
    <w:rsid w:val="00165926"/>
    <w:rsid w:val="00173268"/>
    <w:rsid w:val="00173FBF"/>
    <w:rsid w:val="001777B6"/>
    <w:rsid w:val="001804EB"/>
    <w:rsid w:val="001807AA"/>
    <w:rsid w:val="001874D4"/>
    <w:rsid w:val="00190BC1"/>
    <w:rsid w:val="00195220"/>
    <w:rsid w:val="001A2107"/>
    <w:rsid w:val="001A248C"/>
    <w:rsid w:val="001A2B8C"/>
    <w:rsid w:val="001A6B4C"/>
    <w:rsid w:val="001B05FA"/>
    <w:rsid w:val="001B5653"/>
    <w:rsid w:val="001C0E16"/>
    <w:rsid w:val="001C1919"/>
    <w:rsid w:val="001D1206"/>
    <w:rsid w:val="001D306A"/>
    <w:rsid w:val="001D3E7C"/>
    <w:rsid w:val="001D5D18"/>
    <w:rsid w:val="001D7235"/>
    <w:rsid w:val="001E1247"/>
    <w:rsid w:val="001E12B7"/>
    <w:rsid w:val="001E2D4C"/>
    <w:rsid w:val="001E3A7D"/>
    <w:rsid w:val="001E7274"/>
    <w:rsid w:val="001F2FB9"/>
    <w:rsid w:val="00204896"/>
    <w:rsid w:val="00214510"/>
    <w:rsid w:val="00214743"/>
    <w:rsid w:val="0022398A"/>
    <w:rsid w:val="00226250"/>
    <w:rsid w:val="00226FEE"/>
    <w:rsid w:val="00231C45"/>
    <w:rsid w:val="00231DD1"/>
    <w:rsid w:val="00232459"/>
    <w:rsid w:val="00232B80"/>
    <w:rsid w:val="0023345E"/>
    <w:rsid w:val="00235624"/>
    <w:rsid w:val="002366DB"/>
    <w:rsid w:val="00236E61"/>
    <w:rsid w:val="00240BBA"/>
    <w:rsid w:val="00240E1F"/>
    <w:rsid w:val="00241617"/>
    <w:rsid w:val="00250066"/>
    <w:rsid w:val="00250113"/>
    <w:rsid w:val="00255A87"/>
    <w:rsid w:val="00260774"/>
    <w:rsid w:val="00260A93"/>
    <w:rsid w:val="00262F1D"/>
    <w:rsid w:val="002640BA"/>
    <w:rsid w:val="0026496F"/>
    <w:rsid w:val="00264D4B"/>
    <w:rsid w:val="0026510D"/>
    <w:rsid w:val="00266102"/>
    <w:rsid w:val="002671BD"/>
    <w:rsid w:val="0027159F"/>
    <w:rsid w:val="00272C6A"/>
    <w:rsid w:val="00275553"/>
    <w:rsid w:val="0027598E"/>
    <w:rsid w:val="00276241"/>
    <w:rsid w:val="00276642"/>
    <w:rsid w:val="00277033"/>
    <w:rsid w:val="002773FB"/>
    <w:rsid w:val="00280F3C"/>
    <w:rsid w:val="0028130D"/>
    <w:rsid w:val="0028161A"/>
    <w:rsid w:val="002850C8"/>
    <w:rsid w:val="00285D6B"/>
    <w:rsid w:val="00285DAB"/>
    <w:rsid w:val="00285E2B"/>
    <w:rsid w:val="002870D0"/>
    <w:rsid w:val="00287127"/>
    <w:rsid w:val="00293181"/>
    <w:rsid w:val="00293490"/>
    <w:rsid w:val="00295515"/>
    <w:rsid w:val="002978F1"/>
    <w:rsid w:val="002A08F1"/>
    <w:rsid w:val="002A28F8"/>
    <w:rsid w:val="002A5A0B"/>
    <w:rsid w:val="002B0FFC"/>
    <w:rsid w:val="002B3FB3"/>
    <w:rsid w:val="002C051A"/>
    <w:rsid w:val="002D1BA9"/>
    <w:rsid w:val="002D2DDE"/>
    <w:rsid w:val="002D4009"/>
    <w:rsid w:val="002D4F39"/>
    <w:rsid w:val="002E01A5"/>
    <w:rsid w:val="002E134F"/>
    <w:rsid w:val="002E2513"/>
    <w:rsid w:val="002E2ABC"/>
    <w:rsid w:val="002E4B1F"/>
    <w:rsid w:val="002E71D9"/>
    <w:rsid w:val="002F7060"/>
    <w:rsid w:val="0030148C"/>
    <w:rsid w:val="00303058"/>
    <w:rsid w:val="00304A40"/>
    <w:rsid w:val="00305E8B"/>
    <w:rsid w:val="00310EA6"/>
    <w:rsid w:val="003111CA"/>
    <w:rsid w:val="00315BCB"/>
    <w:rsid w:val="00320914"/>
    <w:rsid w:val="0032180B"/>
    <w:rsid w:val="0032420F"/>
    <w:rsid w:val="0032754A"/>
    <w:rsid w:val="00330931"/>
    <w:rsid w:val="003317D9"/>
    <w:rsid w:val="00333169"/>
    <w:rsid w:val="0033350B"/>
    <w:rsid w:val="00334969"/>
    <w:rsid w:val="00335042"/>
    <w:rsid w:val="003412F3"/>
    <w:rsid w:val="00341FE5"/>
    <w:rsid w:val="003437DF"/>
    <w:rsid w:val="00344524"/>
    <w:rsid w:val="00347974"/>
    <w:rsid w:val="0035002C"/>
    <w:rsid w:val="003508BB"/>
    <w:rsid w:val="00351589"/>
    <w:rsid w:val="0035328C"/>
    <w:rsid w:val="00355A25"/>
    <w:rsid w:val="00360B49"/>
    <w:rsid w:val="00363C96"/>
    <w:rsid w:val="003651FD"/>
    <w:rsid w:val="00365266"/>
    <w:rsid w:val="0036573C"/>
    <w:rsid w:val="00367728"/>
    <w:rsid w:val="00370A0F"/>
    <w:rsid w:val="00370B7F"/>
    <w:rsid w:val="00371112"/>
    <w:rsid w:val="003722D5"/>
    <w:rsid w:val="00382707"/>
    <w:rsid w:val="0038457D"/>
    <w:rsid w:val="00385E12"/>
    <w:rsid w:val="00390DDC"/>
    <w:rsid w:val="003923D4"/>
    <w:rsid w:val="003951FE"/>
    <w:rsid w:val="003A1894"/>
    <w:rsid w:val="003A1B69"/>
    <w:rsid w:val="003A3F2F"/>
    <w:rsid w:val="003A6A59"/>
    <w:rsid w:val="003A7ED8"/>
    <w:rsid w:val="003B4478"/>
    <w:rsid w:val="003B530F"/>
    <w:rsid w:val="003B55C2"/>
    <w:rsid w:val="003B7858"/>
    <w:rsid w:val="003B7F3E"/>
    <w:rsid w:val="003C1923"/>
    <w:rsid w:val="003C257A"/>
    <w:rsid w:val="003D0E7D"/>
    <w:rsid w:val="003D2597"/>
    <w:rsid w:val="003D2824"/>
    <w:rsid w:val="003D3B11"/>
    <w:rsid w:val="003D3D22"/>
    <w:rsid w:val="003E0159"/>
    <w:rsid w:val="003E1B70"/>
    <w:rsid w:val="003E33F6"/>
    <w:rsid w:val="003E41CB"/>
    <w:rsid w:val="003E49BF"/>
    <w:rsid w:val="003E51DA"/>
    <w:rsid w:val="003E59E0"/>
    <w:rsid w:val="003E72E9"/>
    <w:rsid w:val="003E7ABA"/>
    <w:rsid w:val="003F1C30"/>
    <w:rsid w:val="003F4ECB"/>
    <w:rsid w:val="0040011B"/>
    <w:rsid w:val="00402432"/>
    <w:rsid w:val="0040270F"/>
    <w:rsid w:val="00402BC9"/>
    <w:rsid w:val="00403512"/>
    <w:rsid w:val="004038A7"/>
    <w:rsid w:val="0040581B"/>
    <w:rsid w:val="00410614"/>
    <w:rsid w:val="0041077C"/>
    <w:rsid w:val="00411FD7"/>
    <w:rsid w:val="00414B1B"/>
    <w:rsid w:val="0041501B"/>
    <w:rsid w:val="00415743"/>
    <w:rsid w:val="00420437"/>
    <w:rsid w:val="00421FB5"/>
    <w:rsid w:val="00423413"/>
    <w:rsid w:val="004247AF"/>
    <w:rsid w:val="00426D27"/>
    <w:rsid w:val="00427B74"/>
    <w:rsid w:val="00427BC8"/>
    <w:rsid w:val="00427C7B"/>
    <w:rsid w:val="00435F98"/>
    <w:rsid w:val="0043681F"/>
    <w:rsid w:val="00437C13"/>
    <w:rsid w:val="00441DBE"/>
    <w:rsid w:val="00442251"/>
    <w:rsid w:val="0044442C"/>
    <w:rsid w:val="0044740C"/>
    <w:rsid w:val="004478C9"/>
    <w:rsid w:val="00447B57"/>
    <w:rsid w:val="00452C58"/>
    <w:rsid w:val="00454D36"/>
    <w:rsid w:val="0046058B"/>
    <w:rsid w:val="00461BD9"/>
    <w:rsid w:val="0046284A"/>
    <w:rsid w:val="00463925"/>
    <w:rsid w:val="004646DB"/>
    <w:rsid w:val="004661DE"/>
    <w:rsid w:val="00471A7F"/>
    <w:rsid w:val="00476606"/>
    <w:rsid w:val="004779EC"/>
    <w:rsid w:val="00480560"/>
    <w:rsid w:val="00481591"/>
    <w:rsid w:val="00484E39"/>
    <w:rsid w:val="00486B3A"/>
    <w:rsid w:val="004875CA"/>
    <w:rsid w:val="004915A2"/>
    <w:rsid w:val="004922C8"/>
    <w:rsid w:val="00494FC4"/>
    <w:rsid w:val="00495385"/>
    <w:rsid w:val="00497577"/>
    <w:rsid w:val="00497F6B"/>
    <w:rsid w:val="004A02E3"/>
    <w:rsid w:val="004A062D"/>
    <w:rsid w:val="004A32DA"/>
    <w:rsid w:val="004A486B"/>
    <w:rsid w:val="004A74C1"/>
    <w:rsid w:val="004B0668"/>
    <w:rsid w:val="004B3157"/>
    <w:rsid w:val="004B3D8D"/>
    <w:rsid w:val="004B65F6"/>
    <w:rsid w:val="004B790B"/>
    <w:rsid w:val="004C15C9"/>
    <w:rsid w:val="004C3765"/>
    <w:rsid w:val="004C56A6"/>
    <w:rsid w:val="004C65D8"/>
    <w:rsid w:val="004C7098"/>
    <w:rsid w:val="004C75FA"/>
    <w:rsid w:val="004D1FD3"/>
    <w:rsid w:val="004D537D"/>
    <w:rsid w:val="004E138C"/>
    <w:rsid w:val="004E185D"/>
    <w:rsid w:val="004E218E"/>
    <w:rsid w:val="004E395A"/>
    <w:rsid w:val="004E3D7C"/>
    <w:rsid w:val="004E4498"/>
    <w:rsid w:val="004E7273"/>
    <w:rsid w:val="004E76E8"/>
    <w:rsid w:val="004F59FF"/>
    <w:rsid w:val="004F67BE"/>
    <w:rsid w:val="00506D72"/>
    <w:rsid w:val="00507FEB"/>
    <w:rsid w:val="00511BD2"/>
    <w:rsid w:val="0051303E"/>
    <w:rsid w:val="005139DF"/>
    <w:rsid w:val="00515449"/>
    <w:rsid w:val="0051577D"/>
    <w:rsid w:val="0051616C"/>
    <w:rsid w:val="00517C93"/>
    <w:rsid w:val="0052340D"/>
    <w:rsid w:val="00524128"/>
    <w:rsid w:val="005242F7"/>
    <w:rsid w:val="00524750"/>
    <w:rsid w:val="00525E9D"/>
    <w:rsid w:val="00530C99"/>
    <w:rsid w:val="00531AF7"/>
    <w:rsid w:val="00533C0B"/>
    <w:rsid w:val="00535F0D"/>
    <w:rsid w:val="005403EC"/>
    <w:rsid w:val="00540D09"/>
    <w:rsid w:val="0054219A"/>
    <w:rsid w:val="00542D66"/>
    <w:rsid w:val="00545EB5"/>
    <w:rsid w:val="00550954"/>
    <w:rsid w:val="00552BCD"/>
    <w:rsid w:val="005600D7"/>
    <w:rsid w:val="0056258E"/>
    <w:rsid w:val="00573E85"/>
    <w:rsid w:val="00575079"/>
    <w:rsid w:val="00575C64"/>
    <w:rsid w:val="00577AA8"/>
    <w:rsid w:val="00580075"/>
    <w:rsid w:val="0058644C"/>
    <w:rsid w:val="00586BD1"/>
    <w:rsid w:val="005873C0"/>
    <w:rsid w:val="005901CE"/>
    <w:rsid w:val="005936C6"/>
    <w:rsid w:val="005A1069"/>
    <w:rsid w:val="005A1E83"/>
    <w:rsid w:val="005A399F"/>
    <w:rsid w:val="005A580E"/>
    <w:rsid w:val="005A5A7F"/>
    <w:rsid w:val="005A5DF0"/>
    <w:rsid w:val="005B1656"/>
    <w:rsid w:val="005B2713"/>
    <w:rsid w:val="005B2751"/>
    <w:rsid w:val="005B3ACF"/>
    <w:rsid w:val="005B6D94"/>
    <w:rsid w:val="005B6F1B"/>
    <w:rsid w:val="005B7C14"/>
    <w:rsid w:val="005C037C"/>
    <w:rsid w:val="005C09CC"/>
    <w:rsid w:val="005C30C6"/>
    <w:rsid w:val="005C330C"/>
    <w:rsid w:val="005C62DF"/>
    <w:rsid w:val="005C63E1"/>
    <w:rsid w:val="005C7612"/>
    <w:rsid w:val="005D3EA8"/>
    <w:rsid w:val="005D4720"/>
    <w:rsid w:val="005D5647"/>
    <w:rsid w:val="005D5F6F"/>
    <w:rsid w:val="005D6B6F"/>
    <w:rsid w:val="005D722A"/>
    <w:rsid w:val="005D7347"/>
    <w:rsid w:val="005E1CF3"/>
    <w:rsid w:val="005E4680"/>
    <w:rsid w:val="005E4AAB"/>
    <w:rsid w:val="005E5817"/>
    <w:rsid w:val="005E746A"/>
    <w:rsid w:val="005F0DA0"/>
    <w:rsid w:val="005F2D57"/>
    <w:rsid w:val="005F3003"/>
    <w:rsid w:val="005F3174"/>
    <w:rsid w:val="005F3E61"/>
    <w:rsid w:val="006016FF"/>
    <w:rsid w:val="0060196D"/>
    <w:rsid w:val="00605A8C"/>
    <w:rsid w:val="00606248"/>
    <w:rsid w:val="00607EA8"/>
    <w:rsid w:val="00611F87"/>
    <w:rsid w:val="00612591"/>
    <w:rsid w:val="00615027"/>
    <w:rsid w:val="006159E1"/>
    <w:rsid w:val="006237CD"/>
    <w:rsid w:val="00632039"/>
    <w:rsid w:val="00632275"/>
    <w:rsid w:val="00632616"/>
    <w:rsid w:val="00632C2E"/>
    <w:rsid w:val="00633518"/>
    <w:rsid w:val="00633C8F"/>
    <w:rsid w:val="00633E7C"/>
    <w:rsid w:val="00635108"/>
    <w:rsid w:val="00635F73"/>
    <w:rsid w:val="006375EC"/>
    <w:rsid w:val="00637BC9"/>
    <w:rsid w:val="00637FCD"/>
    <w:rsid w:val="0064184A"/>
    <w:rsid w:val="006423BE"/>
    <w:rsid w:val="00642DB1"/>
    <w:rsid w:val="00645139"/>
    <w:rsid w:val="00652087"/>
    <w:rsid w:val="00653C1D"/>
    <w:rsid w:val="0065513B"/>
    <w:rsid w:val="00656637"/>
    <w:rsid w:val="00666D3D"/>
    <w:rsid w:val="006700EE"/>
    <w:rsid w:val="00670E2B"/>
    <w:rsid w:val="0067162F"/>
    <w:rsid w:val="0067341A"/>
    <w:rsid w:val="00674467"/>
    <w:rsid w:val="006755FE"/>
    <w:rsid w:val="00676E48"/>
    <w:rsid w:val="0067715D"/>
    <w:rsid w:val="006775F9"/>
    <w:rsid w:val="00682CC0"/>
    <w:rsid w:val="0068359C"/>
    <w:rsid w:val="00683AC8"/>
    <w:rsid w:val="00686B8F"/>
    <w:rsid w:val="00692416"/>
    <w:rsid w:val="0069307B"/>
    <w:rsid w:val="00696E28"/>
    <w:rsid w:val="006A357D"/>
    <w:rsid w:val="006A49D0"/>
    <w:rsid w:val="006A4F9C"/>
    <w:rsid w:val="006A51A6"/>
    <w:rsid w:val="006A6666"/>
    <w:rsid w:val="006A6CB7"/>
    <w:rsid w:val="006A7AB5"/>
    <w:rsid w:val="006B1A1B"/>
    <w:rsid w:val="006B1C6F"/>
    <w:rsid w:val="006B40CC"/>
    <w:rsid w:val="006C097C"/>
    <w:rsid w:val="006C1E58"/>
    <w:rsid w:val="006C3B80"/>
    <w:rsid w:val="006C7E51"/>
    <w:rsid w:val="006D44E3"/>
    <w:rsid w:val="006D5E92"/>
    <w:rsid w:val="006D6DBB"/>
    <w:rsid w:val="006D7E47"/>
    <w:rsid w:val="006E1B40"/>
    <w:rsid w:val="006E7732"/>
    <w:rsid w:val="006F1F67"/>
    <w:rsid w:val="006F2A31"/>
    <w:rsid w:val="006F3BEC"/>
    <w:rsid w:val="006F4E06"/>
    <w:rsid w:val="006F60CB"/>
    <w:rsid w:val="006F7B3F"/>
    <w:rsid w:val="00702C35"/>
    <w:rsid w:val="0070485F"/>
    <w:rsid w:val="00704AEC"/>
    <w:rsid w:val="00710896"/>
    <w:rsid w:val="00715C25"/>
    <w:rsid w:val="00717388"/>
    <w:rsid w:val="0071771B"/>
    <w:rsid w:val="00717B64"/>
    <w:rsid w:val="00717C53"/>
    <w:rsid w:val="00721FBB"/>
    <w:rsid w:val="00722D1D"/>
    <w:rsid w:val="0072563C"/>
    <w:rsid w:val="007257B7"/>
    <w:rsid w:val="0072682F"/>
    <w:rsid w:val="007306EB"/>
    <w:rsid w:val="00731100"/>
    <w:rsid w:val="0073123B"/>
    <w:rsid w:val="00731681"/>
    <w:rsid w:val="007371D0"/>
    <w:rsid w:val="00737B69"/>
    <w:rsid w:val="00737E97"/>
    <w:rsid w:val="007409E1"/>
    <w:rsid w:val="007423A9"/>
    <w:rsid w:val="0074281B"/>
    <w:rsid w:val="00747759"/>
    <w:rsid w:val="00747AF3"/>
    <w:rsid w:val="00751776"/>
    <w:rsid w:val="00753428"/>
    <w:rsid w:val="00756477"/>
    <w:rsid w:val="007614E3"/>
    <w:rsid w:val="00770624"/>
    <w:rsid w:val="0077083C"/>
    <w:rsid w:val="007715CD"/>
    <w:rsid w:val="00773D37"/>
    <w:rsid w:val="007763E8"/>
    <w:rsid w:val="00784F2E"/>
    <w:rsid w:val="007901EC"/>
    <w:rsid w:val="00791322"/>
    <w:rsid w:val="0079203B"/>
    <w:rsid w:val="0079580D"/>
    <w:rsid w:val="007971A3"/>
    <w:rsid w:val="007A04A4"/>
    <w:rsid w:val="007A1345"/>
    <w:rsid w:val="007A1F8B"/>
    <w:rsid w:val="007A3A1F"/>
    <w:rsid w:val="007B1625"/>
    <w:rsid w:val="007B3FBB"/>
    <w:rsid w:val="007B455A"/>
    <w:rsid w:val="007B4D9B"/>
    <w:rsid w:val="007C01CD"/>
    <w:rsid w:val="007C1549"/>
    <w:rsid w:val="007C29CF"/>
    <w:rsid w:val="007C4941"/>
    <w:rsid w:val="007C65AE"/>
    <w:rsid w:val="007C77AE"/>
    <w:rsid w:val="007D0211"/>
    <w:rsid w:val="007D2D62"/>
    <w:rsid w:val="007D44F5"/>
    <w:rsid w:val="007D6C19"/>
    <w:rsid w:val="007E0CB3"/>
    <w:rsid w:val="007E10B5"/>
    <w:rsid w:val="007E15E8"/>
    <w:rsid w:val="007E1F72"/>
    <w:rsid w:val="007E2781"/>
    <w:rsid w:val="007E33C7"/>
    <w:rsid w:val="007E514F"/>
    <w:rsid w:val="007E58C0"/>
    <w:rsid w:val="007F6FD2"/>
    <w:rsid w:val="007F77DA"/>
    <w:rsid w:val="0080411C"/>
    <w:rsid w:val="00805301"/>
    <w:rsid w:val="00806FA8"/>
    <w:rsid w:val="008077DA"/>
    <w:rsid w:val="00813111"/>
    <w:rsid w:val="00814149"/>
    <w:rsid w:val="00814833"/>
    <w:rsid w:val="00815873"/>
    <w:rsid w:val="00815A71"/>
    <w:rsid w:val="00817932"/>
    <w:rsid w:val="00817F57"/>
    <w:rsid w:val="008212D1"/>
    <w:rsid w:val="00824585"/>
    <w:rsid w:val="008248B1"/>
    <w:rsid w:val="00825035"/>
    <w:rsid w:val="00825CED"/>
    <w:rsid w:val="008272B2"/>
    <w:rsid w:val="0083010D"/>
    <w:rsid w:val="00831214"/>
    <w:rsid w:val="00834412"/>
    <w:rsid w:val="00834F98"/>
    <w:rsid w:val="008378DB"/>
    <w:rsid w:val="00840C87"/>
    <w:rsid w:val="00843C2C"/>
    <w:rsid w:val="00844339"/>
    <w:rsid w:val="0084480F"/>
    <w:rsid w:val="00847F28"/>
    <w:rsid w:val="00850C9E"/>
    <w:rsid w:val="00852B03"/>
    <w:rsid w:val="00855A6D"/>
    <w:rsid w:val="0085661C"/>
    <w:rsid w:val="00856971"/>
    <w:rsid w:val="008605E6"/>
    <w:rsid w:val="0086157B"/>
    <w:rsid w:val="00864AA3"/>
    <w:rsid w:val="00865E91"/>
    <w:rsid w:val="00874B14"/>
    <w:rsid w:val="00875FC9"/>
    <w:rsid w:val="00876355"/>
    <w:rsid w:val="008776A1"/>
    <w:rsid w:val="00877EB8"/>
    <w:rsid w:val="00877EC1"/>
    <w:rsid w:val="008814EB"/>
    <w:rsid w:val="008819DC"/>
    <w:rsid w:val="00883965"/>
    <w:rsid w:val="00893031"/>
    <w:rsid w:val="008A4427"/>
    <w:rsid w:val="008A4541"/>
    <w:rsid w:val="008A579B"/>
    <w:rsid w:val="008A5BA0"/>
    <w:rsid w:val="008A5C02"/>
    <w:rsid w:val="008B053B"/>
    <w:rsid w:val="008C07E8"/>
    <w:rsid w:val="008C084F"/>
    <w:rsid w:val="008C22B6"/>
    <w:rsid w:val="008C6916"/>
    <w:rsid w:val="008C6BD4"/>
    <w:rsid w:val="008C6FDC"/>
    <w:rsid w:val="008C7D01"/>
    <w:rsid w:val="008D3AD0"/>
    <w:rsid w:val="008D3EFF"/>
    <w:rsid w:val="008D520C"/>
    <w:rsid w:val="008D557A"/>
    <w:rsid w:val="008E0473"/>
    <w:rsid w:val="008E0AB1"/>
    <w:rsid w:val="008E191A"/>
    <w:rsid w:val="008E2FB6"/>
    <w:rsid w:val="008E3A27"/>
    <w:rsid w:val="008E5F17"/>
    <w:rsid w:val="008E6364"/>
    <w:rsid w:val="008E64AD"/>
    <w:rsid w:val="008E6B09"/>
    <w:rsid w:val="008F2115"/>
    <w:rsid w:val="008F2F91"/>
    <w:rsid w:val="008F6E9B"/>
    <w:rsid w:val="009003BD"/>
    <w:rsid w:val="009038B0"/>
    <w:rsid w:val="009038BE"/>
    <w:rsid w:val="00907FE7"/>
    <w:rsid w:val="009105B0"/>
    <w:rsid w:val="009113C0"/>
    <w:rsid w:val="009115F5"/>
    <w:rsid w:val="0091164E"/>
    <w:rsid w:val="009141A1"/>
    <w:rsid w:val="009161D9"/>
    <w:rsid w:val="00917092"/>
    <w:rsid w:val="009228E6"/>
    <w:rsid w:val="00922F0D"/>
    <w:rsid w:val="009250AA"/>
    <w:rsid w:val="009274B1"/>
    <w:rsid w:val="0093060E"/>
    <w:rsid w:val="00931594"/>
    <w:rsid w:val="0093205E"/>
    <w:rsid w:val="0093416D"/>
    <w:rsid w:val="00936DFD"/>
    <w:rsid w:val="00937A15"/>
    <w:rsid w:val="00941A6D"/>
    <w:rsid w:val="00947B1E"/>
    <w:rsid w:val="00952259"/>
    <w:rsid w:val="00953ECE"/>
    <w:rsid w:val="00954D92"/>
    <w:rsid w:val="00955861"/>
    <w:rsid w:val="00955AAA"/>
    <w:rsid w:val="00955BB5"/>
    <w:rsid w:val="00956578"/>
    <w:rsid w:val="009567F5"/>
    <w:rsid w:val="009618D7"/>
    <w:rsid w:val="00961ECC"/>
    <w:rsid w:val="00964F9A"/>
    <w:rsid w:val="00965AD2"/>
    <w:rsid w:val="00965BC2"/>
    <w:rsid w:val="00966C30"/>
    <w:rsid w:val="00970769"/>
    <w:rsid w:val="00970901"/>
    <w:rsid w:val="00970C5E"/>
    <w:rsid w:val="00973196"/>
    <w:rsid w:val="009741C6"/>
    <w:rsid w:val="00975662"/>
    <w:rsid w:val="00975A09"/>
    <w:rsid w:val="00975C34"/>
    <w:rsid w:val="009764A4"/>
    <w:rsid w:val="009813AF"/>
    <w:rsid w:val="0098305B"/>
    <w:rsid w:val="0098430F"/>
    <w:rsid w:val="00984825"/>
    <w:rsid w:val="00985F7B"/>
    <w:rsid w:val="00986618"/>
    <w:rsid w:val="0099023E"/>
    <w:rsid w:val="00991D6C"/>
    <w:rsid w:val="0099356B"/>
    <w:rsid w:val="009A20BD"/>
    <w:rsid w:val="009A6B88"/>
    <w:rsid w:val="009A6DED"/>
    <w:rsid w:val="009B1E7A"/>
    <w:rsid w:val="009B2AA9"/>
    <w:rsid w:val="009B3C9F"/>
    <w:rsid w:val="009B69C5"/>
    <w:rsid w:val="009C02A4"/>
    <w:rsid w:val="009C13E0"/>
    <w:rsid w:val="009C2D5E"/>
    <w:rsid w:val="009C2F0B"/>
    <w:rsid w:val="009C64F4"/>
    <w:rsid w:val="009D24C5"/>
    <w:rsid w:val="009D753B"/>
    <w:rsid w:val="009D7DD4"/>
    <w:rsid w:val="009E0EE5"/>
    <w:rsid w:val="009E15D2"/>
    <w:rsid w:val="009E3C69"/>
    <w:rsid w:val="009E4D71"/>
    <w:rsid w:val="009E4F66"/>
    <w:rsid w:val="009E52CF"/>
    <w:rsid w:val="009F068E"/>
    <w:rsid w:val="009F1D5C"/>
    <w:rsid w:val="009F4B7E"/>
    <w:rsid w:val="009F4ED5"/>
    <w:rsid w:val="009F6276"/>
    <w:rsid w:val="009F7730"/>
    <w:rsid w:val="00A02241"/>
    <w:rsid w:val="00A02F2C"/>
    <w:rsid w:val="00A031F3"/>
    <w:rsid w:val="00A03D8F"/>
    <w:rsid w:val="00A0566C"/>
    <w:rsid w:val="00A0699F"/>
    <w:rsid w:val="00A069D0"/>
    <w:rsid w:val="00A07ED1"/>
    <w:rsid w:val="00A1001C"/>
    <w:rsid w:val="00A10274"/>
    <w:rsid w:val="00A14CE9"/>
    <w:rsid w:val="00A21CC2"/>
    <w:rsid w:val="00A32716"/>
    <w:rsid w:val="00A333F6"/>
    <w:rsid w:val="00A3477D"/>
    <w:rsid w:val="00A40B2A"/>
    <w:rsid w:val="00A42894"/>
    <w:rsid w:val="00A46149"/>
    <w:rsid w:val="00A50C00"/>
    <w:rsid w:val="00A547BA"/>
    <w:rsid w:val="00A54BE7"/>
    <w:rsid w:val="00A559FF"/>
    <w:rsid w:val="00A55D90"/>
    <w:rsid w:val="00A5604E"/>
    <w:rsid w:val="00A60C32"/>
    <w:rsid w:val="00A61F7E"/>
    <w:rsid w:val="00A63961"/>
    <w:rsid w:val="00A66257"/>
    <w:rsid w:val="00A67B38"/>
    <w:rsid w:val="00A7076C"/>
    <w:rsid w:val="00A7189F"/>
    <w:rsid w:val="00A74982"/>
    <w:rsid w:val="00A74CED"/>
    <w:rsid w:val="00A8149D"/>
    <w:rsid w:val="00A8269C"/>
    <w:rsid w:val="00A83C71"/>
    <w:rsid w:val="00A844D1"/>
    <w:rsid w:val="00A853DA"/>
    <w:rsid w:val="00A8598A"/>
    <w:rsid w:val="00A85C76"/>
    <w:rsid w:val="00A90B0B"/>
    <w:rsid w:val="00A946DD"/>
    <w:rsid w:val="00A949E7"/>
    <w:rsid w:val="00A96464"/>
    <w:rsid w:val="00AA1718"/>
    <w:rsid w:val="00AA1C6D"/>
    <w:rsid w:val="00AA2D4A"/>
    <w:rsid w:val="00AA5FCA"/>
    <w:rsid w:val="00AB45E5"/>
    <w:rsid w:val="00AB4826"/>
    <w:rsid w:val="00AC059B"/>
    <w:rsid w:val="00AC0686"/>
    <w:rsid w:val="00AC4565"/>
    <w:rsid w:val="00AD462F"/>
    <w:rsid w:val="00AD4CD4"/>
    <w:rsid w:val="00AD52D8"/>
    <w:rsid w:val="00AD5320"/>
    <w:rsid w:val="00AD5D76"/>
    <w:rsid w:val="00AD6AEA"/>
    <w:rsid w:val="00AD6B0D"/>
    <w:rsid w:val="00AE1FB7"/>
    <w:rsid w:val="00AE3502"/>
    <w:rsid w:val="00AE3BFA"/>
    <w:rsid w:val="00AE3E56"/>
    <w:rsid w:val="00AF141D"/>
    <w:rsid w:val="00AF323B"/>
    <w:rsid w:val="00AF3B0C"/>
    <w:rsid w:val="00AF49BF"/>
    <w:rsid w:val="00AF635F"/>
    <w:rsid w:val="00AF758B"/>
    <w:rsid w:val="00B0368F"/>
    <w:rsid w:val="00B109F3"/>
    <w:rsid w:val="00B11527"/>
    <w:rsid w:val="00B1206F"/>
    <w:rsid w:val="00B122CF"/>
    <w:rsid w:val="00B139C8"/>
    <w:rsid w:val="00B15F9C"/>
    <w:rsid w:val="00B16087"/>
    <w:rsid w:val="00B16777"/>
    <w:rsid w:val="00B1697D"/>
    <w:rsid w:val="00B20C6A"/>
    <w:rsid w:val="00B22518"/>
    <w:rsid w:val="00B24A19"/>
    <w:rsid w:val="00B257D1"/>
    <w:rsid w:val="00B25AD2"/>
    <w:rsid w:val="00B25DA4"/>
    <w:rsid w:val="00B2717F"/>
    <w:rsid w:val="00B3043B"/>
    <w:rsid w:val="00B32093"/>
    <w:rsid w:val="00B320C9"/>
    <w:rsid w:val="00B327FF"/>
    <w:rsid w:val="00B367E0"/>
    <w:rsid w:val="00B37A2D"/>
    <w:rsid w:val="00B40529"/>
    <w:rsid w:val="00B40A15"/>
    <w:rsid w:val="00B5181C"/>
    <w:rsid w:val="00B57E3D"/>
    <w:rsid w:val="00B6038D"/>
    <w:rsid w:val="00B62260"/>
    <w:rsid w:val="00B64460"/>
    <w:rsid w:val="00B74F14"/>
    <w:rsid w:val="00B7579A"/>
    <w:rsid w:val="00B7676F"/>
    <w:rsid w:val="00B76C02"/>
    <w:rsid w:val="00B824F3"/>
    <w:rsid w:val="00B87A63"/>
    <w:rsid w:val="00B90A97"/>
    <w:rsid w:val="00B9264B"/>
    <w:rsid w:val="00B92FDB"/>
    <w:rsid w:val="00B96122"/>
    <w:rsid w:val="00BA2C70"/>
    <w:rsid w:val="00BA3F5C"/>
    <w:rsid w:val="00BA57AC"/>
    <w:rsid w:val="00BA6FB5"/>
    <w:rsid w:val="00BA7782"/>
    <w:rsid w:val="00BB139E"/>
    <w:rsid w:val="00BB1504"/>
    <w:rsid w:val="00BB17D1"/>
    <w:rsid w:val="00BB2DD6"/>
    <w:rsid w:val="00BB49F6"/>
    <w:rsid w:val="00BB6245"/>
    <w:rsid w:val="00BB7B5E"/>
    <w:rsid w:val="00BB7FE0"/>
    <w:rsid w:val="00BC2B18"/>
    <w:rsid w:val="00BC57DA"/>
    <w:rsid w:val="00BD25BD"/>
    <w:rsid w:val="00BD6621"/>
    <w:rsid w:val="00BD6943"/>
    <w:rsid w:val="00BD7038"/>
    <w:rsid w:val="00BE0270"/>
    <w:rsid w:val="00BE0B17"/>
    <w:rsid w:val="00BE1C59"/>
    <w:rsid w:val="00BE3397"/>
    <w:rsid w:val="00BE5335"/>
    <w:rsid w:val="00BE78FD"/>
    <w:rsid w:val="00BE7EB1"/>
    <w:rsid w:val="00BF14E4"/>
    <w:rsid w:val="00BF3F9A"/>
    <w:rsid w:val="00BF46BE"/>
    <w:rsid w:val="00BF4ABE"/>
    <w:rsid w:val="00C0132C"/>
    <w:rsid w:val="00C02A0D"/>
    <w:rsid w:val="00C0501C"/>
    <w:rsid w:val="00C11386"/>
    <w:rsid w:val="00C168B0"/>
    <w:rsid w:val="00C16969"/>
    <w:rsid w:val="00C20BD8"/>
    <w:rsid w:val="00C222C4"/>
    <w:rsid w:val="00C23861"/>
    <w:rsid w:val="00C2453A"/>
    <w:rsid w:val="00C30D4D"/>
    <w:rsid w:val="00C31CFC"/>
    <w:rsid w:val="00C32B9D"/>
    <w:rsid w:val="00C33E36"/>
    <w:rsid w:val="00C42DA2"/>
    <w:rsid w:val="00C430EB"/>
    <w:rsid w:val="00C46FBE"/>
    <w:rsid w:val="00C4722E"/>
    <w:rsid w:val="00C5091D"/>
    <w:rsid w:val="00C5169D"/>
    <w:rsid w:val="00C5230B"/>
    <w:rsid w:val="00C54339"/>
    <w:rsid w:val="00C56559"/>
    <w:rsid w:val="00C60322"/>
    <w:rsid w:val="00C60CCD"/>
    <w:rsid w:val="00C60E93"/>
    <w:rsid w:val="00C62028"/>
    <w:rsid w:val="00C640C7"/>
    <w:rsid w:val="00C643E8"/>
    <w:rsid w:val="00C727E7"/>
    <w:rsid w:val="00C732A6"/>
    <w:rsid w:val="00C73E8F"/>
    <w:rsid w:val="00C74717"/>
    <w:rsid w:val="00C77BD4"/>
    <w:rsid w:val="00C814A3"/>
    <w:rsid w:val="00C839E6"/>
    <w:rsid w:val="00C85075"/>
    <w:rsid w:val="00C857F6"/>
    <w:rsid w:val="00C85A14"/>
    <w:rsid w:val="00C87EC6"/>
    <w:rsid w:val="00C9037D"/>
    <w:rsid w:val="00C9053F"/>
    <w:rsid w:val="00C9275F"/>
    <w:rsid w:val="00CA05D1"/>
    <w:rsid w:val="00CA0FAE"/>
    <w:rsid w:val="00CA1410"/>
    <w:rsid w:val="00CA1D43"/>
    <w:rsid w:val="00CA6A58"/>
    <w:rsid w:val="00CB1896"/>
    <w:rsid w:val="00CB286A"/>
    <w:rsid w:val="00CB5DAA"/>
    <w:rsid w:val="00CC243B"/>
    <w:rsid w:val="00CC39A2"/>
    <w:rsid w:val="00CC3E0F"/>
    <w:rsid w:val="00CC4033"/>
    <w:rsid w:val="00CC5260"/>
    <w:rsid w:val="00CD2684"/>
    <w:rsid w:val="00CD2A71"/>
    <w:rsid w:val="00CD2CDE"/>
    <w:rsid w:val="00CD368C"/>
    <w:rsid w:val="00CD37E8"/>
    <w:rsid w:val="00CD704F"/>
    <w:rsid w:val="00CE1CC1"/>
    <w:rsid w:val="00CE2CF2"/>
    <w:rsid w:val="00CE40DC"/>
    <w:rsid w:val="00CE4DD5"/>
    <w:rsid w:val="00CE79F3"/>
    <w:rsid w:val="00CF1E0B"/>
    <w:rsid w:val="00CF6B59"/>
    <w:rsid w:val="00CF792D"/>
    <w:rsid w:val="00D036BA"/>
    <w:rsid w:val="00D05795"/>
    <w:rsid w:val="00D10E49"/>
    <w:rsid w:val="00D117B1"/>
    <w:rsid w:val="00D120B6"/>
    <w:rsid w:val="00D14C72"/>
    <w:rsid w:val="00D179B7"/>
    <w:rsid w:val="00D20DC5"/>
    <w:rsid w:val="00D22415"/>
    <w:rsid w:val="00D22940"/>
    <w:rsid w:val="00D22EC0"/>
    <w:rsid w:val="00D23A95"/>
    <w:rsid w:val="00D26CFB"/>
    <w:rsid w:val="00D279C4"/>
    <w:rsid w:val="00D3341B"/>
    <w:rsid w:val="00D47780"/>
    <w:rsid w:val="00D4797E"/>
    <w:rsid w:val="00D51F4F"/>
    <w:rsid w:val="00D52D3F"/>
    <w:rsid w:val="00D636E8"/>
    <w:rsid w:val="00D63828"/>
    <w:rsid w:val="00D651EE"/>
    <w:rsid w:val="00D66D16"/>
    <w:rsid w:val="00D67DAC"/>
    <w:rsid w:val="00D70BB8"/>
    <w:rsid w:val="00D71E6B"/>
    <w:rsid w:val="00D7458F"/>
    <w:rsid w:val="00D7655C"/>
    <w:rsid w:val="00D80061"/>
    <w:rsid w:val="00D822E6"/>
    <w:rsid w:val="00D82ADF"/>
    <w:rsid w:val="00D90ECC"/>
    <w:rsid w:val="00D91F81"/>
    <w:rsid w:val="00D92FA9"/>
    <w:rsid w:val="00D9486D"/>
    <w:rsid w:val="00D95DC8"/>
    <w:rsid w:val="00D95ECD"/>
    <w:rsid w:val="00DA02B8"/>
    <w:rsid w:val="00DA1090"/>
    <w:rsid w:val="00DA19D1"/>
    <w:rsid w:val="00DA3E9B"/>
    <w:rsid w:val="00DA4B91"/>
    <w:rsid w:val="00DA6978"/>
    <w:rsid w:val="00DA7F30"/>
    <w:rsid w:val="00DB384F"/>
    <w:rsid w:val="00DB4450"/>
    <w:rsid w:val="00DB671E"/>
    <w:rsid w:val="00DC00CB"/>
    <w:rsid w:val="00DC3FF5"/>
    <w:rsid w:val="00DC6AE6"/>
    <w:rsid w:val="00DD080E"/>
    <w:rsid w:val="00DD10AE"/>
    <w:rsid w:val="00DD122C"/>
    <w:rsid w:val="00DD2394"/>
    <w:rsid w:val="00DD65D5"/>
    <w:rsid w:val="00DE0FF3"/>
    <w:rsid w:val="00DE215E"/>
    <w:rsid w:val="00DE4B14"/>
    <w:rsid w:val="00DF0047"/>
    <w:rsid w:val="00DF0DAF"/>
    <w:rsid w:val="00DF439C"/>
    <w:rsid w:val="00DF584D"/>
    <w:rsid w:val="00DF5D8A"/>
    <w:rsid w:val="00DF6245"/>
    <w:rsid w:val="00E028F0"/>
    <w:rsid w:val="00E02E6F"/>
    <w:rsid w:val="00E04D6F"/>
    <w:rsid w:val="00E05DBE"/>
    <w:rsid w:val="00E1013B"/>
    <w:rsid w:val="00E105D1"/>
    <w:rsid w:val="00E12E04"/>
    <w:rsid w:val="00E14FCF"/>
    <w:rsid w:val="00E1694A"/>
    <w:rsid w:val="00E230E0"/>
    <w:rsid w:val="00E2490F"/>
    <w:rsid w:val="00E27670"/>
    <w:rsid w:val="00E27F35"/>
    <w:rsid w:val="00E32527"/>
    <w:rsid w:val="00E36645"/>
    <w:rsid w:val="00E36ACC"/>
    <w:rsid w:val="00E37E08"/>
    <w:rsid w:val="00E40FBB"/>
    <w:rsid w:val="00E43D95"/>
    <w:rsid w:val="00E45195"/>
    <w:rsid w:val="00E462AB"/>
    <w:rsid w:val="00E46CB2"/>
    <w:rsid w:val="00E512E9"/>
    <w:rsid w:val="00E5414D"/>
    <w:rsid w:val="00E554C8"/>
    <w:rsid w:val="00E55ED0"/>
    <w:rsid w:val="00E55FFB"/>
    <w:rsid w:val="00E563DF"/>
    <w:rsid w:val="00E61C29"/>
    <w:rsid w:val="00E62B93"/>
    <w:rsid w:val="00E661A3"/>
    <w:rsid w:val="00E6771F"/>
    <w:rsid w:val="00E70FDF"/>
    <w:rsid w:val="00E710FE"/>
    <w:rsid w:val="00E72DC0"/>
    <w:rsid w:val="00E758B2"/>
    <w:rsid w:val="00E770E5"/>
    <w:rsid w:val="00E77D53"/>
    <w:rsid w:val="00E807B0"/>
    <w:rsid w:val="00E8148B"/>
    <w:rsid w:val="00E82E95"/>
    <w:rsid w:val="00E83D4C"/>
    <w:rsid w:val="00E85E9A"/>
    <w:rsid w:val="00E87E05"/>
    <w:rsid w:val="00E9023A"/>
    <w:rsid w:val="00E94C79"/>
    <w:rsid w:val="00E96F86"/>
    <w:rsid w:val="00E97524"/>
    <w:rsid w:val="00EA0595"/>
    <w:rsid w:val="00EA1369"/>
    <w:rsid w:val="00EA3891"/>
    <w:rsid w:val="00EA6810"/>
    <w:rsid w:val="00EB11E8"/>
    <w:rsid w:val="00EB36A3"/>
    <w:rsid w:val="00EC031B"/>
    <w:rsid w:val="00EC29AB"/>
    <w:rsid w:val="00EC47AE"/>
    <w:rsid w:val="00EC5309"/>
    <w:rsid w:val="00EC5772"/>
    <w:rsid w:val="00EC65F7"/>
    <w:rsid w:val="00EC6FAB"/>
    <w:rsid w:val="00ED0BFB"/>
    <w:rsid w:val="00ED1AED"/>
    <w:rsid w:val="00ED3623"/>
    <w:rsid w:val="00EE4495"/>
    <w:rsid w:val="00EF2CF9"/>
    <w:rsid w:val="00EF4683"/>
    <w:rsid w:val="00EF4DA4"/>
    <w:rsid w:val="00EF5CC7"/>
    <w:rsid w:val="00EF69A2"/>
    <w:rsid w:val="00EF7505"/>
    <w:rsid w:val="00F00C8A"/>
    <w:rsid w:val="00F021B9"/>
    <w:rsid w:val="00F0373A"/>
    <w:rsid w:val="00F03CDE"/>
    <w:rsid w:val="00F0548D"/>
    <w:rsid w:val="00F0748D"/>
    <w:rsid w:val="00F10AC1"/>
    <w:rsid w:val="00F12D04"/>
    <w:rsid w:val="00F144C3"/>
    <w:rsid w:val="00F14553"/>
    <w:rsid w:val="00F15ACA"/>
    <w:rsid w:val="00F21B09"/>
    <w:rsid w:val="00F24F9A"/>
    <w:rsid w:val="00F268CD"/>
    <w:rsid w:val="00F32154"/>
    <w:rsid w:val="00F3394A"/>
    <w:rsid w:val="00F33E7B"/>
    <w:rsid w:val="00F349FA"/>
    <w:rsid w:val="00F35FE9"/>
    <w:rsid w:val="00F40683"/>
    <w:rsid w:val="00F41BE2"/>
    <w:rsid w:val="00F4237E"/>
    <w:rsid w:val="00F43FD1"/>
    <w:rsid w:val="00F477AB"/>
    <w:rsid w:val="00F47A64"/>
    <w:rsid w:val="00F51F55"/>
    <w:rsid w:val="00F5409A"/>
    <w:rsid w:val="00F55837"/>
    <w:rsid w:val="00F56BDC"/>
    <w:rsid w:val="00F57138"/>
    <w:rsid w:val="00F628CF"/>
    <w:rsid w:val="00F65F59"/>
    <w:rsid w:val="00F67789"/>
    <w:rsid w:val="00F701DA"/>
    <w:rsid w:val="00F72CD6"/>
    <w:rsid w:val="00F761BC"/>
    <w:rsid w:val="00F768AC"/>
    <w:rsid w:val="00F76D5E"/>
    <w:rsid w:val="00F776A7"/>
    <w:rsid w:val="00F828B3"/>
    <w:rsid w:val="00F85B14"/>
    <w:rsid w:val="00F87671"/>
    <w:rsid w:val="00F9328A"/>
    <w:rsid w:val="00F93770"/>
    <w:rsid w:val="00F95FB2"/>
    <w:rsid w:val="00F96408"/>
    <w:rsid w:val="00FA1EC6"/>
    <w:rsid w:val="00FA2FC5"/>
    <w:rsid w:val="00FA3139"/>
    <w:rsid w:val="00FA3D4F"/>
    <w:rsid w:val="00FA540B"/>
    <w:rsid w:val="00FA73E1"/>
    <w:rsid w:val="00FB001F"/>
    <w:rsid w:val="00FB4A66"/>
    <w:rsid w:val="00FC0BF6"/>
    <w:rsid w:val="00FC131A"/>
    <w:rsid w:val="00FC4BF9"/>
    <w:rsid w:val="00FC612B"/>
    <w:rsid w:val="00FD4A4D"/>
    <w:rsid w:val="00FD616C"/>
    <w:rsid w:val="00FD6802"/>
    <w:rsid w:val="00FD76FA"/>
    <w:rsid w:val="00FD7934"/>
    <w:rsid w:val="00FE0258"/>
    <w:rsid w:val="00FE1002"/>
    <w:rsid w:val="00FE3895"/>
    <w:rsid w:val="00FE3CE8"/>
    <w:rsid w:val="00FF11D2"/>
    <w:rsid w:val="00FF3F76"/>
    <w:rsid w:val="00FF65F0"/>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82B153"/>
  <w15:docId w15:val="{064FF015-E28D-4FC9-9FDB-72E5FAE6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09A"/>
    <w:rPr>
      <w:sz w:val="24"/>
      <w:szCs w:val="24"/>
      <w:lang w:val="ru-RU" w:eastAsia="ru-RU"/>
    </w:rPr>
  </w:style>
  <w:style w:type="paragraph" w:styleId="Heading1">
    <w:name w:val="heading 1"/>
    <w:basedOn w:val="Normal"/>
    <w:next w:val="Normal"/>
    <w:link w:val="Heading1Char"/>
    <w:qFormat/>
    <w:rsid w:val="009D24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426D2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qFormat/>
    <w:rsid w:val="00081DA9"/>
    <w:pPr>
      <w:keepNext/>
      <w:spacing w:before="240" w:after="60"/>
      <w:outlineLvl w:val="2"/>
    </w:pPr>
    <w:rPr>
      <w:rFonts w:ascii="Arial" w:hAnsi="Arial" w:cs="Arial"/>
      <w:b/>
      <w:bCs/>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1549"/>
    <w:pPr>
      <w:tabs>
        <w:tab w:val="center" w:pos="4677"/>
        <w:tab w:val="right" w:pos="9355"/>
      </w:tabs>
    </w:pPr>
  </w:style>
  <w:style w:type="paragraph" w:styleId="Footer">
    <w:name w:val="footer"/>
    <w:basedOn w:val="Normal"/>
    <w:link w:val="FooterChar"/>
    <w:uiPriority w:val="99"/>
    <w:rsid w:val="007C1549"/>
    <w:pPr>
      <w:tabs>
        <w:tab w:val="center" w:pos="4677"/>
        <w:tab w:val="right" w:pos="9355"/>
      </w:tabs>
    </w:pPr>
  </w:style>
  <w:style w:type="character" w:styleId="Hyperlink">
    <w:name w:val="Hyperlink"/>
    <w:rsid w:val="005B3AC4"/>
    <w:rPr>
      <w:color w:val="0000FF"/>
      <w:u w:val="single"/>
    </w:rPr>
  </w:style>
  <w:style w:type="character" w:styleId="PageNumber">
    <w:name w:val="page number"/>
    <w:basedOn w:val="DefaultParagraphFont"/>
    <w:rsid w:val="00FE33F1"/>
  </w:style>
  <w:style w:type="table" w:styleId="TableGrid">
    <w:name w:val="Table Grid"/>
    <w:basedOn w:val="TableNormal"/>
    <w:uiPriority w:val="59"/>
    <w:rsid w:val="00081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461EE"/>
    <w:rPr>
      <w:rFonts w:ascii="Cambria" w:hAnsi="Cambria"/>
      <w:sz w:val="18"/>
      <w:szCs w:val="18"/>
    </w:rPr>
  </w:style>
  <w:style w:type="character" w:customStyle="1" w:styleId="BalloonTextChar">
    <w:name w:val="Balloon Text Char"/>
    <w:link w:val="BalloonText"/>
    <w:rsid w:val="008461EE"/>
    <w:rPr>
      <w:rFonts w:ascii="Cambria" w:eastAsia="PMingLiU" w:hAnsi="Cambria" w:cs="Times New Roman"/>
      <w:sz w:val="18"/>
      <w:szCs w:val="18"/>
      <w:lang w:val="ru-RU" w:eastAsia="ru-RU"/>
    </w:rPr>
  </w:style>
  <w:style w:type="paragraph" w:styleId="FootnoteText">
    <w:name w:val="footnote text"/>
    <w:basedOn w:val="Normal"/>
    <w:link w:val="FootnoteTextChar"/>
    <w:uiPriority w:val="99"/>
    <w:rsid w:val="00426D27"/>
    <w:rPr>
      <w:rFonts w:eastAsia="SimSun"/>
      <w:sz w:val="20"/>
      <w:szCs w:val="20"/>
      <w:lang w:val="en-US" w:eastAsia="en-US"/>
    </w:rPr>
  </w:style>
  <w:style w:type="character" w:customStyle="1" w:styleId="FootnoteTextChar">
    <w:name w:val="Footnote Text Char"/>
    <w:basedOn w:val="DefaultParagraphFont"/>
    <w:link w:val="FootnoteText"/>
    <w:uiPriority w:val="99"/>
    <w:rsid w:val="00426D27"/>
    <w:rPr>
      <w:rFonts w:eastAsia="SimSun"/>
      <w:lang w:val="en-US" w:eastAsia="en-US"/>
    </w:rPr>
  </w:style>
  <w:style w:type="character" w:styleId="FootnoteReference">
    <w:name w:val="footnote reference"/>
    <w:uiPriority w:val="99"/>
    <w:rsid w:val="00426D27"/>
    <w:rPr>
      <w:rFonts w:cs="Times New Roman"/>
      <w:vertAlign w:val="superscript"/>
    </w:rPr>
  </w:style>
  <w:style w:type="paragraph" w:styleId="BodyText">
    <w:name w:val="Body Text"/>
    <w:basedOn w:val="Normal"/>
    <w:link w:val="BodyTextChar"/>
    <w:uiPriority w:val="99"/>
    <w:rsid w:val="00426D27"/>
    <w:pPr>
      <w:jc w:val="both"/>
    </w:pPr>
    <w:rPr>
      <w:rFonts w:eastAsia="SimSun"/>
      <w:sz w:val="20"/>
      <w:szCs w:val="20"/>
      <w:lang w:val="en-US" w:eastAsia="en-US"/>
    </w:rPr>
  </w:style>
  <w:style w:type="character" w:customStyle="1" w:styleId="BodyTextChar">
    <w:name w:val="Body Text Char"/>
    <w:basedOn w:val="DefaultParagraphFont"/>
    <w:link w:val="BodyText"/>
    <w:uiPriority w:val="99"/>
    <w:rsid w:val="00426D27"/>
    <w:rPr>
      <w:rFonts w:eastAsia="SimSun"/>
      <w:lang w:val="en-US" w:eastAsia="en-US"/>
    </w:rPr>
  </w:style>
  <w:style w:type="paragraph" w:customStyle="1" w:styleId="Authors">
    <w:name w:val="Authors"/>
    <w:basedOn w:val="Heading2"/>
    <w:uiPriority w:val="99"/>
    <w:rsid w:val="00426D27"/>
    <w:pPr>
      <w:spacing w:before="0" w:after="120"/>
      <w:jc w:val="center"/>
    </w:pPr>
    <w:rPr>
      <w:rFonts w:ascii="Times New Roman" w:eastAsia="SimSun" w:hAnsi="Times New Roman" w:cs="Times New Roman"/>
      <w:b w:val="0"/>
      <w:bCs w:val="0"/>
      <w:i w:val="0"/>
      <w:iCs w:val="0"/>
      <w:sz w:val="22"/>
      <w:szCs w:val="22"/>
      <w:lang w:val="en-NZ" w:eastAsia="fr-FR"/>
    </w:rPr>
  </w:style>
  <w:style w:type="character" w:customStyle="1" w:styleId="Heading2Char">
    <w:name w:val="Heading 2 Char"/>
    <w:basedOn w:val="DefaultParagraphFont"/>
    <w:link w:val="Heading2"/>
    <w:semiHidden/>
    <w:rsid w:val="00426D27"/>
    <w:rPr>
      <w:rFonts w:asciiTheme="majorHAnsi" w:eastAsiaTheme="majorEastAsia" w:hAnsiTheme="majorHAnsi" w:cstheme="majorBidi"/>
      <w:b/>
      <w:bCs/>
      <w:i/>
      <w:iCs/>
      <w:sz w:val="28"/>
      <w:szCs w:val="28"/>
      <w:lang w:val="ru-RU" w:eastAsia="ru-RU"/>
    </w:rPr>
  </w:style>
  <w:style w:type="paragraph" w:styleId="Caption">
    <w:name w:val="caption"/>
    <w:basedOn w:val="Normal"/>
    <w:next w:val="Normal"/>
    <w:uiPriority w:val="35"/>
    <w:unhideWhenUsed/>
    <w:qFormat/>
    <w:rsid w:val="007306EB"/>
    <w:rPr>
      <w:rFonts w:eastAsia="SimSun"/>
      <w:b/>
      <w:bCs/>
      <w:sz w:val="20"/>
      <w:szCs w:val="20"/>
      <w:lang w:val="en-US" w:eastAsia="en-US"/>
    </w:rPr>
  </w:style>
  <w:style w:type="paragraph" w:styleId="BodyText2">
    <w:name w:val="Body Text 2"/>
    <w:basedOn w:val="Normal"/>
    <w:link w:val="BodyText2Char"/>
    <w:rsid w:val="009D24C5"/>
    <w:pPr>
      <w:spacing w:after="120" w:line="480" w:lineRule="auto"/>
    </w:pPr>
  </w:style>
  <w:style w:type="character" w:customStyle="1" w:styleId="BodyText2Char">
    <w:name w:val="Body Text 2 Char"/>
    <w:basedOn w:val="DefaultParagraphFont"/>
    <w:link w:val="BodyText2"/>
    <w:rsid w:val="009D24C5"/>
    <w:rPr>
      <w:sz w:val="24"/>
      <w:szCs w:val="24"/>
      <w:lang w:val="ru-RU" w:eastAsia="ru-RU"/>
    </w:rPr>
  </w:style>
  <w:style w:type="character" w:customStyle="1" w:styleId="Heading1Char">
    <w:name w:val="Heading 1 Char"/>
    <w:basedOn w:val="DefaultParagraphFont"/>
    <w:link w:val="Heading1"/>
    <w:rsid w:val="009D24C5"/>
    <w:rPr>
      <w:rFonts w:asciiTheme="majorHAnsi" w:eastAsiaTheme="majorEastAsia" w:hAnsiTheme="majorHAnsi" w:cstheme="majorBidi"/>
      <w:b/>
      <w:bCs/>
      <w:color w:val="365F91" w:themeColor="accent1" w:themeShade="BF"/>
      <w:sz w:val="28"/>
      <w:szCs w:val="28"/>
      <w:lang w:val="ru-RU" w:eastAsia="ru-RU"/>
    </w:rPr>
  </w:style>
  <w:style w:type="paragraph" w:customStyle="1" w:styleId="Default">
    <w:name w:val="Default"/>
    <w:rsid w:val="00214743"/>
    <w:pPr>
      <w:autoSpaceDE w:val="0"/>
      <w:autoSpaceDN w:val="0"/>
      <w:adjustRightInd w:val="0"/>
    </w:pPr>
    <w:rPr>
      <w:color w:val="000000"/>
      <w:sz w:val="24"/>
      <w:szCs w:val="24"/>
      <w:lang w:val="en-US"/>
    </w:rPr>
  </w:style>
  <w:style w:type="character" w:customStyle="1" w:styleId="A2">
    <w:name w:val="A2"/>
    <w:uiPriority w:val="99"/>
    <w:rsid w:val="00214743"/>
    <w:rPr>
      <w:color w:val="221E1F"/>
      <w:sz w:val="12"/>
      <w:szCs w:val="12"/>
    </w:rPr>
  </w:style>
  <w:style w:type="character" w:styleId="CommentReference">
    <w:name w:val="annotation reference"/>
    <w:basedOn w:val="DefaultParagraphFont"/>
    <w:uiPriority w:val="99"/>
    <w:semiHidden/>
    <w:unhideWhenUsed/>
    <w:rsid w:val="005B6D94"/>
    <w:rPr>
      <w:sz w:val="16"/>
      <w:szCs w:val="16"/>
    </w:rPr>
  </w:style>
  <w:style w:type="paragraph" w:styleId="CommentText">
    <w:name w:val="annotation text"/>
    <w:basedOn w:val="Normal"/>
    <w:link w:val="CommentTextChar"/>
    <w:semiHidden/>
    <w:unhideWhenUsed/>
    <w:rsid w:val="005B6D94"/>
    <w:rPr>
      <w:sz w:val="20"/>
      <w:szCs w:val="20"/>
    </w:rPr>
  </w:style>
  <w:style w:type="character" w:customStyle="1" w:styleId="CommentTextChar">
    <w:name w:val="Comment Text Char"/>
    <w:basedOn w:val="DefaultParagraphFont"/>
    <w:link w:val="CommentText"/>
    <w:semiHidden/>
    <w:rsid w:val="005B6D94"/>
    <w:rPr>
      <w:lang w:val="ru-RU" w:eastAsia="ru-RU"/>
    </w:rPr>
  </w:style>
  <w:style w:type="paragraph" w:styleId="CommentSubject">
    <w:name w:val="annotation subject"/>
    <w:basedOn w:val="CommentText"/>
    <w:next w:val="CommentText"/>
    <w:link w:val="CommentSubjectChar"/>
    <w:semiHidden/>
    <w:unhideWhenUsed/>
    <w:rsid w:val="005B6D94"/>
    <w:rPr>
      <w:b/>
      <w:bCs/>
    </w:rPr>
  </w:style>
  <w:style w:type="character" w:customStyle="1" w:styleId="CommentSubjectChar">
    <w:name w:val="Comment Subject Char"/>
    <w:basedOn w:val="CommentTextChar"/>
    <w:link w:val="CommentSubject"/>
    <w:semiHidden/>
    <w:rsid w:val="005B6D94"/>
    <w:rPr>
      <w:b/>
      <w:bCs/>
      <w:lang w:val="ru-RU" w:eastAsia="ru-RU"/>
    </w:rPr>
  </w:style>
  <w:style w:type="character" w:customStyle="1" w:styleId="A8">
    <w:name w:val="A8"/>
    <w:uiPriority w:val="99"/>
    <w:rsid w:val="005C63E1"/>
    <w:rPr>
      <w:color w:val="000000"/>
      <w:sz w:val="10"/>
      <w:szCs w:val="10"/>
    </w:rPr>
  </w:style>
  <w:style w:type="character" w:customStyle="1" w:styleId="A3">
    <w:name w:val="A3"/>
    <w:uiPriority w:val="99"/>
    <w:rsid w:val="00E96F86"/>
    <w:rPr>
      <w:color w:val="211D1E"/>
      <w:sz w:val="18"/>
      <w:szCs w:val="18"/>
      <w:u w:val="single"/>
    </w:rPr>
  </w:style>
  <w:style w:type="character" w:customStyle="1" w:styleId="FooterChar">
    <w:name w:val="Footer Char"/>
    <w:basedOn w:val="DefaultParagraphFont"/>
    <w:link w:val="Footer"/>
    <w:uiPriority w:val="99"/>
    <w:rsid w:val="00DA6978"/>
    <w:rPr>
      <w:sz w:val="24"/>
      <w:szCs w:val="24"/>
      <w:lang w:val="ru-RU" w:eastAsia="ru-RU"/>
    </w:rPr>
  </w:style>
  <w:style w:type="character" w:styleId="Emphasis">
    <w:name w:val="Emphasis"/>
    <w:basedOn w:val="DefaultParagraphFont"/>
    <w:qFormat/>
    <w:rsid w:val="004E185D"/>
    <w:rPr>
      <w:i/>
      <w:iCs/>
    </w:rPr>
  </w:style>
  <w:style w:type="paragraph" w:styleId="Revision">
    <w:name w:val="Revision"/>
    <w:hidden/>
    <w:uiPriority w:val="71"/>
    <w:semiHidden/>
    <w:rsid w:val="00C74717"/>
    <w:rPr>
      <w:sz w:val="24"/>
      <w:szCs w:val="24"/>
      <w:lang w:val="ru-RU" w:eastAsia="ru-RU"/>
    </w:rPr>
  </w:style>
  <w:style w:type="paragraph" w:styleId="ListParagraph">
    <w:name w:val="List Paragraph"/>
    <w:basedOn w:val="Normal"/>
    <w:uiPriority w:val="72"/>
    <w:qFormat/>
    <w:rsid w:val="00AC0686"/>
    <w:pPr>
      <w:ind w:left="720"/>
      <w:contextualSpacing/>
    </w:pPr>
  </w:style>
  <w:style w:type="paragraph" w:styleId="HTMLPreformatted">
    <w:name w:val="HTML Preformatted"/>
    <w:basedOn w:val="Normal"/>
    <w:link w:val="HTMLPreformattedChar"/>
    <w:uiPriority w:val="99"/>
    <w:semiHidden/>
    <w:unhideWhenUsed/>
    <w:rsid w:val="00B16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B16777"/>
    <w:rPr>
      <w:rFonts w:ascii="Courier New" w:eastAsia="Times New Roman" w:hAnsi="Courier New" w:cs="Courier New"/>
      <w:lang w:val="en-US" w:eastAsia="en-US"/>
    </w:rPr>
  </w:style>
  <w:style w:type="table" w:customStyle="1" w:styleId="TableGrid1">
    <w:name w:val="Table Grid1"/>
    <w:basedOn w:val="TableNormal"/>
    <w:next w:val="TableGrid"/>
    <w:uiPriority w:val="59"/>
    <w:rsid w:val="002E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94133">
      <w:bodyDiv w:val="1"/>
      <w:marLeft w:val="0"/>
      <w:marRight w:val="0"/>
      <w:marTop w:val="0"/>
      <w:marBottom w:val="0"/>
      <w:divBdr>
        <w:top w:val="none" w:sz="0" w:space="0" w:color="auto"/>
        <w:left w:val="none" w:sz="0" w:space="0" w:color="auto"/>
        <w:bottom w:val="none" w:sz="0" w:space="0" w:color="auto"/>
        <w:right w:val="none" w:sz="0" w:space="0" w:color="auto"/>
      </w:divBdr>
    </w:div>
    <w:div w:id="266885034">
      <w:bodyDiv w:val="1"/>
      <w:marLeft w:val="0"/>
      <w:marRight w:val="0"/>
      <w:marTop w:val="0"/>
      <w:marBottom w:val="0"/>
      <w:divBdr>
        <w:top w:val="none" w:sz="0" w:space="0" w:color="auto"/>
        <w:left w:val="none" w:sz="0" w:space="0" w:color="auto"/>
        <w:bottom w:val="none" w:sz="0" w:space="0" w:color="auto"/>
        <w:right w:val="none" w:sz="0" w:space="0" w:color="auto"/>
      </w:divBdr>
    </w:div>
    <w:div w:id="330180650">
      <w:bodyDiv w:val="1"/>
      <w:marLeft w:val="0"/>
      <w:marRight w:val="0"/>
      <w:marTop w:val="0"/>
      <w:marBottom w:val="0"/>
      <w:divBdr>
        <w:top w:val="none" w:sz="0" w:space="0" w:color="auto"/>
        <w:left w:val="none" w:sz="0" w:space="0" w:color="auto"/>
        <w:bottom w:val="none" w:sz="0" w:space="0" w:color="auto"/>
        <w:right w:val="none" w:sz="0" w:space="0" w:color="auto"/>
      </w:divBdr>
    </w:div>
    <w:div w:id="340819040">
      <w:bodyDiv w:val="1"/>
      <w:marLeft w:val="0"/>
      <w:marRight w:val="0"/>
      <w:marTop w:val="0"/>
      <w:marBottom w:val="0"/>
      <w:divBdr>
        <w:top w:val="none" w:sz="0" w:space="0" w:color="auto"/>
        <w:left w:val="none" w:sz="0" w:space="0" w:color="auto"/>
        <w:bottom w:val="none" w:sz="0" w:space="0" w:color="auto"/>
        <w:right w:val="none" w:sz="0" w:space="0" w:color="auto"/>
      </w:divBdr>
      <w:divsChild>
        <w:div w:id="1468744198">
          <w:marLeft w:val="446"/>
          <w:marRight w:val="0"/>
          <w:marTop w:val="86"/>
          <w:marBottom w:val="0"/>
          <w:divBdr>
            <w:top w:val="none" w:sz="0" w:space="0" w:color="auto"/>
            <w:left w:val="none" w:sz="0" w:space="0" w:color="auto"/>
            <w:bottom w:val="none" w:sz="0" w:space="0" w:color="auto"/>
            <w:right w:val="none" w:sz="0" w:space="0" w:color="auto"/>
          </w:divBdr>
        </w:div>
        <w:div w:id="1535848308">
          <w:marLeft w:val="446"/>
          <w:marRight w:val="0"/>
          <w:marTop w:val="86"/>
          <w:marBottom w:val="0"/>
          <w:divBdr>
            <w:top w:val="none" w:sz="0" w:space="0" w:color="auto"/>
            <w:left w:val="none" w:sz="0" w:space="0" w:color="auto"/>
            <w:bottom w:val="none" w:sz="0" w:space="0" w:color="auto"/>
            <w:right w:val="none" w:sz="0" w:space="0" w:color="auto"/>
          </w:divBdr>
        </w:div>
        <w:div w:id="1548878130">
          <w:marLeft w:val="446"/>
          <w:marRight w:val="0"/>
          <w:marTop w:val="86"/>
          <w:marBottom w:val="0"/>
          <w:divBdr>
            <w:top w:val="none" w:sz="0" w:space="0" w:color="auto"/>
            <w:left w:val="none" w:sz="0" w:space="0" w:color="auto"/>
            <w:bottom w:val="none" w:sz="0" w:space="0" w:color="auto"/>
            <w:right w:val="none" w:sz="0" w:space="0" w:color="auto"/>
          </w:divBdr>
        </w:div>
      </w:divsChild>
    </w:div>
    <w:div w:id="475680632">
      <w:bodyDiv w:val="1"/>
      <w:marLeft w:val="0"/>
      <w:marRight w:val="0"/>
      <w:marTop w:val="0"/>
      <w:marBottom w:val="0"/>
      <w:divBdr>
        <w:top w:val="none" w:sz="0" w:space="0" w:color="auto"/>
        <w:left w:val="none" w:sz="0" w:space="0" w:color="auto"/>
        <w:bottom w:val="none" w:sz="0" w:space="0" w:color="auto"/>
        <w:right w:val="none" w:sz="0" w:space="0" w:color="auto"/>
      </w:divBdr>
    </w:div>
    <w:div w:id="478305055">
      <w:bodyDiv w:val="1"/>
      <w:marLeft w:val="0"/>
      <w:marRight w:val="0"/>
      <w:marTop w:val="0"/>
      <w:marBottom w:val="0"/>
      <w:divBdr>
        <w:top w:val="none" w:sz="0" w:space="0" w:color="auto"/>
        <w:left w:val="none" w:sz="0" w:space="0" w:color="auto"/>
        <w:bottom w:val="none" w:sz="0" w:space="0" w:color="auto"/>
        <w:right w:val="none" w:sz="0" w:space="0" w:color="auto"/>
      </w:divBdr>
    </w:div>
    <w:div w:id="582497071">
      <w:bodyDiv w:val="1"/>
      <w:marLeft w:val="0"/>
      <w:marRight w:val="0"/>
      <w:marTop w:val="0"/>
      <w:marBottom w:val="0"/>
      <w:divBdr>
        <w:top w:val="none" w:sz="0" w:space="0" w:color="auto"/>
        <w:left w:val="none" w:sz="0" w:space="0" w:color="auto"/>
        <w:bottom w:val="none" w:sz="0" w:space="0" w:color="auto"/>
        <w:right w:val="none" w:sz="0" w:space="0" w:color="auto"/>
      </w:divBdr>
    </w:div>
    <w:div w:id="603534068">
      <w:bodyDiv w:val="1"/>
      <w:marLeft w:val="0"/>
      <w:marRight w:val="0"/>
      <w:marTop w:val="0"/>
      <w:marBottom w:val="0"/>
      <w:divBdr>
        <w:top w:val="none" w:sz="0" w:space="0" w:color="auto"/>
        <w:left w:val="none" w:sz="0" w:space="0" w:color="auto"/>
        <w:bottom w:val="none" w:sz="0" w:space="0" w:color="auto"/>
        <w:right w:val="none" w:sz="0" w:space="0" w:color="auto"/>
      </w:divBdr>
    </w:div>
    <w:div w:id="847335258">
      <w:bodyDiv w:val="1"/>
      <w:marLeft w:val="0"/>
      <w:marRight w:val="0"/>
      <w:marTop w:val="0"/>
      <w:marBottom w:val="0"/>
      <w:divBdr>
        <w:top w:val="none" w:sz="0" w:space="0" w:color="auto"/>
        <w:left w:val="none" w:sz="0" w:space="0" w:color="auto"/>
        <w:bottom w:val="none" w:sz="0" w:space="0" w:color="auto"/>
        <w:right w:val="none" w:sz="0" w:space="0" w:color="auto"/>
      </w:divBdr>
    </w:div>
    <w:div w:id="934433915">
      <w:bodyDiv w:val="1"/>
      <w:marLeft w:val="0"/>
      <w:marRight w:val="0"/>
      <w:marTop w:val="0"/>
      <w:marBottom w:val="0"/>
      <w:divBdr>
        <w:top w:val="none" w:sz="0" w:space="0" w:color="auto"/>
        <w:left w:val="none" w:sz="0" w:space="0" w:color="auto"/>
        <w:bottom w:val="none" w:sz="0" w:space="0" w:color="auto"/>
        <w:right w:val="none" w:sz="0" w:space="0" w:color="auto"/>
      </w:divBdr>
    </w:div>
    <w:div w:id="1224021337">
      <w:bodyDiv w:val="1"/>
      <w:marLeft w:val="0"/>
      <w:marRight w:val="0"/>
      <w:marTop w:val="0"/>
      <w:marBottom w:val="0"/>
      <w:divBdr>
        <w:top w:val="none" w:sz="0" w:space="0" w:color="auto"/>
        <w:left w:val="none" w:sz="0" w:space="0" w:color="auto"/>
        <w:bottom w:val="none" w:sz="0" w:space="0" w:color="auto"/>
        <w:right w:val="none" w:sz="0" w:space="0" w:color="auto"/>
      </w:divBdr>
    </w:div>
    <w:div w:id="1224635620">
      <w:bodyDiv w:val="1"/>
      <w:marLeft w:val="0"/>
      <w:marRight w:val="0"/>
      <w:marTop w:val="0"/>
      <w:marBottom w:val="0"/>
      <w:divBdr>
        <w:top w:val="none" w:sz="0" w:space="0" w:color="auto"/>
        <w:left w:val="none" w:sz="0" w:space="0" w:color="auto"/>
        <w:bottom w:val="none" w:sz="0" w:space="0" w:color="auto"/>
        <w:right w:val="none" w:sz="0" w:space="0" w:color="auto"/>
      </w:divBdr>
    </w:div>
    <w:div w:id="1487089567">
      <w:bodyDiv w:val="1"/>
      <w:marLeft w:val="0"/>
      <w:marRight w:val="0"/>
      <w:marTop w:val="0"/>
      <w:marBottom w:val="0"/>
      <w:divBdr>
        <w:top w:val="none" w:sz="0" w:space="0" w:color="auto"/>
        <w:left w:val="none" w:sz="0" w:space="0" w:color="auto"/>
        <w:bottom w:val="none" w:sz="0" w:space="0" w:color="auto"/>
        <w:right w:val="none" w:sz="0" w:space="0" w:color="auto"/>
      </w:divBdr>
    </w:div>
    <w:div w:id="1520005208">
      <w:bodyDiv w:val="1"/>
      <w:marLeft w:val="0"/>
      <w:marRight w:val="0"/>
      <w:marTop w:val="0"/>
      <w:marBottom w:val="0"/>
      <w:divBdr>
        <w:top w:val="none" w:sz="0" w:space="0" w:color="auto"/>
        <w:left w:val="none" w:sz="0" w:space="0" w:color="auto"/>
        <w:bottom w:val="none" w:sz="0" w:space="0" w:color="auto"/>
        <w:right w:val="none" w:sz="0" w:space="0" w:color="auto"/>
      </w:divBdr>
    </w:div>
    <w:div w:id="1550147810">
      <w:bodyDiv w:val="1"/>
      <w:marLeft w:val="0"/>
      <w:marRight w:val="0"/>
      <w:marTop w:val="0"/>
      <w:marBottom w:val="0"/>
      <w:divBdr>
        <w:top w:val="none" w:sz="0" w:space="0" w:color="auto"/>
        <w:left w:val="none" w:sz="0" w:space="0" w:color="auto"/>
        <w:bottom w:val="none" w:sz="0" w:space="0" w:color="auto"/>
        <w:right w:val="none" w:sz="0" w:space="0" w:color="auto"/>
      </w:divBdr>
    </w:div>
    <w:div w:id="1705785657">
      <w:bodyDiv w:val="1"/>
      <w:marLeft w:val="0"/>
      <w:marRight w:val="0"/>
      <w:marTop w:val="0"/>
      <w:marBottom w:val="0"/>
      <w:divBdr>
        <w:top w:val="none" w:sz="0" w:space="0" w:color="auto"/>
        <w:left w:val="none" w:sz="0" w:space="0" w:color="auto"/>
        <w:bottom w:val="none" w:sz="0" w:space="0" w:color="auto"/>
        <w:right w:val="none" w:sz="0" w:space="0" w:color="auto"/>
      </w:divBdr>
    </w:div>
    <w:div w:id="1818567167">
      <w:bodyDiv w:val="1"/>
      <w:marLeft w:val="0"/>
      <w:marRight w:val="0"/>
      <w:marTop w:val="0"/>
      <w:marBottom w:val="0"/>
      <w:divBdr>
        <w:top w:val="none" w:sz="0" w:space="0" w:color="auto"/>
        <w:left w:val="none" w:sz="0" w:space="0" w:color="auto"/>
        <w:bottom w:val="none" w:sz="0" w:space="0" w:color="auto"/>
        <w:right w:val="none" w:sz="0" w:space="0" w:color="auto"/>
      </w:divBdr>
    </w:div>
    <w:div w:id="1934897931">
      <w:bodyDiv w:val="1"/>
      <w:marLeft w:val="0"/>
      <w:marRight w:val="0"/>
      <w:marTop w:val="0"/>
      <w:marBottom w:val="0"/>
      <w:divBdr>
        <w:top w:val="none" w:sz="0" w:space="0" w:color="auto"/>
        <w:left w:val="none" w:sz="0" w:space="0" w:color="auto"/>
        <w:bottom w:val="none" w:sz="0" w:space="0" w:color="auto"/>
        <w:right w:val="none" w:sz="0" w:space="0" w:color="auto"/>
      </w:divBdr>
    </w:div>
    <w:div w:id="2010863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A6867-F358-4B8D-B7DE-B1599933E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38</Pages>
  <Words>7706</Words>
  <Characters>43929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Comprehensive Study of Explosions, Detonations, and Reactive Systems</vt:lpstr>
    </vt:vector>
  </TitlesOfParts>
  <Company>HMTI</Company>
  <LinksUpToDate>false</LinksUpToDate>
  <CharactersWithSpaces>51532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Study of Explosions, Detonations, and Reactive Systems</dc:title>
  <dc:subject/>
  <dc:creator>User</dc:creator>
  <cp:keywords/>
  <dc:description/>
  <cp:lastModifiedBy>Touloupis, Dimitris Panagiotis</cp:lastModifiedBy>
  <cp:revision>18</cp:revision>
  <cp:lastPrinted>2016-06-29T17:52:00Z</cp:lastPrinted>
  <dcterms:created xsi:type="dcterms:W3CDTF">2016-06-29T09:59:00Z</dcterms:created>
  <dcterms:modified xsi:type="dcterms:W3CDTF">2016-09-12T14:30:00Z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