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AE79" w14:textId="4AE33629" w:rsidR="00EC719B" w:rsidRDefault="009E5282" w:rsidP="00E50706">
      <w:pPr>
        <w:rPr>
          <w:b/>
          <w:bCs/>
          <w:sz w:val="32"/>
          <w:szCs w:val="32"/>
        </w:rPr>
      </w:pPr>
      <w:r w:rsidRPr="009E5282">
        <w:rPr>
          <w:b/>
          <w:bCs/>
          <w:sz w:val="32"/>
          <w:szCs w:val="32"/>
          <w:vertAlign w:val="superscript"/>
        </w:rPr>
        <w:t>1</w:t>
      </w:r>
      <w:r w:rsidRPr="00EC719B">
        <w:rPr>
          <w:b/>
          <w:bCs/>
          <w:sz w:val="32"/>
          <w:szCs w:val="32"/>
        </w:rPr>
        <w:t>H</w:t>
      </w:r>
      <w:r w:rsidR="00EC719B" w:rsidRPr="00EC719B">
        <w:rPr>
          <w:b/>
          <w:bCs/>
          <w:sz w:val="32"/>
          <w:szCs w:val="32"/>
        </w:rPr>
        <w:t xml:space="preserve"> Nuclear Magnetic Resonance</w:t>
      </w:r>
      <w:r>
        <w:rPr>
          <w:b/>
          <w:bCs/>
          <w:sz w:val="32"/>
          <w:szCs w:val="32"/>
        </w:rPr>
        <w:t xml:space="preserve">: </w:t>
      </w:r>
      <w:r w:rsidR="00011108">
        <w:rPr>
          <w:b/>
          <w:bCs/>
          <w:sz w:val="32"/>
          <w:szCs w:val="32"/>
        </w:rPr>
        <w:t xml:space="preserve">A Future Approach to </w:t>
      </w:r>
      <w:r>
        <w:rPr>
          <w:b/>
          <w:bCs/>
          <w:sz w:val="32"/>
          <w:szCs w:val="32"/>
        </w:rPr>
        <w:t xml:space="preserve">the Metabolic Profiling of </w:t>
      </w:r>
      <w:r w:rsidR="00011108">
        <w:rPr>
          <w:b/>
          <w:bCs/>
          <w:sz w:val="32"/>
          <w:szCs w:val="32"/>
        </w:rPr>
        <w:t>Psychedelic</w:t>
      </w:r>
      <w:r>
        <w:rPr>
          <w:b/>
          <w:bCs/>
          <w:sz w:val="32"/>
          <w:szCs w:val="32"/>
        </w:rPr>
        <w:t>s</w:t>
      </w:r>
      <w:r w:rsidR="00417BA2">
        <w:rPr>
          <w:b/>
          <w:bCs/>
          <w:sz w:val="32"/>
          <w:szCs w:val="32"/>
        </w:rPr>
        <w:t xml:space="preserve"> in Human Biofluids?</w:t>
      </w:r>
    </w:p>
    <w:p w14:paraId="62EE1F93" w14:textId="37508E79" w:rsidR="00EC719B" w:rsidRDefault="00EC719B" w:rsidP="00E50706">
      <w:r w:rsidRPr="00EC719B">
        <w:t>Vilca-Melendez</w:t>
      </w:r>
      <w:r w:rsidR="003B4803">
        <w:t xml:space="preserve"> S.</w:t>
      </w:r>
      <w:r w:rsidR="008E1440">
        <w:rPr>
          <w:vertAlign w:val="superscript"/>
        </w:rPr>
        <w:t>1</w:t>
      </w:r>
      <w:r w:rsidR="00C0208F">
        <w:t>*</w:t>
      </w:r>
      <w:r w:rsidR="003B4803">
        <w:t xml:space="preserve">, </w:t>
      </w:r>
      <w:r w:rsidR="00A82803">
        <w:t>Uthaug</w:t>
      </w:r>
      <w:r w:rsidR="003B4803">
        <w:t xml:space="preserve"> M.V.</w:t>
      </w:r>
      <w:r w:rsidR="005D3D09">
        <w:rPr>
          <w:vertAlign w:val="superscript"/>
        </w:rPr>
        <w:t>2</w:t>
      </w:r>
      <w:r w:rsidR="00F33BEE">
        <w:rPr>
          <w:vertAlign w:val="superscript"/>
        </w:rPr>
        <w:t>,</w:t>
      </w:r>
      <w:r w:rsidR="005D3D09">
        <w:rPr>
          <w:vertAlign w:val="superscript"/>
        </w:rPr>
        <w:t>3</w:t>
      </w:r>
      <w:r w:rsidR="003B6BD5">
        <w:t xml:space="preserve">, </w:t>
      </w:r>
      <w:r w:rsidR="005D3D09">
        <w:t>Griffin J.</w:t>
      </w:r>
      <w:r w:rsidR="00D10C64">
        <w:t>L.</w:t>
      </w:r>
      <w:r w:rsidR="005D3D09">
        <w:rPr>
          <w:vertAlign w:val="superscript"/>
        </w:rPr>
        <w:t>4</w:t>
      </w:r>
      <w:r w:rsidR="005D3D09">
        <w:t>*,</w:t>
      </w:r>
    </w:p>
    <w:p w14:paraId="7D737EAC" w14:textId="27AC091E" w:rsidR="003B6BD5" w:rsidRDefault="003B6BD5" w:rsidP="00E50706"/>
    <w:p w14:paraId="7FE1E745" w14:textId="2E421431" w:rsidR="003B6BD5" w:rsidRDefault="00F33BEE" w:rsidP="00E50706">
      <w:r>
        <w:rPr>
          <w:vertAlign w:val="superscript"/>
        </w:rPr>
        <w:t>1</w:t>
      </w:r>
      <w:r w:rsidR="003B6BD5">
        <w:t>Department of Brain Sciences, Faculty of Medicine, Imperial College London</w:t>
      </w:r>
      <w:r w:rsidR="00E2114C">
        <w:t>, London, UK</w:t>
      </w:r>
    </w:p>
    <w:p w14:paraId="17F50D9D" w14:textId="1F0CFCE4" w:rsidR="00DF1B40" w:rsidRDefault="005D3D09" w:rsidP="00E50706">
      <w:r>
        <w:rPr>
          <w:vertAlign w:val="superscript"/>
        </w:rPr>
        <w:t>2</w:t>
      </w:r>
      <w:r w:rsidR="002073D3">
        <w:t>The Centre for Psychedelic</w:t>
      </w:r>
      <w:r w:rsidR="00DF1B40">
        <w:t xml:space="preserve"> Research, Department of Brain Sciences, Faculty of Medicine, Imperial College London</w:t>
      </w:r>
      <w:r w:rsidR="00335BE5">
        <w:t>, London, UK</w:t>
      </w:r>
    </w:p>
    <w:p w14:paraId="01B26308" w14:textId="6EE6B704" w:rsidR="00EC719B" w:rsidRDefault="005D3D09" w:rsidP="00E50706">
      <w:r>
        <w:rPr>
          <w:vertAlign w:val="superscript"/>
        </w:rPr>
        <w:t>3</w:t>
      </w:r>
      <w:r w:rsidR="00DF1B40">
        <w:t xml:space="preserve">Department of Neuropsychology and Psychopharmacology, Faculty of Psychology and Neuroscience, Maastricht University, </w:t>
      </w:r>
      <w:r w:rsidR="00335BE5">
        <w:t xml:space="preserve">Maastricht, </w:t>
      </w:r>
      <w:r w:rsidR="00DF1B40">
        <w:t xml:space="preserve">The Netherlands. </w:t>
      </w:r>
    </w:p>
    <w:p w14:paraId="5C45E09A" w14:textId="5BD478BE" w:rsidR="005D3D09" w:rsidRDefault="005D3D09" w:rsidP="00E50706">
      <w:r>
        <w:rPr>
          <w:vertAlign w:val="superscript"/>
        </w:rPr>
        <w:t>4</w:t>
      </w:r>
      <w:r>
        <w:t>Department of Metabolism, Digestion and Reproduction, Faculty of Medicine, Imperial College London</w:t>
      </w:r>
      <w:r w:rsidR="00335BE5">
        <w:t xml:space="preserve">, London, UK. </w:t>
      </w:r>
    </w:p>
    <w:p w14:paraId="4C75BFA4" w14:textId="77777777" w:rsidR="005D3D09" w:rsidRDefault="005D3D09" w:rsidP="00E50706"/>
    <w:p w14:paraId="0DEA6E20" w14:textId="77777777" w:rsidR="00F33BEE" w:rsidRDefault="00F33BEE" w:rsidP="00E50706"/>
    <w:p w14:paraId="24809A0D" w14:textId="6F1343E3" w:rsidR="00DF1B40" w:rsidRPr="00F33BEE" w:rsidRDefault="00F33BEE" w:rsidP="00E50706">
      <w:pPr>
        <w:rPr>
          <w:b/>
          <w:bCs/>
        </w:rPr>
      </w:pPr>
      <w:r>
        <w:t xml:space="preserve">* </w:t>
      </w:r>
      <w:r w:rsidR="00DF1B40" w:rsidRPr="00F33BEE">
        <w:rPr>
          <w:b/>
          <w:bCs/>
        </w:rPr>
        <w:t>Correspond</w:t>
      </w:r>
      <w:r w:rsidRPr="00F33BEE">
        <w:rPr>
          <w:b/>
          <w:bCs/>
        </w:rPr>
        <w:t>ence</w:t>
      </w:r>
      <w:r w:rsidR="00DF1B40" w:rsidRPr="00F33BEE">
        <w:rPr>
          <w:b/>
          <w:bCs/>
        </w:rPr>
        <w:t xml:space="preserve">: </w:t>
      </w:r>
    </w:p>
    <w:p w14:paraId="621BB8D9" w14:textId="36C77BD0" w:rsidR="00F33BEE" w:rsidRDefault="00F33BEE" w:rsidP="00E50706">
      <w:r>
        <w:t>Corresponding Author</w:t>
      </w:r>
      <w:r w:rsidR="00C0208F">
        <w:t>s</w:t>
      </w:r>
    </w:p>
    <w:p w14:paraId="1DE59F0D" w14:textId="77777777" w:rsidR="00C0208F" w:rsidRDefault="00C0208F" w:rsidP="00E50706"/>
    <w:p w14:paraId="64D1A79A" w14:textId="3A9BA5F6" w:rsidR="00C0208F" w:rsidRDefault="00C0208F" w:rsidP="00E50706">
      <w:r>
        <w:t>Sylvana Vilca-Melendez</w:t>
      </w:r>
    </w:p>
    <w:p w14:paraId="57E03571" w14:textId="66595F28" w:rsidR="00DF1B40" w:rsidRDefault="005F506A" w:rsidP="00E50706">
      <w:hyperlink r:id="rId8" w:history="1">
        <w:r w:rsidR="00DF1B40" w:rsidRPr="00642CB7">
          <w:rPr>
            <w:rStyle w:val="Hyperlink"/>
          </w:rPr>
          <w:t>sylvana.vilca-melendez20@imperial.ac.uk</w:t>
        </w:r>
      </w:hyperlink>
    </w:p>
    <w:p w14:paraId="0DA4638B" w14:textId="768B7D78" w:rsidR="00C0208F" w:rsidRDefault="00C0208F" w:rsidP="00E50706"/>
    <w:p w14:paraId="60596AB7" w14:textId="2E71E602" w:rsidR="00C0208F" w:rsidRDefault="00C0208F" w:rsidP="00E50706">
      <w:r>
        <w:t>Julian Griffin</w:t>
      </w:r>
    </w:p>
    <w:p w14:paraId="6291AE92" w14:textId="11745402" w:rsidR="00C0208F" w:rsidRDefault="005F506A" w:rsidP="00E50706">
      <w:hyperlink r:id="rId9" w:history="1">
        <w:r w:rsidR="00C0208F" w:rsidRPr="00642CB7">
          <w:rPr>
            <w:rStyle w:val="Hyperlink"/>
          </w:rPr>
          <w:t>julian.griffin@imperial.ac.uk</w:t>
        </w:r>
      </w:hyperlink>
    </w:p>
    <w:p w14:paraId="4F5B8D2D" w14:textId="77777777" w:rsidR="00C0208F" w:rsidRDefault="00C0208F" w:rsidP="00E50706"/>
    <w:p w14:paraId="0D1BBA49" w14:textId="26CBFF06" w:rsidR="00DF1B40" w:rsidRDefault="00DF1B40" w:rsidP="00E50706"/>
    <w:p w14:paraId="3BB20F85" w14:textId="1D2E11BA" w:rsidR="00F33BEE" w:rsidRDefault="00526533" w:rsidP="00E50706">
      <w:r>
        <w:t>Word Count:</w:t>
      </w:r>
      <w:r w:rsidR="005205F1">
        <w:t xml:space="preserve"> 10684</w:t>
      </w:r>
    </w:p>
    <w:p w14:paraId="349D0992" w14:textId="5C7E7116" w:rsidR="00526533" w:rsidRDefault="00526533" w:rsidP="00E50706">
      <w:r>
        <w:t>Number of Figures/Tables: 3</w:t>
      </w:r>
    </w:p>
    <w:p w14:paraId="56B4D469" w14:textId="185C64FA" w:rsidR="00F33BEE" w:rsidRDefault="00F33BEE" w:rsidP="00E50706"/>
    <w:p w14:paraId="2B9A9779" w14:textId="2582F971" w:rsidR="00E50706" w:rsidRDefault="00E50706" w:rsidP="00E50706">
      <w:r>
        <w:t>Preference for manuscript to be formatted in British English.</w:t>
      </w:r>
    </w:p>
    <w:p w14:paraId="76AC4220" w14:textId="4971B9D7" w:rsidR="00F33BEE" w:rsidRDefault="00F33BEE" w:rsidP="00E50706"/>
    <w:p w14:paraId="2AF33C75" w14:textId="506315B1" w:rsidR="00F33BEE" w:rsidRDefault="00F33BEE" w:rsidP="00E50706"/>
    <w:p w14:paraId="04440231" w14:textId="4014D1F1" w:rsidR="00F33BEE" w:rsidRDefault="00F33BEE" w:rsidP="00E50706"/>
    <w:p w14:paraId="79C6D09B" w14:textId="5B3DC424" w:rsidR="00F33BEE" w:rsidRDefault="00F33BEE" w:rsidP="00E50706"/>
    <w:p w14:paraId="6B9A8067" w14:textId="213CDBC4" w:rsidR="00F33BEE" w:rsidRDefault="00F33BEE" w:rsidP="00E50706"/>
    <w:p w14:paraId="36C7BADB" w14:textId="2758366E" w:rsidR="00F33BEE" w:rsidRDefault="00F33BEE" w:rsidP="00E50706"/>
    <w:p w14:paraId="7E2CEFC0" w14:textId="1CF69821" w:rsidR="00F33BEE" w:rsidRDefault="00F33BEE" w:rsidP="00E50706"/>
    <w:p w14:paraId="3B36FBBC" w14:textId="47643BA8" w:rsidR="00F33BEE" w:rsidRDefault="00F33BEE" w:rsidP="00E50706"/>
    <w:p w14:paraId="6B516622" w14:textId="77777777" w:rsidR="00F33BEE" w:rsidRDefault="00F33BEE" w:rsidP="00E50706"/>
    <w:p w14:paraId="73F62EE7" w14:textId="77777777" w:rsidR="006039AB" w:rsidRDefault="006039AB" w:rsidP="00E50706"/>
    <w:p w14:paraId="2A710241" w14:textId="77777777" w:rsidR="006039AB" w:rsidRDefault="006039AB" w:rsidP="00E50706"/>
    <w:p w14:paraId="4313A742" w14:textId="0D1369F3" w:rsidR="006039AB" w:rsidRDefault="006039AB" w:rsidP="00E50706"/>
    <w:p w14:paraId="3CD459E8" w14:textId="77777777" w:rsidR="00C0208F" w:rsidRDefault="00C0208F" w:rsidP="00E50706"/>
    <w:p w14:paraId="17A35232" w14:textId="77777777" w:rsidR="006039AB" w:rsidRDefault="006039AB" w:rsidP="00E50706"/>
    <w:p w14:paraId="44359557" w14:textId="0B4B3D97" w:rsidR="006039AB" w:rsidRDefault="006039AB" w:rsidP="00E50706"/>
    <w:p w14:paraId="60868EB7" w14:textId="1A7FD29F" w:rsidR="00DF1B40" w:rsidRDefault="00DF1B40" w:rsidP="00E50706"/>
    <w:p w14:paraId="714AD407" w14:textId="77777777" w:rsidR="006039AB" w:rsidRDefault="006039AB" w:rsidP="00E50706"/>
    <w:p w14:paraId="76D6275C" w14:textId="1F8B951D" w:rsidR="007B4533" w:rsidRDefault="007B4533" w:rsidP="00E50706">
      <w:pPr>
        <w:autoSpaceDE w:val="0"/>
        <w:autoSpaceDN w:val="0"/>
        <w:adjustRightInd w:val="0"/>
      </w:pPr>
    </w:p>
    <w:p w14:paraId="48E44297" w14:textId="41AF012C" w:rsidR="007B4533" w:rsidRDefault="007B4533" w:rsidP="00E50706">
      <w:pPr>
        <w:autoSpaceDE w:val="0"/>
        <w:autoSpaceDN w:val="0"/>
        <w:adjustRightInd w:val="0"/>
        <w:rPr>
          <w:rFonts w:eastAsiaTheme="minorEastAsia"/>
          <w:b/>
          <w:bCs/>
          <w:color w:val="000000"/>
        </w:rPr>
      </w:pPr>
    </w:p>
    <w:p w14:paraId="72C47307" w14:textId="77777777" w:rsidR="00E50706" w:rsidRDefault="00E50706" w:rsidP="00E50706">
      <w:pPr>
        <w:autoSpaceDE w:val="0"/>
        <w:autoSpaceDN w:val="0"/>
        <w:adjustRightInd w:val="0"/>
        <w:rPr>
          <w:rFonts w:eastAsiaTheme="minorEastAsia"/>
          <w:b/>
          <w:bCs/>
          <w:color w:val="000000"/>
        </w:rPr>
      </w:pPr>
    </w:p>
    <w:p w14:paraId="6D4F8AC5" w14:textId="340E41DA" w:rsidR="007B4533" w:rsidRDefault="007B4533" w:rsidP="00E50706">
      <w:pPr>
        <w:autoSpaceDE w:val="0"/>
        <w:autoSpaceDN w:val="0"/>
        <w:adjustRightInd w:val="0"/>
        <w:rPr>
          <w:rFonts w:eastAsiaTheme="minorEastAsia"/>
          <w:b/>
          <w:bCs/>
          <w:color w:val="000000"/>
        </w:rPr>
      </w:pPr>
    </w:p>
    <w:p w14:paraId="2201142D" w14:textId="77777777" w:rsidR="00526533" w:rsidRDefault="00526533" w:rsidP="00E50706">
      <w:pPr>
        <w:autoSpaceDE w:val="0"/>
        <w:autoSpaceDN w:val="0"/>
        <w:adjustRightInd w:val="0"/>
        <w:rPr>
          <w:rFonts w:eastAsiaTheme="minorEastAsia"/>
          <w:b/>
          <w:bCs/>
          <w:color w:val="000000"/>
        </w:rPr>
      </w:pPr>
    </w:p>
    <w:p w14:paraId="738BA35B" w14:textId="10B0E50B" w:rsidR="00671AFE" w:rsidRPr="00CE7615" w:rsidRDefault="00243BF8" w:rsidP="00E50706">
      <w:pPr>
        <w:autoSpaceDE w:val="0"/>
        <w:autoSpaceDN w:val="0"/>
        <w:adjustRightInd w:val="0"/>
        <w:rPr>
          <w:rFonts w:eastAsiaTheme="minorEastAsia"/>
          <w:b/>
          <w:bCs/>
          <w:color w:val="000000"/>
        </w:rPr>
      </w:pPr>
      <w:r w:rsidRPr="00165686">
        <w:rPr>
          <w:rFonts w:eastAsiaTheme="minorEastAsia"/>
          <w:b/>
          <w:bCs/>
          <w:color w:val="000000"/>
        </w:rPr>
        <w:lastRenderedPageBreak/>
        <w:t>Abstract</w:t>
      </w:r>
      <w:r>
        <w:rPr>
          <w:rFonts w:eastAsiaTheme="minorEastAsia"/>
          <w:b/>
          <w:bCs/>
          <w:color w:val="000000"/>
        </w:rPr>
        <w:t xml:space="preserve"> </w:t>
      </w:r>
    </w:p>
    <w:p w14:paraId="2301DE82" w14:textId="77777777" w:rsidR="00210A1C" w:rsidRDefault="00210A1C" w:rsidP="00E50706">
      <w:pPr>
        <w:autoSpaceDE w:val="0"/>
        <w:autoSpaceDN w:val="0"/>
        <w:adjustRightInd w:val="0"/>
        <w:rPr>
          <w:rFonts w:eastAsiaTheme="minorEastAsia"/>
          <w:color w:val="000000"/>
        </w:rPr>
      </w:pPr>
    </w:p>
    <w:p w14:paraId="1EB8B865" w14:textId="1ED9A496" w:rsidR="00CD73D7" w:rsidRDefault="000E19BF" w:rsidP="00E50706">
      <w:pPr>
        <w:autoSpaceDE w:val="0"/>
        <w:autoSpaceDN w:val="0"/>
        <w:adjustRightInd w:val="0"/>
        <w:rPr>
          <w:rFonts w:eastAsiaTheme="minorEastAsia"/>
          <w:color w:val="000000"/>
        </w:rPr>
      </w:pPr>
      <w:r>
        <w:rPr>
          <w:rFonts w:eastAsiaTheme="minorEastAsia"/>
          <w:color w:val="000000"/>
        </w:rPr>
        <w:t>While psychedelic</w:t>
      </w:r>
      <w:r w:rsidR="00210A1C">
        <w:rPr>
          <w:rFonts w:eastAsiaTheme="minorEastAsia"/>
          <w:color w:val="000000"/>
        </w:rPr>
        <w:t xml:space="preserve">s may have therapeutic </w:t>
      </w:r>
      <w:r w:rsidR="001A3C6E">
        <w:rPr>
          <w:rFonts w:eastAsiaTheme="minorEastAsia"/>
          <w:color w:val="000000"/>
        </w:rPr>
        <w:t>potential for treating mental health disorders such as depression</w:t>
      </w:r>
      <w:r w:rsidR="00620B75" w:rsidRPr="00CE7615">
        <w:rPr>
          <w:rFonts w:eastAsiaTheme="minorEastAsia"/>
          <w:color w:val="000000"/>
        </w:rPr>
        <w:t>,</w:t>
      </w:r>
      <w:r w:rsidR="00671AFE" w:rsidRPr="00CE7615">
        <w:rPr>
          <w:rFonts w:eastAsiaTheme="minorEastAsia"/>
          <w:color w:val="000000"/>
        </w:rPr>
        <w:t xml:space="preserve"> </w:t>
      </w:r>
      <w:r w:rsidR="001A3C6E">
        <w:rPr>
          <w:rFonts w:eastAsiaTheme="minorEastAsia"/>
          <w:color w:val="000000"/>
        </w:rPr>
        <w:t>further research is needed to better understand their biological effects and mechanisms of action when considering the development of future novel therapy approaches</w:t>
      </w:r>
      <w:r w:rsidR="00CD73D7">
        <w:rPr>
          <w:rFonts w:eastAsiaTheme="minorEastAsia"/>
          <w:color w:val="000000"/>
        </w:rPr>
        <w:t xml:space="preserve">. </w:t>
      </w:r>
      <w:r w:rsidR="00687D11">
        <w:rPr>
          <w:rFonts w:eastAsiaTheme="minorEastAsia"/>
          <w:color w:val="000000"/>
        </w:rPr>
        <w:t>P</w:t>
      </w:r>
      <w:r w:rsidR="00CD73D7">
        <w:rPr>
          <w:rFonts w:eastAsiaTheme="minorEastAsia"/>
          <w:color w:val="000000"/>
        </w:rPr>
        <w:t xml:space="preserve">sychedelic research could potentially benefit </w:t>
      </w:r>
      <w:r w:rsidR="00671AFE" w:rsidRPr="00CE7615">
        <w:rPr>
          <w:rFonts w:eastAsiaTheme="minorEastAsia"/>
          <w:color w:val="000000"/>
        </w:rPr>
        <w:t xml:space="preserve">from the integration </w:t>
      </w:r>
      <w:r w:rsidR="001A3C6E">
        <w:rPr>
          <w:rFonts w:eastAsiaTheme="minorEastAsia"/>
          <w:color w:val="000000"/>
        </w:rPr>
        <w:t>of</w:t>
      </w:r>
      <w:r w:rsidR="005E5C77">
        <w:rPr>
          <w:rFonts w:eastAsiaTheme="minorEastAsia"/>
          <w:color w:val="000000"/>
        </w:rPr>
        <w:t xml:space="preserve"> </w:t>
      </w:r>
      <w:proofErr w:type="spellStart"/>
      <w:r w:rsidR="00671AFE" w:rsidRPr="00CE7615">
        <w:rPr>
          <w:rFonts w:eastAsiaTheme="minorEastAsia"/>
          <w:color w:val="000000"/>
        </w:rPr>
        <w:t>metabonomics</w:t>
      </w:r>
      <w:proofErr w:type="spellEnd"/>
      <w:r w:rsidR="00671AFE" w:rsidRPr="00CE7615">
        <w:rPr>
          <w:rFonts w:eastAsiaTheme="minorEastAsia"/>
          <w:color w:val="000000"/>
        </w:rPr>
        <w:t xml:space="preserve"> by proton nuclear magnetic resonance (</w:t>
      </w:r>
      <w:r w:rsidR="00671AFE" w:rsidRPr="00CE7615">
        <w:rPr>
          <w:color w:val="000000" w:themeColor="text1"/>
          <w:shd w:val="clear" w:color="auto" w:fill="FFFFFF"/>
          <w:vertAlign w:val="superscript"/>
        </w:rPr>
        <w:t>1</w:t>
      </w:r>
      <w:r w:rsidR="00671AFE" w:rsidRPr="00CE7615">
        <w:rPr>
          <w:color w:val="000000" w:themeColor="text1"/>
          <w:shd w:val="clear" w:color="auto" w:fill="FFFFFF"/>
        </w:rPr>
        <w:t>H</w:t>
      </w:r>
      <w:r w:rsidR="00671AFE" w:rsidRPr="00CE7615">
        <w:rPr>
          <w:vertAlign w:val="superscript"/>
        </w:rPr>
        <w:t xml:space="preserve"> </w:t>
      </w:r>
      <w:r w:rsidR="00671AFE" w:rsidRPr="00CE7615">
        <w:rPr>
          <w:rFonts w:eastAsiaTheme="minorEastAsia"/>
          <w:color w:val="000000"/>
        </w:rPr>
        <w:t>NMR)</w:t>
      </w:r>
      <w:r w:rsidR="00CD73D7">
        <w:rPr>
          <w:rFonts w:eastAsiaTheme="minorEastAsia"/>
          <w:color w:val="000000"/>
        </w:rPr>
        <w:t xml:space="preserve"> spectroscopy</w:t>
      </w:r>
      <w:r w:rsidR="00671AFE" w:rsidRPr="00CE7615">
        <w:rPr>
          <w:rFonts w:eastAsiaTheme="minorEastAsia"/>
          <w:color w:val="000000"/>
        </w:rPr>
        <w:t>, a</w:t>
      </w:r>
      <w:r w:rsidR="00723C2C">
        <w:rPr>
          <w:rFonts w:eastAsiaTheme="minorEastAsia"/>
          <w:color w:val="000000"/>
        </w:rPr>
        <w:t>n analytical</w:t>
      </w:r>
      <w:r w:rsidR="00671AFE" w:rsidRPr="00CE7615">
        <w:rPr>
          <w:rFonts w:eastAsiaTheme="minorEastAsia"/>
          <w:color w:val="000000"/>
        </w:rPr>
        <w:t xml:space="preserve"> chemistry-based approach that can measure the breakdown of drugs into their metabolites</w:t>
      </w:r>
      <w:r w:rsidR="00687D11">
        <w:rPr>
          <w:rFonts w:eastAsiaTheme="minorEastAsia"/>
          <w:color w:val="000000"/>
        </w:rPr>
        <w:t xml:space="preserve"> and</w:t>
      </w:r>
      <w:r w:rsidR="00CD73D7">
        <w:rPr>
          <w:rFonts w:eastAsiaTheme="minorEastAsia"/>
          <w:color w:val="000000"/>
        </w:rPr>
        <w:t xml:space="preserve"> their metabolic consequences</w:t>
      </w:r>
      <w:r w:rsidR="001A3C6E">
        <w:rPr>
          <w:rFonts w:eastAsiaTheme="minorEastAsia"/>
          <w:color w:val="000000"/>
        </w:rPr>
        <w:t xml:space="preserve"> from various biofluids.</w:t>
      </w:r>
      <w:r w:rsidR="00723C2C">
        <w:rPr>
          <w:rFonts w:eastAsiaTheme="minorEastAsia"/>
          <w:color w:val="000000"/>
        </w:rPr>
        <w:t xml:space="preserve"> We have performed a systematic review of the literature to assess the use of </w:t>
      </w:r>
      <w:r w:rsidR="00723C2C" w:rsidRPr="00D10C64">
        <w:rPr>
          <w:color w:val="000000" w:themeColor="text1"/>
          <w:shd w:val="clear" w:color="auto" w:fill="FFFFFF"/>
          <w:vertAlign w:val="superscript"/>
        </w:rPr>
        <w:t>1</w:t>
      </w:r>
      <w:r w:rsidR="00723C2C" w:rsidRPr="00D10C64">
        <w:rPr>
          <w:color w:val="000000" w:themeColor="text1"/>
          <w:shd w:val="clear" w:color="auto" w:fill="FFFFFF"/>
        </w:rPr>
        <w:t>H</w:t>
      </w:r>
      <w:r w:rsidR="00723C2C" w:rsidRPr="00D10C64">
        <w:rPr>
          <w:vertAlign w:val="superscript"/>
        </w:rPr>
        <w:t xml:space="preserve"> </w:t>
      </w:r>
      <w:r w:rsidR="00723C2C" w:rsidRPr="00D10C64">
        <w:rPr>
          <w:rFonts w:eastAsiaTheme="minorEastAsia"/>
          <w:color w:val="000000"/>
        </w:rPr>
        <w:t>NMR</w:t>
      </w:r>
      <w:r w:rsidR="00723C2C">
        <w:rPr>
          <w:rFonts w:eastAsiaTheme="minorEastAsia"/>
          <w:color w:val="000000"/>
        </w:rPr>
        <w:t xml:space="preserve"> spectroscopy-based metabolomics as a tool in psychedelic research.</w:t>
      </w:r>
    </w:p>
    <w:p w14:paraId="5E166ACF" w14:textId="77777777" w:rsidR="00CD73D7" w:rsidRDefault="00CD73D7" w:rsidP="00E50706">
      <w:pPr>
        <w:autoSpaceDE w:val="0"/>
        <w:autoSpaceDN w:val="0"/>
        <w:adjustRightInd w:val="0"/>
        <w:rPr>
          <w:rFonts w:eastAsiaTheme="minorEastAsia"/>
          <w:color w:val="000000"/>
        </w:rPr>
      </w:pPr>
    </w:p>
    <w:p w14:paraId="4F06DCE2" w14:textId="532EE759" w:rsidR="00671AFE" w:rsidRPr="00D10C64" w:rsidRDefault="001A3C6E" w:rsidP="00E50706">
      <w:pPr>
        <w:pStyle w:val="CommentText"/>
        <w:rPr>
          <w:sz w:val="24"/>
          <w:szCs w:val="24"/>
        </w:rPr>
      </w:pPr>
      <w:r>
        <w:rPr>
          <w:rFonts w:eastAsiaTheme="minorEastAsia"/>
          <w:color w:val="000000"/>
          <w:sz w:val="24"/>
          <w:szCs w:val="24"/>
        </w:rPr>
        <w:t>After exploring previously published literature</w:t>
      </w:r>
      <w:r w:rsidR="00671AFE" w:rsidRPr="00D10C64">
        <w:rPr>
          <w:rFonts w:eastAsiaTheme="minorEastAsia"/>
          <w:color w:val="000000"/>
          <w:sz w:val="24"/>
          <w:szCs w:val="24"/>
        </w:rPr>
        <w:t xml:space="preserve"> where </w:t>
      </w:r>
      <w:r w:rsidR="00671AFE" w:rsidRPr="00D10C64">
        <w:rPr>
          <w:color w:val="000000" w:themeColor="text1"/>
          <w:sz w:val="24"/>
          <w:szCs w:val="24"/>
          <w:shd w:val="clear" w:color="auto" w:fill="FFFFFF"/>
          <w:vertAlign w:val="superscript"/>
        </w:rPr>
        <w:t>1</w:t>
      </w:r>
      <w:r w:rsidR="00671AFE" w:rsidRPr="00D10C64">
        <w:rPr>
          <w:color w:val="000000" w:themeColor="text1"/>
          <w:sz w:val="24"/>
          <w:szCs w:val="24"/>
          <w:shd w:val="clear" w:color="auto" w:fill="FFFFFF"/>
        </w:rPr>
        <w:t>H</w:t>
      </w:r>
      <w:r w:rsidR="00671AFE" w:rsidRPr="00D10C64">
        <w:rPr>
          <w:sz w:val="24"/>
          <w:szCs w:val="24"/>
          <w:vertAlign w:val="superscript"/>
        </w:rPr>
        <w:t xml:space="preserve"> </w:t>
      </w:r>
      <w:r w:rsidR="00671AFE" w:rsidRPr="00D10C64">
        <w:rPr>
          <w:rFonts w:eastAsiaTheme="minorEastAsia"/>
          <w:color w:val="000000"/>
          <w:sz w:val="24"/>
          <w:szCs w:val="24"/>
        </w:rPr>
        <w:t>NMR</w:t>
      </w:r>
      <w:r w:rsidR="00D10C64">
        <w:rPr>
          <w:rFonts w:eastAsiaTheme="minorEastAsia"/>
          <w:color w:val="000000"/>
          <w:sz w:val="24"/>
          <w:szCs w:val="24"/>
        </w:rPr>
        <w:t xml:space="preserve"> had</w:t>
      </w:r>
      <w:r w:rsidR="00671AFE" w:rsidRPr="00D10C64">
        <w:rPr>
          <w:rFonts w:eastAsiaTheme="minorEastAsia"/>
          <w:color w:val="000000"/>
          <w:sz w:val="24"/>
          <w:szCs w:val="24"/>
        </w:rPr>
        <w:t xml:space="preserve"> </w:t>
      </w:r>
      <w:r w:rsidR="00D10C64">
        <w:rPr>
          <w:rFonts w:eastAsiaTheme="minorEastAsia"/>
          <w:color w:val="000000"/>
          <w:sz w:val="24"/>
          <w:szCs w:val="24"/>
        </w:rPr>
        <w:t xml:space="preserve">analysed </w:t>
      </w:r>
      <w:r w:rsidR="00671AFE" w:rsidRPr="00D10C64">
        <w:rPr>
          <w:rFonts w:eastAsiaTheme="minorEastAsia"/>
          <w:color w:val="000000"/>
          <w:sz w:val="24"/>
          <w:szCs w:val="24"/>
        </w:rPr>
        <w:t xml:space="preserve">psychedelic substances </w:t>
      </w:r>
      <w:r w:rsidR="00D10C64" w:rsidRPr="00D10C64">
        <w:rPr>
          <w:rFonts w:eastAsiaTheme="minorEastAsia"/>
          <w:color w:val="000000"/>
          <w:sz w:val="24"/>
          <w:szCs w:val="24"/>
        </w:rPr>
        <w:t>including</w:t>
      </w:r>
      <w:r w:rsidR="00671AFE" w:rsidRPr="00D10C64">
        <w:rPr>
          <w:rFonts w:eastAsiaTheme="minorEastAsia"/>
          <w:color w:val="000000"/>
          <w:sz w:val="24"/>
          <w:szCs w:val="24"/>
        </w:rPr>
        <w:t xml:space="preserve"> </w:t>
      </w:r>
      <w:r w:rsidR="009B47C2" w:rsidRPr="00D10C64">
        <w:rPr>
          <w:rFonts w:eastAsiaTheme="minorEastAsia"/>
          <w:color w:val="000000"/>
          <w:sz w:val="24"/>
          <w:szCs w:val="24"/>
        </w:rPr>
        <w:t>psilocin,</w:t>
      </w:r>
      <w:r>
        <w:rPr>
          <w:rFonts w:eastAsiaTheme="minorEastAsia"/>
          <w:color w:val="000000"/>
          <w:sz w:val="24"/>
          <w:szCs w:val="24"/>
        </w:rPr>
        <w:t xml:space="preserve"> lysergic acid diethylamide</w:t>
      </w:r>
      <w:r w:rsidR="009B47C2" w:rsidRPr="00D10C64">
        <w:rPr>
          <w:rFonts w:eastAsiaTheme="minorEastAsia"/>
          <w:color w:val="000000"/>
          <w:sz w:val="24"/>
          <w:szCs w:val="24"/>
        </w:rPr>
        <w:t xml:space="preserve"> </w:t>
      </w:r>
      <w:r>
        <w:rPr>
          <w:rFonts w:eastAsiaTheme="minorEastAsia"/>
          <w:color w:val="000000"/>
          <w:sz w:val="24"/>
          <w:szCs w:val="24"/>
        </w:rPr>
        <w:t>(L</w:t>
      </w:r>
      <w:r w:rsidR="00687D11" w:rsidRPr="00D10C64">
        <w:rPr>
          <w:rFonts w:eastAsiaTheme="minorEastAsia"/>
          <w:color w:val="000000"/>
          <w:sz w:val="24"/>
          <w:szCs w:val="24"/>
        </w:rPr>
        <w:t>SD</w:t>
      </w:r>
      <w:r>
        <w:rPr>
          <w:rFonts w:eastAsiaTheme="minorEastAsia"/>
          <w:color w:val="000000"/>
          <w:sz w:val="24"/>
          <w:szCs w:val="24"/>
        </w:rPr>
        <w:t>)</w:t>
      </w:r>
      <w:r w:rsidR="00687D11" w:rsidRPr="00D10C64">
        <w:rPr>
          <w:rFonts w:eastAsiaTheme="minorEastAsia"/>
          <w:color w:val="000000"/>
          <w:sz w:val="24"/>
          <w:szCs w:val="24"/>
        </w:rPr>
        <w:t>,</w:t>
      </w:r>
      <w:r w:rsidR="00671AFE" w:rsidRPr="00D10C64">
        <w:rPr>
          <w:rFonts w:eastAsiaTheme="minorEastAsia"/>
          <w:color w:val="000000"/>
          <w:sz w:val="24"/>
          <w:szCs w:val="24"/>
        </w:rPr>
        <w:t xml:space="preserve"> LSD derivatives, </w:t>
      </w:r>
      <w:r w:rsidR="00671AFE" w:rsidRPr="00D10C64">
        <w:rPr>
          <w:rFonts w:eastAsiaTheme="minorEastAsia"/>
          <w:i/>
          <w:iCs/>
          <w:color w:val="000000"/>
          <w:sz w:val="24"/>
          <w:szCs w:val="24"/>
        </w:rPr>
        <w:t>N</w:t>
      </w:r>
      <w:r w:rsidR="00671AFE" w:rsidRPr="00D10C64">
        <w:rPr>
          <w:rFonts w:eastAsiaTheme="minorEastAsia"/>
          <w:color w:val="000000"/>
          <w:sz w:val="24"/>
          <w:szCs w:val="24"/>
        </w:rPr>
        <w:t>,</w:t>
      </w:r>
      <w:r w:rsidR="00671AFE" w:rsidRPr="00D10C64">
        <w:rPr>
          <w:rFonts w:eastAsiaTheme="minorEastAsia"/>
          <w:i/>
          <w:iCs/>
          <w:color w:val="000000"/>
          <w:sz w:val="24"/>
          <w:szCs w:val="24"/>
        </w:rPr>
        <w:t>N</w:t>
      </w:r>
      <w:r w:rsidR="00671AFE" w:rsidRPr="00D10C64">
        <w:rPr>
          <w:rFonts w:eastAsiaTheme="minorEastAsia"/>
          <w:color w:val="000000"/>
          <w:sz w:val="24"/>
          <w:szCs w:val="24"/>
        </w:rPr>
        <w:t>-dimethyltryptamine (DMT), 5-methoxy-</w:t>
      </w:r>
      <w:r w:rsidR="00671AFE" w:rsidRPr="00D10C64">
        <w:rPr>
          <w:rFonts w:eastAsiaTheme="minorEastAsia"/>
          <w:i/>
          <w:iCs/>
          <w:color w:val="000000"/>
          <w:sz w:val="24"/>
          <w:szCs w:val="24"/>
        </w:rPr>
        <w:t>N</w:t>
      </w:r>
      <w:r w:rsidR="00671AFE" w:rsidRPr="00D10C64">
        <w:rPr>
          <w:rFonts w:eastAsiaTheme="minorEastAsia"/>
          <w:color w:val="000000"/>
          <w:sz w:val="24"/>
          <w:szCs w:val="24"/>
        </w:rPr>
        <w:t>,</w:t>
      </w:r>
      <w:r w:rsidR="00671AFE" w:rsidRPr="00D10C64">
        <w:rPr>
          <w:rFonts w:eastAsiaTheme="minorEastAsia"/>
          <w:i/>
          <w:iCs/>
          <w:color w:val="000000"/>
          <w:sz w:val="24"/>
          <w:szCs w:val="24"/>
        </w:rPr>
        <w:t>N</w:t>
      </w:r>
      <w:r w:rsidR="00671AFE" w:rsidRPr="00D10C64">
        <w:rPr>
          <w:rFonts w:eastAsiaTheme="minorEastAsia"/>
          <w:color w:val="000000"/>
          <w:sz w:val="24"/>
          <w:szCs w:val="24"/>
        </w:rPr>
        <w:t>-dimethyltryptamine (5-MeO-DMT)</w:t>
      </w:r>
      <w:r w:rsidR="009B47C2" w:rsidRPr="00D10C64">
        <w:rPr>
          <w:rFonts w:eastAsiaTheme="minorEastAsia"/>
          <w:color w:val="000000"/>
          <w:sz w:val="24"/>
          <w:szCs w:val="24"/>
        </w:rPr>
        <w:t xml:space="preserve"> and </w:t>
      </w:r>
      <w:proofErr w:type="spellStart"/>
      <w:r w:rsidR="006D04F0">
        <w:rPr>
          <w:rFonts w:eastAsiaTheme="minorEastAsia"/>
          <w:color w:val="000000"/>
          <w:sz w:val="24"/>
          <w:szCs w:val="24"/>
        </w:rPr>
        <w:t>bufotenin</w:t>
      </w:r>
      <w:proofErr w:type="spellEnd"/>
      <w:r w:rsidR="006D04F0">
        <w:rPr>
          <w:rFonts w:eastAsiaTheme="minorEastAsia"/>
          <w:color w:val="000000"/>
          <w:sz w:val="24"/>
          <w:szCs w:val="24"/>
        </w:rPr>
        <w:t>, we found that t</w:t>
      </w:r>
      <w:r w:rsidR="00671AFE" w:rsidRPr="00D10C64">
        <w:rPr>
          <w:rFonts w:eastAsiaTheme="minorEastAsia"/>
          <w:color w:val="000000"/>
          <w:sz w:val="24"/>
          <w:szCs w:val="24"/>
        </w:rPr>
        <w:t xml:space="preserve">he main use of </w:t>
      </w:r>
      <w:r w:rsidR="00671AFE" w:rsidRPr="00D10C64">
        <w:rPr>
          <w:color w:val="000000" w:themeColor="text1"/>
          <w:sz w:val="24"/>
          <w:szCs w:val="24"/>
          <w:shd w:val="clear" w:color="auto" w:fill="FFFFFF"/>
          <w:vertAlign w:val="superscript"/>
        </w:rPr>
        <w:t>1</w:t>
      </w:r>
      <w:r w:rsidR="00671AFE" w:rsidRPr="00D10C64">
        <w:rPr>
          <w:color w:val="000000" w:themeColor="text1"/>
          <w:sz w:val="24"/>
          <w:szCs w:val="24"/>
          <w:shd w:val="clear" w:color="auto" w:fill="FFFFFF"/>
        </w:rPr>
        <w:t>H</w:t>
      </w:r>
      <w:r w:rsidR="00671AFE" w:rsidRPr="00D10C64">
        <w:rPr>
          <w:sz w:val="24"/>
          <w:szCs w:val="24"/>
          <w:vertAlign w:val="superscript"/>
        </w:rPr>
        <w:t xml:space="preserve"> </w:t>
      </w:r>
      <w:r w:rsidR="00671AFE" w:rsidRPr="00D10C64">
        <w:rPr>
          <w:rFonts w:eastAsiaTheme="minorEastAsia"/>
          <w:color w:val="000000"/>
          <w:sz w:val="24"/>
          <w:szCs w:val="24"/>
        </w:rPr>
        <w:t xml:space="preserve">NMR </w:t>
      </w:r>
      <w:r w:rsidR="00CD73D7" w:rsidRPr="00D10C64">
        <w:rPr>
          <w:rFonts w:eastAsiaTheme="minorEastAsia"/>
          <w:color w:val="000000"/>
          <w:sz w:val="24"/>
          <w:szCs w:val="24"/>
        </w:rPr>
        <w:t>to date has been</w:t>
      </w:r>
      <w:r w:rsidR="00671AFE" w:rsidRPr="00D10C64">
        <w:rPr>
          <w:rFonts w:eastAsiaTheme="minorEastAsia"/>
          <w:color w:val="000000"/>
          <w:sz w:val="24"/>
          <w:szCs w:val="24"/>
        </w:rPr>
        <w:t xml:space="preserve"> for the</w:t>
      </w:r>
      <w:r w:rsidR="00B27B79" w:rsidRPr="00D10C64">
        <w:rPr>
          <w:rFonts w:eastAsiaTheme="minorEastAsia"/>
          <w:color w:val="000000"/>
          <w:sz w:val="24"/>
          <w:szCs w:val="24"/>
        </w:rPr>
        <w:t xml:space="preserve"> structural elucidation</w:t>
      </w:r>
      <w:r w:rsidR="00671AFE" w:rsidRPr="00D10C64">
        <w:rPr>
          <w:rFonts w:eastAsiaTheme="minorEastAsia"/>
          <w:color w:val="000000"/>
          <w:sz w:val="24"/>
          <w:szCs w:val="24"/>
        </w:rPr>
        <w:t xml:space="preserve"> </w:t>
      </w:r>
      <w:r w:rsidR="00190235" w:rsidRPr="00D10C64">
        <w:rPr>
          <w:rFonts w:eastAsiaTheme="minorEastAsia"/>
          <w:color w:val="000000"/>
          <w:sz w:val="24"/>
          <w:szCs w:val="24"/>
        </w:rPr>
        <w:t xml:space="preserve">and </w:t>
      </w:r>
      <w:r w:rsidR="00671AFE" w:rsidRPr="00D10C64">
        <w:rPr>
          <w:rFonts w:eastAsiaTheme="minorEastAsia"/>
          <w:color w:val="000000"/>
          <w:sz w:val="24"/>
          <w:szCs w:val="24"/>
        </w:rPr>
        <w:t xml:space="preserve">analytical characterisation of </w:t>
      </w:r>
      <w:r w:rsidR="00B27B79" w:rsidRPr="00D10C64">
        <w:rPr>
          <w:rFonts w:eastAsiaTheme="minorEastAsia"/>
          <w:color w:val="000000"/>
          <w:sz w:val="24"/>
          <w:szCs w:val="24"/>
        </w:rPr>
        <w:t>psychedelic molecules</w:t>
      </w:r>
      <w:r w:rsidR="006D04F0">
        <w:rPr>
          <w:rFonts w:eastAsiaTheme="minorEastAsia"/>
          <w:color w:val="000000"/>
          <w:sz w:val="24"/>
          <w:szCs w:val="24"/>
        </w:rPr>
        <w:t xml:space="preserve"> and that </w:t>
      </w:r>
      <w:r w:rsidR="00671AFE" w:rsidRPr="00D10C64">
        <w:rPr>
          <w:rFonts w:eastAsiaTheme="minorEastAsia"/>
          <w:color w:val="000000"/>
          <w:sz w:val="24"/>
          <w:szCs w:val="24"/>
        </w:rPr>
        <w:t xml:space="preserve">no papers used </w:t>
      </w:r>
      <w:r w:rsidR="00671AFE" w:rsidRPr="00D10C64">
        <w:rPr>
          <w:color w:val="000000" w:themeColor="text1"/>
          <w:sz w:val="24"/>
          <w:szCs w:val="24"/>
          <w:shd w:val="clear" w:color="auto" w:fill="FFFFFF"/>
          <w:vertAlign w:val="superscript"/>
        </w:rPr>
        <w:t>1</w:t>
      </w:r>
      <w:r w:rsidR="00671AFE" w:rsidRPr="00D10C64">
        <w:rPr>
          <w:color w:val="000000" w:themeColor="text1"/>
          <w:sz w:val="24"/>
          <w:szCs w:val="24"/>
          <w:shd w:val="clear" w:color="auto" w:fill="FFFFFF"/>
        </w:rPr>
        <w:t>H</w:t>
      </w:r>
      <w:r w:rsidR="00671AFE" w:rsidRPr="00D10C64">
        <w:rPr>
          <w:sz w:val="24"/>
          <w:szCs w:val="24"/>
          <w:vertAlign w:val="superscript"/>
        </w:rPr>
        <w:t xml:space="preserve"> </w:t>
      </w:r>
      <w:r w:rsidR="00671AFE" w:rsidRPr="00D10C64">
        <w:rPr>
          <w:rFonts w:eastAsiaTheme="minorEastAsia"/>
          <w:color w:val="000000"/>
          <w:sz w:val="24"/>
          <w:szCs w:val="24"/>
        </w:rPr>
        <w:t xml:space="preserve">NMR in the metabolic profiling of biofluids, thus exposing a current research gap and the underuse of </w:t>
      </w:r>
      <w:r w:rsidR="00671AFE" w:rsidRPr="00D10C64">
        <w:rPr>
          <w:color w:val="000000" w:themeColor="text1"/>
          <w:sz w:val="24"/>
          <w:szCs w:val="24"/>
          <w:shd w:val="clear" w:color="auto" w:fill="FFFFFF"/>
          <w:vertAlign w:val="superscript"/>
        </w:rPr>
        <w:t>1</w:t>
      </w:r>
      <w:r w:rsidR="00671AFE" w:rsidRPr="00D10C64">
        <w:rPr>
          <w:color w:val="000000" w:themeColor="text1"/>
          <w:sz w:val="24"/>
          <w:szCs w:val="24"/>
          <w:shd w:val="clear" w:color="auto" w:fill="FFFFFF"/>
        </w:rPr>
        <w:t>H</w:t>
      </w:r>
      <w:r w:rsidR="00671AFE" w:rsidRPr="00D10C64">
        <w:rPr>
          <w:sz w:val="24"/>
          <w:szCs w:val="24"/>
          <w:vertAlign w:val="superscript"/>
        </w:rPr>
        <w:t xml:space="preserve"> </w:t>
      </w:r>
      <w:r w:rsidR="00671AFE" w:rsidRPr="00D10C64">
        <w:rPr>
          <w:rFonts w:eastAsiaTheme="minorEastAsia"/>
          <w:color w:val="000000"/>
          <w:sz w:val="24"/>
          <w:szCs w:val="24"/>
        </w:rPr>
        <w:t>NMR.</w:t>
      </w:r>
      <w:r w:rsidR="00384260">
        <w:rPr>
          <w:rFonts w:eastAsiaTheme="minorEastAsia"/>
          <w:color w:val="000000"/>
          <w:sz w:val="24"/>
          <w:szCs w:val="24"/>
        </w:rPr>
        <w:t xml:space="preserve"> </w:t>
      </w:r>
      <w:r w:rsidR="00DA2259">
        <w:rPr>
          <w:rFonts w:eastAsiaTheme="minorEastAsia"/>
          <w:color w:val="000000"/>
          <w:sz w:val="24"/>
          <w:szCs w:val="24"/>
        </w:rPr>
        <w:t xml:space="preserve">The efficacy of </w:t>
      </w:r>
      <w:r w:rsidR="00384260" w:rsidRPr="00D10C64">
        <w:rPr>
          <w:color w:val="000000" w:themeColor="text1"/>
          <w:sz w:val="24"/>
          <w:szCs w:val="24"/>
          <w:shd w:val="clear" w:color="auto" w:fill="FFFFFF"/>
          <w:vertAlign w:val="superscript"/>
        </w:rPr>
        <w:t>1</w:t>
      </w:r>
      <w:r w:rsidR="00384260" w:rsidRPr="00D10C64">
        <w:rPr>
          <w:color w:val="000000" w:themeColor="text1"/>
          <w:sz w:val="24"/>
          <w:szCs w:val="24"/>
          <w:shd w:val="clear" w:color="auto" w:fill="FFFFFF"/>
        </w:rPr>
        <w:t>H</w:t>
      </w:r>
      <w:r w:rsidR="00384260" w:rsidRPr="00D10C64">
        <w:rPr>
          <w:sz w:val="24"/>
          <w:szCs w:val="24"/>
          <w:vertAlign w:val="superscript"/>
        </w:rPr>
        <w:t xml:space="preserve"> </w:t>
      </w:r>
      <w:r w:rsidR="00384260" w:rsidRPr="00D10C64">
        <w:rPr>
          <w:rFonts w:eastAsiaTheme="minorEastAsia"/>
          <w:color w:val="000000"/>
          <w:sz w:val="24"/>
          <w:szCs w:val="24"/>
        </w:rPr>
        <w:t>NMR</w:t>
      </w:r>
      <w:r w:rsidR="00384260">
        <w:rPr>
          <w:rFonts w:eastAsiaTheme="minorEastAsia"/>
          <w:color w:val="000000"/>
          <w:sz w:val="24"/>
          <w:szCs w:val="24"/>
        </w:rPr>
        <w:t xml:space="preserve"> spectroscopy w</w:t>
      </w:r>
      <w:r w:rsidR="00DA2259">
        <w:rPr>
          <w:rFonts w:eastAsiaTheme="minorEastAsia"/>
          <w:color w:val="000000"/>
          <w:sz w:val="24"/>
          <w:szCs w:val="24"/>
        </w:rPr>
        <w:t>as also compared to</w:t>
      </w:r>
      <w:r w:rsidR="00384260">
        <w:rPr>
          <w:rFonts w:eastAsiaTheme="minorEastAsia"/>
          <w:color w:val="000000"/>
          <w:sz w:val="24"/>
          <w:szCs w:val="24"/>
        </w:rPr>
        <w:t xml:space="preserve"> mass spectro</w:t>
      </w:r>
      <w:r w:rsidR="00723C2C">
        <w:rPr>
          <w:rFonts w:eastAsiaTheme="minorEastAsia"/>
          <w:color w:val="000000"/>
          <w:sz w:val="24"/>
          <w:szCs w:val="24"/>
        </w:rPr>
        <w:t>metry</w:t>
      </w:r>
      <w:r w:rsidR="00DA2259">
        <w:rPr>
          <w:rFonts w:eastAsiaTheme="minorEastAsia"/>
          <w:color w:val="000000"/>
          <w:sz w:val="24"/>
          <w:szCs w:val="24"/>
        </w:rPr>
        <w:t xml:space="preserve">, where both </w:t>
      </w:r>
      <w:proofErr w:type="spellStart"/>
      <w:r w:rsidR="00DA2259">
        <w:rPr>
          <w:rFonts w:eastAsiaTheme="minorEastAsia"/>
          <w:color w:val="000000"/>
          <w:sz w:val="24"/>
          <w:szCs w:val="24"/>
        </w:rPr>
        <w:t>metabonomics</w:t>
      </w:r>
      <w:proofErr w:type="spellEnd"/>
      <w:r w:rsidR="00DA2259">
        <w:rPr>
          <w:rFonts w:eastAsiaTheme="minorEastAsia"/>
          <w:color w:val="000000"/>
          <w:sz w:val="24"/>
          <w:szCs w:val="24"/>
        </w:rPr>
        <w:t xml:space="preserve"> techniques </w:t>
      </w:r>
      <w:r w:rsidR="00723C2C">
        <w:rPr>
          <w:rFonts w:eastAsiaTheme="minorEastAsia"/>
          <w:color w:val="000000"/>
          <w:sz w:val="24"/>
          <w:szCs w:val="24"/>
        </w:rPr>
        <w:t>have previously shown</w:t>
      </w:r>
      <w:r w:rsidR="00DA2259">
        <w:rPr>
          <w:rFonts w:eastAsiaTheme="minorEastAsia"/>
          <w:color w:val="000000"/>
          <w:sz w:val="24"/>
          <w:szCs w:val="24"/>
        </w:rPr>
        <w:t xml:space="preserve"> to be appropriate for biofluid analysis</w:t>
      </w:r>
      <w:r w:rsidR="00723C2C">
        <w:rPr>
          <w:rFonts w:eastAsiaTheme="minorEastAsia"/>
          <w:color w:val="000000"/>
          <w:sz w:val="24"/>
          <w:szCs w:val="24"/>
        </w:rPr>
        <w:t xml:space="preserve"> in other applications</w:t>
      </w:r>
      <w:r w:rsidR="00934B2D">
        <w:rPr>
          <w:rFonts w:eastAsiaTheme="minorEastAsia"/>
          <w:color w:val="000000"/>
          <w:sz w:val="24"/>
          <w:szCs w:val="24"/>
        </w:rPr>
        <w:t xml:space="preserve">. </w:t>
      </w:r>
      <w:r w:rsidR="00DA2259">
        <w:rPr>
          <w:rFonts w:eastAsiaTheme="minorEastAsia"/>
          <w:color w:val="000000"/>
          <w:sz w:val="24"/>
          <w:szCs w:val="24"/>
        </w:rPr>
        <w:t>Additionally, p</w:t>
      </w:r>
      <w:r w:rsidR="00671AFE" w:rsidRPr="00D10C64">
        <w:rPr>
          <w:rFonts w:eastAsiaTheme="minorEastAsia"/>
          <w:color w:val="000000"/>
          <w:sz w:val="24"/>
          <w:szCs w:val="24"/>
        </w:rPr>
        <w:t xml:space="preserve">otential future directions for </w:t>
      </w:r>
      <w:r w:rsidR="00CD73D7" w:rsidRPr="00D10C64">
        <w:rPr>
          <w:rFonts w:eastAsiaTheme="minorEastAsia"/>
          <w:color w:val="000000"/>
          <w:sz w:val="24"/>
          <w:szCs w:val="24"/>
        </w:rPr>
        <w:t>psychedelic research</w:t>
      </w:r>
      <w:r w:rsidR="00671AFE" w:rsidRPr="00D10C64">
        <w:rPr>
          <w:rFonts w:eastAsiaTheme="minorEastAsia"/>
          <w:color w:val="000000"/>
          <w:sz w:val="24"/>
          <w:szCs w:val="24"/>
        </w:rPr>
        <w:t xml:space="preserve"> </w:t>
      </w:r>
      <w:r w:rsidR="00B27B79" w:rsidRPr="00D10C64">
        <w:rPr>
          <w:rFonts w:eastAsiaTheme="minorEastAsia"/>
          <w:color w:val="000000"/>
          <w:sz w:val="24"/>
          <w:szCs w:val="24"/>
        </w:rPr>
        <w:t>were</w:t>
      </w:r>
      <w:r w:rsidR="009E180A" w:rsidRPr="00D10C64">
        <w:rPr>
          <w:rFonts w:eastAsiaTheme="minorEastAsia"/>
          <w:color w:val="000000"/>
          <w:sz w:val="24"/>
          <w:szCs w:val="24"/>
        </w:rPr>
        <w:t xml:space="preserve"> identified </w:t>
      </w:r>
      <w:r w:rsidR="00A6309D">
        <w:rPr>
          <w:rFonts w:eastAsiaTheme="minorEastAsia"/>
          <w:color w:val="000000"/>
          <w:sz w:val="24"/>
          <w:szCs w:val="24"/>
        </w:rPr>
        <w:t>as</w:t>
      </w:r>
      <w:r w:rsidR="00671AFE" w:rsidRPr="00D10C64">
        <w:rPr>
          <w:rFonts w:eastAsiaTheme="minorEastAsia"/>
          <w:color w:val="000000"/>
          <w:sz w:val="24"/>
          <w:szCs w:val="24"/>
        </w:rPr>
        <w:t xml:space="preserve"> real-time NMR,</w:t>
      </w:r>
      <w:r w:rsidR="00552D82" w:rsidRPr="00D10C64">
        <w:rPr>
          <w:rFonts w:eastAsiaTheme="minorEastAsia"/>
          <w:color w:val="000000"/>
          <w:sz w:val="24"/>
          <w:szCs w:val="24"/>
        </w:rPr>
        <w:t xml:space="preserve"> </w:t>
      </w:r>
      <w:r w:rsidR="00671AFE" w:rsidRPr="00D10C64">
        <w:rPr>
          <w:rFonts w:eastAsiaTheme="minorEastAsia"/>
          <w:i/>
          <w:iCs/>
          <w:color w:val="000000"/>
          <w:sz w:val="24"/>
          <w:szCs w:val="24"/>
        </w:rPr>
        <w:t>in vivo</w:t>
      </w:r>
      <w:r w:rsidR="00552D82" w:rsidRPr="00D10C64">
        <w:rPr>
          <w:rFonts w:eastAsiaTheme="minorEastAsia"/>
          <w:i/>
          <w:iCs/>
          <w:color w:val="000000"/>
          <w:sz w:val="24"/>
          <w:szCs w:val="24"/>
        </w:rPr>
        <w:t xml:space="preserve"> </w:t>
      </w:r>
      <w:r w:rsidR="00552D82" w:rsidRPr="00D10C64">
        <w:rPr>
          <w:color w:val="000000" w:themeColor="text1"/>
          <w:sz w:val="24"/>
          <w:szCs w:val="24"/>
          <w:shd w:val="clear" w:color="auto" w:fill="FFFFFF"/>
          <w:vertAlign w:val="superscript"/>
        </w:rPr>
        <w:t>1</w:t>
      </w:r>
      <w:r w:rsidR="00552D82" w:rsidRPr="00D10C64">
        <w:rPr>
          <w:color w:val="000000" w:themeColor="text1"/>
          <w:sz w:val="24"/>
          <w:szCs w:val="24"/>
          <w:shd w:val="clear" w:color="auto" w:fill="FFFFFF"/>
        </w:rPr>
        <w:t>H nuclear</w:t>
      </w:r>
      <w:r w:rsidR="00671AFE" w:rsidRPr="00D10C64">
        <w:rPr>
          <w:rFonts w:eastAsiaTheme="minorEastAsia"/>
          <w:i/>
          <w:iCs/>
          <w:color w:val="000000"/>
          <w:sz w:val="24"/>
          <w:szCs w:val="24"/>
        </w:rPr>
        <w:t xml:space="preserve"> </w:t>
      </w:r>
      <w:r w:rsidR="00671AFE" w:rsidRPr="00D10C64">
        <w:rPr>
          <w:rFonts w:eastAsiaTheme="minorEastAsia"/>
          <w:color w:val="000000"/>
          <w:sz w:val="24"/>
          <w:szCs w:val="24"/>
        </w:rPr>
        <w:t>magnetic resonance spectroscopy</w:t>
      </w:r>
      <w:r w:rsidR="00552D82" w:rsidRPr="00D10C64">
        <w:rPr>
          <w:rFonts w:eastAsiaTheme="minorEastAsia"/>
          <w:color w:val="000000"/>
          <w:sz w:val="24"/>
          <w:szCs w:val="24"/>
        </w:rPr>
        <w:t xml:space="preserve"> (MRS)</w:t>
      </w:r>
      <w:r w:rsidR="00B27B79" w:rsidRPr="00D10C64">
        <w:rPr>
          <w:rFonts w:eastAsiaTheme="minorEastAsia"/>
          <w:color w:val="000000"/>
          <w:sz w:val="24"/>
          <w:szCs w:val="24"/>
        </w:rPr>
        <w:t xml:space="preserve"> and </w:t>
      </w:r>
      <w:r w:rsidR="00B27B79" w:rsidRPr="00D10C64">
        <w:rPr>
          <w:color w:val="000000" w:themeColor="text1"/>
          <w:sz w:val="24"/>
          <w:szCs w:val="24"/>
          <w:shd w:val="clear" w:color="auto" w:fill="FFFFFF"/>
          <w:vertAlign w:val="superscript"/>
        </w:rPr>
        <w:t>1</w:t>
      </w:r>
      <w:r w:rsidR="00B27B79" w:rsidRPr="00D10C64">
        <w:rPr>
          <w:color w:val="000000" w:themeColor="text1"/>
          <w:sz w:val="24"/>
          <w:szCs w:val="24"/>
          <w:shd w:val="clear" w:color="auto" w:fill="FFFFFF"/>
        </w:rPr>
        <w:t>H</w:t>
      </w:r>
      <w:r w:rsidR="00B27B79" w:rsidRPr="00D10C64">
        <w:rPr>
          <w:sz w:val="24"/>
          <w:szCs w:val="24"/>
          <w:vertAlign w:val="superscript"/>
        </w:rPr>
        <w:t xml:space="preserve"> </w:t>
      </w:r>
      <w:r w:rsidR="00B27B79" w:rsidRPr="00D10C64">
        <w:rPr>
          <w:rFonts w:eastAsiaTheme="minorEastAsia"/>
          <w:color w:val="000000"/>
          <w:sz w:val="24"/>
          <w:szCs w:val="24"/>
        </w:rPr>
        <w:t>NMR</w:t>
      </w:r>
      <w:r w:rsidR="00D10C64" w:rsidRPr="00D10C64">
        <w:rPr>
          <w:rFonts w:eastAsiaTheme="minorEastAsia"/>
          <w:color w:val="000000"/>
          <w:sz w:val="24"/>
          <w:szCs w:val="24"/>
        </w:rPr>
        <w:t xml:space="preserve"> studies of the</w:t>
      </w:r>
      <w:r w:rsidR="00B27B79" w:rsidRPr="00D10C64">
        <w:rPr>
          <w:rFonts w:eastAsiaTheme="minorEastAsia"/>
          <w:color w:val="000000"/>
          <w:sz w:val="24"/>
          <w:szCs w:val="24"/>
        </w:rPr>
        <w:t xml:space="preserve"> gut microbiome</w:t>
      </w:r>
      <w:r w:rsidR="009E180A" w:rsidRPr="00D10C64">
        <w:rPr>
          <w:rFonts w:eastAsiaTheme="minorEastAsia"/>
          <w:color w:val="000000"/>
          <w:sz w:val="24"/>
          <w:szCs w:val="24"/>
        </w:rPr>
        <w:t xml:space="preserve">. </w:t>
      </w:r>
      <w:r w:rsidR="00384260" w:rsidRPr="00D10C64">
        <w:rPr>
          <w:rFonts w:eastAsiaTheme="minorEastAsia"/>
          <w:color w:val="000000"/>
          <w:sz w:val="24"/>
          <w:szCs w:val="24"/>
        </w:rPr>
        <w:t>Further psychedelic</w:t>
      </w:r>
      <w:r w:rsidR="00DA2259">
        <w:rPr>
          <w:rFonts w:eastAsiaTheme="minorEastAsia"/>
          <w:color w:val="000000"/>
          <w:sz w:val="24"/>
          <w:szCs w:val="24"/>
        </w:rPr>
        <w:t xml:space="preserve"> studies need to be conducted that incorporate the use of </w:t>
      </w:r>
      <w:r w:rsidR="00DA2259" w:rsidRPr="00D10C64">
        <w:rPr>
          <w:color w:val="000000" w:themeColor="text1"/>
          <w:sz w:val="24"/>
          <w:szCs w:val="24"/>
          <w:shd w:val="clear" w:color="auto" w:fill="FFFFFF"/>
          <w:vertAlign w:val="superscript"/>
        </w:rPr>
        <w:t>1</w:t>
      </w:r>
      <w:r w:rsidR="00DA2259" w:rsidRPr="00D10C64">
        <w:rPr>
          <w:color w:val="000000" w:themeColor="text1"/>
          <w:sz w:val="24"/>
          <w:szCs w:val="24"/>
          <w:shd w:val="clear" w:color="auto" w:fill="FFFFFF"/>
        </w:rPr>
        <w:t>H</w:t>
      </w:r>
      <w:r w:rsidR="00DA2259" w:rsidRPr="00D10C64">
        <w:rPr>
          <w:sz w:val="24"/>
          <w:szCs w:val="24"/>
          <w:vertAlign w:val="superscript"/>
        </w:rPr>
        <w:t xml:space="preserve"> </w:t>
      </w:r>
      <w:r w:rsidR="00DA2259" w:rsidRPr="00D10C64">
        <w:rPr>
          <w:rFonts w:eastAsiaTheme="minorEastAsia"/>
          <w:color w:val="000000"/>
          <w:sz w:val="24"/>
          <w:szCs w:val="24"/>
        </w:rPr>
        <w:t>NMR</w:t>
      </w:r>
      <w:r w:rsidR="00DA2259">
        <w:rPr>
          <w:rFonts w:eastAsiaTheme="minorEastAsia"/>
          <w:color w:val="000000"/>
          <w:sz w:val="24"/>
          <w:szCs w:val="24"/>
        </w:rPr>
        <w:t xml:space="preserve"> spectroscopy</w:t>
      </w:r>
      <w:r w:rsidR="00384260" w:rsidRPr="00D10C64">
        <w:rPr>
          <w:rFonts w:eastAsiaTheme="minorEastAsia"/>
          <w:color w:val="000000"/>
          <w:sz w:val="24"/>
          <w:szCs w:val="24"/>
        </w:rPr>
        <w:t xml:space="preserve"> </w:t>
      </w:r>
      <w:r w:rsidR="00DA2259">
        <w:rPr>
          <w:rFonts w:eastAsiaTheme="minorEastAsia"/>
          <w:color w:val="000000"/>
          <w:sz w:val="24"/>
          <w:szCs w:val="24"/>
        </w:rPr>
        <w:t xml:space="preserve">in the analysis of </w:t>
      </w:r>
      <w:r w:rsidR="00384260" w:rsidRPr="00D10C64">
        <w:rPr>
          <w:rFonts w:eastAsiaTheme="minorEastAsia"/>
          <w:color w:val="000000"/>
          <w:sz w:val="24"/>
          <w:szCs w:val="24"/>
        </w:rPr>
        <w:t xml:space="preserve">metabolites </w:t>
      </w:r>
      <w:r w:rsidR="00DA2259">
        <w:rPr>
          <w:rFonts w:eastAsiaTheme="minorEastAsia"/>
          <w:color w:val="000000"/>
          <w:sz w:val="24"/>
          <w:szCs w:val="24"/>
        </w:rPr>
        <w:t xml:space="preserve">both in the peripheral biofluids and CNS </w:t>
      </w:r>
      <w:r w:rsidR="006930C0">
        <w:rPr>
          <w:rFonts w:eastAsiaTheme="minorEastAsia"/>
          <w:color w:val="000000"/>
          <w:sz w:val="24"/>
          <w:szCs w:val="24"/>
        </w:rPr>
        <w:t xml:space="preserve">to </w:t>
      </w:r>
      <w:r w:rsidR="00DA2259">
        <w:rPr>
          <w:rFonts w:eastAsiaTheme="minorEastAsia"/>
          <w:color w:val="000000"/>
          <w:sz w:val="24"/>
          <w:szCs w:val="24"/>
        </w:rPr>
        <w:t>determine whether it will be an</w:t>
      </w:r>
      <w:r w:rsidR="00384260" w:rsidRPr="00D10C64">
        <w:rPr>
          <w:rFonts w:eastAsiaTheme="minorEastAsia"/>
          <w:color w:val="000000"/>
          <w:sz w:val="24"/>
          <w:szCs w:val="24"/>
        </w:rPr>
        <w:t xml:space="preserve"> effective future approach </w:t>
      </w:r>
      <w:r w:rsidR="00DA2259">
        <w:rPr>
          <w:rFonts w:eastAsiaTheme="minorEastAsia"/>
          <w:color w:val="000000"/>
          <w:sz w:val="24"/>
          <w:szCs w:val="24"/>
        </w:rPr>
        <w:t xml:space="preserve">for clinical and naturalistic research. </w:t>
      </w:r>
    </w:p>
    <w:p w14:paraId="6FD5CC28" w14:textId="780615C9" w:rsidR="00243BF8" w:rsidRDefault="00243BF8" w:rsidP="00E50706">
      <w:pPr>
        <w:autoSpaceDE w:val="0"/>
        <w:autoSpaceDN w:val="0"/>
        <w:adjustRightInd w:val="0"/>
        <w:rPr>
          <w:rFonts w:ascii="Times" w:eastAsiaTheme="minorEastAsia" w:hAnsi="Times" w:cs="Times"/>
          <w:color w:val="000000"/>
        </w:rPr>
      </w:pPr>
    </w:p>
    <w:p w14:paraId="283D9D23" w14:textId="4EE27B35" w:rsidR="00100D92" w:rsidRDefault="00100D92" w:rsidP="00100D92">
      <w:r w:rsidRPr="00DF1B40">
        <w:rPr>
          <w:b/>
          <w:bCs/>
        </w:rPr>
        <w:t>C</w:t>
      </w:r>
      <w:r>
        <w:rPr>
          <w:b/>
          <w:bCs/>
        </w:rPr>
        <w:t>onflict</w:t>
      </w:r>
      <w:r w:rsidRPr="00DF1B40">
        <w:rPr>
          <w:b/>
          <w:bCs/>
        </w:rPr>
        <w:t xml:space="preserve"> Interests</w:t>
      </w:r>
      <w:r>
        <w:t>: JLG receives research funding from Astra Zeneca and Unilever.</w:t>
      </w:r>
      <w:r w:rsidR="003D6428">
        <w:t xml:space="preserve"> </w:t>
      </w:r>
      <w:r>
        <w:t>Th</w:t>
      </w:r>
      <w:r w:rsidR="00782BBC">
        <w:t>ese</w:t>
      </w:r>
      <w:r>
        <w:t xml:space="preserve"> compan</w:t>
      </w:r>
      <w:r w:rsidR="00782BBC">
        <w:t>ies</w:t>
      </w:r>
      <w:r>
        <w:t xml:space="preserve"> did not have any role in the decision to publish, or the preparation of this manuscript. </w:t>
      </w:r>
    </w:p>
    <w:p w14:paraId="5EC1FDA0" w14:textId="77777777" w:rsidR="00100D92" w:rsidRPr="00CE09C1" w:rsidRDefault="00100D92" w:rsidP="00100D92"/>
    <w:p w14:paraId="7820D0F6" w14:textId="000AC8D4" w:rsidR="00243BF8" w:rsidRDefault="00100D92" w:rsidP="00100D92">
      <w:pPr>
        <w:rPr>
          <w:color w:val="000000"/>
          <w:bdr w:val="none" w:sz="0" w:space="0" w:color="auto" w:frame="1"/>
        </w:rPr>
      </w:pPr>
      <w:r w:rsidRPr="000E19BF">
        <w:rPr>
          <w:b/>
          <w:bCs/>
          <w:color w:val="000000"/>
          <w:bdr w:val="none" w:sz="0" w:space="0" w:color="auto" w:frame="1"/>
        </w:rPr>
        <w:t>Author Contributions:</w:t>
      </w:r>
      <w:r>
        <w:rPr>
          <w:color w:val="000000"/>
          <w:bdr w:val="none" w:sz="0" w:space="0" w:color="auto" w:frame="1"/>
        </w:rPr>
        <w:t xml:space="preserve"> SVM conducted the literature review and wrote the manuscript, JLG and MVU provided feedback and edits for this manuscript. All authors approved the final manuscript. </w:t>
      </w:r>
    </w:p>
    <w:p w14:paraId="38C71507" w14:textId="33EBE6A6" w:rsidR="0030129B" w:rsidRPr="0030129B" w:rsidRDefault="0030129B" w:rsidP="00100D92">
      <w:pPr>
        <w:rPr>
          <w:color w:val="000000"/>
          <w:bdr w:val="none" w:sz="0" w:space="0" w:color="auto" w:frame="1"/>
        </w:rPr>
      </w:pPr>
    </w:p>
    <w:p w14:paraId="6630A5A0" w14:textId="77777777" w:rsidR="0030129B" w:rsidRPr="0030129B" w:rsidRDefault="0030129B" w:rsidP="0030129B">
      <w:r w:rsidRPr="0030129B">
        <w:rPr>
          <w:rFonts w:ascii="Times" w:hAnsi="Times"/>
          <w:b/>
          <w:bCs/>
          <w:color w:val="000000"/>
        </w:rPr>
        <w:t>Funding:</w:t>
      </w:r>
      <w:r w:rsidRPr="0030129B">
        <w:rPr>
          <w:rFonts w:ascii="Times" w:hAnsi="Times"/>
          <w:color w:val="000000"/>
        </w:rPr>
        <w:t xml:space="preserve"> Work in the JLG laboratory is funded by the Medical Research Council (UK), Alzheimer’s Research UK, Astra Zeneca, </w:t>
      </w:r>
      <w:proofErr w:type="gramStart"/>
      <w:r w:rsidRPr="0030129B">
        <w:rPr>
          <w:rFonts w:ascii="Times" w:hAnsi="Times"/>
          <w:color w:val="000000"/>
        </w:rPr>
        <w:t>Unilever</w:t>
      </w:r>
      <w:proofErr w:type="gramEnd"/>
      <w:r w:rsidRPr="0030129B">
        <w:rPr>
          <w:rFonts w:ascii="Times" w:hAnsi="Times"/>
          <w:color w:val="000000"/>
        </w:rPr>
        <w:t xml:space="preserve"> and the EU 2020. MVU efforts was financially supported by Eric </w:t>
      </w:r>
      <w:proofErr w:type="spellStart"/>
      <w:r w:rsidRPr="0030129B">
        <w:rPr>
          <w:rFonts w:ascii="Times" w:hAnsi="Times"/>
          <w:color w:val="000000"/>
        </w:rPr>
        <w:t>Grotefeld</w:t>
      </w:r>
      <w:proofErr w:type="spellEnd"/>
      <w:r w:rsidRPr="0030129B">
        <w:rPr>
          <w:rFonts w:ascii="Times" w:hAnsi="Times"/>
          <w:color w:val="000000"/>
        </w:rPr>
        <w:t xml:space="preserve"> and Ryan </w:t>
      </w:r>
      <w:proofErr w:type="spellStart"/>
      <w:r w:rsidRPr="0030129B">
        <w:rPr>
          <w:rFonts w:ascii="Times" w:hAnsi="Times"/>
          <w:color w:val="000000"/>
        </w:rPr>
        <w:t>Zurrer</w:t>
      </w:r>
      <w:proofErr w:type="spellEnd"/>
      <w:r w:rsidRPr="0030129B">
        <w:rPr>
          <w:rFonts w:ascii="Times" w:hAnsi="Times"/>
          <w:color w:val="000000"/>
        </w:rPr>
        <w:t>. EG and RZ had no role in the decision to publish, or preparation of this manuscript.</w:t>
      </w:r>
    </w:p>
    <w:p w14:paraId="7BFC3628" w14:textId="77777777" w:rsidR="0030129B" w:rsidRDefault="0030129B" w:rsidP="00100D92">
      <w:pPr>
        <w:rPr>
          <w:b/>
          <w:bCs/>
        </w:rPr>
      </w:pPr>
    </w:p>
    <w:p w14:paraId="498CB157" w14:textId="357C3FF5" w:rsidR="00E50706" w:rsidRDefault="00E50706" w:rsidP="00E50706">
      <w:pPr>
        <w:rPr>
          <w:b/>
          <w:bCs/>
        </w:rPr>
      </w:pPr>
    </w:p>
    <w:p w14:paraId="7AAE5C50" w14:textId="76BD5F0B" w:rsidR="00E50706" w:rsidRDefault="00E50706" w:rsidP="00E50706">
      <w:pPr>
        <w:rPr>
          <w:b/>
          <w:bCs/>
        </w:rPr>
      </w:pPr>
    </w:p>
    <w:p w14:paraId="59F429A6" w14:textId="77777777" w:rsidR="00BB38C0" w:rsidRDefault="00BB38C0" w:rsidP="00E50706">
      <w:pPr>
        <w:rPr>
          <w:b/>
          <w:bCs/>
        </w:rPr>
      </w:pPr>
    </w:p>
    <w:p w14:paraId="581E17CC" w14:textId="1583DF27" w:rsidR="00E50706" w:rsidRDefault="00E50706" w:rsidP="00E50706">
      <w:pPr>
        <w:rPr>
          <w:b/>
          <w:bCs/>
        </w:rPr>
      </w:pPr>
    </w:p>
    <w:p w14:paraId="7F14A02C" w14:textId="5551C35A" w:rsidR="00E50706" w:rsidRDefault="00E50706" w:rsidP="00E50706">
      <w:pPr>
        <w:rPr>
          <w:b/>
          <w:bCs/>
        </w:rPr>
      </w:pPr>
    </w:p>
    <w:p w14:paraId="3CC027D7" w14:textId="32C53C45" w:rsidR="00E50706" w:rsidRDefault="00E50706" w:rsidP="00E50706">
      <w:pPr>
        <w:rPr>
          <w:b/>
          <w:bCs/>
        </w:rPr>
      </w:pPr>
    </w:p>
    <w:p w14:paraId="53A602C0" w14:textId="22C457DE" w:rsidR="00E50706" w:rsidRDefault="00E50706" w:rsidP="00E50706">
      <w:pPr>
        <w:rPr>
          <w:b/>
          <w:bCs/>
        </w:rPr>
      </w:pPr>
    </w:p>
    <w:p w14:paraId="616BAA80" w14:textId="7A78DBF2" w:rsidR="00E50706" w:rsidRDefault="00E50706" w:rsidP="00E50706">
      <w:pPr>
        <w:rPr>
          <w:b/>
          <w:bCs/>
        </w:rPr>
      </w:pPr>
    </w:p>
    <w:p w14:paraId="099ABEE4" w14:textId="1099DA91" w:rsidR="00E50706" w:rsidRDefault="00E50706" w:rsidP="00E50706">
      <w:pPr>
        <w:rPr>
          <w:b/>
          <w:bCs/>
        </w:rPr>
      </w:pPr>
    </w:p>
    <w:p w14:paraId="16C39206" w14:textId="77777777" w:rsidR="0030129B" w:rsidRDefault="0030129B" w:rsidP="00E50706">
      <w:pPr>
        <w:rPr>
          <w:b/>
          <w:bCs/>
        </w:rPr>
      </w:pPr>
    </w:p>
    <w:p w14:paraId="05E8099F" w14:textId="1FEB08F6" w:rsidR="00B511A2" w:rsidRDefault="00552D82" w:rsidP="00E50706">
      <w:pPr>
        <w:rPr>
          <w:b/>
          <w:bCs/>
        </w:rPr>
      </w:pPr>
      <w:r w:rsidRPr="004D60BA">
        <w:rPr>
          <w:b/>
          <w:bCs/>
        </w:rPr>
        <w:lastRenderedPageBreak/>
        <w:t>Introduction</w:t>
      </w:r>
      <w:r w:rsidRPr="00144F61">
        <w:rPr>
          <w:b/>
          <w:bCs/>
        </w:rPr>
        <w:t xml:space="preserve"> </w:t>
      </w:r>
    </w:p>
    <w:p w14:paraId="222BB234" w14:textId="77777777" w:rsidR="00A818B6" w:rsidRPr="00A818B6" w:rsidRDefault="00A818B6" w:rsidP="00E50706">
      <w:pPr>
        <w:rPr>
          <w:b/>
          <w:bCs/>
        </w:rPr>
      </w:pPr>
    </w:p>
    <w:p w14:paraId="0C4D6892" w14:textId="01D6AE87" w:rsidR="001C560C" w:rsidRDefault="004D60BA" w:rsidP="00E50706">
      <w:pPr>
        <w:rPr>
          <w:color w:val="000000" w:themeColor="text1"/>
        </w:rPr>
      </w:pPr>
      <w:r>
        <w:rPr>
          <w:color w:val="000000" w:themeColor="text1"/>
          <w:shd w:val="clear" w:color="auto" w:fill="FFFFFF"/>
        </w:rPr>
        <w:t>While</w:t>
      </w:r>
      <w:r w:rsidRPr="00E200BC">
        <w:rPr>
          <w:color w:val="000000" w:themeColor="text1"/>
          <w:shd w:val="clear" w:color="auto" w:fill="FFFFFF"/>
        </w:rPr>
        <w:t xml:space="preserve"> </w:t>
      </w:r>
      <w:r>
        <w:rPr>
          <w:color w:val="000000" w:themeColor="text1"/>
          <w:shd w:val="clear" w:color="auto" w:fill="FFFFFF"/>
        </w:rPr>
        <w:t>psychedelics have demonstrated a possible therapeutic potential for treating mental health disorders such as depression</w:t>
      </w:r>
      <w:r w:rsidR="00896196" w:rsidRPr="00D41D6B">
        <w:fldChar w:fldCharType="begin" w:fldLock="1"/>
      </w:r>
      <w:r w:rsidR="00966577">
        <w:instrText>ADDIN CSL_CITATION {"citationItems":[{"id":"ITEM-1","itemData":{"DOI":"10.1056/NEJMoa2032994","ISSN":"0028-4793","abstract":"Abstract Background Psilocybin may have antidepressant properties, but direct comparisons between psilocybin and established treatments for depression are lacking. Methods In a phase 2, double-blin...","author":[{"dropping-particle":"","family":"Carhart-Harris","given":"Robin","non-dropping-particle":"","parse-names":false,"suffix":""},{"dropping-particle":"","family":"Giribaldi","given":"Bruna","non-dropping-particle":"","parse-names":false,"suffix":""},{"dropping-particle":"","family":"Watts","given":"Rosalind","non-dropping-particle":"","parse-names":false,"suffix":""},{"dropping-particle":"","family":"Baker-Jones","given":"Michelle","non-dropping-particle":"","parse-names":false,"suffix":""},{"dropping-particle":"","family":"Murphy-Beiner","given":"Ashleigh","non-dropping-particle":"","parse-names":false,"suffix":""},{"dropping-particle":"","family":"Murphy","given":"Roberta","non-dropping-particle":"","parse-names":false,"suffix":""},{"dropping-particle":"","family":"Martell","given":"Jonny","non-dropping-particle":"","parse-names":false,"suffix":""},{"dropping-particle":"","family":"Blemings","given":"Allan","non-dropping-particle":"","parse-names":false,"suffix":""},{"dropping-particle":"","family":"Erritzoe","given":"David","non-dropping-particle":"","parse-names":false,"suffix":""},{"dropping-particle":"","family":"Nutt","given":"David J.","non-dropping-particle":"","parse-names":false,"suffix":""}],"container-title":"New England Journal of Medicine","id":"ITEM-1","issue":"15","issued":{"date-parts":[["2021","4","15"]]},"page":"1402-1411","publisher":"Massachusetts Medical Society","title":"Trial of Psilocybin versus Escitalopram for Depression","type":"article-journal","volume":"384"},"uris":["http://www.mendeley.com/documents/?uuid=36cb059d-442d-3a29-b5c5-3e3d0962fdd5"]},{"id":"ITEM-2","itemData":{"DOI":"10.1177/0269881116675512","ISSN":"14617285","PMID":"27909164","abstract":"Background: Clinically significant anxiety and depression are common in patients with cancer, and are associated with poor psychiatric and medical outcomes. Historical and recent research suggests a role for psilocybin to treat cancer-related anxiety and depression. Methods: In this double-blind, placebo-controlled, crossover trial, 29 patients with cancer-related anxiety and depression were randomly assigned and received treatment with single-dose psilocybin (0.3 mg/kg) or niacin, both in conjunction with psychotherapy. The primary outcomes were anxiety and depression assessed between groups prior to the crossover at 7 weeks. Results: Prior to the crossover, psilocybin produced immediate, substantial, and sustained improvements in anxiety and depression and led to decreases in cancer-related demoralization and hopelessness, improved spiritual wellbeing, and increased quality of life. At the 6.5-month follow-up, psilocybin was associated with enduring anxiolytic and anti-depressant effects (approximately 60-80% of participants continued with clinically significant reductions in depression or anxiety), sustained benefits in existential distress and quality of life, as well as improved attitudes towards death. The psilocybin-induced mystical experience mediated the therapeutic effect of psilocybin on anxiety and depression. Conclusions: In conjunction with psychotherapy, single moderate-dose psilocybin produced rapid, robust and enduring anxiolytic and anti-depressant effects in patients with cancer-related psychological distress. Trial Registration: ClinicalTrials.gov Identifier: NCT00957359.","author":[{"dropping-particle":"","family":"Ross","given":"Stephen","non-dropping-particle":"","parse-names":false,"suffix":""},{"dropping-particle":"","family":"Bossis","given":"Anthony","non-dropping-particle":"","parse-names":false,"suffix":""},{"dropping-particle":"","family":"Guss","given":"Jeffrey","non-dropping-particle":"","parse-names":false,"suffix":""},{"dropping-particle":"","family":"Agin-Liebes","given":"Gabrielle","non-dropping-particle":"","parse-names":false,"suffix":""},{"dropping-particle":"","family":"Malone","given":"Tara","non-dropping-particle":"","parse-names":false,"suffix":""},{"dropping-particle":"","family":"Cohen","given":"Barry","non-dropping-particle":"","parse-names":false,"suffix":""},{"dropping-particle":"","family":"Mennenga","given":"Sarah E.","non-dropping-particle":"","parse-names":false,"suffix":""},{"dropping-particle":"","family":"Belser","given":"Alexander","non-dropping-particle":"","parse-names":false,"suffix":""},{"dropping-particle":"","family":"Kalliontzi","given":"Krystallia","non-dropping-particle":"","parse-names":false,"suffix":""},{"dropping-particle":"","family":"Babb","given":"James","non-dropping-particle":"","parse-names":false,"suffix":""},{"dropping-particle":"","family":"Su","given":"Zhe","non-dropping-particle":"","parse-names":false,"suffix":""},{"dropping-particle":"","family":"Corby","given":"Patricia","non-dropping-particle":"","parse-names":false,"suffix":""},{"dropping-particle":"","family":"Schmidt","given":"Brian L.","non-dropping-particle":"","parse-names":false,"suffix":""}],"container-title":"Journal of Psychopharmacology","id":"ITEM-2","issue":"12","issued":{"date-parts":[["2016","12","1"]]},"page":"1165-1180","publisher":"SAGE Publications Ltd","title":"Rapid and sustained symptom reduction following psilocybin treatment for anxiety and depression in patients with life-threatening cancer: A randomized controlled trial","type":"article-journal","volume":"30"},"uris":["http://www.mendeley.com/documents/?uuid=e73906d3-b8ed-3297-a0e9-af0a58099f7c"]},{"id":"ITEM-3","itemData":{"DOI":"10.1177/0269881116675513","ISSN":"14617285","PMID":"27909165","abstract":"Cancer patients often develop chronic, clinically significant symptoms of depression and anxiety. Previous studies suggest that psilocybin may decrease depression and anxiety in cancer patients. The effects of psilocybin were studied in 51 cancer patients with life-threatening diagnoses and symptoms of depression and/or anxiety. This randomized, double-blind, cross-over trial investigated the effects of a very low (placebo-like) dose (1 or 3 mg/70 kg) vs. a high dose (22 or 30 mg/70 kg) of psilocybin administered in counterbalanced sequence with 5 weeks between sessions and a 6-month follow-up. Instructions to participants and staff minimized expectancy effects. Participants, staff, and community observers rated participant moods, attitudes, and behaviors throughout the study. High-dose psilocybin produced large decreases in clinician- and self-rated measures of depressed mood and anxiety, along with increases in quality of life, life meaning, and optimism, and decreases in death anxiety. At 6-month follow-up, these changes were sustained, with about 80% of participants continuing to show clinically significant decreases in depressed mood and anxiety. Participants attributed improvements in attitudes about life/self, mood, relationships, and spirituality to the high-dose experience, with &gt;80% endorsing moderately or greater increased well-being/life satisfaction. Community observer ratings showed corresponding changes. Mystical-type psilocybin experience on session day mediated the effect of psilocybin dose on therapeutic outcomes. Trial Registration ClinicalTrials.gov identifier: NCT00465595","author":[{"dropping-particle":"","family":"Griffiths","given":"Roland R.","non-dropping-particle":"","parse-names":false,"suffix":""},{"dropping-particle":"","family":"Johnson","given":"Matthew W.","non-dropping-particle":"","parse-names":false,"suffix":""},{"dropping-particle":"","family":"Carducci","given":"Michael A.","non-dropping-particle":"","parse-names":false,"suffix":""},{"dropping-particle":"","family":"Umbricht","given":"Annie","non-dropping-particle":"","parse-names":false,"suffix":""},{"dropping-particle":"","family":"Richards","given":"William A.","non-dropping-particle":"","parse-names":false,"suffix":""},{"dropping-particle":"","family":"Richards","given":"Brian D.","non-dropping-particle":"","parse-names":false,"suffix":""},{"dropping-particle":"","family":"Cosimano","given":"Mary P.","non-dropping-particle":"","parse-names":false,"suffix":""},{"dropping-particle":"","family":"Klinedinst","given":"Margaret A.","non-dropping-particle":"","parse-names":false,"suffix":""}],"container-title":"Journal of Psychopharmacology","id":"ITEM-3","issue":"12","issued":{"date-parts":[["2016","12","1"]]},"page":"1181-1197","publisher":"SAGE Publications Ltd","title":"Psilocybin produces substantial and sustained decreases in depression and anxiety in patients with life-threatening cancer: A randomized double-blind trial","type":"article-journal","volume":"30"},"uris":["http://www.mendeley.com/documents/?uuid=0c0edf43-4c7d-327a-8797-0e2aabbbac5f"]},{"id":"ITEM-4","itemData":{"DOI":"10.1177/0269881118780713","ISSN":"14617285","PMID":"29945469","abstract":"Aim: The aim of the current study was to investigate the relationship between escalating higher doses of psilocybin and the potential psilocybin occasioned positive subjective effects. Methods: Healthy participants (n=12) were given three escalating doses of oral psilocybin (0.3 mg/kg; 0.45 mg/kg; 0.6 mg/kg) or (18.8–36.6 mg; 27.1–54.0 mg; 36.3–59.2 mg) a minimum of four weeks apart in a supervised setting. Blood and urine samples, vital signs, and electrocardiograms were obtained. Subjective effects were assessed using the Mystical Experience Questionnaire and Persisting Effects Questionnaire. Results: There was a significant linear dose-related response in Mystical Experience Questionnaire total score and the transcendence of time and space subscale, but not in the rate of a complete mystical experience. There was also a significant difference between dose 3 compared to dose 1 on the transcendence of time and space subscale, while no dose-related differences were found for Mystical Experience Questionnaire total scores or rate of a mystical experience. Persisting Effects Questionnaire positive composite scores 30 days after completion of the last dose were significantly higher than negative composite scores. Persisting Effects Questionnaire results revealed a moderate increase in sense of well-being or life satisfaction on average that was associated with the maximum Mystical Experience Questionnaire total score. Pharmacokinetic measures were associated with dose but not with Mystical Experience Questionnaire total scores or rate of a mystical experience. Conclusions: High doses of psilocybin elicited subjective effects at least as strong as the lower doses and resulted in positive persisting subjective effects 30 days after, indicating that a complete mystical experience was not a prerequisite for positive outcomes.","author":[{"dropping-particle":"","family":"Nicholas","given":"Christopher R.","non-dropping-particle":"","parse-names":false,"suffix":""},{"dropping-particle":"","family":"Henriquez","given":"Kelsey M.","non-dropping-particle":"","parse-names":false,"suffix":""},{"dropping-particle":"","family":"Gassman","given":"Michele C.","non-dropping-particle":"","parse-names":false,"suffix":""},{"dropping-particle":"","family":"Cooper","given":"Karen M.","non-dropping-particle":"","parse-names":false,"suffix":""},{"dropping-particle":"","family":"Muller","given":"Daniel","non-dropping-particle":"","parse-names":false,"suffix":""},{"dropping-particle":"","family":"Hetzel","given":"Scott","non-dropping-particle":"","parse-names":false,"suffix":""},{"dropping-particle":"","family":"Brown","given":"Randall T.","non-dropping-particle":"","parse-names":false,"suffix":""},{"dropping-particle":"V.","family":"Cozzi","given":"Nicholas","non-dropping-particle":"","parse-names":false,"suffix":""},{"dropping-particle":"","family":"Thomas","given":"Chantelle","non-dropping-particle":"","parse-names":false,"suffix":""},{"dropping-particle":"","family":"Hutson","given":"Paul R.","non-dropping-particle":"","parse-names":false,"suffix":""}],"container-title":"Journal of Psychopharmacology","id":"ITEM-4","issue":"7","issued":{"date-parts":[["2018","7","1"]]},"page":"770-778","publisher":"SAGE Publications Ltd","title":"High dose psilocybin is associated with positive subjective effects in healthy volunteers","type":"article-journal","volume":"32"},"uris":["http://www.mendeley.com/documents/?uuid=b05c195e-217b-3281-8365-390943b2887c"]},{"id":"ITEM-5","itemData":{"DOI":"10.1177/0269881108094300","ISSN":"02698811","PMID":"18593735","abstract":"Psilocybin has been used for centuries for religious purposes; however, little is known scientifically about its long-term effects. We previously reported the effects of a double-blind study evaluating the psychological effects of a high psilocybin dose. This report presents the 14-month follow-up and examines the relationship of the follow-up results to data obtained at screening and on drug session days. Participants were 36 hallucinogen-naïve adults reporting regular participation in religious/ spiritual activities. Oral psilocybin (30 mg/70 kg) was administered on one of two or three sessions, with methylphenidate (40 mg/70 kg) administered on the other session(s). During sessions, volunteers were encouraged to close their eyes and direct their attention inward. At the 14-month follow-up, 58% and 67%, respectively, of volunteers rated the psilocybin-occasioned experience as being among the five most personally meaningful and among the five most spiritually significant experiences of their lives; 64% indicated that the experience increased well-being or life satisfaction; 58% met criteria for having had a 'complete' mystical experience. Correlation and regression analyses indicated a central role of the mystical experience assessed on the session day in the high ratings of personal meaning and spiritual significance at follow-up. Of the measures of personality, affect, quality of life and spirituality assessed across the study, only a scale measuring mystical experience showed a difference from screening. When administered under supportive conditions, psilocybin occasioned experiences similar to spontaneously occurring mystical experiences that, at 14-month follow-up, were considered by volunteers to be among the most personally meaningful and spiritually significant of their lives. © 2008 British Association for Psychopharmacology.","author":[{"dropping-particle":"","family":"Griffiths","given":"R. R.","non-dropping-particle":"","parse-names":false,"suffix":""},{"dropping-particle":"","family":"Richards","given":"W. A.","non-dropping-particle":"","parse-names":false,"suffix":""},{"dropping-particle":"","family":"Johnson","given":"M. W.","non-dropping-particle":"","parse-names":false,"suffix":""},{"dropping-particle":"","family":"McCann","given":"U. D.","non-dropping-particle":"","parse-names":false,"suffix":""},{"dropping-particle":"","family":"Jesse","given":"R.","non-dropping-particle":"","parse-names":false,"suffix":""}],"container-title":"Journal of Psychopharmacology","id":"ITEM-5","issue":"6","issued":{"date-parts":[["2008","8"]]},"page":"621-632","publisher":"J Psychopharmacol","title":"Mystical-type experiences occasioned by psilocybin mediate the attribution of personal meaning and spiritual significance 14 months later","type":"article-journal","volume":"22"},"uris":["http://www.mendeley.com/documents/?uuid=4c37db8d-28a9-341b-833c-5755eee0941f"]}],"mendeley":{"formattedCitation":"(1–5)","plainTextFormattedCitation":"(1–5)","previouslyFormattedCitation":"(1–5)"},"properties":{"noteIndex":0},"schema":"https://github.com/citation-style-language/schema/raw/master/csl-citation.json"}</w:instrText>
      </w:r>
      <w:r w:rsidR="00896196" w:rsidRPr="00D41D6B">
        <w:fldChar w:fldCharType="separate"/>
      </w:r>
      <w:r w:rsidR="007B4533" w:rsidRPr="007B4533">
        <w:rPr>
          <w:noProof/>
        </w:rPr>
        <w:t>(1–5)</w:t>
      </w:r>
      <w:r w:rsidR="00896196" w:rsidRPr="00D41D6B">
        <w:fldChar w:fldCharType="end"/>
      </w:r>
      <w:r w:rsidR="00723C2C">
        <w:t xml:space="preserve"> and treating</w:t>
      </w:r>
      <w:r>
        <w:rPr>
          <w:color w:val="000000" w:themeColor="text1"/>
          <w:shd w:val="clear" w:color="auto" w:fill="FFFFFF"/>
        </w:rPr>
        <w:t xml:space="preserve"> autoimmune disorders</w:t>
      </w:r>
      <w:r w:rsidR="00896196">
        <w:rPr>
          <w:color w:val="000000" w:themeColor="text1"/>
          <w:shd w:val="clear" w:color="auto" w:fill="FFFFFF"/>
        </w:rPr>
        <w:fldChar w:fldCharType="begin" w:fldLock="1"/>
      </w:r>
      <w:r w:rsidR="00966577">
        <w:rPr>
          <w:color w:val="000000" w:themeColor="text1"/>
          <w:shd w:val="clear" w:color="auto" w:fill="FFFFFF"/>
        </w:rPr>
        <w:instrText>ADDIN CSL_CITATION {"citationItems":[{"id":"ITEM-1","itemData":{"DOI":"10.1016/j.imlet.2020.10.001","ISSN":"18790542","abstract":"With a rise in the incidence of autoimmune diseases (AiD), health care providers continue to seek out more efficacious treatment approaches for the AiD patient population. Classic serotonergic psychedelics have recently been gaining public and professional interest as novel interventions to a number of mental health afflictions. Psychedelics have also been shown to be able to modulate immune functions, however, while there has been great interest to researching into their psychotherapeutic applications, there has so far been very little exploration into the potential to treat inflammatory and immune-related diseases with these compounds. A handful of studies from a variety of fields suggest that psychedelics do indeed have effects in the body that may attenuate the outcome of AiD. This literature review explores existing evidence that psychedelic compounds may offer a potential novel application in the treatment of pathologies related to autoimmunity. We propose that psychedelics hold the potential to attenuate or even resolve autoimmunity by targeting psychosomatic origins, maladaptive chronic stress responses, inflammatory pathways, immune modulation and enteric microbiome populations.","author":[{"dropping-particle":"","family":"Thompson","given":"Caitlin","non-dropping-particle":"","parse-names":false,"suffix":""},{"dropping-particle":"","family":"Szabo","given":"Attila","non-dropping-particle":"","parse-names":false,"suffix":""}],"container-title":"Immunology Letters","id":"ITEM-1","issued":{"date-parts":[["2020"]]},"title":"Psychedelics as a novel approach to treating autoimmune conditions","type":"article","volume":"228"},"uris":["http://www.mendeley.com/documents/?uuid=dc5965ee-9874-37a2-a699-b8279a70b8a0"]},{"id":"ITEM-2","itemData":{"DOI":"10.1371/journal.pone.0106533","ISSN":"19326203","abstract":"The orphan receptor sigma-1 (sigmar-1) is a transmembrane chaperone protein expressed in both the central nervous system and in immune cells. It has been shown to regulate neuronal differentiation and cell survival, and mediates anti-inflammatory responses and immunosuppression in murine in vivo models. Since the details of these findings have not been elucidated so far, we studied the effects of the endogenous sigmar-1 ligands N,N-dimethyltryptamine (NN-DMT), its derivative 5-methoxy-N,N-dimethyltryptamine (5-MeO-DMT) and the synthetic high affinity sigmar-1 agonist PRE-084 hydrochloride on human primary monocyte-derived dendritic cell (moDCs) activation provoked by LPS, polyI:C or pathogen-derived stimuli to induce inflammatory responses. Co-treatment of moDC with these activators and sigma-1 receptor ligands inhibited the production of pro-inflammatory cytokines IL-1β, IL-6, TNFα and the chemokine IL-8, while increased the secretion of the anti-inflammatory cytokine IL-10. The T-cell activating capacity of moDCs was also inhibited, and dimethyltryptamines used in combination with E. coli or influenza virus as stimulators decreased the differentiation of moDC-induced Th1 and Th17 inflammatory effector T-cells in a sigmar-1 specific manner as confirmed by gene silencing. Here we demonstrate for the first time the immunomodulatory potential of NN-DMT and 5-MeO-DMT on human moDC functions via sigmar-1 that could be harnessed for the pharmacological treatment of autoimmune diseases and chronic inflammatory conditions of the CNS or peripheral tissues. Our findings also point out a new biological role for dimethyltryptamines, which may act as systemic endogenous regulators of inflammation and immune homeostasis through the sigma-1 receptor. © 2014 Szabo et al.","author":[{"dropping-particle":"","family":"Szabo","given":"Attila","non-dropping-particle":"","parse-names":false,"suffix":""},{"dropping-particle":"","family":"Kovacs","given":"Attila","non-dropping-particle":"","parse-names":false,"suffix":""},{"dropping-particle":"","family":"Frecska","given":"Ede","non-dropping-particle":"","parse-names":false,"suffix":""},{"dropping-particle":"","family":"Rajnavolgyi","given":"Eva","non-dropping-particle":"","parse-names":false,"suffix":""}],"container-title":"PLoS ONE","id":"ITEM-2","issue":"8","issued":{"date-parts":[["2014"]]},"title":"Psychedelic N,N-dimethyltryptamine and 5-methoxy-N,N-dimethyltryptamine modulate innate and adaptive inflammatory responses through the sigma-1 receptor of human monocyte-derived dendritic cells","type":"article-journal","volume":"9"},"uris":["http://www.mendeley.com/documents/?uuid=14d29523-1fc7-31ea-bead-00d9a4fbb6f3"]},{"id":"ITEM-3","itemData":{"DOI":"10.3389/fimmu.2015.00358","ISSN":"16643224","abstract":"Classical psychedelics are psychoactive substances, which, besides their psychopharmacological activity, have also been shown to exert significant modulatory effects on immune responses by altering signaling pathways involved in inflammation, cellular proliferation and cell survival via activating NF-κB and MAPKs. Recently, several neurotransmitter receptors involved in the pharmacology of psychedelics, such as serotonin and sigma-1 receptors, have also been shown to play crucial roles in numerous immunological processes. This emerging field also offers promising treatment modalities in the therapy of various diseases including autoimmune and chronic inflammatory conditions, infections, and cancer. However, the scarcity of available review literature renders the topic unclear and obscure, mostly posing psychedelics as illicit drugs of abuse and not as physiologically relevant molecules or as possible agents of future pharmacotherapies. In this paper, the immunomodulatory potential of classical serotonergic psychedelics, including N, N dimethyltryptamine (DMT), 5-methoxy-N, N-dimethyltryptamine (5-MeO-DMT), lysergic acid diethylamide (LSD), 2,5-dimethoxy-4-iodoamphetamine (DOI) and 3,4-methylenedioxy-methamphetamine (MDMA) will be discussed from a perspective of molecular immunology and pharmacology. Special attention will be given to the functional interaction of serotonin and sigma-1 receptors and their cross-talk with Toll-like and RIG-I like pattern recognition receptor-mediated signaling. Furthermore, novel approaches will be suggested feasible for the treatment of diseases with chronic inflammatory etiology and pathology, such as atherosclerosis, rheumatoid arthritis, multiple sclerosis, schizophrenia, depression and Alzheimer's disease.","author":[{"dropping-particle":"","family":"Szabo","given":"Attila","non-dropping-particle":"","parse-names":false,"suffix":""}],"container-title":"Frontiers in Immunology","id":"ITEM-3","issue":"JUN","issued":{"date-parts":[["2015"]]},"title":"Psychedelics and immunomodulation: Novel approaches and therapeutic opportunities","type":"article-journal","volume":"6"},"uris":["http://www.mendeley.com/documents/?uuid=20b8f5fb-553d-38e2-a06f-020b9c2ce63d"]}],"mendeley":{"formattedCitation":"(6–8)","plainTextFormattedCitation":"(6–8)","previouslyFormattedCitation":"(6–8)"},"properties":{"noteIndex":0},"schema":"https://github.com/citation-style-language/schema/raw/master/csl-citation.json"}</w:instrText>
      </w:r>
      <w:r w:rsidR="00896196">
        <w:rPr>
          <w:color w:val="000000" w:themeColor="text1"/>
          <w:shd w:val="clear" w:color="auto" w:fill="FFFFFF"/>
        </w:rPr>
        <w:fldChar w:fldCharType="separate"/>
      </w:r>
      <w:r w:rsidR="007B4533" w:rsidRPr="007B4533">
        <w:rPr>
          <w:noProof/>
          <w:color w:val="000000" w:themeColor="text1"/>
          <w:shd w:val="clear" w:color="auto" w:fill="FFFFFF"/>
        </w:rPr>
        <w:t>(6–8)</w:t>
      </w:r>
      <w:r w:rsidR="00896196">
        <w:rPr>
          <w:color w:val="000000" w:themeColor="text1"/>
          <w:shd w:val="clear" w:color="auto" w:fill="FFFFFF"/>
        </w:rPr>
        <w:fldChar w:fldCharType="end"/>
      </w:r>
      <w:r w:rsidR="00896196">
        <w:rPr>
          <w:color w:val="000000" w:themeColor="text1"/>
          <w:shd w:val="clear" w:color="auto" w:fill="FFFFFF"/>
        </w:rPr>
        <w:t xml:space="preserve">, </w:t>
      </w:r>
      <w:r w:rsidR="008B5ABE">
        <w:rPr>
          <w:color w:val="000000" w:themeColor="text1"/>
          <w:shd w:val="clear" w:color="auto" w:fill="FFFFFF"/>
        </w:rPr>
        <w:t>further</w:t>
      </w:r>
      <w:r>
        <w:rPr>
          <w:color w:val="000000" w:themeColor="text1"/>
          <w:shd w:val="clear" w:color="auto" w:fill="FFFFFF"/>
        </w:rPr>
        <w:t xml:space="preserve"> research </w:t>
      </w:r>
      <w:r w:rsidR="008B5ABE">
        <w:rPr>
          <w:color w:val="000000" w:themeColor="text1"/>
          <w:shd w:val="clear" w:color="auto" w:fill="FFFFFF"/>
        </w:rPr>
        <w:t>is needed to understand the</w:t>
      </w:r>
      <w:r w:rsidR="00956657">
        <w:rPr>
          <w:color w:val="000000" w:themeColor="text1"/>
          <w:shd w:val="clear" w:color="auto" w:fill="FFFFFF"/>
        </w:rPr>
        <w:t>ir</w:t>
      </w:r>
      <w:r w:rsidR="008B5ABE">
        <w:rPr>
          <w:color w:val="000000" w:themeColor="text1"/>
          <w:shd w:val="clear" w:color="auto" w:fill="FFFFFF"/>
        </w:rPr>
        <w:t xml:space="preserve"> biological effects and mechanisms when considering the development of future novel therap</w:t>
      </w:r>
      <w:r w:rsidR="00100D92">
        <w:rPr>
          <w:color w:val="000000" w:themeColor="text1"/>
          <w:shd w:val="clear" w:color="auto" w:fill="FFFFFF"/>
        </w:rPr>
        <w:t>eutic</w:t>
      </w:r>
      <w:r w:rsidR="008B5ABE">
        <w:rPr>
          <w:color w:val="000000" w:themeColor="text1"/>
          <w:shd w:val="clear" w:color="auto" w:fill="FFFFFF"/>
        </w:rPr>
        <w:t xml:space="preserve"> approaches. T</w:t>
      </w:r>
      <w:r w:rsidR="008B5ABE" w:rsidRPr="00E200BC">
        <w:rPr>
          <w:color w:val="000000" w:themeColor="text1"/>
          <w:shd w:val="clear" w:color="auto" w:fill="FFFFFF"/>
        </w:rPr>
        <w:t xml:space="preserve">here is always the possibility </w:t>
      </w:r>
      <w:r w:rsidR="00BC09C8">
        <w:rPr>
          <w:color w:val="000000" w:themeColor="text1"/>
          <w:shd w:val="clear" w:color="auto" w:fill="FFFFFF"/>
        </w:rPr>
        <w:t xml:space="preserve">that </w:t>
      </w:r>
      <w:r w:rsidR="000F4DDA">
        <w:rPr>
          <w:color w:val="000000" w:themeColor="text1"/>
          <w:shd w:val="clear" w:color="auto" w:fill="FFFFFF"/>
        </w:rPr>
        <w:t>some</w:t>
      </w:r>
      <w:r w:rsidR="008B5ABE" w:rsidRPr="00E200BC">
        <w:rPr>
          <w:color w:val="000000" w:themeColor="text1"/>
          <w:shd w:val="clear" w:color="auto" w:fill="FFFFFF"/>
        </w:rPr>
        <w:t xml:space="preserve"> result</w:t>
      </w:r>
      <w:r w:rsidR="00BC09C8">
        <w:rPr>
          <w:color w:val="000000" w:themeColor="text1"/>
          <w:shd w:val="clear" w:color="auto" w:fill="FFFFFF"/>
        </w:rPr>
        <w:t>s</w:t>
      </w:r>
      <w:r w:rsidR="008B5ABE" w:rsidRPr="00E200BC">
        <w:rPr>
          <w:color w:val="000000" w:themeColor="text1"/>
          <w:shd w:val="clear" w:color="auto" w:fill="FFFFFF"/>
        </w:rPr>
        <w:t xml:space="preserve"> </w:t>
      </w:r>
      <w:r w:rsidR="00956657">
        <w:rPr>
          <w:color w:val="000000" w:themeColor="text1"/>
          <w:shd w:val="clear" w:color="auto" w:fill="FFFFFF"/>
        </w:rPr>
        <w:t>observed</w:t>
      </w:r>
      <w:r w:rsidR="001C560C">
        <w:rPr>
          <w:color w:val="000000" w:themeColor="text1"/>
          <w:shd w:val="clear" w:color="auto" w:fill="FFFFFF"/>
        </w:rPr>
        <w:t xml:space="preserve"> in psychedelic studies </w:t>
      </w:r>
      <w:r w:rsidR="008B5ABE" w:rsidRPr="00E200BC">
        <w:rPr>
          <w:color w:val="000000" w:themeColor="text1"/>
          <w:shd w:val="clear" w:color="auto" w:fill="FFFFFF"/>
        </w:rPr>
        <w:t xml:space="preserve">could be attributed to </w:t>
      </w:r>
      <w:r w:rsidR="008B5ABE">
        <w:rPr>
          <w:color w:val="000000" w:themeColor="text1"/>
          <w:shd w:val="clear" w:color="auto" w:fill="FFFFFF"/>
        </w:rPr>
        <w:t>other non-pharmacological factors (</w:t>
      </w:r>
      <w:r w:rsidR="00E50706">
        <w:rPr>
          <w:color w:val="000000" w:themeColor="text1"/>
          <w:shd w:val="clear" w:color="auto" w:fill="FFFFFF"/>
        </w:rPr>
        <w:t xml:space="preserve">i.e. </w:t>
      </w:r>
      <w:r w:rsidR="008B5ABE">
        <w:rPr>
          <w:color w:val="000000" w:themeColor="text1"/>
          <w:shd w:val="clear" w:color="auto" w:fill="FFFFFF"/>
        </w:rPr>
        <w:t>set and setting and/or therapeutic relationship between patient and therapist)</w:t>
      </w:r>
      <w:r w:rsidR="008B5ABE" w:rsidRPr="00063BCE">
        <w:rPr>
          <w:color w:val="000000" w:themeColor="text1"/>
          <w:shd w:val="clear" w:color="auto" w:fill="FFFFFF"/>
        </w:rPr>
        <w:fldChar w:fldCharType="begin" w:fldLock="1"/>
      </w:r>
      <w:r w:rsidR="00966577">
        <w:rPr>
          <w:color w:val="000000" w:themeColor="text1"/>
          <w:shd w:val="clear" w:color="auto" w:fill="FFFFFF"/>
        </w:rPr>
        <w:instrText>ADDIN CSL_CITATION {"citationItems":[{"id":"ITEM-1","itemData":{"DOI":"10.1007/s00213-021-05817-8","ISSN":"14322072","PMID":"33694031","abstract":"Ayahuasca is a plant concoction containing N,N-dimethyltryptamine (DMT) and certain β-carboline alkaloids from South America. Previous research in naturalistic settings has suggested that ingestion of ayahuasca can improve mental health and well-being; however, these studies were not placebo controlled and did not control for the possibility of expectation bias. This naturalistic observational study was designed to assess whether mental health changes were produced by ayahuasca or by set and setting. Assessments were made pre- and post-ayahuasca sessions in 30 experienced participants of ayahuasca retreats hosted in the Netherlands, Spain, and Germany. Participants consumed ayahuasca (N = 14) or placebo (N = 16). Analysis revealed a main effect of time on symptoms of depression, anxiety, and stress. Compared to baseline, symptoms reduced in both groups after the ceremony, independent of treatment. There was a main treatment × time interaction on implicit emotional empathy, indicating that ayahuasca increased emotional empathy to negative stimuli. The current findings suggest that improvements in mental health of participants of ayahuasca ceremonies can be driven by non-pharmacological factors that constitute a placebo response but also by pharmacological factors that are related to the use of ayahuasca. These findings stress the importance of placebo-controlled designs in psychedelic research and the need to further explore the contribution of non-pharmacological factors to the psychedelic experience.","author":[{"dropping-particle":"V.","family":"Uthaug","given":"M.","non-dropping-particle":"","parse-names":false,"suffix":""},{"dropping-particle":"","family":"Mason","given":"N. L.","non-dropping-particle":"","parse-names":false,"suffix":""},{"dropping-particle":"","family":"Toennes","given":"S. W.","non-dropping-particle":"","parse-names":false,"suffix":""},{"dropping-particle":"","family":"Reckweg","given":"J. T.","non-dropping-particle":"","parse-names":false,"suffix":""},{"dropping-particle":"","family":"Sousa Fernandes Perna","given":"E. B.","non-dropping-particle":"de","parse-names":false,"suffix":""},{"dropping-particle":"","family":"Kuypers","given":"K. P.C.","non-dropping-particle":"","parse-names":false,"suffix":""},{"dropping-particle":"","family":"Oorsouw","given":"K.","non-dropping-particle":"van","parse-names":false,"suffix":""},{"dropping-particle":"","family":"Riba","given":"J.","non-dropping-particle":"","parse-names":false,"suffix":""},{"dropping-particle":"","family":"Ramaekers","given":"J. G.","non-dropping-particle":"","parse-names":false,"suffix":""}],"container-title":"Psychopharmacology","id":"ITEM-1","issued":{"date-parts":[["2021"]]},"publisher":"Springer Science and Business Media Deutschland GmbH","title":"A placebo-controlled study of the effects of ayahuasca, set and setting on mental health of participants in ayahuasca group retreats","type":"article-journal"},"uris":["http://www.mendeley.com/documents/?uuid=fe01e774-3dd6-30f2-871a-f99f10f4c206"]},{"id":"ITEM-2","itemData":{"DOI":"10.1177/2050324516683325","ISSN":"2050-3245","abstract":"Set and setting is a term which refers to the psychological, social, and cultural parameters which shape the response to psychedelic drugs. The concept is considered fundamental to psychedelic research and has also been used to describe nonpharmacological factors which shape the effects of other agents such as alcohol, heroin, amphetamines, or cocaine. This paper reviews the history and evolution of the concept of set and setting from the 19th-century Parisian Club des Hashischins, through to 1950s psychotomimetic research on nondrug determinants of psychopharmacology, the use of extra-drug techniques by psychedelic therapists of the 1950s, and the invention of the concept of set and setting by Leary. Later developments and expansions on the concept of set and setting are discussed, and the term of collective set and setting is suggested as a theoretical tool to describe the social forces which shape individual set and setting situations. The concept of set and setting, it is argued, is crucial not only for psychedelic research but also for advancing drug research and developing more effective drug policy.","author":[{"dropping-particle":"","family":"Hartogsohn","given":"Ido","non-dropping-particle":"","parse-names":false,"suffix":""}],"container-title":"Drug Science, Policy and Law","id":"ITEM-2","issued":{"date-parts":[["2017","1","1"]]},"page":"205032451668332","publisher":"SAGE Publications","title":"Constructing drug effects: A history of set and setting","type":"article-journal","volume":"3"},"uris":["http://www.mendeley.com/documents/?uuid=abb9b617-40c9-3493-bbca-082db7e68a53"]},{"id":"ITEM-3","itemData":{"DOI":"10.1177/0269881116677852","ISSN":"14617285","PMID":"27852960","abstract":"Placebo response theory and set and setting theory are two fields which examine how non-biological factors shape the response to therapy. Both consider factors such as expectancy, preparation and beliefs to be crucial for understanding the extra-pharmacological processes which shape the response to drugs. Yet there are also fundamental differences between the two theories. Set and setting concerns itself with response to psychoactive drugs only; placebo theory relates to all therapeutic interventions. Placebo theory is aimed at medical professionals; set and setting theory is aimed at professionals and drug users alike. Placebo theory is primarily descriptive, describing how placebo acts; set and setting theory is primarily prescriptive, educating therapists and users on how to control and optimize the effects of drugs. This paper examines how placebo theory and set and setting theory can complement and benefit each other, broadening our understanding of how non-biological factors shape response to drugs and other treatment interventions.","author":[{"dropping-particle":"","family":"Hartogsohn","given":"Ido","non-dropping-particle":"","parse-names":false,"suffix":""}],"container-title":"Journal of Psychopharmacology","id":"ITEM-3","issue":"12","issued":{"date-parts":[["2016","12","1"]]},"page":"1259-1267","publisher":"SAGE Publications Ltd","title":"Set and setting, psychedelics and the placebo response: An extra-pharmacological perspective on psychopharmacology","type":"article","volume":"30"},"uris":["http://www.mendeley.com/documents/?uuid=70511b14-65b8-3b71-8de4-8a0bfd86c747"]},{"id":"ITEM-4","itemData":{"DOI":"10.1038/s41598-021-81446-7","ISSN":"20452322","PMID":"33479342","abstract":"Psychedelic microdosing describes the ingestion of near-threshold perceptible doses of classic psychedelic substances. Anecdotal reports and observational studies suggest that microdosing may promote positive mood and well-being, but recent placebo-controlled studies failed to find compelling evidence for this. The present study collected web-based mental health and related data using a prospective (before, during and after) design. Individuals planning a weekly microdosing regimen completed surveys at strategic timepoints, spanning a core four-week test period. Eighty-one participants completed the primary study endpoint. Results revealed increased self-reported psychological well-being, emotional stability and reductions in state anxiety and depressive symptoms at the four-week primary endpoint, plus increases in psychological resilience, social connectedness, agreeableness, nature relatedness and aspects of psychological flexibility. However, positive expectancy scores at baseline predicted subsequent improvements in well-being, suggestive of a significant placebo response. This study highlights a role for positive expectancy in predicting positive outcomes following psychedelic microdosing and cautions against zealous inferences on its putative therapeutic value.","author":[{"dropping-particle":"","family":"Kaertner","given":"L. S.","non-dropping-particle":"","parse-names":false,"suffix":""},{"dropping-particle":"","family":"Steinborn","given":"M. B.","non-dropping-particle":"","parse-names":false,"suffix":""},{"dropping-particle":"","family":"Kettner","given":"H.","non-dropping-particle":"","parse-names":false,"suffix":""},{"dropping-particle":"","family":"Spriggs","given":"M. J.","non-dropping-particle":"","parse-names":false,"suffix":""},{"dropping-particle":"","family":"Roseman","given":"L.","non-dropping-particle":"","parse-names":false,"suffix":""},{"dropping-particle":"","family":"Buchborn","given":"T.","non-dropping-particle":"","parse-names":false,"suffix":""},{"dropping-particle":"","family":"Balaet","given":"M.","non-dropping-particle":"","parse-names":false,"suffix":""},{"dropping-particle":"","family":"Timmermann","given":"C.","non-dropping-particle":"","parse-names":false,"suffix":""},{"dropping-particle":"","family":"Erritzoe","given":"D.","non-dropping-particle":"","parse-names":false,"suffix":""},{"dropping-particle":"","family":"Carhart-Harris","given":"R. L.","non-dropping-particle":"","parse-names":false,"suffix":""}],"container-title":"Scientific Reports","id":"ITEM-4","issue":"1","issued":{"date-parts":[["2021","12","1"]]},"page":"1941","publisher":"Nature Research","title":"Positive expectations predict improved mental-health outcomes linked to psychedelic microdosing","type":"article-journal","volume":"11"},"uris":["http://www.mendeley.com/documents/?uuid=b8b8ec1f-a60f-3c03-b4a8-87236b7f12bf"]},{"id":"ITEM-5","itemData":{"DOI":"10.7554/eLife.62878","ISSN":"2050084X","PMID":"33648632","abstract":"Microdosing is the practice of regularly using low doses of psychedelic drugs. Anecdotal reports suggest that microdosing enhances well-being and cognition; however, such accounts are potentially biased by the placebo effect. This study used a ‘self-blinding’ citizen science initiative, where participants were given online instructions on how to incorporate placebo control into their microdosing routine without clinical supervision. The study was completed by 191 participants, making it the largest placebo-controlled trial on psychedelics to-date. All psychological outcomes improved significantly from baseline to after the 4 weeks long dose period for the microdose group; however, the placebo group also improved and no significant between-groups differences were observed. Acute (emotional state, drug intensity, mood, energy, and creativity) and post-acute (anxiety) scales showed small, but significant microdose vs. placebo differences; however, these results can be explained by participants breaking blind. The findings suggest that anecdotal benefits of microdosing can be explained by the placebo effect.","author":[{"dropping-particle":"","family":"Szigeti","given":"Balázs","non-dropping-particle":"","parse-names":false,"suffix":""},{"dropping-particle":"","family":"Kartner","given":"Laura","non-dropping-particle":"","parse-names":false,"suffix":""},{"dropping-particle":"","family":"Blemings","given":"Allan","non-dropping-particle":"","parse-names":false,"suffix":""},{"dropping-particle":"","family":"Rosas","given":"Fernando","non-dropping-particle":"","parse-names":false,"suffix":""},{"dropping-particle":"","family":"Feilding","given":"Amanda","non-dropping-particle":"","parse-names":false,"suffix":""},{"dropping-particle":"","family":"Nutt","given":"David J.","non-dropping-particle":"","parse-names":false,"suffix":""},{"dropping-particle":"","family":"Carhart-Harris","given":"Robin L.","non-dropping-particle":"","parse-names":false,"suffix":""},{"dropping-particle":"","family":"Erritzoe","given":"David","non-dropping-particle":"","parse-names":false,"suffix":""}],"container-title":"eLife","id":"ITEM-5","issued":{"date-parts":[["2021","3","1"]]},"publisher":"eLife Sciences Publications Ltd","title":"Self-blinding citizen science to explore psychedelic microdosing","type":"article-journal","volume":"10"},"uris":["http://www.mendeley.com/documents/?uuid=afee09b6-60d8-385e-8bd2-ed482eb72c68"]},{"id":"ITEM-6","itemData":{"DOI":"10.1097/00005053-197509000-00002","ISSN":"1539736X","PMID":"1176972","abstract":"This study assessed the roles of expectancy and autonomic arousal in inducing psychedelic flashbacks under conditions of mild sensory deprivation. Subjects with and without previous flashbacks participated. During the first experimental session, subjects were given a drug which they were told would induce flashbacks, and during the second, a drug which was alleged to induce only autonomic arousal. Ephedrine sulfate (causing autonomic changes) or placebo actually was given in counterbalanced order. Subjects of both groups experienced many more psychedelic sensations when they expected flashbacks. Drug effect was nonsignificant. These findings support the view that flashbacks are not “caused” by psychedelic drugs, but by the tendency of some drug users to mislabel and selectively attend to relevant aspects of naturally occurring altered states of consciousness. © 1975 by The Williams &amp; Wilkins Co.","author":[{"dropping-particle":"","family":"Heaton","given":"Robert K.","non-dropping-particle":"","parse-names":false,"suffix":""}],"container-title":"Journal of Nervous and Mental Disease","id":"ITEM-6","issue":"3","issued":{"date-parts":[["1975"]]},"page":"157-165","publisher":"J Nerv Ment Dis","title":"Subject expectancy and environmental factors as determinants of psychedelic flashback experiences","type":"article-journal","volume":"161"},"uris":["http://www.mendeley.com/documents/?uuid=3a0e29f2-78a3-396a-8789-02aff2d0fddc"]}],"mendeley":{"formattedCitation":"(9–14)","plainTextFormattedCitation":"(9–14)","previouslyFormattedCitation":"(9–14)"},"properties":{"noteIndex":0},"schema":"https://github.com/citation-style-language/schema/raw/master/csl-citation.json"}</w:instrText>
      </w:r>
      <w:r w:rsidR="008B5ABE" w:rsidRPr="00063BCE">
        <w:rPr>
          <w:color w:val="000000" w:themeColor="text1"/>
          <w:shd w:val="clear" w:color="auto" w:fill="FFFFFF"/>
        </w:rPr>
        <w:fldChar w:fldCharType="separate"/>
      </w:r>
      <w:r w:rsidR="007B4533" w:rsidRPr="007B4533">
        <w:rPr>
          <w:noProof/>
          <w:color w:val="000000" w:themeColor="text1"/>
          <w:shd w:val="clear" w:color="auto" w:fill="FFFFFF"/>
        </w:rPr>
        <w:t>(9–14)</w:t>
      </w:r>
      <w:r w:rsidR="008B5ABE" w:rsidRPr="00063BCE">
        <w:rPr>
          <w:color w:val="000000" w:themeColor="text1"/>
          <w:shd w:val="clear" w:color="auto" w:fill="FFFFFF"/>
        </w:rPr>
        <w:fldChar w:fldCharType="end"/>
      </w:r>
      <w:r w:rsidR="008B5ABE" w:rsidRPr="00063BCE">
        <w:rPr>
          <w:color w:val="000000" w:themeColor="text1"/>
          <w:shd w:val="clear" w:color="auto" w:fill="FFFFFF"/>
        </w:rPr>
        <w:t>.</w:t>
      </w:r>
      <w:r w:rsidR="008B5ABE">
        <w:rPr>
          <w:color w:val="000000" w:themeColor="text1"/>
          <w:shd w:val="clear" w:color="auto" w:fill="FFFFFF"/>
        </w:rPr>
        <w:t xml:space="preserve"> </w:t>
      </w:r>
      <w:r w:rsidR="006970D6">
        <w:rPr>
          <w:color w:val="000000" w:themeColor="text1"/>
          <w:shd w:val="clear" w:color="auto" w:fill="FFFFFF"/>
        </w:rPr>
        <w:t xml:space="preserve">Biological evidence is needed to corroborate the effect </w:t>
      </w:r>
      <w:r w:rsidR="001C560C">
        <w:rPr>
          <w:color w:val="000000" w:themeColor="text1"/>
          <w:shd w:val="clear" w:color="auto" w:fill="FFFFFF"/>
        </w:rPr>
        <w:t>of</w:t>
      </w:r>
      <w:r w:rsidR="001C560C" w:rsidRPr="00E200BC">
        <w:rPr>
          <w:color w:val="000000" w:themeColor="text1"/>
          <w:shd w:val="clear" w:color="auto" w:fill="FFFFFF"/>
        </w:rPr>
        <w:t xml:space="preserve"> psychedelic</w:t>
      </w:r>
      <w:r w:rsidR="001C560C">
        <w:rPr>
          <w:color w:val="000000" w:themeColor="text1"/>
          <w:shd w:val="clear" w:color="auto" w:fill="FFFFFF"/>
        </w:rPr>
        <w:t xml:space="preserve"> on various mental health related parameters</w:t>
      </w:r>
      <w:r w:rsidR="001C560C" w:rsidRPr="00E200BC">
        <w:rPr>
          <w:color w:val="000000" w:themeColor="text1"/>
          <w:shd w:val="clear" w:color="auto" w:fill="FFFFFF"/>
        </w:rPr>
        <w:t>,</w:t>
      </w:r>
      <w:r w:rsidR="001C560C">
        <w:rPr>
          <w:color w:val="000000" w:themeColor="text1"/>
          <w:shd w:val="clear" w:color="auto" w:fill="FFFFFF"/>
        </w:rPr>
        <w:t xml:space="preserve"> and </w:t>
      </w:r>
      <w:r w:rsidR="001C560C" w:rsidRPr="00E200BC">
        <w:rPr>
          <w:color w:val="000000" w:themeColor="text1"/>
        </w:rPr>
        <w:t>this is where a more chemistry-based</w:t>
      </w:r>
      <w:r w:rsidR="00100D92">
        <w:rPr>
          <w:color w:val="000000" w:themeColor="text1"/>
        </w:rPr>
        <w:t>/-</w:t>
      </w:r>
      <w:proofErr w:type="spellStart"/>
      <w:r w:rsidR="00100D92">
        <w:rPr>
          <w:color w:val="000000" w:themeColor="text1"/>
        </w:rPr>
        <w:t>omic</w:t>
      </w:r>
      <w:proofErr w:type="spellEnd"/>
      <w:r w:rsidR="001C560C" w:rsidRPr="00E200BC">
        <w:rPr>
          <w:color w:val="000000" w:themeColor="text1"/>
        </w:rPr>
        <w:t xml:space="preserve"> approach is favourable</w:t>
      </w:r>
      <w:r w:rsidR="001C560C">
        <w:rPr>
          <w:color w:val="000000" w:themeColor="text1"/>
        </w:rPr>
        <w:t>. T</w:t>
      </w:r>
      <w:r w:rsidR="001C560C" w:rsidRPr="00E200BC">
        <w:rPr>
          <w:color w:val="000000" w:themeColor="text1"/>
        </w:rPr>
        <w:t xml:space="preserve">he introduction of a psychedelic substance into the human system is fundamentally a </w:t>
      </w:r>
      <w:r w:rsidR="001C560C" w:rsidRPr="00E200BC">
        <w:rPr>
          <w:i/>
          <w:iCs/>
          <w:color w:val="000000" w:themeColor="text1"/>
        </w:rPr>
        <w:t>chemical interaction</w:t>
      </w:r>
      <w:r w:rsidR="001C560C" w:rsidRPr="00E200BC">
        <w:rPr>
          <w:color w:val="000000" w:themeColor="text1"/>
        </w:rPr>
        <w:t xml:space="preserve"> between these molecules and their respective receptors in the</w:t>
      </w:r>
      <w:r w:rsidR="00BC09C8">
        <w:rPr>
          <w:color w:val="000000" w:themeColor="text1"/>
        </w:rPr>
        <w:t xml:space="preserve"> body</w:t>
      </w:r>
      <w:r w:rsidR="001C560C" w:rsidRPr="00E200BC">
        <w:rPr>
          <w:color w:val="000000" w:themeColor="text1"/>
        </w:rPr>
        <w:t xml:space="preserve">. </w:t>
      </w:r>
      <w:r w:rsidR="000F4DDA">
        <w:rPr>
          <w:color w:val="000000" w:themeColor="text1"/>
        </w:rPr>
        <w:t>Factors such as the concentration and the binding efficacy of the psychedelic</w:t>
      </w:r>
      <w:r w:rsidR="003B5CC2">
        <w:rPr>
          <w:color w:val="000000" w:themeColor="text1"/>
        </w:rPr>
        <w:t xml:space="preserve"> molecule</w:t>
      </w:r>
      <w:r w:rsidR="000F4DDA">
        <w:rPr>
          <w:color w:val="000000" w:themeColor="text1"/>
        </w:rPr>
        <w:t xml:space="preserve"> to the receptors can potentially result in a difference in physiological and psychological experience. Another factor </w:t>
      </w:r>
      <w:r w:rsidR="00100D92">
        <w:rPr>
          <w:color w:val="000000" w:themeColor="text1"/>
        </w:rPr>
        <w:t>of importance</w:t>
      </w:r>
      <w:r w:rsidR="000F4DDA">
        <w:rPr>
          <w:color w:val="000000" w:themeColor="text1"/>
        </w:rPr>
        <w:t xml:space="preserve"> is whether the psychedelic has undergone changes as a result of metabolism</w:t>
      </w:r>
      <w:r w:rsidR="00100D92">
        <w:rPr>
          <w:color w:val="000000" w:themeColor="text1"/>
        </w:rPr>
        <w:t xml:space="preserve">; </w:t>
      </w:r>
      <w:r w:rsidR="000F4DDA">
        <w:rPr>
          <w:color w:val="000000" w:themeColor="text1"/>
        </w:rPr>
        <w:t xml:space="preserve">after the point of </w:t>
      </w:r>
      <w:proofErr w:type="gramStart"/>
      <w:r w:rsidR="000F4DDA">
        <w:rPr>
          <w:color w:val="000000" w:themeColor="text1"/>
        </w:rPr>
        <w:t>administration</w:t>
      </w:r>
      <w:proofErr w:type="gramEnd"/>
      <w:r w:rsidR="000F4DDA">
        <w:rPr>
          <w:color w:val="000000" w:themeColor="text1"/>
        </w:rPr>
        <w:t xml:space="preserve"> </w:t>
      </w:r>
      <w:r w:rsidR="00E30CA5">
        <w:rPr>
          <w:color w:val="000000" w:themeColor="text1"/>
        </w:rPr>
        <w:t xml:space="preserve">it is possible for </w:t>
      </w:r>
      <w:r w:rsidR="003B5CC2">
        <w:rPr>
          <w:color w:val="000000" w:themeColor="text1"/>
        </w:rPr>
        <w:t>the molecule</w:t>
      </w:r>
      <w:r w:rsidR="000F4DDA">
        <w:rPr>
          <w:color w:val="000000" w:themeColor="text1"/>
        </w:rPr>
        <w:t xml:space="preserve"> </w:t>
      </w:r>
      <w:r w:rsidR="00E30CA5">
        <w:rPr>
          <w:color w:val="000000" w:themeColor="text1"/>
        </w:rPr>
        <w:t>to be chemically modified or converted into different molecules. Therefore, these factors need</w:t>
      </w:r>
      <w:r w:rsidR="00100D92">
        <w:rPr>
          <w:color w:val="000000" w:themeColor="text1"/>
        </w:rPr>
        <w:t xml:space="preserve"> </w:t>
      </w:r>
      <w:r w:rsidR="00E30CA5">
        <w:rPr>
          <w:color w:val="000000" w:themeColor="text1"/>
        </w:rPr>
        <w:t>to be monitored to understand the full extent of the effect psychedelics have on human health.</w:t>
      </w:r>
    </w:p>
    <w:p w14:paraId="7D935881" w14:textId="77777777" w:rsidR="001C560C" w:rsidRDefault="001C560C" w:rsidP="00E50706">
      <w:pPr>
        <w:rPr>
          <w:color w:val="000000" w:themeColor="text1"/>
        </w:rPr>
      </w:pPr>
    </w:p>
    <w:p w14:paraId="3D4D8315" w14:textId="48AA8B6C" w:rsidR="009D3206" w:rsidRDefault="001C560C" w:rsidP="00E50706">
      <w:pPr>
        <w:rPr>
          <w:color w:val="000000" w:themeColor="text1"/>
        </w:rPr>
      </w:pPr>
      <w:r w:rsidRPr="00E200BC">
        <w:rPr>
          <w:color w:val="000000" w:themeColor="text1"/>
        </w:rPr>
        <w:t>The monitoring of drug metabolism is primarily a</w:t>
      </w:r>
      <w:r w:rsidR="00100D92">
        <w:rPr>
          <w:color w:val="000000" w:themeColor="text1"/>
        </w:rPr>
        <w:t>n aspect of</w:t>
      </w:r>
      <w:r w:rsidRPr="00E200BC">
        <w:rPr>
          <w:color w:val="000000" w:themeColor="text1"/>
        </w:rPr>
        <w:t xml:space="preserve"> pharmacolog</w:t>
      </w:r>
      <w:r w:rsidR="00100D92">
        <w:rPr>
          <w:color w:val="000000" w:themeColor="text1"/>
        </w:rPr>
        <w:t>y</w:t>
      </w:r>
      <w:r w:rsidRPr="00E200BC">
        <w:rPr>
          <w:color w:val="000000" w:themeColor="text1"/>
        </w:rPr>
        <w:t>; however, metabolomics could help understand the pharmacology significantly in terms of the pharmacokinetics (</w:t>
      </w:r>
      <w:r>
        <w:rPr>
          <w:color w:val="000000" w:themeColor="text1"/>
        </w:rPr>
        <w:t xml:space="preserve">i.e., </w:t>
      </w:r>
      <w:r w:rsidRPr="00E200BC">
        <w:rPr>
          <w:color w:val="000000" w:themeColor="text1"/>
        </w:rPr>
        <w:t xml:space="preserve">how quickly the drug is absorbed and metabolised) and its metabolic </w:t>
      </w:r>
      <w:r w:rsidRPr="004948FA">
        <w:rPr>
          <w:color w:val="000000" w:themeColor="text1"/>
        </w:rPr>
        <w:t>consequences</w:t>
      </w:r>
      <w:r>
        <w:rPr>
          <w:color w:val="000000" w:themeColor="text1"/>
        </w:rPr>
        <w:t xml:space="preserve"> (</w:t>
      </w:r>
      <w:r w:rsidRPr="00BC09C8">
        <w:rPr>
          <w:color w:val="000000" w:themeColor="text1"/>
        </w:rPr>
        <w:t>i.e.</w:t>
      </w:r>
      <w:r w:rsidR="00BC09C8">
        <w:rPr>
          <w:color w:val="000000" w:themeColor="text1"/>
        </w:rPr>
        <w:t>,</w:t>
      </w:r>
      <w:r>
        <w:rPr>
          <w:color w:val="000000" w:themeColor="text1"/>
        </w:rPr>
        <w:t xml:space="preserve"> </w:t>
      </w:r>
      <w:r w:rsidR="00BC09C8">
        <w:rPr>
          <w:color w:val="000000" w:themeColor="text1"/>
        </w:rPr>
        <w:t>what molecules have been produced from this metabolism</w:t>
      </w:r>
      <w:r>
        <w:rPr>
          <w:color w:val="000000" w:themeColor="text1"/>
        </w:rPr>
        <w:t>)</w:t>
      </w:r>
      <w:r w:rsidRPr="004948FA">
        <w:rPr>
          <w:color w:val="000000" w:themeColor="text1"/>
        </w:rPr>
        <w:t xml:space="preserve">. </w:t>
      </w:r>
      <w:r>
        <w:rPr>
          <w:color w:val="000000" w:themeColor="text1"/>
        </w:rPr>
        <w:t>The implications of the collection of such data could potentially aid in increase</w:t>
      </w:r>
      <w:r w:rsidR="00100D92">
        <w:rPr>
          <w:color w:val="000000" w:themeColor="text1"/>
        </w:rPr>
        <w:t>d</w:t>
      </w:r>
      <w:r>
        <w:rPr>
          <w:color w:val="000000" w:themeColor="text1"/>
        </w:rPr>
        <w:t xml:space="preserve"> understanding of an individual’s subjective experience with a psychedelic</w:t>
      </w:r>
      <w:r w:rsidR="00956657">
        <w:rPr>
          <w:color w:val="000000" w:themeColor="text1"/>
        </w:rPr>
        <w:t xml:space="preserve"> and </w:t>
      </w:r>
      <w:r>
        <w:rPr>
          <w:color w:val="000000" w:themeColor="text1"/>
        </w:rPr>
        <w:t>their predisposition to adverse effects (and so too how to reduce such adverse effects)</w:t>
      </w:r>
      <w:r w:rsidR="00956657">
        <w:rPr>
          <w:color w:val="000000" w:themeColor="text1"/>
        </w:rPr>
        <w:t xml:space="preserve">. Furthermore, it could </w:t>
      </w:r>
      <w:r>
        <w:rPr>
          <w:color w:val="000000" w:themeColor="text1"/>
        </w:rPr>
        <w:t>bring about the emergence of a novel and objective method rooted in biology to monitoring treatment progress and response over time and that if used together with subjective reports and neuroimaging could be a more holistic technique to measure the effects of psychedelics a</w:t>
      </w:r>
      <w:r w:rsidR="00812B54">
        <w:rPr>
          <w:color w:val="000000" w:themeColor="text1"/>
        </w:rPr>
        <w:t>n</w:t>
      </w:r>
      <w:r>
        <w:rPr>
          <w:color w:val="000000" w:themeColor="text1"/>
        </w:rPr>
        <w:t xml:space="preserve">d the mechanism in which they exert their effects. </w:t>
      </w:r>
    </w:p>
    <w:p w14:paraId="72E42996" w14:textId="77777777" w:rsidR="00E50706" w:rsidRDefault="00E50706" w:rsidP="00E50706">
      <w:pPr>
        <w:rPr>
          <w:color w:val="000000" w:themeColor="text1"/>
        </w:rPr>
      </w:pPr>
    </w:p>
    <w:p w14:paraId="06496BDA" w14:textId="4BD3B192" w:rsidR="008B5ABE" w:rsidRDefault="008B5ABE" w:rsidP="00E50706">
      <w:pPr>
        <w:rPr>
          <w:color w:val="000000" w:themeColor="text1"/>
          <w:shd w:val="clear" w:color="auto" w:fill="FFFFFF"/>
        </w:rPr>
      </w:pPr>
    </w:p>
    <w:p w14:paraId="4FF7B4BE" w14:textId="05C7BC35" w:rsidR="00F812E8" w:rsidRPr="00D1792B" w:rsidRDefault="00F812E8" w:rsidP="00E50706">
      <w:pPr>
        <w:rPr>
          <w:rFonts w:eastAsiaTheme="minorEastAsia"/>
          <w:b/>
          <w:bCs/>
          <w:color w:val="000000"/>
        </w:rPr>
      </w:pPr>
      <w:r w:rsidRPr="00D1792B">
        <w:rPr>
          <w:rFonts w:eastAsiaTheme="minorEastAsia"/>
          <w:b/>
          <w:bCs/>
          <w:color w:val="000000"/>
        </w:rPr>
        <w:t xml:space="preserve">NMR Spectroscopy </w:t>
      </w:r>
    </w:p>
    <w:p w14:paraId="6CDDCE2A" w14:textId="77777777" w:rsidR="00F812E8" w:rsidRDefault="00F812E8" w:rsidP="00E50706">
      <w:pPr>
        <w:rPr>
          <w:rFonts w:eastAsiaTheme="minorEastAsia"/>
          <w:color w:val="000000"/>
        </w:rPr>
      </w:pPr>
    </w:p>
    <w:p w14:paraId="143B05BD" w14:textId="0DE56F07" w:rsidR="00F812E8" w:rsidRDefault="009C6D12" w:rsidP="00E50706">
      <w:pPr>
        <w:rPr>
          <w:rFonts w:eastAsiaTheme="minorEastAsia"/>
          <w:color w:val="000000"/>
        </w:rPr>
      </w:pPr>
      <w:r>
        <w:rPr>
          <w:color w:val="000000" w:themeColor="text1"/>
          <w:shd w:val="clear" w:color="auto" w:fill="FFFFFF"/>
        </w:rPr>
        <w:t xml:space="preserve">One of the tools with major potential to </w:t>
      </w:r>
      <w:r>
        <w:rPr>
          <w:rFonts w:eastAsiaTheme="minorEastAsia"/>
          <w:color w:val="000000"/>
        </w:rPr>
        <w:t>investigate the biological effects</w:t>
      </w:r>
      <w:r w:rsidR="0008119D">
        <w:rPr>
          <w:rFonts w:eastAsiaTheme="minorEastAsia"/>
          <w:color w:val="000000"/>
        </w:rPr>
        <w:t xml:space="preserve"> and pharmacodynamics</w:t>
      </w:r>
      <w:r>
        <w:rPr>
          <w:rFonts w:eastAsiaTheme="minorEastAsia"/>
          <w:color w:val="000000"/>
        </w:rPr>
        <w:t xml:space="preserve"> of psychedelic</w:t>
      </w:r>
      <w:r w:rsidR="0008119D">
        <w:rPr>
          <w:rFonts w:eastAsiaTheme="minorEastAsia"/>
          <w:color w:val="000000"/>
        </w:rPr>
        <w:t>s</w:t>
      </w:r>
      <w:r>
        <w:rPr>
          <w:rFonts w:eastAsiaTheme="minorEastAsia"/>
          <w:color w:val="000000"/>
        </w:rPr>
        <w:t xml:space="preserve"> </w:t>
      </w:r>
      <w:r>
        <w:rPr>
          <w:color w:val="000000" w:themeColor="text1"/>
          <w:shd w:val="clear" w:color="auto" w:fill="FFFFFF"/>
        </w:rPr>
        <w:t xml:space="preserve">is the </w:t>
      </w:r>
      <w:proofErr w:type="spellStart"/>
      <w:r>
        <w:rPr>
          <w:color w:val="000000" w:themeColor="text1"/>
          <w:shd w:val="clear" w:color="auto" w:fill="FFFFFF"/>
        </w:rPr>
        <w:t>metabonomics</w:t>
      </w:r>
      <w:proofErr w:type="spellEnd"/>
      <w:r>
        <w:rPr>
          <w:color w:val="000000" w:themeColor="text1"/>
          <w:shd w:val="clear" w:color="auto" w:fill="FFFFFF"/>
        </w:rPr>
        <w:t xml:space="preserve"> application of </w:t>
      </w:r>
      <w:r>
        <w:rPr>
          <w:rFonts w:eastAsiaTheme="minorEastAsia"/>
          <w:color w:val="000000"/>
        </w:rPr>
        <w:t>proton nuclear magnetic resonance (</w:t>
      </w:r>
      <w:r w:rsidRPr="00CE7615">
        <w:rPr>
          <w:color w:val="000000" w:themeColor="text1"/>
          <w:shd w:val="clear" w:color="auto" w:fill="FFFFFF"/>
          <w:vertAlign w:val="superscript"/>
        </w:rPr>
        <w:t>1</w:t>
      </w:r>
      <w:r w:rsidRPr="00CE7615">
        <w:rPr>
          <w:color w:val="000000" w:themeColor="text1"/>
          <w:shd w:val="clear" w:color="auto" w:fill="FFFFFF"/>
        </w:rPr>
        <w:t>H</w:t>
      </w:r>
      <w:r>
        <w:rPr>
          <w:rFonts w:eastAsiaTheme="minorEastAsia"/>
          <w:color w:val="000000"/>
        </w:rPr>
        <w:t xml:space="preserve"> NMR) spectroscopy. </w:t>
      </w:r>
      <w:r w:rsidR="008A4381" w:rsidRPr="00144F61">
        <w:rPr>
          <w:rFonts w:eastAsiaTheme="minorEastAsia"/>
          <w:color w:val="000000"/>
        </w:rPr>
        <w:t>NMR</w:t>
      </w:r>
      <w:r w:rsidR="000E19BF">
        <w:rPr>
          <w:rFonts w:eastAsiaTheme="minorEastAsia"/>
          <w:color w:val="000000"/>
        </w:rPr>
        <w:t xml:space="preserve"> </w:t>
      </w:r>
      <w:r w:rsidR="008A4381">
        <w:rPr>
          <w:rFonts w:eastAsiaTheme="minorEastAsia"/>
          <w:color w:val="000000"/>
        </w:rPr>
        <w:t>spectroscopy</w:t>
      </w:r>
      <w:r w:rsidR="008A4381" w:rsidRPr="00144F61">
        <w:t xml:space="preserve"> </w:t>
      </w:r>
      <w:r w:rsidR="00F812E8">
        <w:rPr>
          <w:rFonts w:eastAsiaTheme="minorEastAsia"/>
          <w:color w:val="000000"/>
        </w:rPr>
        <w:t>is</w:t>
      </w:r>
      <w:r w:rsidR="008A4381">
        <w:rPr>
          <w:rFonts w:eastAsiaTheme="minorEastAsia"/>
          <w:color w:val="000000"/>
        </w:rPr>
        <w:t xml:space="preserve"> a powerful technological tool capable of determining the structure of a molecule</w:t>
      </w:r>
      <w:r w:rsidR="001E0627">
        <w:rPr>
          <w:rFonts w:eastAsiaTheme="minorEastAsia"/>
          <w:color w:val="000000"/>
        </w:rPr>
        <w:fldChar w:fldCharType="begin" w:fldLock="1"/>
      </w:r>
      <w:r w:rsidR="00966577">
        <w:rPr>
          <w:rFonts w:eastAsiaTheme="minorEastAsia"/>
          <w:color w:val="000000"/>
        </w:rPr>
        <w:instrText>ADDIN CSL_CITATION {"citationItems":[{"id":"ITEM-1","itemData":{"DOI":"10.1111/j.1742-4658.2011.08004.x","ISSN":"1742464X","PMID":"21214860","abstract":"NMR spectroscopy is a powerful tool for studying the structure, function and dynamics of biological macromolecules. However, non-spectroscopists often find NMR theory daunting and data interpretation nontrivial. As the first of two back-to-back reviews on NMR spectroscopy aimed at non-spectroscopists, the present review first provides an introduction to the basics of macromolecular NMR spectroscopy, including a discussion of typical sample requirements and what information can be obtained from simple NMR experiments. We then review the use of NMR spectroscopy for determining the 3D structures of macromolecules and examine how to judge the quality of NMR-derived structures. © 2011 FEBS.","author":[{"dropping-particle":"","family":"Kwan","given":"Ann H.","non-dropping-particle":"","parse-names":false,"suffix":""},{"dropping-particle":"","family":"Mobli","given":"Mehdi","non-dropping-particle":"","parse-names":false,"suffix":""},{"dropping-particle":"","family":"Gooley","given":"Paul R.","non-dropping-particle":"","parse-names":false,"suffix":""},{"dropping-particle":"","family":"King","given":"Glenn F.","non-dropping-particle":"","parse-names":false,"suffix":""},{"dropping-particle":"","family":"MacKay","given":"Joel P.","non-dropping-particle":"","parse-names":false,"suffix":""}],"container-title":"FEBS Journal","id":"ITEM-1","issue":"5","issued":{"date-parts":[["2011","3"]]},"page":"687-703","publisher":"FEBS J","title":"Macromolecular NMR spectroscopy for the non-spectroscopist","type":"article","volume":"278"},"uris":["http://www.mendeley.com/documents/?uuid=e75b03ad-2bcd-3349-90c9-aefb7c7c892d"]}],"mendeley":{"formattedCitation":"(15)","plainTextFormattedCitation":"(15)","previouslyFormattedCitation":"(15)"},"properties":{"noteIndex":0},"schema":"https://github.com/citation-style-language/schema/raw/master/csl-citation.json"}</w:instrText>
      </w:r>
      <w:r w:rsidR="001E0627">
        <w:rPr>
          <w:rFonts w:eastAsiaTheme="minorEastAsia"/>
          <w:color w:val="000000"/>
        </w:rPr>
        <w:fldChar w:fldCharType="separate"/>
      </w:r>
      <w:r w:rsidR="007B4533" w:rsidRPr="007B4533">
        <w:rPr>
          <w:rFonts w:eastAsiaTheme="minorEastAsia"/>
          <w:noProof/>
          <w:color w:val="000000"/>
        </w:rPr>
        <w:t>(15)</w:t>
      </w:r>
      <w:r w:rsidR="001E0627">
        <w:rPr>
          <w:rFonts w:eastAsiaTheme="minorEastAsia"/>
          <w:color w:val="000000"/>
        </w:rPr>
        <w:fldChar w:fldCharType="end"/>
      </w:r>
      <w:r w:rsidR="001E0627">
        <w:rPr>
          <w:rFonts w:eastAsiaTheme="minorEastAsia"/>
          <w:color w:val="000000"/>
        </w:rPr>
        <w:t>. It is</w:t>
      </w:r>
      <w:r w:rsidR="00F812E8">
        <w:rPr>
          <w:rFonts w:eastAsiaTheme="minorEastAsia"/>
          <w:color w:val="000000"/>
        </w:rPr>
        <w:t xml:space="preserve"> one of the most important spectroscopic tools in chemistry, having been the source of multiple Nobel Prizes in the last century</w:t>
      </w:r>
      <w:r w:rsidR="009729CF">
        <w:rPr>
          <w:rFonts w:eastAsiaTheme="minorEastAsia"/>
          <w:color w:val="000000"/>
        </w:rPr>
        <w:fldChar w:fldCharType="begin" w:fldLock="1"/>
      </w:r>
      <w:r w:rsidR="00966577">
        <w:rPr>
          <w:rFonts w:eastAsiaTheme="minorEastAsia"/>
          <w:color w:val="000000"/>
        </w:rPr>
        <w:instrText>ADDIN CSL_CITATION {"citationItems":[{"id":"ITEM-1","itemData":{"DOI":"10.1016/B978-0-444-52841-4.X5000-0","ISBN":"9780444528414","abstract":"Molecular biology operates at three levels ? genes, proteins and metabolites. This book is unique in that it provides a comprehensive description of an approach (metabonomics) to characterise the endogenous metabolites in a living system, complementing gene and protein studies (genomics and proteomics). These \"omics\" methods form the basis for understanding biology at a systems level. The Handbook of Metabonomics and Metabolomics aims to be the definitive work on the rapidly expanding subjects of metabolic profiling, metabolite and biomarker identification, encompassing the fields of metabonomics and metabolomics. It covers the principles of the subject, the analytical and statistical techniques used and the wide variety of applications. © 2007 Elsevier B.V. All rights reserved.","author":[{"dropping-particle":"","family":"Lindon","given":"John C.","non-dropping-particle":"","parse-names":false,"suffix":""},{"dropping-particle":"","family":"Nicholson","given":"Jeremy K.","non-dropping-particle":"","parse-names":false,"suffix":""},{"dropping-particle":"","family":"Holmes","given":"Elaine","non-dropping-particle":"","parse-names":false,"suffix":""}],"container-title":"The Handbook of Metabonomics and Metabolomics","id":"ITEM-1","issued":{"date-parts":[["2007"]]},"publisher":"Elsevier","title":"The Handbook of Metabonomics and Metabolomics","type":"book"},"uris":["http://www.mendeley.com/documents/?uuid=63d292eb-c96b-362a-aa82-7b0cf1a4baae"]}],"mendeley":{"formattedCitation":"(16)","plainTextFormattedCitation":"(16)","previouslyFormattedCitation":"(16)"},"properties":{"noteIndex":0},"schema":"https://github.com/citation-style-language/schema/raw/master/csl-citation.json"}</w:instrText>
      </w:r>
      <w:r w:rsidR="009729CF">
        <w:rPr>
          <w:rFonts w:eastAsiaTheme="minorEastAsia"/>
          <w:color w:val="000000"/>
        </w:rPr>
        <w:fldChar w:fldCharType="separate"/>
      </w:r>
      <w:r w:rsidR="007B4533" w:rsidRPr="007B4533">
        <w:rPr>
          <w:rFonts w:eastAsiaTheme="minorEastAsia"/>
          <w:noProof/>
          <w:color w:val="000000"/>
        </w:rPr>
        <w:t>(16)</w:t>
      </w:r>
      <w:r w:rsidR="009729CF">
        <w:rPr>
          <w:rFonts w:eastAsiaTheme="minorEastAsia"/>
          <w:color w:val="000000"/>
        </w:rPr>
        <w:fldChar w:fldCharType="end"/>
      </w:r>
      <w:r w:rsidR="009E180A">
        <w:rPr>
          <w:rFonts w:eastAsiaTheme="minorEastAsia"/>
          <w:color w:val="000000"/>
        </w:rPr>
        <w:t xml:space="preserve">. </w:t>
      </w:r>
      <w:r w:rsidR="00F812E8">
        <w:rPr>
          <w:rFonts w:eastAsiaTheme="minorEastAsia"/>
          <w:color w:val="000000"/>
        </w:rPr>
        <w:t>It was in 1945, that two independent physics groups</w:t>
      </w:r>
      <w:r w:rsidR="009E180A">
        <w:rPr>
          <w:rFonts w:eastAsiaTheme="minorEastAsia"/>
          <w:color w:val="000000"/>
        </w:rPr>
        <w:t>,</w:t>
      </w:r>
      <w:r w:rsidR="00F812E8">
        <w:rPr>
          <w:rFonts w:eastAsiaTheme="minorEastAsia"/>
          <w:color w:val="000000"/>
        </w:rPr>
        <w:t xml:space="preserve"> </w:t>
      </w:r>
      <w:r w:rsidR="009E180A" w:rsidRPr="00230604">
        <w:rPr>
          <w:rFonts w:eastAsiaTheme="minorEastAsia"/>
          <w:color w:val="000000"/>
        </w:rPr>
        <w:t>Bloc</w:t>
      </w:r>
      <w:r w:rsidR="009E180A">
        <w:rPr>
          <w:rFonts w:eastAsiaTheme="minorEastAsia"/>
          <w:color w:val="000000"/>
        </w:rPr>
        <w:t>h</w:t>
      </w:r>
      <w:r w:rsidR="009E180A" w:rsidRPr="00230604">
        <w:rPr>
          <w:rFonts w:eastAsiaTheme="minorEastAsia"/>
          <w:color w:val="000000"/>
        </w:rPr>
        <w:t>, Hansen &amp; Packard at Stanford Universit</w:t>
      </w:r>
      <w:r w:rsidR="009E180A">
        <w:rPr>
          <w:rFonts w:eastAsiaTheme="minorEastAsia"/>
          <w:color w:val="000000"/>
        </w:rPr>
        <w:t>y</w:t>
      </w:r>
      <w:r w:rsidR="009E180A" w:rsidRPr="00230604">
        <w:rPr>
          <w:rFonts w:eastAsiaTheme="minorEastAsia"/>
          <w:color w:val="000000"/>
        </w:rPr>
        <w:t xml:space="preserve"> </w:t>
      </w:r>
      <w:r w:rsidR="009E180A">
        <w:rPr>
          <w:rFonts w:eastAsiaTheme="minorEastAsia"/>
          <w:color w:val="000000"/>
        </w:rPr>
        <w:t xml:space="preserve">and </w:t>
      </w:r>
      <w:r w:rsidR="00F812E8" w:rsidRPr="00230604">
        <w:rPr>
          <w:rFonts w:eastAsiaTheme="minorEastAsia"/>
          <w:color w:val="000000"/>
        </w:rPr>
        <w:t>Purcell, Torrey &amp; Pound at Harvard University</w:t>
      </w:r>
      <w:r w:rsidR="00F812E8">
        <w:rPr>
          <w:rFonts w:eastAsiaTheme="minorEastAsia"/>
          <w:color w:val="000000"/>
        </w:rPr>
        <w:t xml:space="preserve">, were successful </w:t>
      </w:r>
      <w:r w:rsidR="00F812E8" w:rsidRPr="00230604">
        <w:rPr>
          <w:rFonts w:eastAsiaTheme="minorEastAsia"/>
          <w:color w:val="000000"/>
        </w:rPr>
        <w:t>in observing the phenomenon of nuclear magnetic resonance in solids and liquids</w:t>
      </w:r>
      <w:r w:rsidR="00F812E8" w:rsidRPr="00230604">
        <w:rPr>
          <w:rFonts w:eastAsiaTheme="minorEastAsia"/>
          <w:color w:val="000000"/>
        </w:rPr>
        <w:fldChar w:fldCharType="begin" w:fldLock="1"/>
      </w:r>
      <w:r w:rsidR="00966577">
        <w:rPr>
          <w:rFonts w:eastAsiaTheme="minorEastAsia"/>
          <w:color w:val="000000"/>
        </w:rPr>
        <w:instrText>ADDIN CSL_CITATION {"citationItems":[{"id":"ITEM-1","itemData":{"ISBN":"0-471-95199-4","author":[{"dropping-particle":"","family":"Günther","given":"Harald","non-dropping-particle":"","parse-names":false,"suffix":""}],"edition":"2nd","id":"ITEM-1","issued":{"date-parts":[["1992"]]},"publisher":"John Wiley &amp; Sons","publisher-place":"New York, U.S.","title":"NMR Spectroscopy","type":"book"},"uris":["http://www.mendeley.com/documents/?uuid=0e1335cc-67c9-435d-85d3-77530c14b840"]}],"mendeley":{"formattedCitation":"(17)","plainTextFormattedCitation":"(17)","previouslyFormattedCitation":"(17)"},"properties":{"noteIndex":0},"schema":"https://github.com/citation-style-language/schema/raw/master/csl-citation.json"}</w:instrText>
      </w:r>
      <w:r w:rsidR="00F812E8" w:rsidRPr="00230604">
        <w:rPr>
          <w:rFonts w:eastAsiaTheme="minorEastAsia"/>
          <w:color w:val="000000"/>
        </w:rPr>
        <w:fldChar w:fldCharType="separate"/>
      </w:r>
      <w:r w:rsidR="007B4533" w:rsidRPr="007B4533">
        <w:rPr>
          <w:rFonts w:eastAsiaTheme="minorEastAsia"/>
          <w:noProof/>
          <w:color w:val="000000"/>
        </w:rPr>
        <w:t>(17)</w:t>
      </w:r>
      <w:r w:rsidR="00F812E8" w:rsidRPr="00230604">
        <w:rPr>
          <w:rFonts w:eastAsiaTheme="minorEastAsia"/>
          <w:color w:val="000000"/>
        </w:rPr>
        <w:fldChar w:fldCharType="end"/>
      </w:r>
      <w:r w:rsidR="00F812E8" w:rsidRPr="00230604">
        <w:rPr>
          <w:rFonts w:eastAsiaTheme="minorEastAsia"/>
          <w:color w:val="000000"/>
        </w:rPr>
        <w:t>.</w:t>
      </w:r>
      <w:r w:rsidR="00F812E8">
        <w:rPr>
          <w:rFonts w:eastAsiaTheme="minorEastAsia"/>
          <w:color w:val="000000"/>
        </w:rPr>
        <w:t xml:space="preserve"> </w:t>
      </w:r>
      <w:r w:rsidR="00F812E8" w:rsidRPr="00230604">
        <w:rPr>
          <w:rFonts w:eastAsiaTheme="minorEastAsia"/>
          <w:color w:val="000000"/>
        </w:rPr>
        <w:t xml:space="preserve">Its importance increased </w:t>
      </w:r>
      <w:r w:rsidR="00F812E8">
        <w:rPr>
          <w:rFonts w:eastAsiaTheme="minorEastAsia"/>
          <w:color w:val="000000"/>
        </w:rPr>
        <w:t>and in</w:t>
      </w:r>
      <w:r w:rsidR="00F812E8" w:rsidRPr="00230604">
        <w:rPr>
          <w:rFonts w:eastAsiaTheme="minorEastAsia"/>
          <w:color w:val="000000"/>
        </w:rPr>
        <w:t xml:space="preserve"> 1991, </w:t>
      </w:r>
      <w:r w:rsidR="00F812E8">
        <w:rPr>
          <w:rFonts w:eastAsiaTheme="minorEastAsia"/>
          <w:color w:val="000000"/>
        </w:rPr>
        <w:t>the</w:t>
      </w:r>
      <w:r w:rsidR="00F812E8" w:rsidRPr="00230604">
        <w:rPr>
          <w:rFonts w:eastAsiaTheme="minorEastAsia"/>
          <w:color w:val="000000"/>
        </w:rPr>
        <w:t xml:space="preserve"> Swiss physical chemist Richard R. Ernst was awarded the Nobel Prize in Chemistry for his outstanding contribution to the development of the experiment</w:t>
      </w:r>
      <w:r w:rsidR="00CB7AB1">
        <w:rPr>
          <w:rFonts w:eastAsiaTheme="minorEastAsia"/>
          <w:color w:val="000000"/>
        </w:rPr>
        <w:t>al</w:t>
      </w:r>
      <w:r w:rsidR="00F812E8" w:rsidRPr="00230604">
        <w:rPr>
          <w:rFonts w:eastAsiaTheme="minorEastAsia"/>
          <w:color w:val="000000"/>
        </w:rPr>
        <w:t xml:space="preserve"> NMR technique</w:t>
      </w:r>
      <w:r w:rsidR="00F812E8">
        <w:rPr>
          <w:rFonts w:eastAsiaTheme="minorEastAsia"/>
          <w:color w:val="000000"/>
        </w:rPr>
        <w:t xml:space="preserve"> for structure determination</w:t>
      </w:r>
      <w:r w:rsidR="00451786">
        <w:rPr>
          <w:rFonts w:eastAsiaTheme="minorEastAsia"/>
          <w:color w:val="000000"/>
        </w:rPr>
        <w:t xml:space="preserve"> of biological macromolecules</w:t>
      </w:r>
      <w:r w:rsidR="00F812E8" w:rsidRPr="00230604">
        <w:rPr>
          <w:rFonts w:eastAsiaTheme="minorEastAsia"/>
          <w:color w:val="000000"/>
        </w:rPr>
        <w:fldChar w:fldCharType="begin" w:fldLock="1"/>
      </w:r>
      <w:r w:rsidR="00966577">
        <w:rPr>
          <w:rFonts w:eastAsiaTheme="minorEastAsia"/>
          <w:color w:val="000000"/>
        </w:rPr>
        <w:instrText>ADDIN CSL_CITATION {"citationItems":[{"id":"ITEM-1","itemData":{"ISBN":"0-471-95199-4","author":[{"dropping-particle":"","family":"Günther","given":"Harald","non-dropping-particle":"","parse-names":false,"suffix":""}],"edition":"2nd","id":"ITEM-1","issued":{"date-parts":[["1992"]]},"publisher":"John Wiley &amp; Sons","publisher-place":"New York, U.S.","title":"NMR Spectroscopy","type":"book"},"uris":["http://www.mendeley.com/documents/?uuid=0e1335cc-67c9-435d-85d3-77530c14b840"]}],"mendeley":{"formattedCitation":"(17)","plainTextFormattedCitation":"(17)","previouslyFormattedCitation":"(17)"},"properties":{"noteIndex":0},"schema":"https://github.com/citation-style-language/schema/raw/master/csl-citation.json"}</w:instrText>
      </w:r>
      <w:r w:rsidR="00F812E8" w:rsidRPr="00230604">
        <w:rPr>
          <w:rFonts w:eastAsiaTheme="minorEastAsia"/>
          <w:color w:val="000000"/>
        </w:rPr>
        <w:fldChar w:fldCharType="separate"/>
      </w:r>
      <w:r w:rsidR="007B4533" w:rsidRPr="007B4533">
        <w:rPr>
          <w:rFonts w:eastAsiaTheme="minorEastAsia"/>
          <w:noProof/>
          <w:color w:val="000000"/>
        </w:rPr>
        <w:t>(17)</w:t>
      </w:r>
      <w:r w:rsidR="00F812E8" w:rsidRPr="00230604">
        <w:rPr>
          <w:rFonts w:eastAsiaTheme="minorEastAsia"/>
          <w:color w:val="000000"/>
        </w:rPr>
        <w:fldChar w:fldCharType="end"/>
      </w:r>
      <w:r w:rsidR="00F812E8" w:rsidRPr="00230604">
        <w:rPr>
          <w:rFonts w:eastAsiaTheme="minorEastAsia"/>
          <w:color w:val="000000"/>
        </w:rPr>
        <w:t>.</w:t>
      </w:r>
    </w:p>
    <w:p w14:paraId="3757ED77" w14:textId="77777777" w:rsidR="00F812E8" w:rsidRDefault="00F812E8" w:rsidP="00E50706">
      <w:pPr>
        <w:rPr>
          <w:rFonts w:eastAsiaTheme="minorEastAsia"/>
          <w:color w:val="000000"/>
        </w:rPr>
      </w:pPr>
    </w:p>
    <w:p w14:paraId="433DC4D9" w14:textId="48CC9F48" w:rsidR="00F812E8" w:rsidRPr="004465EE" w:rsidRDefault="00F812E8" w:rsidP="00E50706">
      <w:r>
        <w:rPr>
          <w:rFonts w:eastAsiaTheme="minorEastAsia"/>
          <w:color w:val="000000"/>
        </w:rPr>
        <w:t>NMR spectroscopy relies on certain isotope</w:t>
      </w:r>
      <w:r w:rsidR="00451786">
        <w:rPr>
          <w:rFonts w:eastAsiaTheme="minorEastAsia"/>
          <w:color w:val="000000"/>
        </w:rPr>
        <w:t>s of</w:t>
      </w:r>
      <w:r>
        <w:rPr>
          <w:rFonts w:eastAsiaTheme="minorEastAsia"/>
          <w:color w:val="000000"/>
        </w:rPr>
        <w:t xml:space="preserve"> nuclei that possess the quantum mechanical property of spin which causes the nuclei to adopt different energy states when placed in a magnetic field. Nuclei that have a spin of zero do not exhibit the NMR effect but nuclei</w:t>
      </w:r>
      <w:r w:rsidR="00C5045F">
        <w:rPr>
          <w:rFonts w:eastAsiaTheme="minorEastAsia"/>
          <w:color w:val="000000"/>
        </w:rPr>
        <w:t xml:space="preserve"> that </w:t>
      </w:r>
      <w:r w:rsidR="00C5045F">
        <w:rPr>
          <w:rFonts w:eastAsiaTheme="minorEastAsia"/>
          <w:color w:val="000000"/>
        </w:rPr>
        <w:lastRenderedPageBreak/>
        <w:t xml:space="preserve">have </w:t>
      </w:r>
      <w:r>
        <w:rPr>
          <w:rFonts w:eastAsiaTheme="minorEastAsia"/>
          <w:color w:val="000000"/>
        </w:rPr>
        <w:t>spin values of ½ o</w:t>
      </w:r>
      <w:r w:rsidR="00451786">
        <w:rPr>
          <w:rFonts w:eastAsiaTheme="minorEastAsia"/>
          <w:color w:val="000000"/>
        </w:rPr>
        <w:t>r</w:t>
      </w:r>
      <w:r>
        <w:rPr>
          <w:rFonts w:eastAsiaTheme="minorEastAsia"/>
          <w:color w:val="000000"/>
        </w:rPr>
        <w:t xml:space="preserve"> greater can adopt different energy levels in the magnetic field which can be detected when a radiofrequency is applied to perturb the system. The most common isotopes observed by NMR are hydrogen-1 isotope (</w:t>
      </w:r>
      <w:r w:rsidRPr="00CE7615">
        <w:rPr>
          <w:color w:val="000000" w:themeColor="text1"/>
          <w:shd w:val="clear" w:color="auto" w:fill="FFFFFF"/>
          <w:vertAlign w:val="superscript"/>
        </w:rPr>
        <w:t>1</w:t>
      </w:r>
      <w:r w:rsidRPr="00CE7615">
        <w:rPr>
          <w:color w:val="000000" w:themeColor="text1"/>
          <w:shd w:val="clear" w:color="auto" w:fill="FFFFFF"/>
        </w:rPr>
        <w:t>H</w:t>
      </w:r>
      <w:r>
        <w:rPr>
          <w:rFonts w:eastAsiaTheme="minorEastAsia"/>
          <w:color w:val="000000"/>
        </w:rPr>
        <w:t>), which is often referred to as a proton, and carbon-</w:t>
      </w:r>
      <w:r w:rsidRPr="004465EE">
        <w:rPr>
          <w:rFonts w:eastAsiaTheme="minorEastAsia"/>
          <w:color w:val="000000" w:themeColor="text1"/>
        </w:rPr>
        <w:t>13 (</w:t>
      </w:r>
      <w:r w:rsidRPr="004465EE">
        <w:rPr>
          <w:rStyle w:val="Emphasis"/>
          <w:i w:val="0"/>
          <w:iCs w:val="0"/>
          <w:color w:val="000000" w:themeColor="text1"/>
          <w:shd w:val="clear" w:color="auto" w:fill="FFFFFF"/>
          <w:vertAlign w:val="superscript"/>
        </w:rPr>
        <w:t>13</w:t>
      </w:r>
      <w:r w:rsidRPr="004465EE">
        <w:rPr>
          <w:rStyle w:val="Emphasis"/>
          <w:i w:val="0"/>
          <w:iCs w:val="0"/>
          <w:color w:val="000000" w:themeColor="text1"/>
          <w:shd w:val="clear" w:color="auto" w:fill="FFFFFF"/>
        </w:rPr>
        <w:t>C</w:t>
      </w:r>
      <w:r w:rsidRPr="004465EE">
        <w:rPr>
          <w:rFonts w:eastAsiaTheme="minorEastAsia"/>
          <w:color w:val="000000" w:themeColor="text1"/>
        </w:rPr>
        <w:t xml:space="preserve">). </w:t>
      </w:r>
      <w:r>
        <w:rPr>
          <w:rFonts w:eastAsiaTheme="minorEastAsia"/>
          <w:color w:val="000000"/>
        </w:rPr>
        <w:t>There are also other isotopes that can be used</w:t>
      </w:r>
      <w:r w:rsidR="00C5045F">
        <w:rPr>
          <w:rFonts w:eastAsiaTheme="minorEastAsia"/>
          <w:color w:val="000000"/>
        </w:rPr>
        <w:t>;</w:t>
      </w:r>
      <w:r>
        <w:rPr>
          <w:rFonts w:eastAsiaTheme="minorEastAsia"/>
          <w:color w:val="000000"/>
        </w:rPr>
        <w:t xml:space="preserve"> including nitrogen-15 and phosphorous-31 but their application is</w:t>
      </w:r>
      <w:r w:rsidR="00451786">
        <w:rPr>
          <w:rFonts w:eastAsiaTheme="minorEastAsia"/>
          <w:color w:val="000000"/>
        </w:rPr>
        <w:t xml:space="preserve"> relatively</w:t>
      </w:r>
      <w:r w:rsidR="00C5045F">
        <w:rPr>
          <w:rFonts w:eastAsiaTheme="minorEastAsia"/>
          <w:color w:val="000000"/>
        </w:rPr>
        <w:t xml:space="preserve"> </w:t>
      </w:r>
      <w:r w:rsidR="000B2D36">
        <w:rPr>
          <w:rFonts w:eastAsiaTheme="minorEastAsia"/>
          <w:color w:val="000000"/>
        </w:rPr>
        <w:t>rarer</w:t>
      </w:r>
      <w:r w:rsidR="00C5045F">
        <w:rPr>
          <w:rFonts w:eastAsiaTheme="minorEastAsia"/>
          <w:color w:val="000000"/>
        </w:rPr>
        <w:t xml:space="preserve"> </w:t>
      </w:r>
      <w:r>
        <w:rPr>
          <w:rFonts w:eastAsiaTheme="minorEastAsia"/>
          <w:color w:val="000000"/>
        </w:rPr>
        <w:t>in NMR spectroscopy, in part reflecting their lower abundance in many organic compounds</w:t>
      </w:r>
      <w:r w:rsidR="000200DC">
        <w:rPr>
          <w:rFonts w:eastAsiaTheme="minorEastAsia"/>
          <w:color w:val="000000"/>
        </w:rPr>
        <w:t xml:space="preserve"> and smaller gyromagnetic ratio (a property that in part determines the magnitude of the NMR signal)</w:t>
      </w:r>
      <w:r>
        <w:rPr>
          <w:rFonts w:eastAsiaTheme="minorEastAsia"/>
          <w:color w:val="000000"/>
        </w:rPr>
        <w:t xml:space="preserve">. All organic molecular structures have a hydrocarbon skeleton that </w:t>
      </w:r>
      <w:r w:rsidR="00D10C64">
        <w:rPr>
          <w:rFonts w:eastAsiaTheme="minorEastAsia"/>
          <w:color w:val="000000"/>
        </w:rPr>
        <w:t xml:space="preserve">forms the ‘backbone’ of the </w:t>
      </w:r>
      <w:r>
        <w:rPr>
          <w:rFonts w:eastAsiaTheme="minorEastAsia"/>
          <w:color w:val="000000"/>
        </w:rPr>
        <w:t>molecule</w:t>
      </w:r>
      <w:r w:rsidR="00D10C64">
        <w:rPr>
          <w:rFonts w:eastAsiaTheme="minorEastAsia"/>
          <w:color w:val="000000"/>
        </w:rPr>
        <w:t>;</w:t>
      </w:r>
      <w:r>
        <w:rPr>
          <w:rFonts w:eastAsiaTheme="minorEastAsia"/>
          <w:color w:val="000000"/>
        </w:rPr>
        <w:t xml:space="preserve"> it is the substitution with other elements alongside the rearrangement of these hydrogen and carbon atoms that produce unique</w:t>
      </w:r>
      <w:r w:rsidR="00D10C64">
        <w:rPr>
          <w:rFonts w:eastAsiaTheme="minorEastAsia"/>
          <w:color w:val="000000"/>
        </w:rPr>
        <w:t xml:space="preserve"> structures of the</w:t>
      </w:r>
      <w:r>
        <w:rPr>
          <w:rFonts w:eastAsiaTheme="minorEastAsia"/>
          <w:color w:val="000000"/>
        </w:rPr>
        <w:t xml:space="preserve"> organic molecules. It is this abundance of hydrogen and carbon that drives the use of </w:t>
      </w:r>
      <w:r w:rsidRPr="004465EE">
        <w:rPr>
          <w:color w:val="000000" w:themeColor="text1"/>
          <w:shd w:val="clear" w:color="auto" w:fill="FFFFFF"/>
          <w:vertAlign w:val="superscript"/>
        </w:rPr>
        <w:t>1</w:t>
      </w:r>
      <w:r w:rsidRPr="004465EE">
        <w:rPr>
          <w:color w:val="000000" w:themeColor="text1"/>
          <w:shd w:val="clear" w:color="auto" w:fill="FFFFFF"/>
        </w:rPr>
        <w:t xml:space="preserve">H NMR </w:t>
      </w:r>
      <w:r>
        <w:rPr>
          <w:color w:val="000000" w:themeColor="text1"/>
          <w:shd w:val="clear" w:color="auto" w:fill="FFFFFF"/>
        </w:rPr>
        <w:t xml:space="preserve">and </w:t>
      </w:r>
      <w:r w:rsidRPr="004465EE">
        <w:rPr>
          <w:rStyle w:val="Emphasis"/>
          <w:i w:val="0"/>
          <w:iCs w:val="0"/>
          <w:color w:val="000000" w:themeColor="text1"/>
          <w:shd w:val="clear" w:color="auto" w:fill="FFFFFF"/>
          <w:vertAlign w:val="superscript"/>
        </w:rPr>
        <w:t>13</w:t>
      </w:r>
      <w:r w:rsidRPr="004465EE">
        <w:rPr>
          <w:rStyle w:val="Emphasis"/>
          <w:i w:val="0"/>
          <w:iCs w:val="0"/>
          <w:color w:val="000000" w:themeColor="text1"/>
          <w:shd w:val="clear" w:color="auto" w:fill="FFFFFF"/>
        </w:rPr>
        <w:t>C</w:t>
      </w:r>
      <w:r>
        <w:rPr>
          <w:rFonts w:eastAsiaTheme="minorEastAsia"/>
          <w:color w:val="000000" w:themeColor="text1"/>
        </w:rPr>
        <w:t xml:space="preserve"> NMR over the other NMR-active isotopes</w:t>
      </w:r>
      <w:r w:rsidR="009E180A">
        <w:rPr>
          <w:rFonts w:eastAsiaTheme="minorEastAsia"/>
          <w:color w:val="000000" w:themeColor="text1"/>
        </w:rPr>
        <w:t xml:space="preserve"> in biochemistry.</w:t>
      </w:r>
    </w:p>
    <w:p w14:paraId="57A623B5" w14:textId="2E9B0CF7" w:rsidR="00F812E8" w:rsidRDefault="00F812E8" w:rsidP="00E50706">
      <w:pPr>
        <w:rPr>
          <w:rFonts w:eastAsiaTheme="minorEastAsia"/>
          <w:color w:val="000000" w:themeColor="text1"/>
        </w:rPr>
      </w:pPr>
    </w:p>
    <w:p w14:paraId="667E61FE" w14:textId="19A179F6" w:rsidR="00406E47" w:rsidRDefault="00296C04" w:rsidP="00E50706">
      <w:pPr>
        <w:rPr>
          <w:rFonts w:eastAsiaTheme="minorEastAsia"/>
          <w:color w:val="000000" w:themeColor="text1"/>
        </w:rPr>
      </w:pPr>
      <w:r>
        <w:rPr>
          <w:rFonts w:eastAsiaTheme="minorEastAsia"/>
          <w:color w:val="000000" w:themeColor="text1"/>
        </w:rPr>
        <w:t xml:space="preserve">NMR </w:t>
      </w:r>
      <w:r w:rsidR="00D10C64">
        <w:rPr>
          <w:rFonts w:eastAsiaTheme="minorEastAsia"/>
          <w:color w:val="000000" w:themeColor="text1"/>
        </w:rPr>
        <w:t xml:space="preserve">spectroscopy </w:t>
      </w:r>
      <w:r>
        <w:rPr>
          <w:rFonts w:eastAsiaTheme="minorEastAsia"/>
          <w:color w:val="000000" w:themeColor="text1"/>
        </w:rPr>
        <w:t xml:space="preserve">analysis can detect the unique environment of the </w:t>
      </w:r>
      <w:r w:rsidR="00D10C64">
        <w:rPr>
          <w:rFonts w:eastAsiaTheme="minorEastAsia"/>
          <w:color w:val="000000" w:themeColor="text1"/>
        </w:rPr>
        <w:t>NMR-active atoms</w:t>
      </w:r>
      <w:r>
        <w:rPr>
          <w:rFonts w:eastAsiaTheme="minorEastAsia"/>
          <w:color w:val="000000" w:themeColor="text1"/>
        </w:rPr>
        <w:t xml:space="preserve"> in the </w:t>
      </w:r>
      <w:r w:rsidR="001F002D">
        <w:rPr>
          <w:rFonts w:eastAsiaTheme="minorEastAsia"/>
          <w:color w:val="000000" w:themeColor="text1"/>
        </w:rPr>
        <w:t>molecule</w:t>
      </w:r>
      <w:r>
        <w:rPr>
          <w:rFonts w:eastAsiaTheme="minorEastAsia"/>
          <w:color w:val="000000" w:themeColor="text1"/>
        </w:rPr>
        <w:t xml:space="preserve"> </w:t>
      </w:r>
      <w:r w:rsidR="001F002D">
        <w:rPr>
          <w:rFonts w:eastAsiaTheme="minorEastAsia"/>
          <w:color w:val="000000" w:themeColor="text1"/>
        </w:rPr>
        <w:t>to produce an</w:t>
      </w:r>
      <w:r>
        <w:rPr>
          <w:rFonts w:eastAsiaTheme="minorEastAsia"/>
          <w:color w:val="000000" w:themeColor="text1"/>
        </w:rPr>
        <w:t xml:space="preserve"> </w:t>
      </w:r>
      <w:r w:rsidR="000200DC">
        <w:rPr>
          <w:rFonts w:eastAsiaTheme="minorEastAsia"/>
          <w:color w:val="000000" w:themeColor="text1"/>
        </w:rPr>
        <w:t>NMR spectrum</w:t>
      </w:r>
      <w:r>
        <w:rPr>
          <w:rFonts w:eastAsiaTheme="minorEastAsia"/>
          <w:color w:val="000000" w:themeColor="text1"/>
        </w:rPr>
        <w:t>.</w:t>
      </w:r>
      <w:r w:rsidR="001F002D">
        <w:rPr>
          <w:rFonts w:eastAsiaTheme="minorEastAsia"/>
          <w:color w:val="000000" w:themeColor="text1"/>
        </w:rPr>
        <w:t xml:space="preserve"> </w:t>
      </w:r>
      <w:r w:rsidR="000200DC">
        <w:rPr>
          <w:rFonts w:eastAsiaTheme="minorEastAsia"/>
          <w:color w:val="000000" w:themeColor="text1"/>
        </w:rPr>
        <w:t>Each peak that is detected in the NMR spectrum has an area under the curve that relates to the concentration of the molecule, while the exact frequency (referred to as the chemical shift) contains structural information.</w:t>
      </w:r>
      <w:r w:rsidR="001F002D">
        <w:rPr>
          <w:rFonts w:eastAsiaTheme="minorEastAsia"/>
          <w:color w:val="000000" w:themeColor="text1"/>
        </w:rPr>
        <w:t xml:space="preserve"> I</w:t>
      </w:r>
      <w:r>
        <w:rPr>
          <w:rFonts w:eastAsiaTheme="minorEastAsia"/>
          <w:color w:val="000000" w:themeColor="text1"/>
        </w:rPr>
        <w:t>n a</w:t>
      </w:r>
      <w:r w:rsidR="001F002D">
        <w:rPr>
          <w:rFonts w:eastAsiaTheme="minorEastAsia"/>
          <w:color w:val="000000" w:themeColor="text1"/>
        </w:rPr>
        <w:t>n</w:t>
      </w:r>
      <w:r>
        <w:rPr>
          <w:rFonts w:eastAsiaTheme="minorEastAsia"/>
          <w:color w:val="000000" w:themeColor="text1"/>
        </w:rPr>
        <w:t xml:space="preserve"> </w:t>
      </w:r>
      <w:r w:rsidR="001F002D">
        <w:rPr>
          <w:rFonts w:eastAsiaTheme="minorEastAsia"/>
          <w:color w:val="000000" w:themeColor="text1"/>
        </w:rPr>
        <w:t>NMR spectrum</w:t>
      </w:r>
      <w:r w:rsidR="009E180A">
        <w:rPr>
          <w:rFonts w:eastAsiaTheme="minorEastAsia"/>
          <w:color w:val="000000" w:themeColor="text1"/>
        </w:rPr>
        <w:t>,</w:t>
      </w:r>
      <w:r>
        <w:rPr>
          <w:rFonts w:eastAsiaTheme="minorEastAsia"/>
          <w:color w:val="000000" w:themeColor="text1"/>
        </w:rPr>
        <w:t xml:space="preserve"> </w:t>
      </w:r>
      <w:r w:rsidR="00434702">
        <w:rPr>
          <w:rFonts w:eastAsiaTheme="minorEastAsia"/>
          <w:color w:val="000000" w:themeColor="text1"/>
        </w:rPr>
        <w:t>the</w:t>
      </w:r>
      <w:r w:rsidR="001F002D">
        <w:rPr>
          <w:rFonts w:eastAsiaTheme="minorEastAsia"/>
          <w:color w:val="000000" w:themeColor="text1"/>
        </w:rPr>
        <w:t xml:space="preserve"> X</w:t>
      </w:r>
      <w:r w:rsidR="00E654C2">
        <w:rPr>
          <w:rFonts w:eastAsiaTheme="minorEastAsia"/>
          <w:color w:val="000000" w:themeColor="text1"/>
        </w:rPr>
        <w:t>-</w:t>
      </w:r>
      <w:r w:rsidR="001F002D">
        <w:rPr>
          <w:rFonts w:eastAsiaTheme="minorEastAsia"/>
          <w:color w:val="000000" w:themeColor="text1"/>
        </w:rPr>
        <w:t>axi</w:t>
      </w:r>
      <w:r w:rsidR="009E180A">
        <w:rPr>
          <w:rFonts w:eastAsiaTheme="minorEastAsia"/>
          <w:color w:val="000000" w:themeColor="text1"/>
        </w:rPr>
        <w:t>s</w:t>
      </w:r>
      <w:r w:rsidR="001F002D">
        <w:rPr>
          <w:rFonts w:eastAsiaTheme="minorEastAsia"/>
          <w:color w:val="000000" w:themeColor="text1"/>
        </w:rPr>
        <w:t xml:space="preserve"> corresponds to the frequency axis and provides the chemical shifts in ppm</w:t>
      </w:r>
      <w:r w:rsidR="009E180A">
        <w:rPr>
          <w:rFonts w:eastAsiaTheme="minorEastAsia"/>
          <w:color w:val="000000" w:themeColor="text1"/>
        </w:rPr>
        <w:t xml:space="preserve"> (which allows the comparison of relative frequency changes at different magnetic field strength)</w:t>
      </w:r>
      <w:r w:rsidR="001F002D">
        <w:rPr>
          <w:rFonts w:eastAsiaTheme="minorEastAsia"/>
          <w:color w:val="000000" w:themeColor="text1"/>
        </w:rPr>
        <w:t>, and</w:t>
      </w:r>
      <w:r w:rsidR="009E180A">
        <w:rPr>
          <w:rFonts w:eastAsiaTheme="minorEastAsia"/>
          <w:color w:val="000000" w:themeColor="text1"/>
        </w:rPr>
        <w:t xml:space="preserve"> </w:t>
      </w:r>
      <w:r w:rsidR="001F002D">
        <w:rPr>
          <w:rFonts w:eastAsiaTheme="minorEastAsia"/>
          <w:color w:val="000000" w:themeColor="text1"/>
        </w:rPr>
        <w:t>the Y</w:t>
      </w:r>
      <w:r w:rsidR="00E654C2">
        <w:rPr>
          <w:rFonts w:eastAsiaTheme="minorEastAsia"/>
          <w:color w:val="000000" w:themeColor="text1"/>
        </w:rPr>
        <w:t>-</w:t>
      </w:r>
      <w:r w:rsidR="001F002D">
        <w:rPr>
          <w:rFonts w:eastAsiaTheme="minorEastAsia"/>
          <w:color w:val="000000" w:themeColor="text1"/>
        </w:rPr>
        <w:t xml:space="preserve">axis is the signal intensity. This </w:t>
      </w:r>
      <w:r w:rsidR="00E70AA1">
        <w:rPr>
          <w:rFonts w:eastAsiaTheme="minorEastAsia"/>
          <w:color w:val="000000" w:themeColor="text1"/>
        </w:rPr>
        <w:t xml:space="preserve">simple </w:t>
      </w:r>
      <w:r w:rsidR="001F002D">
        <w:rPr>
          <w:rFonts w:eastAsiaTheme="minorEastAsia"/>
          <w:color w:val="000000" w:themeColor="text1"/>
        </w:rPr>
        <w:t xml:space="preserve">spectrum is </w:t>
      </w:r>
      <w:r w:rsidR="00406E47">
        <w:rPr>
          <w:rFonts w:eastAsiaTheme="minorEastAsia"/>
          <w:color w:val="000000" w:themeColor="text1"/>
        </w:rPr>
        <w:t xml:space="preserve">referred to </w:t>
      </w:r>
      <w:r w:rsidR="001F002D">
        <w:rPr>
          <w:rFonts w:eastAsiaTheme="minorEastAsia"/>
          <w:color w:val="000000" w:themeColor="text1"/>
        </w:rPr>
        <w:t>as one-dimensional (1D) NMR</w:t>
      </w:r>
      <w:r w:rsidR="009E180A">
        <w:rPr>
          <w:rFonts w:eastAsiaTheme="minorEastAsia"/>
          <w:color w:val="000000" w:themeColor="text1"/>
        </w:rPr>
        <w:t xml:space="preserve"> spectrum</w:t>
      </w:r>
      <w:r w:rsidR="00D17F00">
        <w:rPr>
          <w:rFonts w:eastAsiaTheme="minorEastAsia"/>
          <w:color w:val="000000" w:themeColor="text1"/>
        </w:rPr>
        <w:t xml:space="preserve">. </w:t>
      </w:r>
      <w:r w:rsidR="0082526D">
        <w:rPr>
          <w:rFonts w:eastAsiaTheme="minorEastAsia"/>
          <w:color w:val="000000" w:themeColor="text1"/>
        </w:rPr>
        <w:t>It is through the interpretation of the</w:t>
      </w:r>
      <w:r w:rsidR="00D17F00">
        <w:rPr>
          <w:rFonts w:eastAsiaTheme="minorEastAsia"/>
          <w:color w:val="000000" w:themeColor="text1"/>
        </w:rPr>
        <w:t xml:space="preserve"> spectr</w:t>
      </w:r>
      <w:r w:rsidR="0082526D">
        <w:rPr>
          <w:rFonts w:eastAsiaTheme="minorEastAsia"/>
          <w:color w:val="000000" w:themeColor="text1"/>
        </w:rPr>
        <w:t xml:space="preserve">um that the molecular structures in the sample being analysed can be predicted. </w:t>
      </w:r>
      <w:r w:rsidR="00B83B2A">
        <w:rPr>
          <w:rFonts w:eastAsiaTheme="minorEastAsia"/>
          <w:color w:val="000000" w:themeColor="text1"/>
        </w:rPr>
        <w:t xml:space="preserve">In addition to chemical shift, the frequency of a given nuclei is also perturbed by adjacent nuclei, creating a splitting pattern, referred to as J-coupling, which holds further structural information. </w:t>
      </w:r>
    </w:p>
    <w:p w14:paraId="369B363A" w14:textId="77777777" w:rsidR="00406E47" w:rsidRDefault="00406E47" w:rsidP="00E50706">
      <w:pPr>
        <w:rPr>
          <w:rFonts w:eastAsiaTheme="minorEastAsia"/>
          <w:color w:val="000000" w:themeColor="text1"/>
        </w:rPr>
      </w:pPr>
    </w:p>
    <w:p w14:paraId="0D4D196E" w14:textId="3DE89D7E" w:rsidR="00296C04" w:rsidRDefault="00D17F00" w:rsidP="00E50706">
      <w:pPr>
        <w:rPr>
          <w:rFonts w:eastAsiaTheme="minorEastAsia"/>
          <w:color w:val="000000" w:themeColor="text1"/>
        </w:rPr>
      </w:pPr>
      <w:r>
        <w:rPr>
          <w:rFonts w:eastAsiaTheme="minorEastAsia"/>
          <w:color w:val="000000" w:themeColor="text1"/>
        </w:rPr>
        <w:t xml:space="preserve">Over time there has been additional improvements made to data analysis processing and one such </w:t>
      </w:r>
      <w:r w:rsidR="009E180A">
        <w:rPr>
          <w:rFonts w:eastAsiaTheme="minorEastAsia"/>
          <w:color w:val="000000" w:themeColor="text1"/>
        </w:rPr>
        <w:t>advance</w:t>
      </w:r>
      <w:r>
        <w:rPr>
          <w:rFonts w:eastAsiaTheme="minorEastAsia"/>
          <w:color w:val="000000" w:themeColor="text1"/>
        </w:rPr>
        <w:t xml:space="preserve"> </w:t>
      </w:r>
      <w:r w:rsidR="0082526D">
        <w:rPr>
          <w:rFonts w:eastAsiaTheme="minorEastAsia"/>
          <w:color w:val="000000" w:themeColor="text1"/>
        </w:rPr>
        <w:t xml:space="preserve">was the introduction of </w:t>
      </w:r>
      <w:r>
        <w:rPr>
          <w:rFonts w:eastAsiaTheme="minorEastAsia"/>
          <w:color w:val="000000" w:themeColor="text1"/>
        </w:rPr>
        <w:t>two-dimensional (2D) NMR</w:t>
      </w:r>
      <w:r w:rsidR="009E180A">
        <w:rPr>
          <w:rFonts w:eastAsiaTheme="minorEastAsia"/>
          <w:color w:val="000000" w:themeColor="text1"/>
        </w:rPr>
        <w:t xml:space="preserve"> spectroscopy</w:t>
      </w:r>
      <w:r>
        <w:rPr>
          <w:rFonts w:eastAsiaTheme="minorEastAsia"/>
          <w:color w:val="000000" w:themeColor="text1"/>
        </w:rPr>
        <w:t>. In a 2D NMR spectrum there are two frequency axes, rather than the single frequency axis. The major advantage of 2D NMR over 1D NMR analysis is that i</w:t>
      </w:r>
      <w:r w:rsidR="009E180A">
        <w:rPr>
          <w:rFonts w:eastAsiaTheme="minorEastAsia"/>
          <w:color w:val="000000" w:themeColor="text1"/>
        </w:rPr>
        <w:t>t</w:t>
      </w:r>
      <w:r>
        <w:rPr>
          <w:rFonts w:eastAsiaTheme="minorEastAsia"/>
          <w:color w:val="000000" w:themeColor="text1"/>
        </w:rPr>
        <w:t xml:space="preserve"> has the ability to distinguish between overlapping signals</w:t>
      </w:r>
      <w:r w:rsidR="009D2F78">
        <w:rPr>
          <w:rFonts w:eastAsiaTheme="minorEastAsia"/>
          <w:color w:val="000000" w:themeColor="text1"/>
        </w:rPr>
        <w:t xml:space="preserve">, reducing </w:t>
      </w:r>
      <w:r w:rsidR="00630E90">
        <w:rPr>
          <w:rFonts w:eastAsiaTheme="minorEastAsia"/>
          <w:color w:val="000000" w:themeColor="text1"/>
        </w:rPr>
        <w:t>spectral crowding</w:t>
      </w:r>
      <w:r w:rsidR="00630E90">
        <w:rPr>
          <w:rFonts w:eastAsiaTheme="minorEastAsia"/>
          <w:color w:val="000000" w:themeColor="text1"/>
        </w:rPr>
        <w:fldChar w:fldCharType="begin" w:fldLock="1"/>
      </w:r>
      <w:r w:rsidR="00966577">
        <w:rPr>
          <w:rFonts w:eastAsiaTheme="minorEastAsia"/>
          <w:color w:val="000000" w:themeColor="text1"/>
        </w:rPr>
        <w:instrText>ADDIN CSL_CITATION {"citationItems":[{"id":"ITEM-1","itemData":{"DOI":"10.1021/pr700594s","ISSN":"15353893","PMID":"18081246","abstract":"High-resolution, liquid state nuclear magnetic resonance (NMR) spectroscopy is a popular platform for metabolic profiling because the technique is nondestructive, quantitative, reproducible, and the spectra contain a wealth of biochemical information. Because of the large dynamic range of metabolite concentrations in biofluids, statistical analyses of one-dimensional (1D) proton NMR data tend to be biased toward selecting changes in more abundant metabolites. Although two-dimensional (2D) proton-proton experiments can alleviate spectral crowding, they have been mainly used for structural determination. In this study, 2D total correlation spectroscopy NMR was used to compare the global metabolic profiles of urine obtained from wild-type and Abcc6-knockout mice. The 2D data were compared to an improved 1D experiment in which signal contributions from macromolecules and the urea peak have been spectroscopically removed for more accurate quantitation of low-abundance metabolites. Although statistical models from both 1D and 2D data could differentiate samples acquired from the two groups of mice, only the 2D spectra allowed the characterization of statistically relevant changes in the low-abundance metabolites. While acquisition of the 2D data require more time, the data obtained resulted in a more meaningful and comprehensive metabolic profile, aided in metabolite identifications, and minimized ambiguities in peak assignments. © 2008 American Chemical Society.","author":[{"dropping-particle":"","family":"Van","given":"Que N.","non-dropping-particle":"","parse-names":false,"suffix":""},{"dropping-particle":"","family":"Issaq","given":"Haleem J.","non-dropping-particle":"","parse-names":false,"suffix":""},{"dropping-particle":"","family":"Jiang","given":"Qiujie","non-dropping-particle":"","parse-names":false,"suffix":""},{"dropping-particle":"","family":"Li","given":"Qiaoli","non-dropping-particle":"","parse-names":false,"suffix":""},{"dropping-particle":"","family":"Muschik","given":"Gary M.","non-dropping-particle":"","parse-names":false,"suffix":""},{"dropping-particle":"","family":"Waybright","given":"Timothy J.","non-dropping-particle":"","parse-names":false,"suffix":""},{"dropping-particle":"","family":"Lou","given":"Hong","non-dropping-particle":"","parse-names":false,"suffix":""},{"dropping-particle":"","family":"Dean","given":"Michael","non-dropping-particle":"","parse-names":false,"suffix":""},{"dropping-particle":"","family":"Uitto","given":"Jouni","non-dropping-particle":"","parse-names":false,"suffix":""},{"dropping-particle":"","family":"Veenstra","given":"Timothy D.","non-dropping-particle":"","parse-names":false,"suffix":""}],"container-title":"Journal of Proteome Research","id":"ITEM-1","issue":"2","issued":{"date-parts":[["2008","2"]]},"page":"630-639","publisher":"J Proteome Res","title":"Comparison of 1D and 2D NMR spectroscopy for metabolic profiling","type":"article-journal","volume":"7"},"uris":["http://www.mendeley.com/documents/?uuid=34a991bd-0190-376d-a9f0-bf6a67297df5"]}],"mendeley":{"formattedCitation":"(18)","plainTextFormattedCitation":"(18)","previouslyFormattedCitation":"(18)"},"properties":{"noteIndex":0},"schema":"https://github.com/citation-style-language/schema/raw/master/csl-citation.json"}</w:instrText>
      </w:r>
      <w:r w:rsidR="00630E90">
        <w:rPr>
          <w:rFonts w:eastAsiaTheme="minorEastAsia"/>
          <w:color w:val="000000" w:themeColor="text1"/>
        </w:rPr>
        <w:fldChar w:fldCharType="separate"/>
      </w:r>
      <w:r w:rsidR="007B4533" w:rsidRPr="007B4533">
        <w:rPr>
          <w:rFonts w:eastAsiaTheme="minorEastAsia"/>
          <w:noProof/>
          <w:color w:val="000000" w:themeColor="text1"/>
        </w:rPr>
        <w:t>(18)</w:t>
      </w:r>
      <w:r w:rsidR="00630E90">
        <w:rPr>
          <w:rFonts w:eastAsiaTheme="minorEastAsia"/>
          <w:color w:val="000000" w:themeColor="text1"/>
        </w:rPr>
        <w:fldChar w:fldCharType="end"/>
      </w:r>
      <w:r w:rsidR="009E180A">
        <w:rPr>
          <w:rFonts w:eastAsiaTheme="minorEastAsia"/>
          <w:color w:val="000000" w:themeColor="text1"/>
        </w:rPr>
        <w:t xml:space="preserve"> which </w:t>
      </w:r>
      <w:r w:rsidR="00630E90">
        <w:rPr>
          <w:rFonts w:eastAsiaTheme="minorEastAsia"/>
          <w:color w:val="000000" w:themeColor="text1"/>
        </w:rPr>
        <w:t>i</w:t>
      </w:r>
      <w:r>
        <w:rPr>
          <w:rFonts w:eastAsiaTheme="minorEastAsia"/>
          <w:color w:val="000000" w:themeColor="text1"/>
        </w:rPr>
        <w:t xml:space="preserve">s often a problem in the NMR analysis of larger molecules. 2D NMR </w:t>
      </w:r>
      <w:r w:rsidR="00365FA8">
        <w:rPr>
          <w:rFonts w:eastAsiaTheme="minorEastAsia"/>
          <w:color w:val="000000" w:themeColor="text1"/>
        </w:rPr>
        <w:t>is particularly useful in structural elucidation,</w:t>
      </w:r>
      <w:r>
        <w:rPr>
          <w:rFonts w:eastAsiaTheme="minorEastAsia"/>
          <w:color w:val="000000" w:themeColor="text1"/>
        </w:rPr>
        <w:t xml:space="preserve"> especially when trying to </w:t>
      </w:r>
      <w:r w:rsidR="00365FA8">
        <w:rPr>
          <w:rFonts w:eastAsiaTheme="minorEastAsia"/>
          <w:color w:val="000000" w:themeColor="text1"/>
        </w:rPr>
        <w:t xml:space="preserve">determine </w:t>
      </w:r>
      <w:r>
        <w:rPr>
          <w:rFonts w:eastAsiaTheme="minorEastAsia"/>
          <w:color w:val="000000" w:themeColor="text1"/>
        </w:rPr>
        <w:t>the three-dimensional structure of proteins.</w:t>
      </w:r>
      <w:r w:rsidR="005C1E82">
        <w:rPr>
          <w:rFonts w:eastAsiaTheme="minorEastAsia"/>
          <w:color w:val="000000" w:themeColor="text1"/>
        </w:rPr>
        <w:t xml:space="preserve"> There are specific </w:t>
      </w:r>
      <w:r w:rsidR="00115847">
        <w:rPr>
          <w:rFonts w:eastAsiaTheme="minorEastAsia"/>
          <w:color w:val="000000" w:themeColor="text1"/>
        </w:rPr>
        <w:t>types of 2D NMR</w:t>
      </w:r>
      <w:r w:rsidR="002A3EB0">
        <w:rPr>
          <w:rFonts w:eastAsiaTheme="minorEastAsia"/>
          <w:color w:val="000000" w:themeColor="text1"/>
        </w:rPr>
        <w:t xml:space="preserve"> </w:t>
      </w:r>
      <w:r w:rsidR="009E180A">
        <w:rPr>
          <w:rFonts w:eastAsiaTheme="minorEastAsia"/>
          <w:color w:val="000000" w:themeColor="text1"/>
        </w:rPr>
        <w:t>spectroscopy</w:t>
      </w:r>
      <w:r w:rsidR="0008119D">
        <w:rPr>
          <w:rFonts w:eastAsiaTheme="minorEastAsia"/>
          <w:color w:val="000000" w:themeColor="text1"/>
        </w:rPr>
        <w:fldChar w:fldCharType="begin" w:fldLock="1"/>
      </w:r>
      <w:r w:rsidR="00966577">
        <w:rPr>
          <w:rFonts w:eastAsiaTheme="minorEastAsia"/>
          <w:color w:val="000000" w:themeColor="text1"/>
        </w:rPr>
        <w:instrText>ADDIN CSL_CITATION {"citationItems":[{"id":"ITEM-1","itemData":{"DOI":"10.3390/molecules25204597","ISSN":"14203049","PMID":"33050240","abstract":"Studying disease models at the molecular level is vital for drug development in order to improve treatment and prevent a wide range of human pathologies. Microbial infections are still a major challenge because pathogens rapidly and continually evolve developing drug resistance. Cancer cells also change genetically, and current therapeutic techniques may be (or may become) ineffective in many cases. The pathology of many neurological diseases remains an enigma, and the exact etiology and underlying mechanisms are still largely unknown. Viral infections spread and develop much more quickly than does the corresponding research needed to prevent and combat these infections; the present and most relevant outbreak of SARS-CoV-2, which originated in Wuhan, China, illustrates the critical and immediate need to improve drug design and development techniques. Modern day drug discovery is a time-consuming, expensive process. Each new drug takes in excess of 10 years to develop and costs on average more than a billion US dollars. This demonstrates the need of a complete redesign or novel strategies. Nuclear Magnetic Resonance (NMR) has played a critical role in drug discovery ever since its introduction several decades ago. In just three decades, NMR has become a “gold standard” platform technology in medical and pharmacology studies. In this review, we present the major applications of NMR spectroscopy in medical drug discovery and development. The basic concepts, theories, and applications of the most commonly used NMR techniques are presented. We also summarize the advantages and limitations of the primary NMR methods in drug development.","author":[{"dropping-particle":"","family":"Emwas","given":"Abdul Hamid","non-dropping-particle":"","parse-names":false,"suffix":""},{"dropping-particle":"","family":"Szczepski","given":"Kacper","non-dropping-particle":"","parse-names":false,"suffix":""},{"dropping-particle":"","family":"Poulson","given":"Benjamin Gabriel","non-dropping-particle":"","parse-names":false,"suffix":""},{"dropping-particle":"","family":"Chandra","given":"Kousik","non-dropping-particle":"","parse-names":false,"suffix":""},{"dropping-particle":"","family":"McKay","given":"Ryan T.","non-dropping-particle":"","parse-names":false,"suffix":""},{"dropping-particle":"","family":"Dhahri","given":"Manel","non-dropping-particle":"","parse-names":false,"suffix":""},{"dropping-particle":"","family":"Alahmari","given":"Fatimah","non-dropping-particle":"","parse-names":false,"suffix":""},{"dropping-particle":"","family":"Jaremko","given":"Lukasz","non-dropping-particle":"","parse-names":false,"suffix":""},{"dropping-particle":"","family":"Lachowicz","given":"Joanna Izabela","non-dropping-particle":"","parse-names":false,"suffix":""},{"dropping-particle":"","family":"Jaremko","given":"Mariusz","non-dropping-particle":"","parse-names":false,"suffix":""}],"container-title":"Molecules","id":"ITEM-1","issue":"20","issued":{"date-parts":[["2020","10","1"]]},"publisher":"MDPI AG","title":"NMR as a “gold standard” method in drug design and discovery","type":"article","volume":"25"},"uris":["http://www.mendeley.com/documents/?uuid=6578d3d0-081d-393a-be25-4e2062c294c1"]},{"id":"ITEM-2","itemData":{"author":[{"dropping-particle":"","family":"Keeler","given":"James","non-dropping-particle":"","parse-names":false,"suffix":""}],"edition":"2nd ed.","id":"ITEM-2","issued":{"date-parts":[["2010"]]},"publisher":"John Wiley &amp; Sons, Ltd.","publisher-place":"Cambridge, England","title":"Understanding NMR spectroscopy","type":"book"},"uris":["http://www.mendeley.com/documents/?uuid=65998a74-0db9-4c82-b601-5cd01d8c24ed"]},{"id":"ITEM-3","itemData":{"author":[{"dropping-particle":"","family":"Nakanishi","given":"Koji","non-dropping-particle":"","parse-names":false,"suffix":""}],"id":"ITEM-3","issued":{"date-parts":[["1990"]]},"publisher":"University Science Books","publisher-place":"California, U.S.","title":"One-dimensional and two-dimensional NMR Spectra by Modern Pulse Techniques.","type":"book"},"uris":["http://www.mendeley.com/documents/?uuid=e1fa5032-10af-4c3a-bfd3-5d6023dd0358"]}],"mendeley":{"formattedCitation":"(19–21)","plainTextFormattedCitation":"(19–21)","previouslyFormattedCitation":"(19–21)"},"properties":{"noteIndex":0},"schema":"https://github.com/citation-style-language/schema/raw/master/csl-citation.json"}</w:instrText>
      </w:r>
      <w:r w:rsidR="0008119D">
        <w:rPr>
          <w:rFonts w:eastAsiaTheme="minorEastAsia"/>
          <w:color w:val="000000" w:themeColor="text1"/>
        </w:rPr>
        <w:fldChar w:fldCharType="separate"/>
      </w:r>
      <w:r w:rsidR="007B4533" w:rsidRPr="007B4533">
        <w:rPr>
          <w:rFonts w:eastAsiaTheme="minorEastAsia"/>
          <w:noProof/>
          <w:color w:val="000000" w:themeColor="text1"/>
        </w:rPr>
        <w:t>(19–21)</w:t>
      </w:r>
      <w:r w:rsidR="0008119D">
        <w:rPr>
          <w:rFonts w:eastAsiaTheme="minorEastAsia"/>
          <w:color w:val="000000" w:themeColor="text1"/>
        </w:rPr>
        <w:fldChar w:fldCharType="end"/>
      </w:r>
      <w:r w:rsidR="009E180A">
        <w:rPr>
          <w:rFonts w:eastAsiaTheme="minorEastAsia"/>
          <w:color w:val="000000" w:themeColor="text1"/>
        </w:rPr>
        <w:t>, including</w:t>
      </w:r>
      <w:r w:rsidR="002A3EB0">
        <w:rPr>
          <w:rFonts w:eastAsiaTheme="minorEastAsia"/>
          <w:color w:val="000000" w:themeColor="text1"/>
        </w:rPr>
        <w:t xml:space="preserve"> </w:t>
      </w:r>
      <w:r w:rsidR="00C1395A">
        <w:rPr>
          <w:rFonts w:eastAsiaTheme="minorEastAsia"/>
          <w:color w:val="000000" w:themeColor="text1"/>
        </w:rPr>
        <w:t>c</w:t>
      </w:r>
      <w:r w:rsidR="00115847">
        <w:rPr>
          <w:rFonts w:eastAsiaTheme="minorEastAsia"/>
          <w:color w:val="000000" w:themeColor="text1"/>
        </w:rPr>
        <w:t xml:space="preserve">orrelation </w:t>
      </w:r>
      <w:r w:rsidR="00C1395A">
        <w:rPr>
          <w:rFonts w:eastAsiaTheme="minorEastAsia"/>
          <w:color w:val="000000" w:themeColor="text1"/>
        </w:rPr>
        <w:t>s</w:t>
      </w:r>
      <w:r w:rsidR="00115847">
        <w:rPr>
          <w:rFonts w:eastAsiaTheme="minorEastAsia"/>
          <w:color w:val="000000" w:themeColor="text1"/>
        </w:rPr>
        <w:t>pectroscopy (</w:t>
      </w:r>
      <w:r w:rsidR="00115847" w:rsidRPr="005C1E82">
        <w:rPr>
          <w:rFonts w:eastAsiaTheme="minorEastAsia"/>
          <w:color w:val="000000" w:themeColor="text1"/>
        </w:rPr>
        <w:t>COSY</w:t>
      </w:r>
      <w:r w:rsidR="00115847">
        <w:rPr>
          <w:rFonts w:eastAsiaTheme="minorEastAsia"/>
          <w:color w:val="000000" w:themeColor="text1"/>
        </w:rPr>
        <w:t xml:space="preserve">), </w:t>
      </w:r>
      <w:r w:rsidR="00C1395A">
        <w:rPr>
          <w:rFonts w:eastAsiaTheme="minorEastAsia"/>
          <w:color w:val="000000" w:themeColor="text1"/>
        </w:rPr>
        <w:t>t</w:t>
      </w:r>
      <w:r w:rsidR="00115847">
        <w:rPr>
          <w:rFonts w:eastAsiaTheme="minorEastAsia"/>
          <w:color w:val="000000" w:themeColor="text1"/>
        </w:rPr>
        <w:t xml:space="preserve">otal correlation </w:t>
      </w:r>
      <w:r w:rsidR="00C1395A">
        <w:rPr>
          <w:rFonts w:eastAsiaTheme="minorEastAsia"/>
          <w:color w:val="000000" w:themeColor="text1"/>
        </w:rPr>
        <w:t>s</w:t>
      </w:r>
      <w:r w:rsidR="00115847">
        <w:rPr>
          <w:rFonts w:eastAsiaTheme="minorEastAsia"/>
          <w:color w:val="000000" w:themeColor="text1"/>
        </w:rPr>
        <w:t>pectroscopy (TOCSY)</w:t>
      </w:r>
      <w:r w:rsidR="00D50449">
        <w:rPr>
          <w:rFonts w:eastAsiaTheme="minorEastAsia"/>
          <w:color w:val="000000" w:themeColor="text1"/>
        </w:rPr>
        <w:t xml:space="preserve">, </w:t>
      </w:r>
      <w:r w:rsidR="00D771FC">
        <w:rPr>
          <w:rFonts w:eastAsiaTheme="minorEastAsia"/>
          <w:color w:val="000000" w:themeColor="text1"/>
        </w:rPr>
        <w:t xml:space="preserve">nuclear </w:t>
      </w:r>
      <w:proofErr w:type="spellStart"/>
      <w:r w:rsidR="00D10C64">
        <w:rPr>
          <w:rFonts w:eastAsiaTheme="minorEastAsia"/>
          <w:color w:val="000000" w:themeColor="text1"/>
        </w:rPr>
        <w:t>O</w:t>
      </w:r>
      <w:r w:rsidR="00D771FC">
        <w:rPr>
          <w:rFonts w:eastAsiaTheme="minorEastAsia"/>
          <w:color w:val="000000" w:themeColor="text1"/>
        </w:rPr>
        <w:t>verhauser</w:t>
      </w:r>
      <w:proofErr w:type="spellEnd"/>
      <w:r w:rsidR="00D771FC">
        <w:rPr>
          <w:rFonts w:eastAsiaTheme="minorEastAsia"/>
          <w:color w:val="000000" w:themeColor="text1"/>
        </w:rPr>
        <w:t xml:space="preserve"> effect </w:t>
      </w:r>
      <w:r w:rsidR="00D771FC" w:rsidRPr="00225782">
        <w:rPr>
          <w:rFonts w:eastAsiaTheme="minorEastAsia"/>
          <w:color w:val="000000" w:themeColor="text1"/>
        </w:rPr>
        <w:t>spectroscopy (NOESY),</w:t>
      </w:r>
      <w:r w:rsidR="00AA73E3" w:rsidRPr="00225782">
        <w:rPr>
          <w:rFonts w:eastAsiaTheme="minorEastAsia"/>
          <w:color w:val="000000" w:themeColor="text1"/>
        </w:rPr>
        <w:t xml:space="preserve"> </w:t>
      </w:r>
      <w:r w:rsidR="0006779C" w:rsidRPr="00225782">
        <w:rPr>
          <w:rFonts w:eastAsiaTheme="minorEastAsia"/>
          <w:color w:val="000000" w:themeColor="text1"/>
        </w:rPr>
        <w:t xml:space="preserve">rotating frame </w:t>
      </w:r>
      <w:proofErr w:type="spellStart"/>
      <w:r w:rsidR="00D10C64">
        <w:rPr>
          <w:rFonts w:eastAsiaTheme="minorEastAsia"/>
          <w:color w:val="000000" w:themeColor="text1"/>
        </w:rPr>
        <w:t>O</w:t>
      </w:r>
      <w:r w:rsidR="0006779C" w:rsidRPr="00225782">
        <w:rPr>
          <w:rFonts w:eastAsiaTheme="minorEastAsia"/>
          <w:color w:val="000000" w:themeColor="text1"/>
        </w:rPr>
        <w:t>verhause</w:t>
      </w:r>
      <w:r w:rsidR="00D10C64">
        <w:rPr>
          <w:rFonts w:eastAsiaTheme="minorEastAsia"/>
          <w:color w:val="000000" w:themeColor="text1"/>
        </w:rPr>
        <w:t>r</w:t>
      </w:r>
      <w:proofErr w:type="spellEnd"/>
      <w:r w:rsidR="0006779C" w:rsidRPr="00225782">
        <w:rPr>
          <w:rFonts w:eastAsiaTheme="minorEastAsia"/>
          <w:color w:val="000000" w:themeColor="text1"/>
        </w:rPr>
        <w:t xml:space="preserve"> effect spectroscopy </w:t>
      </w:r>
      <w:r w:rsidR="00AA73E3" w:rsidRPr="00225782">
        <w:rPr>
          <w:rFonts w:eastAsiaTheme="minorEastAsia"/>
          <w:color w:val="000000" w:themeColor="text1"/>
        </w:rPr>
        <w:t>(ROESEY),</w:t>
      </w:r>
      <w:r w:rsidR="00D771FC" w:rsidRPr="00225782">
        <w:rPr>
          <w:rFonts w:eastAsiaTheme="minorEastAsia"/>
          <w:color w:val="000000" w:themeColor="text1"/>
        </w:rPr>
        <w:t xml:space="preserve"> </w:t>
      </w:r>
      <w:r w:rsidR="00C1395A" w:rsidRPr="00225782">
        <w:rPr>
          <w:rFonts w:eastAsiaTheme="minorEastAsia"/>
          <w:color w:val="000000" w:themeColor="text1"/>
        </w:rPr>
        <w:t>h</w:t>
      </w:r>
      <w:r w:rsidR="00D50449" w:rsidRPr="00225782">
        <w:rPr>
          <w:rFonts w:eastAsiaTheme="minorEastAsia"/>
          <w:color w:val="000000" w:themeColor="text1"/>
        </w:rPr>
        <w:t xml:space="preserve">eteronuclear </w:t>
      </w:r>
      <w:r w:rsidR="00C1395A" w:rsidRPr="00225782">
        <w:rPr>
          <w:rFonts w:eastAsiaTheme="minorEastAsia"/>
          <w:color w:val="000000" w:themeColor="text1"/>
        </w:rPr>
        <w:t>s</w:t>
      </w:r>
      <w:r w:rsidR="00D50449" w:rsidRPr="00225782">
        <w:rPr>
          <w:rFonts w:eastAsiaTheme="minorEastAsia"/>
          <w:color w:val="000000" w:themeColor="text1"/>
        </w:rPr>
        <w:t xml:space="preserve">ingle </w:t>
      </w:r>
      <w:r w:rsidR="00C1395A" w:rsidRPr="00225782">
        <w:rPr>
          <w:rFonts w:eastAsiaTheme="minorEastAsia"/>
          <w:color w:val="000000" w:themeColor="text1"/>
        </w:rPr>
        <w:t>q</w:t>
      </w:r>
      <w:r w:rsidR="00D50449" w:rsidRPr="00225782">
        <w:rPr>
          <w:rFonts w:eastAsiaTheme="minorEastAsia"/>
          <w:color w:val="000000" w:themeColor="text1"/>
        </w:rPr>
        <w:t xml:space="preserve">uantum </w:t>
      </w:r>
      <w:r w:rsidR="00C1395A" w:rsidRPr="00225782">
        <w:rPr>
          <w:rFonts w:eastAsiaTheme="minorEastAsia"/>
          <w:color w:val="000000" w:themeColor="text1"/>
        </w:rPr>
        <w:t>c</w:t>
      </w:r>
      <w:r w:rsidR="00D50449" w:rsidRPr="00225782">
        <w:rPr>
          <w:rFonts w:eastAsiaTheme="minorEastAsia"/>
          <w:color w:val="000000" w:themeColor="text1"/>
        </w:rPr>
        <w:t xml:space="preserve">oherence (HSQC) </w:t>
      </w:r>
      <w:r w:rsidR="00D10C64">
        <w:rPr>
          <w:rFonts w:eastAsiaTheme="minorEastAsia"/>
          <w:color w:val="000000" w:themeColor="text1"/>
        </w:rPr>
        <w:t xml:space="preserve">spectroscopy </w:t>
      </w:r>
      <w:r w:rsidR="00D50449" w:rsidRPr="00225782">
        <w:rPr>
          <w:rFonts w:eastAsiaTheme="minorEastAsia"/>
          <w:color w:val="000000" w:themeColor="text1"/>
        </w:rPr>
        <w:t xml:space="preserve">and </w:t>
      </w:r>
      <w:r w:rsidR="00C1395A" w:rsidRPr="00225782">
        <w:rPr>
          <w:rFonts w:eastAsiaTheme="minorEastAsia"/>
          <w:color w:val="000000" w:themeColor="text1"/>
        </w:rPr>
        <w:t>h</w:t>
      </w:r>
      <w:r w:rsidR="00115847" w:rsidRPr="00225782">
        <w:rPr>
          <w:rFonts w:eastAsiaTheme="minorEastAsia"/>
          <w:color w:val="000000" w:themeColor="text1"/>
        </w:rPr>
        <w:t xml:space="preserve">eteronuclear </w:t>
      </w:r>
      <w:r w:rsidR="00C1395A" w:rsidRPr="00225782">
        <w:rPr>
          <w:rFonts w:eastAsiaTheme="minorEastAsia"/>
          <w:color w:val="000000" w:themeColor="text1"/>
        </w:rPr>
        <w:t>m</w:t>
      </w:r>
      <w:r w:rsidR="00115847" w:rsidRPr="00225782">
        <w:rPr>
          <w:rFonts w:eastAsiaTheme="minorEastAsia"/>
          <w:color w:val="000000" w:themeColor="text1"/>
        </w:rPr>
        <w:t xml:space="preserve">ultiple </w:t>
      </w:r>
      <w:r w:rsidR="00C1395A" w:rsidRPr="00225782">
        <w:rPr>
          <w:rFonts w:eastAsiaTheme="minorEastAsia"/>
          <w:color w:val="000000" w:themeColor="text1"/>
        </w:rPr>
        <w:t>b</w:t>
      </w:r>
      <w:r w:rsidR="00115847" w:rsidRPr="00225782">
        <w:rPr>
          <w:rFonts w:eastAsiaTheme="minorEastAsia"/>
          <w:color w:val="000000" w:themeColor="text1"/>
        </w:rPr>
        <w:t xml:space="preserve">ond </w:t>
      </w:r>
      <w:r w:rsidR="00C1395A" w:rsidRPr="00225782">
        <w:rPr>
          <w:rFonts w:eastAsiaTheme="minorEastAsia"/>
          <w:color w:val="000000" w:themeColor="text1"/>
        </w:rPr>
        <w:t>c</w:t>
      </w:r>
      <w:r w:rsidR="00115847" w:rsidRPr="00225782">
        <w:rPr>
          <w:rFonts w:eastAsiaTheme="minorEastAsia"/>
          <w:color w:val="000000" w:themeColor="text1"/>
        </w:rPr>
        <w:t>orrelation (HMBC)</w:t>
      </w:r>
      <w:r w:rsidR="00D10C64">
        <w:rPr>
          <w:rFonts w:eastAsiaTheme="minorEastAsia"/>
          <w:color w:val="000000" w:themeColor="text1"/>
        </w:rPr>
        <w:t xml:space="preserve"> spectroscopy</w:t>
      </w:r>
      <w:r w:rsidR="00115847" w:rsidRPr="00225782">
        <w:rPr>
          <w:rFonts w:eastAsiaTheme="minorEastAsia"/>
          <w:color w:val="000000" w:themeColor="text1"/>
        </w:rPr>
        <w:t>.</w:t>
      </w:r>
      <w:r w:rsidR="00115847">
        <w:rPr>
          <w:rFonts w:eastAsiaTheme="minorEastAsia"/>
          <w:color w:val="000000" w:themeColor="text1"/>
        </w:rPr>
        <w:t xml:space="preserve"> </w:t>
      </w:r>
      <w:r w:rsidR="009E180A">
        <w:rPr>
          <w:rFonts w:eastAsiaTheme="minorEastAsia"/>
          <w:color w:val="000000" w:themeColor="text1"/>
        </w:rPr>
        <w:t xml:space="preserve">Each </w:t>
      </w:r>
      <w:r w:rsidR="00D50449">
        <w:rPr>
          <w:rFonts w:eastAsiaTheme="minorEastAsia"/>
          <w:color w:val="000000" w:themeColor="text1"/>
        </w:rPr>
        <w:t xml:space="preserve">type of </w:t>
      </w:r>
      <w:r w:rsidR="00D50449" w:rsidRPr="005C1E82">
        <w:rPr>
          <w:rFonts w:eastAsiaTheme="minorEastAsia"/>
          <w:color w:val="000000" w:themeColor="text1"/>
        </w:rPr>
        <w:t xml:space="preserve">2D NMR </w:t>
      </w:r>
      <w:r w:rsidR="00AA73E3">
        <w:rPr>
          <w:rFonts w:eastAsiaTheme="minorEastAsia"/>
          <w:color w:val="000000" w:themeColor="text1"/>
        </w:rPr>
        <w:t>produces unique data and is</w:t>
      </w:r>
      <w:r w:rsidR="00115847">
        <w:rPr>
          <w:rFonts w:eastAsiaTheme="minorEastAsia"/>
          <w:color w:val="000000" w:themeColor="text1"/>
        </w:rPr>
        <w:t xml:space="preserve"> </w:t>
      </w:r>
      <w:r w:rsidR="00D10C64">
        <w:rPr>
          <w:rFonts w:eastAsiaTheme="minorEastAsia"/>
          <w:color w:val="000000" w:themeColor="text1"/>
        </w:rPr>
        <w:t xml:space="preserve">employed </w:t>
      </w:r>
      <w:r w:rsidR="00115847">
        <w:rPr>
          <w:rFonts w:eastAsiaTheme="minorEastAsia"/>
          <w:color w:val="000000" w:themeColor="text1"/>
        </w:rPr>
        <w:t>depend</w:t>
      </w:r>
      <w:r w:rsidR="00D10C64">
        <w:rPr>
          <w:rFonts w:eastAsiaTheme="minorEastAsia"/>
          <w:color w:val="000000" w:themeColor="text1"/>
        </w:rPr>
        <w:t>ent</w:t>
      </w:r>
      <w:r w:rsidR="00115847">
        <w:rPr>
          <w:rFonts w:eastAsiaTheme="minorEastAsia"/>
          <w:color w:val="000000" w:themeColor="text1"/>
        </w:rPr>
        <w:t xml:space="preserve"> on the spectral information required</w:t>
      </w:r>
      <w:r w:rsidR="002A3EB0">
        <w:rPr>
          <w:rFonts w:eastAsiaTheme="minorEastAsia"/>
          <w:color w:val="000000" w:themeColor="text1"/>
        </w:rPr>
        <w:t xml:space="preserve"> for the experiment design</w:t>
      </w:r>
      <w:r w:rsidR="00AA73E3">
        <w:rPr>
          <w:rFonts w:eastAsiaTheme="minorEastAsia"/>
          <w:color w:val="000000" w:themeColor="text1"/>
        </w:rPr>
        <w:t>.</w:t>
      </w:r>
    </w:p>
    <w:p w14:paraId="77AF3A81" w14:textId="361C64CA" w:rsidR="008A4381" w:rsidRDefault="008A4381" w:rsidP="00E50706">
      <w:pPr>
        <w:rPr>
          <w:rFonts w:eastAsiaTheme="minorEastAsia"/>
          <w:color w:val="000000" w:themeColor="text1"/>
        </w:rPr>
      </w:pPr>
    </w:p>
    <w:p w14:paraId="7A53789D" w14:textId="77777777" w:rsidR="00E50706" w:rsidRDefault="00E50706" w:rsidP="00E50706">
      <w:pPr>
        <w:rPr>
          <w:rFonts w:eastAsiaTheme="minorEastAsia"/>
          <w:color w:val="000000" w:themeColor="text1"/>
        </w:rPr>
      </w:pPr>
    </w:p>
    <w:p w14:paraId="31DA9B99" w14:textId="47B5E07E" w:rsidR="008A4381" w:rsidRDefault="009E180A" w:rsidP="00E50706">
      <w:pPr>
        <w:rPr>
          <w:b/>
          <w:bCs/>
        </w:rPr>
      </w:pPr>
      <w:r>
        <w:rPr>
          <w:b/>
          <w:bCs/>
        </w:rPr>
        <w:t>The</w:t>
      </w:r>
      <w:r w:rsidR="001E0627">
        <w:rPr>
          <w:b/>
          <w:bCs/>
        </w:rPr>
        <w:t xml:space="preserve"> Application of NMR</w:t>
      </w:r>
      <w:r>
        <w:rPr>
          <w:b/>
          <w:bCs/>
        </w:rPr>
        <w:t xml:space="preserve"> to </w:t>
      </w:r>
      <w:proofErr w:type="spellStart"/>
      <w:r>
        <w:rPr>
          <w:b/>
          <w:bCs/>
        </w:rPr>
        <w:t>Metabonomics</w:t>
      </w:r>
      <w:proofErr w:type="spellEnd"/>
    </w:p>
    <w:p w14:paraId="574FF512" w14:textId="77777777" w:rsidR="000E19BF" w:rsidRDefault="000E19BF" w:rsidP="00E50706">
      <w:pPr>
        <w:rPr>
          <w:b/>
          <w:bCs/>
        </w:rPr>
      </w:pPr>
    </w:p>
    <w:p w14:paraId="440E7EF8" w14:textId="783B969D" w:rsidR="00901E11" w:rsidRPr="001E0627" w:rsidRDefault="008A4381" w:rsidP="00E50706">
      <w:r>
        <w:t>Metabolism describes the chemical transformations of food components that are carried out by an organism to maintain life. The molecules that are produced from these subsequent chemical reactions are called metabolites and are necessary for the function of all living tissue</w:t>
      </w:r>
      <w:r w:rsidR="00D10C64">
        <w:t xml:space="preserve"> and</w:t>
      </w:r>
      <w:r>
        <w:t xml:space="preserve"> cells. </w:t>
      </w:r>
      <w:r w:rsidR="00D10C64">
        <w:t>T</w:t>
      </w:r>
      <w:r>
        <w:t>he field of m</w:t>
      </w:r>
      <w:r w:rsidRPr="00144F61">
        <w:t>etabo</w:t>
      </w:r>
      <w:r>
        <w:t>lomic</w:t>
      </w:r>
      <w:r w:rsidR="00D10C64">
        <w:t>s</w:t>
      </w:r>
      <w:r>
        <w:t xml:space="preserve"> holistically investigates these metabolic factors to observe the effect it has on</w:t>
      </w:r>
      <w:r w:rsidR="00D10C64">
        <w:t xml:space="preserve"> </w:t>
      </w:r>
      <w:r>
        <w:t>health and biological response</w:t>
      </w:r>
      <w:r w:rsidR="00D10C64">
        <w:t xml:space="preserve"> in an organism</w:t>
      </w:r>
      <w:r>
        <w:t>; this is achieved by detecting, identifying and accurately measuring the concentration of metabolites</w:t>
      </w:r>
      <w:r>
        <w:fldChar w:fldCharType="begin" w:fldLock="1"/>
      </w:r>
      <w:r w:rsidR="00966577">
        <w:instrText>ADDIN CSL_CITATION {"citationItems":[{"id":"ITEM-1","itemData":{"DOI":"10.1038/s41580-019-0108-4","ISSN":"14710080","PMID":"30814649","abstract":"The metabolome, the collection of small-molecule chemical entities involved in metabolism, has traditionally been studied with the aim of identifying biomarkers in the diagnosis and prediction of disease. However, the value of metabolome analysis (metabolomics) has been redefined from a simple biomarker identification tool to a technology for the discovery of active drivers of biological processes. It is now clear that the metabolome affects cellular physiology through modulation of other ‘omics’ levels, including the genome, epigenome, transcriptome and proteome. In this Review, we focus on recent progress in using metabolomics to understand how the metabolome influences other omics and, by extension, to reveal the active role of metabolites in physiology and disease. This concept of utilizing metabolomics to perform activity screens to identify biologically active metabolites — which we term activity metabolomics — is already having a broad impact on biology.","author":[{"dropping-particle":"","family":"Rinschen","given":"Markus M.","non-dropping-particle":"","parse-names":false,"suffix":""},{"dropping-particle":"","family":"Ivanisevic","given":"Julijana","non-dropping-particle":"","parse-names":false,"suffix":""},{"dropping-particle":"","family":"Giera","given":"Martin","non-dropping-particle":"","parse-names":false,"suffix":""},{"dropping-particle":"","family":"Siuzdak","given":"Gary","non-dropping-particle":"","parse-names":false,"suffix":""}],"container-title":"Nature Reviews Molecular Cell Biology","id":"ITEM-1","issue":"6","issued":{"date-parts":[["2019","6","1"]]},"page":"353-367","publisher":"Nature Publishing Group","title":"Identification of bioactive metabolites using activity metabolomics","type":"article","volume":"20"},"uris":["http://www.mendeley.com/documents/?uuid=0449290c-6675-3d8c-baee-fd81490a0511"]}],"mendeley":{"formattedCitation":"(22)","plainTextFormattedCitation":"(22)","previouslyFormattedCitation":"(22)"},"properties":{"noteIndex":0},"schema":"https://github.com/citation-style-language/schema/raw/master/csl-citation.json"}</w:instrText>
      </w:r>
      <w:r>
        <w:fldChar w:fldCharType="separate"/>
      </w:r>
      <w:r w:rsidR="007B4533" w:rsidRPr="007B4533">
        <w:rPr>
          <w:noProof/>
        </w:rPr>
        <w:t>(22)</w:t>
      </w:r>
      <w:r>
        <w:fldChar w:fldCharType="end"/>
      </w:r>
      <w:r w:rsidRPr="00144F61">
        <w:t>.</w:t>
      </w:r>
      <w:r>
        <w:t xml:space="preserve"> </w:t>
      </w:r>
      <w:proofErr w:type="spellStart"/>
      <w:r>
        <w:t>Metabonomics</w:t>
      </w:r>
      <w:proofErr w:type="spellEnd"/>
      <w:r>
        <w:t xml:space="preserve"> describes a subset of metabolomics and though both approaches are similar in their use of analytical techniques</w:t>
      </w:r>
      <w:r w:rsidR="003B4A37">
        <w:t>;</w:t>
      </w:r>
      <w:r>
        <w:t xml:space="preserve"> the metabonomic approach places greater emphasis on </w:t>
      </w:r>
      <w:r>
        <w:lastRenderedPageBreak/>
        <w:t>measuring the changes in metabolite across a specified measurement of time and in response to a pathophysiological change or genetic modification</w:t>
      </w:r>
      <w:r>
        <w:fldChar w:fldCharType="begin" w:fldLock="1"/>
      </w:r>
      <w:r w:rsidR="00966577">
        <w:instrText>ADDIN CSL_CITATION {"citationItems":[{"id":"ITEM-1","itemData":{"author":[{"dropping-particle":"","family":"Ramsden","given":"Jeremy","non-dropping-particle":"","parse-names":false,"suffix":""}],"edition":"3rd","id":"ITEM-1","issued":{"date-parts":[["2004"]]},"number-of-pages":"303","publisher":"Springer-Verlag London","title":"Bioinformatics: An Introduction","type":"book"},"uris":["http://www.mendeley.com/documents/?uuid=02dd57a3-d431-4cce-9dfd-b182425cbd00"]}],"mendeley":{"formattedCitation":"(23)","plainTextFormattedCitation":"(23)","previouslyFormattedCitation":"(23)"},"properties":{"noteIndex":0},"schema":"https://github.com/citation-style-language/schema/raw/master/csl-citation.json"}</w:instrText>
      </w:r>
      <w:r>
        <w:fldChar w:fldCharType="separate"/>
      </w:r>
      <w:r w:rsidR="007B4533" w:rsidRPr="007B4533">
        <w:rPr>
          <w:noProof/>
        </w:rPr>
        <w:t>(23)</w:t>
      </w:r>
      <w:r>
        <w:fldChar w:fldCharType="end"/>
      </w:r>
      <w:r>
        <w:t xml:space="preserve">. </w:t>
      </w:r>
      <w:r w:rsidR="001E0627" w:rsidRPr="00144F61">
        <w:t>The most c</w:t>
      </w:r>
      <w:r w:rsidR="001E0627">
        <w:t>ommonly used</w:t>
      </w:r>
      <w:r w:rsidR="001E0627" w:rsidRPr="00144F61">
        <w:t xml:space="preserve"> methods </w:t>
      </w:r>
      <w:r w:rsidR="001E0627">
        <w:t>for</w:t>
      </w:r>
      <w:r w:rsidR="001E0627" w:rsidRPr="00144F61">
        <w:t xml:space="preserve"> metabolically profil</w:t>
      </w:r>
      <w:r w:rsidR="001E0627">
        <w:t xml:space="preserve">ing </w:t>
      </w:r>
      <w:r w:rsidR="009E180A">
        <w:t xml:space="preserve">the impact of </w:t>
      </w:r>
      <w:r w:rsidR="001E0627" w:rsidRPr="00144F61">
        <w:t>drugs</w:t>
      </w:r>
      <w:r w:rsidR="001E0627">
        <w:t xml:space="preserve"> </w:t>
      </w:r>
      <w:r w:rsidR="001E0627" w:rsidRPr="00144F61">
        <w:t xml:space="preserve">are through </w:t>
      </w:r>
      <w:r w:rsidR="001E0627">
        <w:t>the use of spectroscopic tools like</w:t>
      </w:r>
      <w:r>
        <w:t xml:space="preserve"> </w:t>
      </w:r>
      <w:r w:rsidRPr="00144F61">
        <w:t>mass spec</w:t>
      </w:r>
      <w:r>
        <w:t>trometry (MS)</w:t>
      </w:r>
      <w:r w:rsidR="009E180A">
        <w:t xml:space="preserve">, </w:t>
      </w:r>
      <w:r w:rsidRPr="00144F61">
        <w:rPr>
          <w:rFonts w:eastAsiaTheme="minorEastAsia"/>
          <w:color w:val="000000"/>
        </w:rPr>
        <w:t>NMR</w:t>
      </w:r>
      <w:r>
        <w:rPr>
          <w:rFonts w:eastAsiaTheme="minorEastAsia"/>
          <w:color w:val="000000"/>
        </w:rPr>
        <w:t xml:space="preserve"> spectroscopy</w:t>
      </w:r>
      <w:r w:rsidRPr="00144F61">
        <w:t xml:space="preserve"> and </w:t>
      </w:r>
      <w:r>
        <w:t>chromatographic</w:t>
      </w:r>
      <w:r w:rsidRPr="00144F61">
        <w:t xml:space="preserve"> methods</w:t>
      </w:r>
      <w:r>
        <w:t xml:space="preserve"> like high performance liquid chromatography</w:t>
      </w:r>
      <w:r>
        <w:fldChar w:fldCharType="begin" w:fldLock="1"/>
      </w:r>
      <w:r w:rsidR="00966577">
        <w:instrText>ADDIN CSL_CITATION {"citationItems":[{"id":"ITEM-1","itemData":{"DOI":"10.1038/s41580-019-0108-4","ISSN":"14710080","PMID":"30814649","abstract":"The metabolome, the collection of small-molecule chemical entities involved in metabolism, has traditionally been studied with the aim of identifying biomarkers in the diagnosis and prediction of disease. However, the value of metabolome analysis (metabolomics) has been redefined from a simple biomarker identification tool to a technology for the discovery of active drivers of biological processes. It is now clear that the metabolome affects cellular physiology through modulation of other ‘omics’ levels, including the genome, epigenome, transcriptome and proteome. In this Review, we focus on recent progress in using metabolomics to understand how the metabolome influences other omics and, by extension, to reveal the active role of metabolites in physiology and disease. This concept of utilizing metabolomics to perform activity screens to identify biologically active metabolites — which we term activity metabolomics — is already having a broad impact on biology.","author":[{"dropping-particle":"","family":"Rinschen","given":"Markus M.","non-dropping-particle":"","parse-names":false,"suffix":""},{"dropping-particle":"","family":"Ivanisevic","given":"Julijana","non-dropping-particle":"","parse-names":false,"suffix":""},{"dropping-particle":"","family":"Giera","given":"Martin","non-dropping-particle":"","parse-names":false,"suffix":""},{"dropping-particle":"","family":"Siuzdak","given":"Gary","non-dropping-particle":"","parse-names":false,"suffix":""}],"container-title":"Nature Reviews Molecular Cell Biology","id":"ITEM-1","issue":"6","issued":{"date-parts":[["2019","6","1"]]},"page":"353-367","publisher":"Nature Publishing Group","title":"Identification of bioactive metabolites using activity metabolomics","type":"article","volume":"20"},"uris":["http://www.mendeley.com/documents/?uuid=0449290c-6675-3d8c-baee-fd81490a0511"]},{"id":"ITEM-2","itemData":{"DOI":"10.1021/ac9606463","ISSN":"00032700","PMID":"8972626","abstract":"The direct coupling of HPLC with NMR spectroscopy has been extended by splitting the HPLC eluent after conventional UV detection and sending part to a NMR spectrometer and part to an ion-trap mass spectrometer in a 'triple-hyphenated' HPLC-NMR-MS system. Combined UV, 1H NMR, and positive-ion electrospray MS detection was achieved in the continuous-flow mode using whole human urine from a subject dosed with acetaminophen. By means of HPLC-NMR-MS, the structural information available from the complementary spectroscopic techniques provided rapid confirmation of the identity of the acetaminophen glucuronide and sulfate metabolites, together with a number of endogenous metabolites. In particular, the HPLC-NMR-MS approach allowed the unequivocal identification of phenylacetylglutamine in human urine, an endogenous metabolite not previously observed in 1H NMR spectra of urine because of extensive overlap with resonances from other metabolites. The analytical advantages and complementarity of NMR and MS techniques in direct hyphenation with HPLC are discussed. The new technique of HPLC-NMR-MS will provide the scope for more comprehensive and fully automated analysis of biofluids and other complex mixtures than was previously available from single hyphenation of these instruments.","author":[{"dropping-particle":"","family":"Shockcor","given":"John P.","non-dropping-particle":"","parse-names":false,"suffix":""},{"dropping-particle":"","family":"Unger","given":"Steve E.","non-dropping-particle":"","parse-names":false,"suffix":""},{"dropping-particle":"","family":"Wilson","given":"Ian D.","non-dropping-particle":"","parse-names":false,"suffix":""},{"dropping-particle":"","family":"Foxall","given":"Peta J.D.","non-dropping-particle":"","parse-names":false,"suffix":""},{"dropping-particle":"","family":"Nicholson","given":"Jeremy K.","non-dropping-particle":"","parse-names":false,"suffix":""},{"dropping-particle":"","family":"Lindon","given":"John C.","non-dropping-particle":"","parse-names":false,"suffix":""}],"container-title":"Analytical Chemistry","id":"ITEM-2","issue":"24","issued":{"date-parts":[["1996","12","15"]]},"page":"4431-4435","publisher":"Anal Chem","title":"Combined HPLC, NMR spectroscopy, and ion-trap mass spectrometry with application to the detection and characterization of xenobiotic and endogenous metabolites in human urine","type":"article-journal","volume":"68"},"uris":["http://www.mendeley.com/documents/?uuid=4d6acd35-b86c-3c52-9c8a-c589a4d7fe36"]},{"id":"ITEM-3","itemData":{"DOI":"10.1016/j.cell.2008.08.026","ISSN":"00928674","PMID":"18775301","abstract":"Analyzing metabolites (small molecules &lt;1 kDa) in body fluids such as urine and plasma using various spectroscopic methods provides information on the metabotype (metabolic phenotype) of individuals or populations, information that can be applied to personalized medicine or public healthcare. © 2008 Elsevier Inc. All rights reserved.","author":[{"dropping-particle":"","family":"Holmes","given":"Elaine","non-dropping-particle":"","parse-names":false,"suffix":""},{"dropping-particle":"","family":"Wilson","given":"Ian D.","non-dropping-particle":"","parse-names":false,"suffix":""},{"dropping-particle":"","family":"Nicholson","given":"Jeremy K.","non-dropping-particle":"","parse-names":false,"suffix":""}],"container-title":"Cell","id":"ITEM-3","issue":"5","issued":{"date-parts":[["2008","9","5"]]},"page":"714-717","publisher":"Elsevier B.V.","title":"Metabolic Phenotyping in Health and Disease","type":"article","volume":"134"},"uris":["http://www.mendeley.com/documents/?uuid=d7c129fb-f165-36ab-aaa7-7a8e865bca7f"]}],"mendeley":{"formattedCitation":"(22,24,25)","plainTextFormattedCitation":"(22,24,25)","previouslyFormattedCitation":"(22,24,25)"},"properties":{"noteIndex":0},"schema":"https://github.com/citation-style-language/schema/raw/master/csl-citation.json"}</w:instrText>
      </w:r>
      <w:r>
        <w:fldChar w:fldCharType="separate"/>
      </w:r>
      <w:r w:rsidR="007B4533" w:rsidRPr="007B4533">
        <w:rPr>
          <w:noProof/>
        </w:rPr>
        <w:t>(22,24,25)</w:t>
      </w:r>
      <w:r>
        <w:fldChar w:fldCharType="end"/>
      </w:r>
      <w:r>
        <w:t xml:space="preserve">. These tools allow for the accurate high-throughput screening of </w:t>
      </w:r>
      <w:r w:rsidR="00D10C64">
        <w:t xml:space="preserve">hundreds to </w:t>
      </w:r>
      <w:r>
        <w:t xml:space="preserve">thousands of metabolites and have been most often applied to </w:t>
      </w:r>
      <w:r w:rsidRPr="00144F61">
        <w:t xml:space="preserve">biofluids, </w:t>
      </w:r>
      <w:r>
        <w:t>including</w:t>
      </w:r>
      <w:r w:rsidRPr="00144F61">
        <w:t xml:space="preserve"> blood plasma, urine </w:t>
      </w:r>
      <w:r>
        <w:t>and</w:t>
      </w:r>
      <w:r w:rsidRPr="00144F61">
        <w:t xml:space="preserve"> </w:t>
      </w:r>
      <w:r>
        <w:t>saliva</w:t>
      </w:r>
      <w:r>
        <w:fldChar w:fldCharType="begin" w:fldLock="1"/>
      </w:r>
      <w:r w:rsidR="00966577">
        <w:instrText>ADDIN CSL_CITATION {"citationItems":[{"id":"ITEM-1","itemData":{"DOI":"10.1038/s41596-020-0343-3","ISSN":"17502799","PMID":"32681152","abstract":"Metabolic profiling of biological samples provides important insights into multiple physiological and pathological processes but is hindered by a lack of automated annotation and standardized methods for structure elucidation of candidate disease biomarkers. Here we describe a system for identifying molecular species derived from nuclear magnetic resonance (NMR) spectroscopy-based metabolic phenotyping studies, with detailed information on sample preparation, data acquisition and data modeling. We provide eight different modular workflows to be followed in a recommended sequential order according to their level of difficulty. This multi-platform system involves the use of statistical spectroscopic tools such as Statistical Total Correlation Spectroscopy (STOCSY), Subset Optimization by Reference Matching (STORM) and Resolution-Enhanced (RED)-STORM to identify other signals in the NMR spectra relating to the same molecule. It also uses two-dimensional NMR spectroscopic analysis, separation and pre-concentration techniques, multiple hyphenated analytical platforms and data extraction from existing databases. The complete system, using all eight workflows, would take up to a month, as it includes multi-dimensional NMR experiments that require prolonged experiment times. However, easier identification cases using fewer steps would take 2 or 3 days. This approach to biomarker discovery is efficient and cost-effective and offers increased chemical space coverage of the metabolome, resulting in faster and more accurate assignment of NMR-generated biomarkers arising from metabolic phenotyping studies. It requires a basic understanding of MATLAB to use the statistical spectroscopic tools and analytical skills to perform solid phase extraction (SPE), liquid chromatography (LC) fraction collection, LC-NMR-mass spectroscopy and one-dimensional and two-dimensional NMR experiments.","author":[{"dropping-particle":"","family":"Garcia-Perez","given":"Isabel","non-dropping-particle":"","parse-names":false,"suffix":""},{"dropping-particle":"","family":"Posma","given":"Joram M.","non-dropping-particle":"","parse-names":false,"suffix":""},{"dropping-particle":"","family":"Serrano-Contreras","given":"Jose Ivan","non-dropping-particle":"","parse-names":false,"suffix":""},{"dropping-particle":"","family":"Boulangé","given":"Claire L.","non-dropping-particle":"","parse-names":false,"suffix":""},{"dropping-particle":"","family":"Chan","given":"Queenie","non-dropping-particle":"","parse-names":false,"suffix":""},{"dropping-particle":"","family":"Frost","given":"Gary","non-dropping-particle":"","parse-names":false,"suffix":""},{"dropping-particle":"","family":"Stamler","given":"Jeremiah","non-dropping-particle":"","parse-names":false,"suffix":""},{"dropping-particle":"","family":"Elliott","given":"Paul","non-dropping-particle":"","parse-names":false,"suffix":""},{"dropping-particle":"","family":"Lindon","given":"John C.","non-dropping-particle":"","parse-names":false,"suffix":""},{"dropping-particle":"","family":"Holmes","given":"Elaine","non-dropping-particle":"","parse-names":false,"suffix":""},{"dropping-particle":"","family":"Nicholson","given":"Jeremy K.","non-dropping-particle":"","parse-names":false,"suffix":""}],"container-title":"Nature Protocols","id":"ITEM-1","issue":"8","issued":{"date-parts":[["2020","8","1"]]},"page":"2538-2567","publisher":"Nature Research","title":"Identifying unknown metabolites using NMR-based metabolic profiling techniques","type":"article-journal","volume":"15"},"uris":["http://www.mendeley.com/documents/?uuid=6ac6f1c7-fe11-3404-9d7f-c6eb99a134ed"]}],"mendeley":{"formattedCitation":"(26)","plainTextFormattedCitation":"(26)","previouslyFormattedCitation":"(26)"},"properties":{"noteIndex":0},"schema":"https://github.com/citation-style-language/schema/raw/master/csl-citation.json"}</w:instrText>
      </w:r>
      <w:r>
        <w:fldChar w:fldCharType="separate"/>
      </w:r>
      <w:r w:rsidR="007B4533" w:rsidRPr="007B4533">
        <w:rPr>
          <w:noProof/>
        </w:rPr>
        <w:t>(26)</w:t>
      </w:r>
      <w:r>
        <w:fldChar w:fldCharType="end"/>
      </w:r>
      <w:r>
        <w:t>.</w:t>
      </w:r>
      <w:r w:rsidR="00163922">
        <w:t xml:space="preserve"> It</w:t>
      </w:r>
      <w:r w:rsidR="00901E11">
        <w:t xml:space="preserve"> can provide metabolic information from individuals or populations, which can then be applicable in personalised medical treatment or public-wide healthcare interventions</w:t>
      </w:r>
      <w:r w:rsidR="00901E11">
        <w:fldChar w:fldCharType="begin" w:fldLock="1"/>
      </w:r>
      <w:r w:rsidR="00966577">
        <w:instrText>ADDIN CSL_CITATION {"citationItems":[{"id":"ITEM-1","itemData":{"DOI":"10.1016/j.cell.2008.08.026","ISSN":"00928674","PMID":"18775301","abstract":"Analyzing metabolites (small molecules &lt;1 kDa) in body fluids such as urine and plasma using various spectroscopic methods provides information on the metabotype (metabolic phenotype) of individuals or populations, information that can be applied to personalized medicine or public healthcare. © 2008 Elsevier Inc. All rights reserved.","author":[{"dropping-particle":"","family":"Holmes","given":"Elaine","non-dropping-particle":"","parse-names":false,"suffix":""},{"dropping-particle":"","family":"Wilson","given":"Ian D.","non-dropping-particle":"","parse-names":false,"suffix":""},{"dropping-particle":"","family":"Nicholson","given":"Jeremy K.","non-dropping-particle":"","parse-names":false,"suffix":""}],"container-title":"Cell","id":"ITEM-1","issue":"5","issued":{"date-parts":[["2008","9","5"]]},"page":"714-717","publisher":"Elsevier B.V.","title":"Metabolic Phenotyping in Health and Disease","type":"article","volume":"134"},"uris":["http://www.mendeley.com/documents/?uuid=d7c129fb-f165-36ab-aaa7-7a8e865bca7f"]}],"mendeley":{"formattedCitation":"(25)","plainTextFormattedCitation":"(25)","previouslyFormattedCitation":"(25)"},"properties":{"noteIndex":0},"schema":"https://github.com/citation-style-language/schema/raw/master/csl-citation.json"}</w:instrText>
      </w:r>
      <w:r w:rsidR="00901E11">
        <w:fldChar w:fldCharType="separate"/>
      </w:r>
      <w:r w:rsidR="007B4533" w:rsidRPr="007B4533">
        <w:rPr>
          <w:noProof/>
        </w:rPr>
        <w:t>(25)</w:t>
      </w:r>
      <w:r w:rsidR="00901E11">
        <w:fldChar w:fldCharType="end"/>
      </w:r>
      <w:r w:rsidR="006B36C9">
        <w:t>.</w:t>
      </w:r>
    </w:p>
    <w:p w14:paraId="1BB4BB3C" w14:textId="77777777" w:rsidR="00F812E8" w:rsidRDefault="00F812E8" w:rsidP="00E50706">
      <w:pPr>
        <w:rPr>
          <w:rFonts w:eastAsiaTheme="minorEastAsia"/>
          <w:color w:val="000000"/>
        </w:rPr>
      </w:pPr>
    </w:p>
    <w:p w14:paraId="7F7FB686" w14:textId="4F77851C" w:rsidR="00F812E8" w:rsidRDefault="006B36C9" w:rsidP="00E50706">
      <w:pPr>
        <w:rPr>
          <w:rFonts w:eastAsiaTheme="minorEastAsia"/>
          <w:color w:val="000000"/>
        </w:rPr>
      </w:pPr>
      <w:r>
        <w:rPr>
          <w:rFonts w:eastAsiaTheme="minorEastAsia"/>
          <w:color w:val="000000"/>
        </w:rPr>
        <w:t>Aside from metabolic profiling, NMR can also be used</w:t>
      </w:r>
      <w:r w:rsidR="00F812E8">
        <w:rPr>
          <w:rFonts w:eastAsiaTheme="minorEastAsia"/>
          <w:color w:val="000000"/>
        </w:rPr>
        <w:t xml:space="preserve"> in</w:t>
      </w:r>
      <w:r w:rsidR="00231334">
        <w:rPr>
          <w:rFonts w:eastAsiaTheme="minorEastAsia"/>
          <w:color w:val="000000"/>
        </w:rPr>
        <w:t xml:space="preserve"> other</w:t>
      </w:r>
      <w:r w:rsidR="00F812E8">
        <w:rPr>
          <w:rFonts w:eastAsiaTheme="minorEastAsia"/>
          <w:color w:val="000000"/>
        </w:rPr>
        <w:t xml:space="preserve"> scientific research </w:t>
      </w:r>
      <w:r w:rsidR="00231334">
        <w:rPr>
          <w:rFonts w:eastAsiaTheme="minorEastAsia"/>
          <w:color w:val="000000"/>
        </w:rPr>
        <w:t xml:space="preserve">areas. </w:t>
      </w:r>
      <w:r>
        <w:rPr>
          <w:rFonts w:eastAsiaTheme="minorEastAsia"/>
          <w:color w:val="000000"/>
        </w:rPr>
        <w:t>It is</w:t>
      </w:r>
      <w:r w:rsidR="00F812E8">
        <w:rPr>
          <w:rFonts w:eastAsiaTheme="minorEastAsia"/>
          <w:color w:val="000000"/>
        </w:rPr>
        <w:t xml:space="preserve"> important in structural biology </w:t>
      </w:r>
      <w:r w:rsidR="009E180A">
        <w:rPr>
          <w:rFonts w:eastAsiaTheme="minorEastAsia"/>
          <w:color w:val="000000"/>
        </w:rPr>
        <w:t>for drug discovery</w:t>
      </w:r>
      <w:r w:rsidR="009E180A">
        <w:rPr>
          <w:rFonts w:eastAsiaTheme="minorEastAsia"/>
          <w:color w:val="000000"/>
        </w:rPr>
        <w:fldChar w:fldCharType="begin" w:fldLock="1"/>
      </w:r>
      <w:r w:rsidR="00966577">
        <w:rPr>
          <w:rFonts w:eastAsiaTheme="minorEastAsia"/>
          <w:color w:val="000000"/>
        </w:rPr>
        <w:instrText>ADDIN CSL_CITATION {"citationItems":[{"id":"ITEM-1","itemData":{"DOI":"10.1007/128_2011_213","ISBN":"9783642289163","ISSN":"03401022","PMID":"21915777","abstract":"Drug discovery is a complex and costly endeavor, where few drugs that reach the clinical testing phase make it to market. High-throughput screening (HTS) is the primary method used by the pharmaceutical industry to identify initial lead compounds. Unfortunately, HTS has a high failure rate and is not particularly efficient at identifying viable drug leads. These shortcomings have encouraged the development of alternative methods to drive the drug discovery process. Specifically, nuclear magnetic resonance (NMR) spectroscopy and molecular docking are routinely being employed as important components of drug discovery research. Molecular docking provides an extremely rapid way to evaluate likely binders from a large chemical library with minimal cost. NMR ligand-affinity screens can directly detect a protein-ligand interaction, can measure a corresponding dissociation constant, and can reliably identify the ligand binding site and generate a co-structure. Furthermore, NMR ligand affinity screens and molecular docking are perfectly complementary techniques, where the combination of the two has the potential to improve the efficiency and success rate of drug discovery. This review will highlight the use of NMR ligand affinity screens and molecular docking in drug discovery and describe recent examples where the two techniques were combined to identify new and effective therapeutic drugs. © 2011 Springer-Verlag Berlin-Heidelberg.","author":[{"dropping-particle":"","family":"Stark","given":"Jaime L.","non-dropping-particle":"","parse-names":false,"suffix":""},{"dropping-particle":"","family":"Powers","given":"Robert","non-dropping-particle":"","parse-names":false,"suffix":""}],"container-title":"Topics in Current Chemistry","id":"ITEM-1","issued":{"date-parts":[["2012"]]},"page":"1-34","publisher":"Top Curr Chem","title":"Application of NMR and molecular docking in structure-based drug discovery","type":"article","volume":"326"},"uris":["http://www.mendeley.com/documents/?uuid=2c613831-90b9-3a73-8cff-b1ce01d56ca6"]},{"id":"ITEM-2","itemData":{"DOI":"10.1007/978-1-4939-9690-2_16","ISSN":"19406029","PMID":"31463851","abstract":"Drug discovery is an extremely difficult and challenging endeavor with a very high failure rate. The task of identifying a drug that is safe, selective, and effective is a daunting proposition because disease biology is complex and highly variable across patients. Metabolomics enables the discovery of disease biomarkers, which provides insights into the molecular and metabolic basis of disease and may be used to assess treatment prognosis and outcome. In this regard, metabolomics has evolved to become an important component of the drug discovery process to resolve efficacy and toxicity issues and as a tool for precision medicine. A detailed description of an experimental protocol is presented that outlines the application of NMR metabolomics to the drug discovery pipeline. This includes (1) target identification by understanding the metabolic dysregulation in diseases, (2) predicting the mechanism of action of newly discovered or existing drug therapies, (3) and using metabolomics to screen a chemical lead to assess biological activity. Unlike other OMICS approaches, the metabolome is “fragile” and may be negatively impacted by improper sample collection, storage, and extraction procedures. Similarly, biologically irrelevant conclusions may result from incorrect data collection, preprocessing or processing procedures, or the erroneous use of univariate and multivariate statistical methods. These critical concerns are also addressed in the protocol.","author":[{"dropping-particle":"","family":"Bhinderwala","given":"Fatema","non-dropping-particle":"","parse-names":false,"suffix":""},{"dropping-particle":"","family":"Powers","given":"Robert","non-dropping-particle":"","parse-names":false,"suffix":""}],"container-title":"Methods in Molecular Biology","id":"ITEM-2","issued":{"date-parts":[["2019"]]},"page":"265-311","publisher":"Humana Press Inc.","title":"NMR Metabolomics Protocols for Drug Discovery","type":"chapter","volume":"2037"},"uris":["http://www.mendeley.com/documents/?uuid=dfc20d56-ddd8-38d8-a1cf-3db937c6d409"]},{"id":"ITEM-3","itemData":{"DOI":"10.1080/17460441.2016.1189899","ISSN":"1746045X","PMID":"27187052","abstract":"ABSTRACT: Introduction: The identification of a drug candidate and its structural determination is the most important step in the process of the drug discovery and for this, nuclear magnetic resonance (NMR) is one of the most selective analytical techniques. Area covered: The present review illustrates the various perspectives of absolute quantitative 1H NMR spectroscopy in drug discovery and development. It deals with the fundamentals of quantitative NMR (qNMR), the physiochemical properties affecting qNMR, and the latest referencing techniques used for quantification. The precise application of qNMR during various stages of drug discovery and development, namely natural product research, drug quantitation in dosage forms, drug metabolism studies, impurity profiling and solubility measurements is elaborated. To achieve this, the authors explore the literature of NMR in drug discovery and development between 1963 and 2015. It also takes into account several other reviews on the subject. Expert opinion: qNMR experiments are used for drug discovery and development processes as it is a non-destructive, versatile and robust technique with high intra and interpersonal variability. However, there are several limitations also. qNMR of complex biological samples is incorporated with peak overlap and a low limit of quantification and this can be overcome by using hyphenated chromatographic techniques in addition to NMR.","author":[{"dropping-particle":"","family":"Singh","given":"Suruchi","non-dropping-particle":"","parse-names":false,"suffix":""},{"dropping-particle":"","family":"Roy","given":"Raja","non-dropping-particle":"","parse-names":false,"suffix":""}],"container-title":"Expert Opinion on Drug Discovery","id":"ITEM-3","issue":"7","issued":{"date-parts":[["2016","7","2"]]},"page":"695-706","publisher":"Taylor and Francis Ltd","title":"The application of absolute quantitative 1H NMR spectroscopy in drug discovery and development","type":"article","volume":"11"},"uris":["http://www.mendeley.com/documents/?uuid=91161c2c-7321-3ee5-abc5-06177e830ac1"]},{"id":"ITEM-4","itemData":{"DOI":"10.1007/s10858-020-00322-0","ISSN":"15735001","PMID":"32524233","abstract":"The presence of an unpaired electron in paramagnetic molecules generates significant effects in NMR spectra, which can be exploited to provide restraints complementary to those used in standard structure-calculation protocols. NMR already occupies a central position in drug discovery for its use in fragment screening, structural biology and validation of ligand–target interactions. Paramagnetic restraints provide unique opportunities, for example, for more sensitive screening to identify weaker-binding fragments. A key application of paramagnetic NMR in drug discovery, however, is to provide new structural restraints in cases where crystallography proves intractable. This is particularly important at early stages in drug-discovery programs where crystal structures of weakly-binding fragments are difficult to obtain and crystallization artefacts are probable, but structural information about ligand poses is crucial to guide medicinal chemistry. Numerous applications show the value of paramagnetic restraints to filter computational docking poses and to generate interaction models. Paramagnetic relaxation enhancements (PREs) generate a distance-dependent effect, while pseudo-contact shift (PCS) restraints provide both distance and angular information. Here, we review strategies for introducing paramagnetic centers and discuss examples that illustrate the utility of paramagnetic restraints in drug discovery. Combined with standard approaches, such as chemical shift perturbation and NOE-derived distance information, paramagnetic NMR promises a valuable source of information for many challenging drug-discovery programs.","author":[{"dropping-particle":"","family":"Softley","given":"Charlotte A.","non-dropping-particle":"","parse-names":false,"suffix":""},{"dropping-particle":"","family":"Bostock","given":"Mark J.","non-dropping-particle":"","parse-names":false,"suffix":""},{"dropping-particle":"","family":"Popowicz","given":"Grzegorz M.","non-dropping-particle":"","parse-names":false,"suffix":""},{"dropping-particle":"","family":"Sattler","given":"Michael","non-dropping-particle":"","parse-names":false,"suffix":""}],"container-title":"Journal of Biomolecular NMR","id":"ITEM-4","issue":"6-7","issued":{"date-parts":[["2020","7","1"]]},"page":"287-309","publisher":"Springer","title":"Paramagnetic NMR in drug discovery","type":"article-journal","volume":"74"},"uris":["http://www.mendeley.com/documents/?uuid=a67ba285-7bb3-385d-8b8c-800cc520679d"]},{"id":"ITEM-5","itemData":{"DOI":"10.2174/156802611793611878","ISSN":"15680266","PMID":"20809894","abstract":"\"In-cell nuclear magnetic resonance (NMR)\" is a unique method for characterization of conformation, interaction and dynamics of proteins inside living cells at atomic level. Since the method was proposed by Dötch and co-workers in 2001(1), its application had been limited to bacterial cells and oocytes of Xenopus laevis(2). Recently, we reported the method for efficient delivery of 15N-labeled proteins into human HeLa cells by using cell-penetrating peptides, and measured high-resolution two-dimensional 1H-15N correlation spectra of proteins in the cells. The in-cell NMR spectroscopy in human cells is capable of analyzing structures, interactions, dynamics and stability of proteins inside cells. Of its possible applications, we propose that in-cell NMR spectroscopy can be utilized as an effective step in protein-targeted drug development process, by demonstrating that interaction of FKBP12 with immunosuppressants administered extracellularly was successfully observed in living cells. This observation suggests that drug delivery and capability of target proteins inside cells for interaction with drugs can be investigated by in-cell NMR spectroscopy. More recently, an alternative way for intracellular delivery of labeled proteins for in-cell NMR was reported on 293F cells by Shimada and co-workers. Here, we review recent technical development of in-cell NMR spectroscopy, and discuss potential usefulness for protein chemistry and drug screening process. © 2010 Bentham Science Publishers Ltd.","author":[{"dropping-particle":"","family":"Ohno","given":"Ayako","non-dropping-particle":"","parse-names":false,"suffix":""},{"dropping-particle":"","family":"Inomata","given":"Kohsuke","non-dropping-particle":"","parse-names":false,"suffix":""},{"dropping-particle":"","family":"Tochio","given":"Hidehito","non-dropping-particle":"","parse-names":false,"suffix":""},{"dropping-particle":"","family":"Shirakawa","given":"Masahiro","non-dropping-particle":"","parse-names":false,"suffix":""}],"container-title":"Current Topics in Medicinal Chemistry","id":"ITEM-5","issue":"1","issued":{"date-parts":[["2010","12","10"]]},"page":"68-73","publisher":"Bentham Science Publishers Ltd.","title":"In-Cell NMR Spectroscopy in Protein Chemistry and Drug Discovery","type":"article-journal","volume":"11"},"uris":["http://www.mendeley.com/documents/?uuid=b562cd57-6c3c-3d5a-9c02-9ba4e686101f"]}],"mendeley":{"formattedCitation":"(27–31)","plainTextFormattedCitation":"(27–31)","previouslyFormattedCitation":"(27–31)"},"properties":{"noteIndex":0},"schema":"https://github.com/citation-style-language/schema/raw/master/csl-citation.json"}</w:instrText>
      </w:r>
      <w:r w:rsidR="009E180A">
        <w:rPr>
          <w:rFonts w:eastAsiaTheme="minorEastAsia"/>
          <w:color w:val="000000"/>
        </w:rPr>
        <w:fldChar w:fldCharType="separate"/>
      </w:r>
      <w:r w:rsidR="007B4533" w:rsidRPr="007B4533">
        <w:rPr>
          <w:rFonts w:eastAsiaTheme="minorEastAsia"/>
          <w:noProof/>
          <w:color w:val="000000"/>
        </w:rPr>
        <w:t>(27–31)</w:t>
      </w:r>
      <w:r w:rsidR="009E180A">
        <w:rPr>
          <w:rFonts w:eastAsiaTheme="minorEastAsia"/>
          <w:color w:val="000000"/>
        </w:rPr>
        <w:fldChar w:fldCharType="end"/>
      </w:r>
      <w:r w:rsidR="009E180A">
        <w:rPr>
          <w:rFonts w:eastAsiaTheme="minorEastAsia"/>
          <w:color w:val="000000"/>
        </w:rPr>
        <w:t xml:space="preserve"> and</w:t>
      </w:r>
      <w:r w:rsidR="005C1E82">
        <w:rPr>
          <w:rFonts w:eastAsiaTheme="minorEastAsia"/>
          <w:color w:val="000000"/>
        </w:rPr>
        <w:t xml:space="preserve"> has been described </w:t>
      </w:r>
      <w:r w:rsidR="00D50449">
        <w:rPr>
          <w:rFonts w:eastAsiaTheme="minorEastAsia"/>
          <w:color w:val="000000"/>
        </w:rPr>
        <w:t xml:space="preserve">as </w:t>
      </w:r>
      <w:r w:rsidR="005C1E82">
        <w:rPr>
          <w:rFonts w:eastAsiaTheme="minorEastAsia"/>
          <w:color w:val="000000"/>
        </w:rPr>
        <w:t>the “gold standard”</w:t>
      </w:r>
      <w:r w:rsidR="009E180A" w:rsidRPr="009E180A">
        <w:rPr>
          <w:rFonts w:eastAsiaTheme="minorEastAsia"/>
          <w:color w:val="000000"/>
        </w:rPr>
        <w:t xml:space="preserve"> </w:t>
      </w:r>
      <w:r w:rsidR="005C1E82">
        <w:rPr>
          <w:rFonts w:eastAsiaTheme="minorEastAsia"/>
          <w:color w:val="000000"/>
        </w:rPr>
        <w:t>tool</w:t>
      </w:r>
      <w:r w:rsidR="009E180A">
        <w:rPr>
          <w:rFonts w:eastAsiaTheme="minorEastAsia"/>
          <w:color w:val="000000"/>
        </w:rPr>
        <w:fldChar w:fldCharType="begin" w:fldLock="1"/>
      </w:r>
      <w:r w:rsidR="00966577">
        <w:rPr>
          <w:rFonts w:eastAsiaTheme="minorEastAsia"/>
          <w:color w:val="000000"/>
        </w:rPr>
        <w:instrText>ADDIN CSL_CITATION {"citationItems":[{"id":"ITEM-1","itemData":{"DOI":"10.3390/molecules25204597","ISSN":"14203049","PMID":"33050240","abstract":"Studying disease models at the molecular level is vital for drug development in order to improve treatment and prevent a wide range of human pathologies. Microbial infections are still a major challenge because pathogens rapidly and continually evolve developing drug resistance. Cancer cells also change genetically, and current therapeutic techniques may be (or may become) ineffective in many cases. The pathology of many neurological diseases remains an enigma, and the exact etiology and underlying mechanisms are still largely unknown. Viral infections spread and develop much more quickly than does the corresponding research needed to prevent and combat these infections; the present and most relevant outbreak of SARS-CoV-2, which originated in Wuhan, China, illustrates the critical and immediate need to improve drug design and development techniques. Modern day drug discovery is a time-consuming, expensive process. Each new drug takes in excess of 10 years to develop and costs on average more than a billion US dollars. This demonstrates the need of a complete redesign or novel strategies. Nuclear Magnetic Resonance (NMR) has played a critical role in drug discovery ever since its introduction several decades ago. In just three decades, NMR has become a “gold standard” platform technology in medical and pharmacology studies. In this review, we present the major applications of NMR spectroscopy in medical drug discovery and development. The basic concepts, theories, and applications of the most commonly used NMR techniques are presented. We also summarize the advantages and limitations of the primary NMR methods in drug development.","author":[{"dropping-particle":"","family":"Emwas","given":"Abdul Hamid","non-dropping-particle":"","parse-names":false,"suffix":""},{"dropping-particle":"","family":"Szczepski","given":"Kacper","non-dropping-particle":"","parse-names":false,"suffix":""},{"dropping-particle":"","family":"Poulson","given":"Benjamin Gabriel","non-dropping-particle":"","parse-names":false,"suffix":""},{"dropping-particle":"","family":"Chandra","given":"Kousik","non-dropping-particle":"","parse-names":false,"suffix":""},{"dropping-particle":"","family":"McKay","given":"Ryan T.","non-dropping-particle":"","parse-names":false,"suffix":""},{"dropping-particle":"","family":"Dhahri","given":"Manel","non-dropping-particle":"","parse-names":false,"suffix":""},{"dropping-particle":"","family":"Alahmari","given":"Fatimah","non-dropping-particle":"","parse-names":false,"suffix":""},{"dropping-particle":"","family":"Jaremko","given":"Lukasz","non-dropping-particle":"","parse-names":false,"suffix":""},{"dropping-particle":"","family":"Lachowicz","given":"Joanna Izabela","non-dropping-particle":"","parse-names":false,"suffix":""},{"dropping-particle":"","family":"Jaremko","given":"Mariusz","non-dropping-particle":"","parse-names":false,"suffix":""}],"container-title":"Molecules","id":"ITEM-1","issue":"20","issued":{"date-parts":[["2020","10","1"]]},"publisher":"MDPI AG","title":"NMR as a “gold standard” method in drug design and discovery","type":"article","volume":"25"},"uris":["http://www.mendeley.com/documents/?uuid=6578d3d0-081d-393a-be25-4e2062c294c1"]}],"mendeley":{"formattedCitation":"(19)","plainTextFormattedCitation":"(19)","previouslyFormattedCitation":"(19)"},"properties":{"noteIndex":0},"schema":"https://github.com/citation-style-language/schema/raw/master/csl-citation.json"}</w:instrText>
      </w:r>
      <w:r w:rsidR="009E180A">
        <w:rPr>
          <w:rFonts w:eastAsiaTheme="minorEastAsia"/>
          <w:color w:val="000000"/>
        </w:rPr>
        <w:fldChar w:fldCharType="separate"/>
      </w:r>
      <w:r w:rsidR="007B4533" w:rsidRPr="007B4533">
        <w:rPr>
          <w:rFonts w:eastAsiaTheme="minorEastAsia"/>
          <w:noProof/>
          <w:color w:val="000000"/>
        </w:rPr>
        <w:t>(19)</w:t>
      </w:r>
      <w:r w:rsidR="009E180A">
        <w:rPr>
          <w:rFonts w:eastAsiaTheme="minorEastAsia"/>
          <w:color w:val="000000"/>
        </w:rPr>
        <w:fldChar w:fldCharType="end"/>
      </w:r>
      <w:r w:rsidR="000F2E8E">
        <w:rPr>
          <w:rFonts w:eastAsiaTheme="minorEastAsia"/>
          <w:color w:val="000000"/>
        </w:rPr>
        <w:t xml:space="preserve"> for structure determination</w:t>
      </w:r>
      <w:r w:rsidR="009E180A">
        <w:rPr>
          <w:rFonts w:eastAsiaTheme="minorEastAsia"/>
          <w:color w:val="000000"/>
        </w:rPr>
        <w:t>.</w:t>
      </w:r>
      <w:r w:rsidR="005C1E82">
        <w:rPr>
          <w:rFonts w:eastAsiaTheme="minorEastAsia"/>
          <w:color w:val="000000"/>
        </w:rPr>
        <w:t xml:space="preserve"> </w:t>
      </w:r>
      <w:r w:rsidR="009E180A">
        <w:rPr>
          <w:rFonts w:eastAsiaTheme="minorEastAsia"/>
          <w:color w:val="000000"/>
        </w:rPr>
        <w:t>One example of NMR spectroscopy has been in</w:t>
      </w:r>
      <w:r w:rsidR="00C1395A">
        <w:rPr>
          <w:rFonts w:eastAsiaTheme="minorEastAsia"/>
          <w:color w:val="000000"/>
        </w:rPr>
        <w:t xml:space="preserve"> fragment</w:t>
      </w:r>
      <w:r w:rsidR="00844797">
        <w:rPr>
          <w:rFonts w:eastAsiaTheme="minorEastAsia"/>
          <w:color w:val="000000"/>
        </w:rPr>
        <w:t>-</w:t>
      </w:r>
      <w:r w:rsidR="00C1395A">
        <w:rPr>
          <w:rFonts w:eastAsiaTheme="minorEastAsia"/>
          <w:color w:val="000000"/>
        </w:rPr>
        <w:t>based drug design (FBDD)</w:t>
      </w:r>
      <w:r w:rsidR="009E180A">
        <w:rPr>
          <w:rFonts w:eastAsiaTheme="minorEastAsia"/>
          <w:color w:val="000000"/>
        </w:rPr>
        <w:fldChar w:fldCharType="begin" w:fldLock="1"/>
      </w:r>
      <w:r w:rsidR="00966577">
        <w:rPr>
          <w:rFonts w:eastAsiaTheme="minorEastAsia"/>
          <w:color w:val="000000"/>
        </w:rPr>
        <w:instrText>ADDIN CSL_CITATION {"citationItems":[{"id":"ITEM-1","itemData":{"DOI":"10.1038/nrd.2016.109","abstract":"Drug discovery is constantly changing. New technologies appear, mature and challenge existing technologies. Some technologies disappear quickly, others establish themselves as new standards and yet others merge with existing technologies. Two decades ago, high-throughput screening (HTS) was fast becoming a dominant lead-discovery approach 1 , and by the early 2000s, companies were building multimillion compound libraries. This led to many drug leads, particularly against established classes of targets. However, when screened against newer or more difficult targets, huge compound libraries sometimes yielded few hits 2 or, in more problematic cases, yielded hits that were false positives, including aggre-gators, a type of artefact not widely recognized until the early 2000s 3 and which remains a problem even today 4. At the same time, there was a growing awareness of the enormity of chemical space. An early estimate put the number of possible small drug-like molecules at 10 63-more than the number of stars in the universe 5. In this context, a library of 10 million compounds seems rather paltry. Fragment-based drug discovery (FBDD) takes a different approach. Rather than screening millions of compounds to find drug-sized starting points, FBDD begins with much smaller collections of smaller compounds. Fragments are usually defined as having less than 20 non-hydrogen (or 'heavy') atoms. In contrast to the astronomical numbers of possible drug-like molecules with up to 30 heavy atoms, the number of possible fragments is much lower. In fact, the Reymond group 6 has been systematically and computationally enumerating all possible molecules containing key elements such as carbon , nitrogen, oxygen, sulfur, fluorine, chlorine, bromine and iodine (as well as hydrogen). The numbers are large but much more manageable, with just over 166 billion possibilities for molecules having up to 17 heavy atoms. This is actually an undercount, as certain classes of molecules were omitted, but even if the real number is several-fold higher, the sampling of chemical space is much more efficient with fragments than with larger molecules. This discussion is best appreciated with actual examples. Most fragment libraries consist of a few thousand molecules 7 , about three orders of magnitude smaller than a typical HTS collection. In a recent analysis of nearly 150 fragment-to-lead campaigns, fragments had around 15 heavy atoms, whereas the optimized compounds had around 28 heavy ato…","author":[{"dropping-particle":"","family":"Erlanson","given":"Daniel A","non-dropping-particle":"","parse-names":false,"suffix":""},{"dropping-particle":"","family":"Fesik","given":"Stephen W","non-dropping-particle":"","parse-names":false,"suffix":""},{"dropping-particle":"","family":"Hubbard","given":"Roderick E","non-dropping-particle":"","parse-names":false,"suffix":""},{"dropping-particle":"","family":"Jahnke","given":"Wolfgang","non-dropping-particle":"","parse-names":false,"suffix":""},{"dropping-particle":"","family":"Jhoti","given":"Harren","non-dropping-particle":"","parse-names":false,"suffix":""}],"id":"ITEM-1","issued":{"date-parts":[["2016"]]},"title":"Twenty years on: the impact of fragments on drug discovery","type":"article-journal"},"uris":["http://www.mendeley.com/documents/?uuid=f4ca71c4-dd4c-3f8f-aaf8-226d19f8ee2c"]},{"id":"ITEM-2","itemData":{"DOI":"10.1093/biohorizons/hzy015","ISSN":"17547431","abstract":"High-throughput screening (HTS) has been firmly rooted at the heart of many drug discovery programs over the past few decades, having provided a starting point for the development of many of the drugs on the market. However, this technique is often accompanied by high-attrition rates and has proven to be unsuccessful at developing therapeutics against more non-conventional targets such as protein-protein interactions (PPIs). Fragment-based drug discovery (FBDD) offers an alternative approach and is steadily being taken up by the industry to tackle the high-attrition rate associated with many chemical leads developed by HTS. FBDD takes a structure-guided approach and uses a small chemical library of fragments during the initial screening process, to identify weakly binding ligands with the potential for therapeutic development. This review aims to summarise the challenges with screening in FBDD and the key biophysical screening techniques used for identification of weakly interacting ligands.","author":[{"dropping-particle":"","family":"Robson-Tull","given":"Jacob","non-dropping-particle":"","parse-names":false,"suffix":""}],"container-title":"Bioscience Horizons","id":"ITEM-2","issued":{"date-parts":[["2018","1","1"]]},"page":"2018","publisher":"Oxford University Press","title":"Biophysical screening in fragment-based drug design: A brief overview","type":"article-journal","volume":"11"},"uris":["http://www.mendeley.com/documents/?uuid=0bf7f913-2399-3510-a503-f2405bdcd451"]},{"id":"ITEM-3","itemData":{"author":[{"dropping-particle":"","family":"Pellecchia","given":"M.","non-dropping-particle":"","parse-names":false,"suffix":""}],"container-title":"NMR of Biomolecules: Towards Mechanistic Systems Biology","id":"ITEM-3","issued":{"date-parts":[["2012"]]},"page":"253-263","publisher":"Wiley-VCH Verlag","publisher-place":"Weinheim, Germany","title":"High-Throughput Screening and Fragment-Based Design: General Consideration for Lead Discovery and Optimization","type":"chapter"},"uris":["http://www.mendeley.com/documents/?uuid=939039cc-d0aa-4787-8c23-29c08bbb7c50"]}],"mendeley":{"formattedCitation":"(32–34)","plainTextFormattedCitation":"(32–34)","previouslyFormattedCitation":"(32–34)"},"properties":{"noteIndex":0},"schema":"https://github.com/citation-style-language/schema/raw/master/csl-citation.json"}</w:instrText>
      </w:r>
      <w:r w:rsidR="009E180A">
        <w:rPr>
          <w:rFonts w:eastAsiaTheme="minorEastAsia"/>
          <w:color w:val="000000"/>
        </w:rPr>
        <w:fldChar w:fldCharType="separate"/>
      </w:r>
      <w:r w:rsidR="007B4533" w:rsidRPr="007B4533">
        <w:rPr>
          <w:rFonts w:eastAsiaTheme="minorEastAsia"/>
          <w:noProof/>
          <w:color w:val="000000"/>
        </w:rPr>
        <w:t>(32–34)</w:t>
      </w:r>
      <w:r w:rsidR="009E180A">
        <w:rPr>
          <w:rFonts w:eastAsiaTheme="minorEastAsia"/>
          <w:color w:val="000000"/>
        </w:rPr>
        <w:fldChar w:fldCharType="end"/>
      </w:r>
      <w:r w:rsidR="00BD0BB0">
        <w:rPr>
          <w:rFonts w:eastAsiaTheme="minorEastAsia"/>
          <w:color w:val="000000"/>
        </w:rPr>
        <w:t>. T</w:t>
      </w:r>
      <w:r w:rsidR="007A4BAD">
        <w:rPr>
          <w:rFonts w:eastAsiaTheme="minorEastAsia"/>
          <w:color w:val="000000"/>
        </w:rPr>
        <w:t>his</w:t>
      </w:r>
      <w:r w:rsidR="009E180A">
        <w:rPr>
          <w:rFonts w:eastAsiaTheme="minorEastAsia"/>
          <w:color w:val="000000"/>
        </w:rPr>
        <w:t xml:space="preserve"> </w:t>
      </w:r>
      <w:r w:rsidR="007A4BAD">
        <w:rPr>
          <w:rFonts w:eastAsiaTheme="minorEastAsia"/>
          <w:color w:val="000000"/>
        </w:rPr>
        <w:t>combi</w:t>
      </w:r>
      <w:r w:rsidR="009E180A">
        <w:rPr>
          <w:rFonts w:eastAsiaTheme="minorEastAsia"/>
          <w:color w:val="000000"/>
        </w:rPr>
        <w:t>nes</w:t>
      </w:r>
      <w:r w:rsidR="007A4BAD">
        <w:rPr>
          <w:rFonts w:eastAsiaTheme="minorEastAsia"/>
          <w:color w:val="000000"/>
        </w:rPr>
        <w:t xml:space="preserve"> </w:t>
      </w:r>
      <w:r w:rsidR="00110726">
        <w:rPr>
          <w:rFonts w:eastAsiaTheme="minorEastAsia"/>
          <w:color w:val="000000"/>
        </w:rPr>
        <w:t xml:space="preserve">molecular </w:t>
      </w:r>
      <w:r w:rsidR="007A4BAD">
        <w:rPr>
          <w:rFonts w:eastAsiaTheme="minorEastAsia"/>
          <w:color w:val="000000"/>
        </w:rPr>
        <w:t xml:space="preserve">fragments </w:t>
      </w:r>
      <w:r w:rsidR="009E180A">
        <w:rPr>
          <w:rFonts w:eastAsiaTheme="minorEastAsia"/>
          <w:color w:val="000000"/>
        </w:rPr>
        <w:t>that are selected from a fragment library</w:t>
      </w:r>
      <w:r w:rsidR="009E180A">
        <w:rPr>
          <w:rFonts w:eastAsiaTheme="minorEastAsia"/>
          <w:color w:val="000000"/>
        </w:rPr>
        <w:fldChar w:fldCharType="begin" w:fldLock="1"/>
      </w:r>
      <w:r w:rsidR="00966577">
        <w:rPr>
          <w:rFonts w:eastAsiaTheme="minorEastAsia"/>
          <w:color w:val="000000"/>
        </w:rPr>
        <w:instrText>ADDIN CSL_CITATION {"citationItems":[{"id":"ITEM-1","itemData":{"DOI":"10.3389/fmolb.2020.00180","ISSN":"2296889X","abstract":"Fragment-based drug discovery (FBDD) is a powerful method to develop potent small-molecule compounds starting from fragments binding weakly to targets. As FBDD exhibits several advantages over high-throughput screening campaigns, it becomes an attractive strategy in target-based drug discovery. Many potent compounds/inhibitors of diverse targets have been developed using this approach. Methods used in fragment screening and understanding fragment-binding modes are critical in FBDD. This review elucidates fragment libraries, methods utilized in fragment identification/confirmation, strategies applied in growing the identified fragments into drug-like lead compounds, and applications of FBDD to different targets. As FBDD can be readily carried out through different biophysical and computer-based methods, it will play more important roles in drug discovery.","author":[{"dropping-particle":"","family":"Li","given":"Qingxin","non-dropping-particle":"","parse-names":false,"suffix":""}],"container-title":"Frontiers in Molecular Biosciences","id":"ITEM-1","issued":{"date-parts":[["2020","8","5"]]},"page":"180","publisher":"Frontiers Media S.A.","title":"Application of Fragment-Based Drug Discovery to Versatile Targets","type":"article","volume":"7"},"uris":["http://www.mendeley.com/documents/?uuid=c7af332a-5548-3212-953f-5e508075245b"]}],"mendeley":{"formattedCitation":"(35)","plainTextFormattedCitation":"(35)","previouslyFormattedCitation":"(35)"},"properties":{"noteIndex":0},"schema":"https://github.com/citation-style-language/schema/raw/master/csl-citation.json"}</w:instrText>
      </w:r>
      <w:r w:rsidR="009E180A">
        <w:rPr>
          <w:rFonts w:eastAsiaTheme="minorEastAsia"/>
          <w:color w:val="000000"/>
        </w:rPr>
        <w:fldChar w:fldCharType="separate"/>
      </w:r>
      <w:r w:rsidR="007B4533" w:rsidRPr="007B4533">
        <w:rPr>
          <w:rFonts w:eastAsiaTheme="minorEastAsia"/>
          <w:noProof/>
          <w:color w:val="000000"/>
        </w:rPr>
        <w:t>(35)</w:t>
      </w:r>
      <w:r w:rsidR="009E180A">
        <w:rPr>
          <w:rFonts w:eastAsiaTheme="minorEastAsia"/>
          <w:color w:val="000000"/>
        </w:rPr>
        <w:fldChar w:fldCharType="end"/>
      </w:r>
      <w:r w:rsidR="009E180A">
        <w:rPr>
          <w:rFonts w:eastAsiaTheme="minorEastAsia"/>
          <w:color w:val="000000"/>
        </w:rPr>
        <w:t xml:space="preserve"> of molecules that </w:t>
      </w:r>
      <w:r w:rsidR="00BD0BB0">
        <w:rPr>
          <w:rFonts w:eastAsiaTheme="minorEastAsia"/>
          <w:color w:val="000000"/>
        </w:rPr>
        <w:t>are known to bind to specific targets</w:t>
      </w:r>
      <w:r w:rsidR="009E180A">
        <w:rPr>
          <w:rFonts w:eastAsiaTheme="minorEastAsia"/>
          <w:color w:val="000000"/>
        </w:rPr>
        <w:t>, producing a potential novel drug</w:t>
      </w:r>
      <w:r w:rsidR="007A4BAD">
        <w:rPr>
          <w:rFonts w:eastAsiaTheme="minorEastAsia"/>
          <w:color w:val="000000"/>
        </w:rPr>
        <w:t>.</w:t>
      </w:r>
      <w:r w:rsidR="00BD0BB0">
        <w:rPr>
          <w:rFonts w:eastAsiaTheme="minorEastAsia"/>
          <w:color w:val="000000"/>
        </w:rPr>
        <w:t xml:space="preserve"> </w:t>
      </w:r>
      <w:r w:rsidR="002A3EB0">
        <w:rPr>
          <w:rFonts w:eastAsiaTheme="minorEastAsia"/>
          <w:color w:val="000000"/>
        </w:rPr>
        <w:t>NMR</w:t>
      </w:r>
      <w:r w:rsidR="009E180A">
        <w:rPr>
          <w:rFonts w:eastAsiaTheme="minorEastAsia"/>
          <w:color w:val="000000"/>
        </w:rPr>
        <w:t xml:space="preserve"> spectroscopy</w:t>
      </w:r>
      <w:r w:rsidR="002A3EB0">
        <w:rPr>
          <w:rFonts w:eastAsiaTheme="minorEastAsia"/>
          <w:color w:val="000000"/>
        </w:rPr>
        <w:t xml:space="preserve"> </w:t>
      </w:r>
      <w:r w:rsidR="009E180A">
        <w:rPr>
          <w:rFonts w:eastAsiaTheme="minorEastAsia"/>
          <w:color w:val="000000"/>
        </w:rPr>
        <w:t xml:space="preserve">is required in the </w:t>
      </w:r>
      <w:r w:rsidR="004174B2">
        <w:rPr>
          <w:rFonts w:eastAsiaTheme="minorEastAsia"/>
          <w:color w:val="000000"/>
        </w:rPr>
        <w:t>design and screen</w:t>
      </w:r>
      <w:r w:rsidR="009E180A">
        <w:rPr>
          <w:rFonts w:eastAsiaTheme="minorEastAsia"/>
          <w:color w:val="000000"/>
        </w:rPr>
        <w:t>ing of</w:t>
      </w:r>
      <w:r w:rsidR="004174B2">
        <w:rPr>
          <w:rFonts w:eastAsiaTheme="minorEastAsia"/>
          <w:color w:val="000000"/>
        </w:rPr>
        <w:t xml:space="preserve"> the </w:t>
      </w:r>
      <w:r w:rsidR="009E180A">
        <w:rPr>
          <w:rFonts w:eastAsiaTheme="minorEastAsia"/>
          <w:color w:val="000000"/>
        </w:rPr>
        <w:t xml:space="preserve">FBDD </w:t>
      </w:r>
      <w:r w:rsidR="004174B2">
        <w:rPr>
          <w:rFonts w:eastAsiaTheme="minorEastAsia"/>
          <w:color w:val="000000"/>
        </w:rPr>
        <w:t xml:space="preserve">library and </w:t>
      </w:r>
      <w:r w:rsidR="009E180A">
        <w:rPr>
          <w:rFonts w:eastAsiaTheme="minorEastAsia"/>
          <w:color w:val="000000"/>
        </w:rPr>
        <w:t xml:space="preserve">to </w:t>
      </w:r>
      <w:r w:rsidR="004174B2">
        <w:rPr>
          <w:rFonts w:eastAsiaTheme="minorEastAsia"/>
          <w:color w:val="000000"/>
        </w:rPr>
        <w:t>analyse the fragment purity</w:t>
      </w:r>
      <w:r w:rsidR="00737C07">
        <w:rPr>
          <w:rFonts w:eastAsiaTheme="minorEastAsia"/>
          <w:color w:val="000000"/>
        </w:rPr>
        <w:fldChar w:fldCharType="begin" w:fldLock="1"/>
      </w:r>
      <w:r w:rsidR="00966577">
        <w:rPr>
          <w:rFonts w:eastAsiaTheme="minorEastAsia"/>
          <w:color w:val="000000"/>
        </w:rPr>
        <w:instrText>ADDIN CSL_CITATION {"citationItems":[{"id":"ITEM-1","itemData":{"DOI":"10.1007/978-3-319-28388-3_127","ISBN":"9783319283883","abstract":"Fragment-based drug design (FBDD) has become firmly established as a viable approach to the identification of starting points for the development of potent and selective compounds that modulate protein activity. As of 2017, the United States Food and Drug Administration have approved two molecules derived from FBDD for therapeutic use, many more are in advanced clinical trials, and the technology has been embraced by both academia and industry. The starting point for FBDD is the identification of very small molecules - \"fragments\" - that bind to a protein of interest. Due to their small size, fragments are able to sample chemical space more efficiently than larger molecules. This increases the likelihood of finding a \"hit\" - i.e., a fragment that binds to the desired protein. However, their small size also dictates that a fragment is likely to bind to its target protein with low affinity. For this reason, screening is generally carried out using biophysical binding assays rather than biochemical activity assays. Nuclear magnetic resonance (NMR) spectroscopy is an extremely powerful approach for detecting weak interactions. In fact the first implementation of FBDD employed NMR to characterize binding, andNMR remains a mainstay of many FBDD screening campaigns. NMR has a broader application in supporting programs of FBDD - it provides an essential component for quality control of the compounds in fragment screening libraries, it can be used to assess solubility, aggregation, and in addition to its role in screening to find fragment hits, it can be used to rank hits and assess their suitability for crystallographic structure determination in complex with a target protein. Where crystallography is not possible, several NMR-based approaches have been developed to determine structures of fragment-protein structures. In the current chapter we review these myriad applications of NMR in FBDD.","author":[{"dropping-particle":"","family":"Bentley","given":"Matthew","non-dropping-particle":"","parse-names":false,"suffix":""},{"dropping-particle":"","family":"Doak","given":"Bradley C.","non-dropping-particle":"","parse-names":false,"suffix":""},{"dropping-particle":"","family":"Mohanty","given":"Biswaranjan","non-dropping-particle":"","parse-names":false,"suffix":""},{"dropping-particle":"","family":"Scanlon","given":"Martin J.","non-dropping-particle":"","parse-names":false,"suffix":""}],"container-title":"Modern Magnetic Resonance","id":"ITEM-1","issued":{"date-parts":[["2018","6","13"]]},"page":"2211-2231","publisher":"Springer International Publishing","title":"Applications of NMR spectroscopy in FBDD","type":"chapter"},"uris":["http://www.mendeley.com/documents/?uuid=ed07180e-759f-370a-b8ed-11d6ffda78a6"]}],"mendeley":{"formattedCitation":"(36)","plainTextFormattedCitation":"(36)","previouslyFormattedCitation":"(36)"},"properties":{"noteIndex":0},"schema":"https://github.com/citation-style-language/schema/raw/master/csl-citation.json"}</w:instrText>
      </w:r>
      <w:r w:rsidR="00737C07">
        <w:rPr>
          <w:rFonts w:eastAsiaTheme="minorEastAsia"/>
          <w:color w:val="000000"/>
        </w:rPr>
        <w:fldChar w:fldCharType="separate"/>
      </w:r>
      <w:r w:rsidR="007B4533" w:rsidRPr="007B4533">
        <w:rPr>
          <w:rFonts w:eastAsiaTheme="minorEastAsia"/>
          <w:noProof/>
          <w:color w:val="000000"/>
        </w:rPr>
        <w:t>(36)</w:t>
      </w:r>
      <w:r w:rsidR="00737C07">
        <w:rPr>
          <w:rFonts w:eastAsiaTheme="minorEastAsia"/>
          <w:color w:val="000000"/>
        </w:rPr>
        <w:fldChar w:fldCharType="end"/>
      </w:r>
      <w:r w:rsidR="004174B2">
        <w:rPr>
          <w:rFonts w:eastAsiaTheme="minorEastAsia"/>
          <w:color w:val="000000"/>
        </w:rPr>
        <w:t>.</w:t>
      </w:r>
      <w:r w:rsidR="002A3EB0">
        <w:rPr>
          <w:rFonts w:eastAsiaTheme="minorEastAsia"/>
          <w:color w:val="000000"/>
        </w:rPr>
        <w:t xml:space="preserve"> So far</w:t>
      </w:r>
      <w:r w:rsidR="004174B2">
        <w:rPr>
          <w:rFonts w:eastAsiaTheme="minorEastAsia"/>
          <w:color w:val="000000"/>
        </w:rPr>
        <w:t xml:space="preserve"> NMR </w:t>
      </w:r>
      <w:r w:rsidR="00E77A75">
        <w:rPr>
          <w:rFonts w:eastAsiaTheme="minorEastAsia"/>
          <w:color w:val="000000"/>
        </w:rPr>
        <w:t xml:space="preserve">has successfully identified </w:t>
      </w:r>
      <w:r w:rsidR="009E180A">
        <w:rPr>
          <w:rFonts w:eastAsiaTheme="minorEastAsia"/>
          <w:color w:val="000000"/>
        </w:rPr>
        <w:t xml:space="preserve">novel </w:t>
      </w:r>
      <w:r w:rsidR="007B0483">
        <w:rPr>
          <w:rFonts w:eastAsiaTheme="minorEastAsia"/>
          <w:color w:val="000000"/>
        </w:rPr>
        <w:t>molecules</w:t>
      </w:r>
      <w:r w:rsidR="00E77A75">
        <w:rPr>
          <w:rFonts w:eastAsiaTheme="minorEastAsia"/>
          <w:color w:val="000000"/>
        </w:rPr>
        <w:t xml:space="preserve"> in multiple</w:t>
      </w:r>
      <w:r w:rsidR="00737C07">
        <w:rPr>
          <w:rFonts w:eastAsiaTheme="minorEastAsia"/>
          <w:color w:val="000000"/>
        </w:rPr>
        <w:t xml:space="preserve"> FBDD</w:t>
      </w:r>
      <w:r w:rsidR="00E77A75">
        <w:rPr>
          <w:rFonts w:eastAsiaTheme="minorEastAsia"/>
          <w:color w:val="000000"/>
        </w:rPr>
        <w:t xml:space="preserve"> drug discovery experiments</w:t>
      </w:r>
      <w:r w:rsidR="007B0483">
        <w:rPr>
          <w:rFonts w:eastAsiaTheme="minorEastAsia"/>
          <w:color w:val="000000"/>
        </w:rPr>
        <w:fldChar w:fldCharType="begin" w:fldLock="1"/>
      </w:r>
      <w:r w:rsidR="00966577">
        <w:rPr>
          <w:rFonts w:eastAsiaTheme="minorEastAsia"/>
          <w:color w:val="000000"/>
        </w:rPr>
        <w:instrText>ADDIN CSL_CITATION {"citationItems":[{"id":"ITEM-1","itemData":{"DOI":"10.1016/j.pnmrs.2016.09.001","ISSN":"00796565","PMID":"27888841","abstract":"Protein-ligand interactions are at the heart of drug discovery research. NMR spectroscopy is an excellent technology to identify and validate protein-ligand interactions. A plethora of NMR methods are available which are powerful, robust and information-rich, but also have pitfalls and limitations. In this review, we will focus on how to choose between different experiments, and assess their strengths and liabilities. We introduce the concept of the validation cross, which helps to categorize experiments according to their information content and to simplify the choice of the right experiment in order to address a specific question. Additionally, we will provide the framework for drawing correct conclusions from experimental results in order to accurately evaluate such interactions. Out of scope for this review are methods for subsequent characterization of the interaction such as quantitative KD determination, binding mode analysis, or structure determination.","author":[{"dropping-particle":"","family":"Gossert","given":"Alvar D.","non-dropping-particle":"","parse-names":false,"suffix":""},{"dropping-particle":"","family":"Jahnke","given":"Wolfgang","non-dropping-particle":"","parse-names":false,"suffix":""}],"container-title":"Progress in Nuclear Magnetic Resonance Spectroscopy","id":"ITEM-1","issued":{"date-parts":[["2016","11","1"]]},"page":"82-125","publisher":"Elsevier B.V.","title":"NMR in drug discovery: A practical guide to identification and validation of ligands interacting with biological macromolecules","type":"article","volume":"97"},"uris":["http://www.mendeley.com/documents/?uuid=1fabca8b-7615-33c4-b05b-5bee52054598"]},{"id":"ITEM-2","itemData":{"DOI":"10.3390/molecules21070860","ISSN":"14203049","PMID":"27438818","abstract":"19F-NMR has proved to be a valuable tool in fragment-based drug discovery. Its applications include screening libraries of fluorinated fragments, assessing competition among elaborated fragments and identifying the binding poses of promising hits. By observing fluorine in both the ligand and the target protein, useful information can be obtained on not only the binding pose but also the dynamics of ligand-protein interactions. These applications of 19F-NMR will be illustrated in this review with studies from our fragment-based drug discovery campaigns against protein targets in parasitic and infectious diseases.","author":[{"dropping-particle":"","family":"Norton","given":"Raymond S.","non-dropping-particle":"","parse-names":false,"suffix":""},{"dropping-particle":"","family":"Leung","given":"Eleanor W.W.","non-dropping-particle":"","parse-names":false,"suffix":""},{"dropping-particle":"","family":"Chandrashekaran","given":"Indu R.","non-dropping-particle":"","parse-names":false,"suffix":""},{"dropping-particle":"","family":"MacRaild","given":"Christopher A.","non-dropping-particle":"","parse-names":false,"suffix":""}],"container-title":"Molecules","id":"ITEM-2","issue":"7","issued":{"date-parts":[["2016","7","1"]]},"publisher":"MDPI AG","title":"Applications of 19F-NMR in fragment-based drug discovery","type":"article","volume":"21"},"uris":["http://www.mendeley.com/documents/?uuid=14a80cad-c733-3d14-9939-7a2acbabd21a"]},{"id":"ITEM-3","itemData":{"DOI":"10.3390/molecules22091399","ISSN":"14203049","PMID":"28832542","abstract":"Solution NMR spectroscopy is a powerful tool to study protein structures and dynamics under physiological conditions. This technique is particularly useful in target-based drug discovery projects as it provides protein-ligand binding information in solution. Accumulated studies have shown that NMR will play more and more important roles in multiple steps of the drug discovery process. In a fragment-based drug discovery process, ligand-observed and protein-observed NMR spectroscopy can be applied to screen fragments with low binding affinities. The screened fragments can be further optimized into drug-like molecules. In combination with other biophysical techniques, NMR will guide structure-based drug discovery. In this review, we describe the possible roles of NMR spectroscopy in drug discovery. We also illustrate the challenges encountered in the drug discovery process. We include several examples demonstrating the roles of NMR in target-based drug discoveries such as hit identification, ranking ligand binding affinities, and mapping the ligand binding site. We also speculate the possible roles of NMR in target engagement based on recent processes in in-cell NMR spectroscopy.","author":[{"dropping-particle":"","family":"Li","given":"Yan","non-dropping-particle":"","parse-names":false,"suffix":""},{"dropping-particle":"","family":"Kang","given":"Congbao","non-dropping-particle":"","parse-names":false,"suffix":""}],"container-title":"Molecules","id":"ITEM-3","issue":"9","issued":{"date-parts":[["2017","9","1"]]},"publisher":"MDPI AG","title":"Solution NMR spectroscopy in target-based drug discovery","type":"article","volume":"22"},"uris":["http://www.mendeley.com/documents/?uuid=78f9bc50-e964-333a-bec6-9e1b5b8e4f97"]},{"id":"ITEM-4","itemData":{"DOI":"10.3390/molecules23010148","ISSN":"14203049","PMID":"29329228","abstract":"A variety of nuclear magnetic resonance (NMR) applications have been developed for structure-based drug discovery (SBDD). NMR provides many advantages over other methods, such as the ability to directly observe chemical compounds and target biomolecules, and to be used for ligand-based and protein-based approaches. NMR can also provide important information about the interactions in a protein-ligand complex, such as structure, dynamics, and affinity, even when the interaction is too weak to be detected by ELISA or fluorescence resonance energy transfer (FRET)-based high-throughput screening (HTS) or to be crystalized. In this study, we reviewed current NMR techniques. We focused on recent progress in NMR measurement and sample preparation techniques that have expanded the potential of NMR-based SBDD, such as fluorine NMR (19F-NMR) screening, structure modeling of weak complexes, and site-specific isotope labeling of challenging targets.","author":[{"dropping-particle":"","family":"Sugiki","given":"Toshihiko","non-dropping-particle":"","parse-names":false,"suffix":""},{"dropping-particle":"","family":"Furuita","given":"Kyoko","non-dropping-particle":"","parse-names":false,"suffix":""},{"dropping-particle":"","family":"Fujiwara","given":"Toshimichi","non-dropping-particle":"","parse-names":false,"suffix":""},{"dropping-particle":"","family":"Kojima","given":"Chojiro","non-dropping-particle":"","parse-names":false,"suffix":""}],"container-title":"Molecules","id":"ITEM-4","issue":"1","issued":{"date-parts":[["2018"]]},"publisher":"MDPI AG","title":"Current NMR techniques for structure-based drug discovery","type":"article","volume":"23"},"uris":["http://www.mendeley.com/documents/?uuid=2be0cadd-f40b-3087-96bd-2f0147fa3c31"]},{"id":"ITEM-5","itemData":{"DOI":"10.3390/ijms20010139","ISSN":"14220067","PMID":"30609728","abstract":"In-cell nuclear magnetic resonance (NMR) is a method to provide the structural information of a target at an atomic level under physiological conditions and a full view of the conformational changes of a protein caused by ligand binding, post-translational modifications or protein–protein interactions in living cells. Previous in-cell NMR studies have focused on proteins that were overexpressed in bacterial cells and isotopically labeled proteins injected into oocytes of Xenopus laevis or delivered into human cells. Applications of in-cell NMR in probing protein modifications, conformational changes and ligand bindings have been carried out in mammalian cells by monitoring isotopically labeled proteins overexpressed in living cells. The available protocols and successful examples encourage wide applications of this technique in different fields such as drug discovery. Despite the challenges in this method, progress has been made in recent years. In this review, applications of in-cell NMR are summarized. The successful applications of this method in mammalian and bacterial cells make it feasible to play important roles in drug discovery, especially in the step of target engagement.","author":[{"dropping-particle":"","family":"Kang","given":"Congbao","non-dropping-particle":"","parse-names":false,"suffix":""}],"container-title":"International Journal of Molecular Sciences","id":"ITEM-5","issue":"1","issued":{"date-parts":[["2019","1","1"]]},"publisher":"MDPI AG","title":"Applications of in-cell NMR in structural biology and drug discovery","type":"article","volume":"20"},"uris":["http://www.mendeley.com/documents/?uuid=0f7ab278-c9f4-3bd6-bbb5-5a6574265262"]},{"id":"ITEM-6","itemData":{"DOI":"10.2174/0929867326666190610160534","ISSN":"09298673","PMID":"31187703","abstract":"A review. Soln. NMR spectroscopy plays important roles in understanding protein structures, dynamics and protein-protein/ligand interactions. In a target-based drug discovery project, NMR can serve an important function in hit identification and lead optimization. Fluorine is a valuable probe for evaluating protein conformational changes and protein-ligand interactions. Accumulated studies demonstrate that 19F-NMR can play important roles in fragment- based drug discovery (FBDD) and probing protein-ligand interactions. This review summarizes the application of 19F-NMR in understanding protein-ligand interactions and drug discovery. Several examples are included to show the roles of 19F-NMR in confirming identified hits/leads in the drug discovery process. In addn. to identifying hits from fluorinecontaining compd. libraries, 19F-NMR will play an important role in drug discovery by providing a fast and robust way in novel hit identification. This technique can be used for ranking compds. with different binding affinities and is particularly useful for screening competitive compds. when a ref. ligand is available. [on SciFinder(R)]","author":[{"dropping-particle":"","family":"Kang","given":"CongBao","non-dropping-particle":"","parse-names":false,"suffix":""}],"container-title":"Current Medicinal Chemistry","id":"ITEM-6","issue":"26","issued":{"date-parts":[["2019","6","12"]]},"page":"4964-4983","publisher":"Bentham Science Publishers Ltd.","title":" 19 F-NMR in Target-based Drug Discovery ","type":"article-journal","volume":"26"},"uris":["http://www.mendeley.com/documents/?uuid=30666bc7-5ce3-38fd-be82-23c1e320bd8d"]}],"mendeley":{"formattedCitation":"(37–42)","plainTextFormattedCitation":"(37–42)","previouslyFormattedCitation":"(37–42)"},"properties":{"noteIndex":0},"schema":"https://github.com/citation-style-language/schema/raw/master/csl-citation.json"}</w:instrText>
      </w:r>
      <w:r w:rsidR="007B0483">
        <w:rPr>
          <w:rFonts w:eastAsiaTheme="minorEastAsia"/>
          <w:color w:val="000000"/>
        </w:rPr>
        <w:fldChar w:fldCharType="separate"/>
      </w:r>
      <w:r w:rsidR="007B4533" w:rsidRPr="007B4533">
        <w:rPr>
          <w:rFonts w:eastAsiaTheme="minorEastAsia"/>
          <w:noProof/>
          <w:color w:val="000000"/>
        </w:rPr>
        <w:t>(37–42)</w:t>
      </w:r>
      <w:r w:rsidR="007B0483">
        <w:rPr>
          <w:rFonts w:eastAsiaTheme="minorEastAsia"/>
          <w:color w:val="000000"/>
        </w:rPr>
        <w:fldChar w:fldCharType="end"/>
      </w:r>
      <w:r w:rsidR="00E77A75">
        <w:rPr>
          <w:rFonts w:eastAsiaTheme="minorEastAsia"/>
          <w:color w:val="000000"/>
        </w:rPr>
        <w:t xml:space="preserve">. </w:t>
      </w:r>
      <w:r w:rsidR="009E180A">
        <w:rPr>
          <w:rFonts w:eastAsiaTheme="minorEastAsia"/>
          <w:color w:val="000000"/>
        </w:rPr>
        <w:t>NMR can also be used in</w:t>
      </w:r>
      <w:r w:rsidR="00F812E8">
        <w:rPr>
          <w:rFonts w:eastAsiaTheme="minorEastAsia"/>
          <w:color w:val="000000"/>
        </w:rPr>
        <w:t xml:space="preserve"> chemistry</w:t>
      </w:r>
      <w:r>
        <w:rPr>
          <w:rFonts w:eastAsiaTheme="minorEastAsia"/>
          <w:color w:val="000000"/>
        </w:rPr>
        <w:t xml:space="preserve"> </w:t>
      </w:r>
      <w:r w:rsidR="00F812E8">
        <w:rPr>
          <w:rFonts w:eastAsiaTheme="minorEastAsia"/>
          <w:color w:val="000000"/>
        </w:rPr>
        <w:t>for</w:t>
      </w:r>
      <w:r>
        <w:rPr>
          <w:rFonts w:eastAsiaTheme="minorEastAsia"/>
          <w:color w:val="000000"/>
        </w:rPr>
        <w:t xml:space="preserve"> the</w:t>
      </w:r>
      <w:r w:rsidR="00F812E8">
        <w:rPr>
          <w:rFonts w:eastAsiaTheme="minorEastAsia"/>
          <w:color w:val="000000"/>
        </w:rPr>
        <w:t xml:space="preserve"> structural elucidation of a molecule</w:t>
      </w:r>
      <w:r w:rsidR="006C3E18">
        <w:rPr>
          <w:rFonts w:eastAsiaTheme="minorEastAsia"/>
          <w:color w:val="000000"/>
        </w:rPr>
        <w:fldChar w:fldCharType="begin" w:fldLock="1"/>
      </w:r>
      <w:r w:rsidR="00966577">
        <w:rPr>
          <w:rFonts w:eastAsiaTheme="minorEastAsia"/>
          <w:color w:val="000000"/>
        </w:rPr>
        <w:instrText>ADDIN CSL_CITATION {"citationItems":[{"id":"ITEM-1","itemData":{"DOI":"10.1002/mrc.4976","ISSN":"1097458X","PMID":"31774576","abstract":"Phtalides are secondary metabolites found in several fungi with a wide range of biological activities. A novel phthalide analog was synthesized by Diels–Alder reaction between cyclopentadiene and 3,4-dichlorofuran-2(5H)-one. Quantum mechanical calculations were used in conjunction with the spectrometric methods to determine the structure of the title compound. The calculated NMR chemical shifts for eight candidate pairs of enantiomers were compared with the experimental NMR chemical shifts applying the DP4 probability and mean absolute errors methodology. DP4 analysis using 1H and 13C NMR chemical shifts without assignment of the signals presented 100% probability for the correct candidate structure 3d, proving the consistency of the method even without spectra interpretation. Results from theoretical calculation and NMR spectra interpretation were in agreement to the structure of rac-(3aR,4S,4aS,5R,8S,8aR,9R,9aS)-3a,9a-dichloro-3a,4,4a,5,8,8a,9,9a-octahydro-4,9:5,8-dimethanonaphtho[2,3-c]furan-1(3H)-one.","author":[{"dropping-particle":"","family":"Pinto","given":"Bryan N.S.","non-dropping-particle":"","parse-names":false,"suffix":""},{"dropping-particle":"","family":"Teixeira","given":"Milena G.","non-dropping-particle":"","parse-names":false,"suffix":""},{"dropping-particle":"","family":"Alvarenga","given":"Elson S.","non-dropping-particle":"","parse-names":false,"suffix":""}],"container-title":"Magnetic Resonance in Chemistry","id":"ITEM-1","issue":"6","issued":{"date-parts":[["2020","6","1"]]},"page":"559-565","publisher":"John Wiley and Sons Ltd","title":"Synthesis and structural elucidation of a phthalide analog using NMR analysis and DFT calculations","type":"article-journal","volume":"58"},"uris":["http://www.mendeley.com/documents/?uuid=36068090-e5b0-3898-8348-53921346d5f9"]},{"id":"ITEM-2","itemData":{"DOI":"10.1002/mrc.4818","ISSN":"1097458X","PMID":"30577073","abstract":"Isobenzofuranones are known for their wide range of biological activities such as fungicide, insecticide, and anticancer. The search for novel bioactive compounds was performed by reaction of epoxide 2 with methanol, ethanol, propan-1-ol, propan-2-ol, and butan-1-ol. The mechanism for the stereoselective and stereospecific epoxide opening with methanol was reasoned by calculating the transition states for the two putative structures (rac)-3a and (rac)-3b. The compound (rac)-3a is the kinetic product as inferred from the lower energies of its transition state (TS1). The 1 H and 13 C nuclear magnetic resonance (NMR) chemical shifts for these two candidate structures were calculated and compared with the experimental data using mean absolute error (MAE) and DP4 analyses. Therefore, the relative stereochemistry of (rac)-3a was established by the mechanism, MAE, and DP4 approaches. The hydroxyl group was acetylated to surpass the problem of signal overlapping of H5 and H6 in the 1 H NMR. The relative stereochemistry of the corresponding ester determined by NMR interpretation was in agreement with the structure of (rac)-3a.","author":[{"dropping-particle":"","family":"Alvarenga","given":"Elson S.","non-dropping-particle":"","parse-names":false,"suffix":""},{"dropping-particle":"","family":"Teixeira","given":"Milena G.","non-dropping-particle":"","parse-names":false,"suffix":""},{"dropping-particle":"","family":"Lopes","given":"Dayane T.","non-dropping-particle":"","parse-names":false,"suffix":""},{"dropping-particle":"","family":"Demuner","given":"Antonio J.","non-dropping-particle":"","parse-names":false,"suffix":""}],"container-title":"Magnetic Resonance in Chemistry","id":"ITEM-2","issue":"4","issued":{"date-parts":[["2019","4","1"]]},"page":"101-107","publisher":"John Wiley and Sons Ltd","title":"Computation and structural elucidation of compounds formed via epoxide alcoholysis","type":"article-journal","volume":"57"},"uris":["http://www.mendeley.com/documents/?uuid=f556389b-81b8-3810-824d-5643cef5039f"]},{"id":"ITEM-3","itemData":{"DOI":"10.1002/mrc.1365","ISSN":"07491581","PMID":"15022198","abstract":"A carotenoic acid was used to obtain a long-chain unsaturated lysophosphocholine. The carotenoid lysophosphocholine was synthesized by two methods. The first method resulted in mixtures of regioisomers for each step in the synthetic route. Homo- and heteronuclear 1D and 2D NMR methods were employed to elucidate the structures of the individual isomers and their intermediates. The pure regioisom</w:instrText>
      </w:r>
      <w:r w:rsidR="00966577">
        <w:rPr>
          <w:rFonts w:eastAsiaTheme="minorEastAsia" w:hint="eastAsia"/>
          <w:color w:val="000000"/>
        </w:rPr>
        <w:instrText>er [1-(</w:instrText>
      </w:r>
      <w:r w:rsidR="00966577">
        <w:rPr>
          <w:rFonts w:eastAsiaTheme="minorEastAsia" w:hint="eastAsia"/>
          <w:color w:val="000000"/>
        </w:rPr>
        <w:instrText>β</w:instrText>
      </w:r>
      <w:r w:rsidR="00966577">
        <w:rPr>
          <w:rFonts w:eastAsiaTheme="minorEastAsia" w:hint="eastAsia"/>
          <w:color w:val="000000"/>
        </w:rPr>
        <w:instrText>-apo-8</w:instrText>
      </w:r>
      <w:r w:rsidR="00966577">
        <w:rPr>
          <w:rFonts w:eastAsiaTheme="minorEastAsia" w:hint="eastAsia"/>
          <w:color w:val="000000"/>
        </w:rPr>
        <w:instrText>′</w:instrText>
      </w:r>
      <w:r w:rsidR="00966577">
        <w:rPr>
          <w:rFonts w:eastAsiaTheme="minorEastAsia" w:hint="eastAsia"/>
          <w:color w:val="000000"/>
        </w:rPr>
        <w:instrText>-carotenoyl)-2-lyso-glycero-3- phosphocholine] was obtained by a second method, but in low yield. The 1D 1H NMR subtraction spectrum of the mixture and the pure regioisomer was used to interpret the 1H shifts of the unsaturated acyl moietie</w:instrText>
      </w:r>
      <w:r w:rsidR="00966577">
        <w:rPr>
          <w:rFonts w:eastAsiaTheme="minorEastAsia"/>
          <w:color w:val="000000"/>
        </w:rPr>
        <w:instrText>s. The 1H and 13C signals of the acyl chain show characteristic shifts depending on the positions of the choline and the acyl group attached to the glycerol backbone. Therefore, the unsaturated acyl chain signals have diagnostic values for the identification of isomers of unsaturated (lyso)phosphocholines. Chemical shifts and indirect coupling constants are reported for each of the major components of the mixtures. The methods used were 1D (1H, 13C and 31P) and 2D (H,H-COSY, HMBC, HSQC and HETCOR) NMR. Copyright © 2004 John Wiley &amp; Sons, Ltd.","author":[{"dropping-particle":"","family":"Foss","given":"Bente Jeanette","non-dropping-particle":"","parse-names":false,"suffix":""},{"dropping-particle":"","family":"Krane","given":"Jostein","non-dropping-particle":"","parse-names":false,"suffix":""}],"container-title":"Magnetic Resonance in Chemistry","id":"ITEM-3","issue":"4","issued":{"date-parts":[["2004","4"]]},"page":"373-380","publisher":"Magn Reson Chem","title":"Structural elucidation by 1D and 2D NMR of three isomers of a carotenoid lysophosphocholine and its synthetic precursors","type":"article-journal","volume":"42"},"uris":["http://www.mendeley.com/documents/?uuid=9392456a-464c-3cf4-8491-ccd6d6e91676"]}],"mendeley":{"formattedCitation":"(43–45)","plainTextFormattedCitation":"(43–45)","previouslyFormattedCitation":"(43–45)"},"properties":{"noteIndex":0},"schema":"https://github.com/citation-style-language/schema/raw/master/csl-citation.json"}</w:instrText>
      </w:r>
      <w:r w:rsidR="006C3E18">
        <w:rPr>
          <w:rFonts w:eastAsiaTheme="minorEastAsia"/>
          <w:color w:val="000000"/>
        </w:rPr>
        <w:fldChar w:fldCharType="separate"/>
      </w:r>
      <w:r w:rsidR="007B4533" w:rsidRPr="007B4533">
        <w:rPr>
          <w:rFonts w:eastAsiaTheme="minorEastAsia"/>
          <w:noProof/>
          <w:color w:val="000000"/>
        </w:rPr>
        <w:t>(43–45)</w:t>
      </w:r>
      <w:r w:rsidR="006C3E18">
        <w:rPr>
          <w:rFonts w:eastAsiaTheme="minorEastAsia"/>
          <w:color w:val="000000"/>
        </w:rPr>
        <w:fldChar w:fldCharType="end"/>
      </w:r>
      <w:r>
        <w:rPr>
          <w:rFonts w:eastAsiaTheme="minorEastAsia"/>
          <w:color w:val="000000"/>
        </w:rPr>
        <w:t xml:space="preserve">. NMR can </w:t>
      </w:r>
      <w:r w:rsidR="00F812E8">
        <w:rPr>
          <w:rFonts w:eastAsiaTheme="minorEastAsia"/>
          <w:color w:val="000000"/>
        </w:rPr>
        <w:t>eve</w:t>
      </w:r>
      <w:r>
        <w:rPr>
          <w:rFonts w:eastAsiaTheme="minorEastAsia"/>
          <w:color w:val="000000"/>
        </w:rPr>
        <w:t>n be used</w:t>
      </w:r>
      <w:r w:rsidR="00F812E8">
        <w:rPr>
          <w:rFonts w:eastAsiaTheme="minorEastAsia"/>
          <w:color w:val="000000"/>
        </w:rPr>
        <w:t xml:space="preserve"> in quality assessment for the food industr</w:t>
      </w:r>
      <w:r w:rsidR="003A38E6">
        <w:rPr>
          <w:rFonts w:eastAsiaTheme="minorEastAsia"/>
          <w:color w:val="000000"/>
        </w:rPr>
        <w:t>y</w:t>
      </w:r>
      <w:r w:rsidR="006C3E18">
        <w:rPr>
          <w:rFonts w:eastAsiaTheme="minorEastAsia"/>
          <w:color w:val="000000"/>
        </w:rPr>
        <w:fldChar w:fldCharType="begin" w:fldLock="1"/>
      </w:r>
      <w:r w:rsidR="00966577">
        <w:rPr>
          <w:rFonts w:eastAsiaTheme="minorEastAsia"/>
          <w:color w:val="000000"/>
        </w:rPr>
        <w:instrText>ADDIN CSL_CITATION {"citationItems":[{"id":"ITEM-1","itemData":{"DOI":"10.1007/978-1-4939-9690-2_18","ISSN":"19406029","PMID":"31463853","abstract":"NMR spectroscopy is one of the major analytical techniques used in the metabolomics studies of food. There are many applications of metabolomics on food-related topics and on the food itself. Here, we describe protocols for performing NMR-based metabolomics of foods ranging from simple beverages to solid foods and semisolid foods. Beverages can be analyzed either directly or after sample preprocessing to remove interfering macromolecules, muscle-based foods can be analyzed after extraction, and semisolid foods can be analyzed directly using high-resolution magic-angle spinning (HR-MAS) NMR. Finally, we discuss metabolomic data analysis as well as different procedures and strategies for targeted and untargeted approaches.","author":[{"dropping-particle":"","family":"Sundekilde","given":"Ulrik K.","non-dropping-particle":"","parse-names":false,"suffix":""},{"dropping-particle":"","family":"Eggers","given":"Nina","non-dropping-particle":"","parse-names":false,"suffix":""},{"dropping-particle":"","family":"Bertram","given":"Hanne Christine","non-dropping-particle":"","parse-names":false,"suffix":""}],"container-title":"Methods in Molecular Biology","id":"ITEM-1","issued":{"date-parts":[["2019"]]},"page":"335-344","publisher":"Humana Press Inc.","title":"NMR-Based Metabolomics of Food","type":"chapter","volume":"2037"},"uris":["http://www.mendeley.com/documents/?uuid=fbd75100-ff8f-355a-b2de-36fd64f272a9"]},{"id":"ITEM-2","itemData":{"DOI":"10.1016/j.bj.2018.03.003","ISSN":"23194170","PMID":"29866604","abstract":"Food is essential to life, hence food safety is a basic human right. Billons of people in the world are at risk of unsafe food. Many millions become sick while hundreds of thousand die yearly. The food chain starts from farm to fork/plate while challenges include microbial, chemical, personal and environmental hygiene. Historically, documented human tragedies and economic disasters due to consuming contaminated food occurred as a result of intentional or unintentional personal conduct and governmental failure to safeguard food quality and safety. While earlier incidents were mainly chemical contaminants, more recent outbreaks have been due to microbial agents. The Disability Adjusted Life Years (DALYs) attributed to these agents are most devastating to children younger than 5 years of age, the elderly and the sick. To ensure food safety and to prevent unnecessary foodborne illnesses, rapid and accurate detection of pathogenic agents is essential. Culture-based tests are being substituted by faster and sensitive culture independent diagnostics including antigen-based assays and polymerase chain reaction (PCR) panels. Innovative technology such as Nuclear Magnetic Resonance (NMR) coupled with nanoparticles can detect multiple target microbial pathogens’ DNA or proteins using nucleic acids, antibodies and other biomarkers assays analysis. The food producers, distributors, handlers and vendors bear primary responsibility while consumers must remain vigilant and literate. Government agencies must enforce food safety laws to safeguard public and individual health. Medical providers must remain passionate to prevent foodborne illnesses and may consider treating diseases with safe diet therapy under proper medical supervision. The intimate collaboration between all the stakeholders will ultimately ensure food safety in the 21st century.","author":[{"dropping-particle":"","family":"Fung","given":"Fred","non-dropping-particle":"","parse-names":false,"suffix":""},{"dropping-particle":"","family":"Wang","given":"Huei Shyong","non-dropping-particle":"","parse-names":false,"suffix":""},{"dropping-particle":"","family":"Menon","given":"Suresh","non-dropping-particle":"","parse-names":false,"suffix":""}],"container-title":"Biomedical Journal","id":"ITEM-2","issue":"2","issued":{"date-parts":[["2018","4","1"]]},"page":"88-95","publisher":"Elsevier B.V.","title":"Food safety in the 21st century","type":"article","volume":"41"},"uris":["http://www.mendeley.com/documents/?uuid=89566790-0713-39a7-b4f2-8c0a26ad974c"]}],"mendeley":{"formattedCitation":"(46,47)","plainTextFormattedCitation":"(46,47)","previouslyFormattedCitation":"(46,47)"},"properties":{"noteIndex":0},"schema":"https://github.com/citation-style-language/schema/raw/master/csl-citation.json"}</w:instrText>
      </w:r>
      <w:r w:rsidR="006C3E18">
        <w:rPr>
          <w:rFonts w:eastAsiaTheme="minorEastAsia"/>
          <w:color w:val="000000"/>
        </w:rPr>
        <w:fldChar w:fldCharType="separate"/>
      </w:r>
      <w:r w:rsidR="007B4533" w:rsidRPr="007B4533">
        <w:rPr>
          <w:rFonts w:eastAsiaTheme="minorEastAsia"/>
          <w:noProof/>
          <w:color w:val="000000"/>
        </w:rPr>
        <w:t>(46,47)</w:t>
      </w:r>
      <w:r w:rsidR="006C3E18">
        <w:rPr>
          <w:rFonts w:eastAsiaTheme="minorEastAsia"/>
          <w:color w:val="000000"/>
        </w:rPr>
        <w:fldChar w:fldCharType="end"/>
      </w:r>
      <w:r w:rsidR="00F812E8">
        <w:rPr>
          <w:rFonts w:eastAsiaTheme="minorEastAsia"/>
          <w:color w:val="000000"/>
        </w:rPr>
        <w:t xml:space="preserve"> and petroleum industry</w:t>
      </w:r>
      <w:r w:rsidR="006C3E18">
        <w:rPr>
          <w:rFonts w:eastAsiaTheme="minorEastAsia"/>
          <w:color w:val="000000"/>
        </w:rPr>
        <w:fldChar w:fldCharType="begin" w:fldLock="1"/>
      </w:r>
      <w:r w:rsidR="00966577">
        <w:rPr>
          <w:rFonts w:eastAsiaTheme="minorEastAsia"/>
          <w:color w:val="000000"/>
        </w:rPr>
        <w:instrText>ADDIN CSL_CITATION {"citationItems":[{"id":"ITEM-1","itemData":{"DOI":"10.1002/mrc.5093","ISSN":"1097458X","PMID":"32869885","abstract":"High-field nuclear magnetic resonance (NMR) has proven to be a valuable tool to analyze petroleum products but has never acquired widespread acceptance in routine work in oil refinery due to the high cost. The advent of compact, reliable, and affordable cryogen-free low-field benchtop NMR spectrometers suggest a possible role of such instrument for a variety of uses in refining spanning from routine lab work applications to online analysis. In this work, we report the development of a novel benchtop NMR application to estimate the API gravity, sulfur content, total acidity number (TAN), and distillation yields of crude petroleum from 60 MHz 1H NMR spectra and partial least square (PLS) regression models. The results obtained on a dataset of over 170 crude oil samples and tested with external validation set show performances in terms of root mean square standard error of prediction (RMSEP) matching the analytical methods' ASTM precision. This novel benchtop NMR and multivariate analysis application can thus be used in typical refinery laboratories to provide within minutes and without physical distillation, reliable estimates of the most important properties usually measured on the crude petroleum during refining. The method proves to be a fast, cheaper alternative to the current analytical options providing readily available data for managing crude oil and has high potential to be further exploited for online application.","author":[{"dropping-particle":"","family":"Sassu","given":"Lorenzo","non-dropping-particle":"","parse-names":false,"suffix":""},{"dropping-particle":"","family":"Puligheddu","given":"Sonia","non-dropping-particle":"","parse-names":false,"suffix":""},{"dropping-particle":"","family":"Puligheddu","given":"Cristina","non-dropping-particle":"","parse-names":false,"suffix":""},{"dropping-particle":"","family":"Palomba","given":"Silvia","non-dropping-particle":"","parse-names":false,"suffix":""},{"dropping-particle":"","family":"Muru","given":"Emanuela","non-dropping-particle":"","parse-names":false,"suffix":""},{"dropping-particle":"","family":"Mattia","given":"Carmine","non-dropping-particle":"","parse-names":false,"suffix":""},{"dropping-particle":"","family":"Allevi","given":"Claudio","non-dropping-particle":"","parse-names":false,"suffix":""}],"container-title":"Magnetic Resonance in Chemistry","id":"ITEM-1","issue":"12","issued":{"date-parts":[["2020","12","1"]]},"page":"1222-1233","publisher":"John Wiley and Sons Ltd","title":"Application of benchtop low-field NMR spectrometers in the refining industry: A multivariate calibration approach for rapid characterization of crude oils","type":"article-journal","volume":"58"},"uris":["http://www.mendeley.com/documents/?uuid=db0fddf0-d79a-300a-a967-e9592fe1280e"]},{"id":"ITEM-2","itemData":{"DOI":"10.1002/jobm.201800298","ISSN":"15214028","PMID":"30600533","abstract":"A biosurfactant, produced by Achromobacter sp. TMB1 is reported through this investigation having physiochemical properties useful for operational and remedial activities in petroleum industries. The strain isolated from soils of local petrol pumps when allowed to grow in glucose containing mineral salts media (MSM) in ambient environment that is, 30 °C and varying pH in between 5.5 and 7.2, showed surface tension reduction as low as 34.25 dyne cm −1 at an interval of 48–72 h. Taguchi experiment confirmed the contribution of glucose, yeast extracts, and NaNO 3 concentration on biosurfactant production. FTIR and 1 H NMR analysis of culture supernatant obtained after acid precipitation and solvent extraction methods revealed the glycolipid nature of the extracted compounds. HR-LCMS study further revealed the presence of 10 different types of mono- and di-rhamnolipids congeners with the fatty acids carbon length C 8–12 . The isolated biosurfactant shows functional stability in the temperature range 20–100 °C and pH range 2–12 while maintaining the structural integrity till 550 °C (TGA-DSC), strongly suggests its potential applications in petroleum industries.","author":[{"dropping-particle":"","family":"Haloi","given":"Saurav","non-dropping-particle":"","parse-names":false,"suffix":""},{"dropping-particle":"","family":"Medhi","given":"Tapas","non-dropping-particle":"","parse-names":false,"suffix":""}],"container-title":"Journal of Basic Microbiology","id":"ITEM-2","issue":"3","issued":{"date-parts":[["2019","3","1"]]},"page":"238-248","publisher":"Wiley-VCH Verlag","title":"Optimization and characterization of a glycolipid produced by Achromobacter sp. to use in petroleum industries","type":"article-journal","volume":"59"},"uris":["http://www.mendeley.com/documents/?uuid=d14ea9a0-4f06-3189-83c5-da1c3ccd446b"]}],"mendeley":{"formattedCitation":"(48,49)","plainTextFormattedCitation":"(48,49)","previouslyFormattedCitation":"(48,49)"},"properties":{"noteIndex":0},"schema":"https://github.com/citation-style-language/schema/raw/master/csl-citation.json"}</w:instrText>
      </w:r>
      <w:r w:rsidR="006C3E18">
        <w:rPr>
          <w:rFonts w:eastAsiaTheme="minorEastAsia"/>
          <w:color w:val="000000"/>
        </w:rPr>
        <w:fldChar w:fldCharType="separate"/>
      </w:r>
      <w:r w:rsidR="007B4533" w:rsidRPr="007B4533">
        <w:rPr>
          <w:rFonts w:eastAsiaTheme="minorEastAsia"/>
          <w:noProof/>
          <w:color w:val="000000"/>
        </w:rPr>
        <w:t>(48,49)</w:t>
      </w:r>
      <w:r w:rsidR="006C3E18">
        <w:rPr>
          <w:rFonts w:eastAsiaTheme="minorEastAsia"/>
          <w:color w:val="000000"/>
        </w:rPr>
        <w:fldChar w:fldCharType="end"/>
      </w:r>
      <w:r w:rsidR="002252E9">
        <w:rPr>
          <w:rFonts w:eastAsiaTheme="minorEastAsia"/>
          <w:color w:val="000000"/>
        </w:rPr>
        <w:t>.</w:t>
      </w:r>
      <w:r w:rsidR="005575DD">
        <w:rPr>
          <w:rFonts w:eastAsiaTheme="minorEastAsia"/>
          <w:color w:val="000000"/>
        </w:rPr>
        <w:t xml:space="preserve"> Occasionally some of these purposes will overlap, for example natural products chemistry involves both drug discovery</w:t>
      </w:r>
      <w:r w:rsidR="00C5045F">
        <w:rPr>
          <w:rFonts w:eastAsiaTheme="minorEastAsia"/>
          <w:color w:val="000000"/>
        </w:rPr>
        <w:t xml:space="preserve"> and structural elucidation </w:t>
      </w:r>
      <w:r w:rsidR="005575DD">
        <w:rPr>
          <w:rFonts w:eastAsiaTheme="minorEastAsia"/>
          <w:color w:val="000000"/>
        </w:rPr>
        <w:t>as it identifies novel molecules</w:t>
      </w:r>
      <w:r w:rsidR="00F14BAD">
        <w:rPr>
          <w:rFonts w:eastAsiaTheme="minorEastAsia"/>
          <w:color w:val="000000"/>
        </w:rPr>
        <w:t xml:space="preserve"> for pharmaceutical treatment that are derived</w:t>
      </w:r>
      <w:r w:rsidR="005575DD">
        <w:rPr>
          <w:rFonts w:eastAsiaTheme="minorEastAsia"/>
          <w:color w:val="000000"/>
        </w:rPr>
        <w:t xml:space="preserve"> from natural products (i.e., plants and living organisms)</w:t>
      </w:r>
      <w:r w:rsidR="009E180A">
        <w:rPr>
          <w:rFonts w:eastAsiaTheme="minorEastAsia"/>
          <w:color w:val="000000"/>
        </w:rPr>
        <w:t xml:space="preserve"> using NMR</w:t>
      </w:r>
      <w:r w:rsidR="009E180A">
        <w:rPr>
          <w:rFonts w:eastAsiaTheme="minorEastAsia"/>
          <w:color w:val="000000"/>
        </w:rPr>
        <w:fldChar w:fldCharType="begin" w:fldLock="1"/>
      </w:r>
      <w:r w:rsidR="00966577">
        <w:rPr>
          <w:rFonts w:eastAsiaTheme="minorEastAsia"/>
          <w:color w:val="000000"/>
        </w:rPr>
        <w:instrText>ADDIN CSL_CITATION {"citationItems":[{"id":"ITEM-1","itemData":{"author":[{"dropping-particle":"","family":"Cseke","given":"Leland J.","non-dropping-particle":"","parse-names":false,"suffix":""},{"dropping-particle":"","family":"Kirakosyan","given":"Ara","non-dropping-particle":"","parse-names":false,"suffix":""},{"dropping-particle":"","family":"Kaufman","given":"Peter B.","non-dropping-particle":"","parse-names":false,"suffix":""},{"dropping-particle":"","family":"Warber","given":"Sara L.","non-dropping-particle":"","parse-names":false,"suffix":""},{"dropping-particle":"","family":"Duke","given":"James A.","non-dropping-particle":"","parse-names":false,"suffix":""},{"dropping-particle":"","family":"Brielmann","given":"Harry L.","non-dropping-particle":"","parse-names":false,"suffix":""}],"edition":"2nd Ed.","id":"ITEM-1","issued":{"date-parts":[["2006"]]},"publisher":"Taylor and Francis Ltd","publisher-place":"Florida, U.S.A","title":"Natural Products from Plants","type":"book"},"uris":["http://www.mendeley.com/documents/?uuid=542073d3-05b5-4e17-978f-ff43365d12f6"]}],"mendeley":{"formattedCitation":"(50)","plainTextFormattedCitation":"(50)","previouslyFormattedCitation":"(50)"},"properties":{"noteIndex":0},"schema":"https://github.com/citation-style-language/schema/raw/master/csl-citation.json"}</w:instrText>
      </w:r>
      <w:r w:rsidR="009E180A">
        <w:rPr>
          <w:rFonts w:eastAsiaTheme="minorEastAsia"/>
          <w:color w:val="000000"/>
        </w:rPr>
        <w:fldChar w:fldCharType="separate"/>
      </w:r>
      <w:r w:rsidR="007B4533" w:rsidRPr="007B4533">
        <w:rPr>
          <w:rFonts w:eastAsiaTheme="minorEastAsia"/>
          <w:noProof/>
          <w:color w:val="000000"/>
        </w:rPr>
        <w:t>(50)</w:t>
      </w:r>
      <w:r w:rsidR="009E180A">
        <w:rPr>
          <w:rFonts w:eastAsiaTheme="minorEastAsia"/>
          <w:color w:val="000000"/>
        </w:rPr>
        <w:fldChar w:fldCharType="end"/>
      </w:r>
      <w:r w:rsidR="00F812E8">
        <w:rPr>
          <w:rFonts w:eastAsiaTheme="minorEastAsia"/>
          <w:color w:val="000000"/>
        </w:rPr>
        <w:t xml:space="preserve">. </w:t>
      </w:r>
      <w:r w:rsidR="00844797">
        <w:rPr>
          <w:rFonts w:eastAsiaTheme="minorEastAsia"/>
          <w:color w:val="000000"/>
        </w:rPr>
        <w:t>By considering all</w:t>
      </w:r>
      <w:r w:rsidR="00F812E8">
        <w:rPr>
          <w:rFonts w:eastAsiaTheme="minorEastAsia"/>
          <w:color w:val="000000"/>
        </w:rPr>
        <w:t xml:space="preserve"> the different </w:t>
      </w:r>
      <w:r w:rsidR="00844797">
        <w:rPr>
          <w:rFonts w:eastAsiaTheme="minorEastAsia"/>
          <w:color w:val="000000"/>
        </w:rPr>
        <w:t>applications</w:t>
      </w:r>
      <w:r w:rsidR="00077E98">
        <w:rPr>
          <w:rFonts w:eastAsiaTheme="minorEastAsia"/>
          <w:color w:val="000000"/>
        </w:rPr>
        <w:t xml:space="preserve"> </w:t>
      </w:r>
      <w:r w:rsidR="00844797">
        <w:rPr>
          <w:rFonts w:eastAsiaTheme="minorEastAsia"/>
          <w:color w:val="000000"/>
        </w:rPr>
        <w:t>of</w:t>
      </w:r>
      <w:r>
        <w:rPr>
          <w:rFonts w:eastAsiaTheme="minorEastAsia"/>
          <w:color w:val="000000"/>
        </w:rPr>
        <w:t xml:space="preserve"> NMR</w:t>
      </w:r>
      <w:r w:rsidR="00844797">
        <w:rPr>
          <w:rFonts w:eastAsiaTheme="minorEastAsia"/>
          <w:color w:val="000000"/>
        </w:rPr>
        <w:t xml:space="preserve">, this review will determine the most </w:t>
      </w:r>
      <w:r w:rsidR="005F0C9B">
        <w:rPr>
          <w:rFonts w:eastAsiaTheme="minorEastAsia"/>
          <w:color w:val="000000"/>
        </w:rPr>
        <w:t xml:space="preserve">used </w:t>
      </w:r>
      <w:r w:rsidR="00844797">
        <w:rPr>
          <w:rFonts w:eastAsiaTheme="minorEastAsia"/>
          <w:color w:val="000000"/>
        </w:rPr>
        <w:t xml:space="preserve">application of NMR in psychedelic research.  </w:t>
      </w:r>
    </w:p>
    <w:p w14:paraId="15BFE1E9" w14:textId="77777777" w:rsidR="00E50706" w:rsidRPr="00144F61" w:rsidRDefault="00E50706" w:rsidP="00E50706">
      <w:pPr>
        <w:rPr>
          <w:rFonts w:eastAsiaTheme="minorEastAsia"/>
          <w:color w:val="000000"/>
        </w:rPr>
      </w:pPr>
    </w:p>
    <w:p w14:paraId="2B8EBDA4" w14:textId="77777777" w:rsidR="00CC44B4" w:rsidRDefault="00CC44B4" w:rsidP="00E50706"/>
    <w:p w14:paraId="5E8CEB32" w14:textId="77777777" w:rsidR="002C47AA" w:rsidRDefault="009419BE" w:rsidP="00E50706">
      <w:pPr>
        <w:rPr>
          <w:b/>
          <w:bCs/>
        </w:rPr>
      </w:pPr>
      <w:r w:rsidRPr="009419BE">
        <w:rPr>
          <w:b/>
          <w:bCs/>
        </w:rPr>
        <w:t xml:space="preserve">Psychedelic Research </w:t>
      </w:r>
    </w:p>
    <w:p w14:paraId="5C40F7FB" w14:textId="77777777" w:rsidR="00CC44B4" w:rsidRDefault="00CC44B4" w:rsidP="00E50706">
      <w:pPr>
        <w:rPr>
          <w:b/>
          <w:bCs/>
          <w:color w:val="C00000"/>
        </w:rPr>
      </w:pPr>
    </w:p>
    <w:p w14:paraId="15B5F1B4" w14:textId="2BBE35E8" w:rsidR="0040786E" w:rsidRDefault="00F65161" w:rsidP="00E50706">
      <w:r w:rsidRPr="00144F61">
        <w:t xml:space="preserve">Psychedelic molecules can be found in abundance in </w:t>
      </w:r>
      <w:r w:rsidR="0074261A" w:rsidRPr="00144F61">
        <w:t>nature, in natural substances</w:t>
      </w:r>
      <w:r w:rsidRPr="00144F61">
        <w:t xml:space="preserve"> </w:t>
      </w:r>
      <w:r w:rsidR="0074261A" w:rsidRPr="00144F61">
        <w:t>like psilocybin mushrooms, ayahuasca vine</w:t>
      </w:r>
      <w:r w:rsidR="006C0B69" w:rsidRPr="00144F61">
        <w:t xml:space="preserve">s </w:t>
      </w:r>
      <w:r w:rsidR="0074261A" w:rsidRPr="00144F61">
        <w:t>or the peyote cactus</w:t>
      </w:r>
      <w:r w:rsidR="009E180A">
        <w:fldChar w:fldCharType="begin" w:fldLock="1"/>
      </w:r>
      <w:r w:rsidR="00966577">
        <w:instrText>ADDIN CSL_CITATION {"citationItems":[{"id":"ITEM-1","itemData":{"DOI":"10.1124/pr.115.011478","ISSN":"15210081","PMID":"26841800","abstract":"Psychedelics (serotonergic hallucinogens) are powerful psychoactive substances that alter perception and mood and affect numerous cognitive processes. They are generally considered physiologically safe and do not lead to dependence or addiction. Their origin predates written history, and they were employed by early cultures in many sociocultural and ritual contexts. After the virtually contemporaneous discovery of (5R,8R)-(+)-lysergic acid-N,N-diethylamide (LSD)-25 and the identification of serotonin in the brain, early research focused intensively on the possibility that LSD and other psychedelics had a serotonergic basis for their action. Today there is a consensus that psychedelics are agonists or partial agonists at brain serotonin 5-hydroxytryptamine 2A receptors, with particular importance on those expressed on apical dendrites of neocortical pyramidal cells in layer V. Several useful rodent models have been developed over the years to help unravel the neurochemical correlates of serotonin 5-hydroxytryptamine 2A receptor activation in the brain, and a variety of imaging techniques have been employed to identify key brain areas that are directly affected by psychedelics. Recent and exciting developments in the field have occurred in clinical research, where several double-blind placebo-controlled phase 2 studies of psilocybin-assisted psychotherapy in patients with cancer-related psychosocial distress have demonstrated unprecedented positive relief of anxiety and depression. Two small pilot studies of psilocybinassisted psychotherapy also have shown positive benefit in treating both alcohol and nicotine addiction. Recently, blood oxygen level–dependent functional magnetic resonance imaging and magnetoencephalography have been employed for in vivo brain imaging in humans after administration of a psychedelic, and results indicate that intravenously administered psilocybin and LSD produce decreases in oscillatory power in areas of the brain’s default mode network.","author":[{"dropping-particle":"","family":"Nichols","given":"David E.","non-dropping-particle":"","parse-names":false,"suffix":""}],"container-title":"Pharmacological Reviews","id":"ITEM-1","issue":"2","issued":{"date-parts":[["2016","4","1"]]},"page":"264-355","publisher":"American Society for Pharmacology and Experimental Therapy","title":"Psychedelics","type":"article-journal","volume":"68"},"uris":["http://www.mendeley.com/documents/?uuid=542acdcf-054a-3f7c-8eb2-ddacc5e43cd3"]}],"mendeley":{"formattedCitation":"(51)","plainTextFormattedCitation":"(51)","previouslyFormattedCitation":"(51)"},"properties":{"noteIndex":0},"schema":"https://github.com/citation-style-language/schema/raw/master/csl-citation.json"}</w:instrText>
      </w:r>
      <w:r w:rsidR="009E180A">
        <w:fldChar w:fldCharType="separate"/>
      </w:r>
      <w:r w:rsidR="007B4533" w:rsidRPr="007B4533">
        <w:rPr>
          <w:noProof/>
        </w:rPr>
        <w:t>(51)</w:t>
      </w:r>
      <w:r w:rsidR="009E180A">
        <w:fldChar w:fldCharType="end"/>
      </w:r>
      <w:r w:rsidR="0074261A" w:rsidRPr="00144F61">
        <w:t xml:space="preserve">. </w:t>
      </w:r>
      <w:r w:rsidR="000E19BF">
        <w:t>Some of t</w:t>
      </w:r>
      <w:r w:rsidR="0074261A" w:rsidRPr="00144F61">
        <w:t xml:space="preserve">hese natural substances </w:t>
      </w:r>
      <w:r w:rsidR="003015D3">
        <w:t xml:space="preserve">have been used </w:t>
      </w:r>
      <w:r w:rsidR="005D3D09">
        <w:t>for</w:t>
      </w:r>
      <w:r w:rsidR="005D3D09" w:rsidRPr="00144F61">
        <w:t xml:space="preserve"> thousands of years</w:t>
      </w:r>
      <w:r w:rsidR="005D3D09">
        <w:t xml:space="preserve"> </w:t>
      </w:r>
      <w:r w:rsidR="0074261A" w:rsidRPr="00144F61">
        <w:t xml:space="preserve">in ceremonies and religious rituals </w:t>
      </w:r>
      <w:r w:rsidR="009419BE">
        <w:t>across cultures</w:t>
      </w:r>
      <w:r w:rsidR="008C2CCC">
        <w:t xml:space="preserve"> in different locations in the world</w:t>
      </w:r>
      <w:r w:rsidR="009E180A">
        <w:fldChar w:fldCharType="begin" w:fldLock="1"/>
      </w:r>
      <w:r w:rsidR="00966577">
        <w:instrText>ADDIN CSL_CITATION {"citationItems":[{"id":"ITEM-1","itemData":{"DOI":"10.1124/pr.115.011478","ISSN":"15210081","PMID":"26841800","abstract":"Psychedelics (serotonergic hallucinogens) are powerful psychoactive substances that alter perception and mood and affect numerous cognitive processes. They are generally considered physiologically safe and do not lead to dependence or addiction. Their origin predates written history, and they were employed by early cultures in many sociocultural and ritual contexts. After the virtually contemporaneous discovery of (5R,8R)-(+)-lysergic acid-N,N-diethylamide (LSD)-25 and the identification of serotonin in the brain, early research focused intensively on the possibility that LSD and other psychedelics had a serotonergic basis for their action. Today there is a consensus that psychedelics are agonists or partial agonists at brain serotonin 5-hydroxytryptamine 2A receptors, with particular importance on those expressed on apical dendrites of neocortical pyramidal cells in layer V. Several useful rodent models have been developed over the years to help unravel the neurochemical correlates of serotonin 5-hydroxytryptamine 2A receptor activation in the brain, and a variety of imaging techniques have been employed to identify key brain areas that are directly affected by psychedelics. Recent and exciting developments in the field have occurred in clinical research, where several double-blind placebo-controlled phase 2 studies of psilocybin-assisted psychotherapy in patients with cancer-related psychosocial distress have demonstrated unprecedented positive relief of anxiety and depression. Two small pilot studies of psilocybinassisted psychotherapy also have shown positive benefit in treating both alcohol and nicotine addiction. Recently, blood oxygen level–dependent functional magnetic resonance imaging and magnetoencephalography have been employed for in vivo brain imaging in humans after administration of a psychedelic, and results indicate that intravenously administered psilocybin and LSD produce decreases in oscillatory power in areas of the brain’s default mode network.","author":[{"dropping-particle":"","family":"Nichols","given":"David E.","non-dropping-particle":"","parse-names":false,"suffix":""}],"container-title":"Pharmacological Reviews","id":"ITEM-1","issue":"2","issued":{"date-parts":[["2016","4","1"]]},"page":"264-355","publisher":"American Society for Pharmacology and Experimental Therapy","title":"Psychedelics","type":"article-journal","volume":"68"},"uris":["http://www.mendeley.com/documents/?uuid=542acdcf-054a-3f7c-8eb2-ddacc5e43cd3"]}],"mendeley":{"formattedCitation":"(51)","plainTextFormattedCitation":"(51)","previouslyFormattedCitation":"(51)"},"properties":{"noteIndex":0},"schema":"https://github.com/citation-style-language/schema/raw/master/csl-citation.json"}</w:instrText>
      </w:r>
      <w:r w:rsidR="009E180A">
        <w:fldChar w:fldCharType="separate"/>
      </w:r>
      <w:r w:rsidR="007B4533" w:rsidRPr="007B4533">
        <w:rPr>
          <w:noProof/>
        </w:rPr>
        <w:t>(51)</w:t>
      </w:r>
      <w:r w:rsidR="009E180A">
        <w:fldChar w:fldCharType="end"/>
      </w:r>
      <w:r w:rsidR="0074261A" w:rsidRPr="00144F61">
        <w:t>.</w:t>
      </w:r>
      <w:r w:rsidR="009E180A">
        <w:t xml:space="preserve"> </w:t>
      </w:r>
      <w:r w:rsidR="00496573">
        <w:t>T</w:t>
      </w:r>
      <w:r w:rsidR="0074261A" w:rsidRPr="00144F61">
        <w:t xml:space="preserve">he </w:t>
      </w:r>
      <w:r w:rsidR="00C5045F">
        <w:t>study</w:t>
      </w:r>
      <w:r w:rsidR="00AA3EC6">
        <w:t xml:space="preserve"> of natural product</w:t>
      </w:r>
      <w:r w:rsidR="00C5045F">
        <w:t>s</w:t>
      </w:r>
      <w:r w:rsidR="00AA3EC6">
        <w:t xml:space="preserve"> </w:t>
      </w:r>
      <w:r w:rsidR="009E3255">
        <w:t>chemistry</w:t>
      </w:r>
      <w:r w:rsidR="0074261A" w:rsidRPr="00144F61">
        <w:t xml:space="preserve"> </w:t>
      </w:r>
      <w:r w:rsidR="000E19BF">
        <w:t>on</w:t>
      </w:r>
      <w:r w:rsidR="0074261A" w:rsidRPr="00144F61">
        <w:t xml:space="preserve"> these </w:t>
      </w:r>
      <w:r w:rsidR="00F541A0">
        <w:t xml:space="preserve">natural substances </w:t>
      </w:r>
      <w:r w:rsidR="00496573">
        <w:t xml:space="preserve">have </w:t>
      </w:r>
      <w:r w:rsidR="0074261A" w:rsidRPr="00144F61">
        <w:t>g</w:t>
      </w:r>
      <w:r w:rsidR="00496573">
        <w:t>iven</w:t>
      </w:r>
      <w:r w:rsidR="0074261A" w:rsidRPr="00144F61">
        <w:t xml:space="preserve"> rise to psychedelic</w:t>
      </w:r>
      <w:r w:rsidR="00927224">
        <w:t xml:space="preserve"> psychoactive</w:t>
      </w:r>
      <w:r w:rsidR="0074261A" w:rsidRPr="00144F61">
        <w:t xml:space="preserve"> molecules</w:t>
      </w:r>
      <w:r w:rsidR="006C0B69" w:rsidRPr="00144F61">
        <w:t xml:space="preserve"> </w:t>
      </w:r>
      <w:r w:rsidR="00F541A0">
        <w:t>being isolat</w:t>
      </w:r>
      <w:r w:rsidR="00D22AE0">
        <w:t xml:space="preserve">ed and </w:t>
      </w:r>
      <w:r w:rsidR="0039268E">
        <w:t>then chemically</w:t>
      </w:r>
      <w:r w:rsidR="006C0B69" w:rsidRPr="00144F61">
        <w:t xml:space="preserve"> synthesised in </w:t>
      </w:r>
      <w:r w:rsidR="00C5045F">
        <w:t>the</w:t>
      </w:r>
      <w:r w:rsidR="006C0B69" w:rsidRPr="00144F61">
        <w:t xml:space="preserve"> laboratory</w:t>
      </w:r>
      <w:r w:rsidR="009E180A">
        <w:fldChar w:fldCharType="begin" w:fldLock="1"/>
      </w:r>
      <w:r w:rsidR="00966577">
        <w:instrText>ADDIN CSL_CITATION {"citationItems":[{"id":"ITEM-1","itemData":{"author":[{"dropping-particle":"","family":"Cseke","given":"Leland J.","non-dropping-particle":"","parse-names":false,"suffix":""},{"dropping-particle":"","family":"Kirakosyan","given":"Ara","non-dropping-particle":"","parse-names":false,"suffix":""},{"dropping-particle":"","family":"Kaufman","given":"Peter B.","non-dropping-particle":"","parse-names":false,"suffix":""},{"dropping-particle":"","family":"Warber","given":"Sara L.","non-dropping-particle":"","parse-names":false,"suffix":""},{"dropping-particle":"","family":"Duke","given":"James A.","non-dropping-particle":"","parse-names":false,"suffix":""},{"dropping-particle":"","family":"Brielmann","given":"Harry L.","non-dropping-particle":"","parse-names":false,"suffix":""}],"edition":"2nd Ed.","id":"ITEM-1","issued":{"date-parts":[["2006"]]},"publisher":"Taylor and Francis Ltd","publisher-place":"Florida, U.S.A","title":"Natural Products from Plants","type":"book"},"uris":["http://www.mendeley.com/documents/?uuid=542073d3-05b5-4e17-978f-ff43365d12f6"]},{"id":"ITEM-2","itemData":{"abstract":"Long before the era of high through-put screening and genomics, drug discovery relied heavily on natural products. Drug discovery involves the identification of New Chemical Entities (NCEs) of potential therapeutic value, which can be obtained through isolation from natural sources, through chemical synthesis or a combination of both. However, the success stories for the discoveries Penicillin from penecilium rubens, Paclitaxel yew tree and marketed as Taxol, Aspirin from Willow bark of Salix alba tree etc. have pave way for scholars in the field of natural product and organic chemistry to focus their research work in drug-derived from plants and microorganisms. Natural products derived from these sources are rich in bioactive compound, which have been use over years throughout human history and evolution as remedies for various ailments. This paper however, X-rayed the sources and classes of natural products, pharmaceuticals derived from Natural product, and uses of natural products. The paper also recommended among others that, government should fund research in the area of natural products, pharmaceutical chemistry and pharmacognocy.","author":[{"dropping-particle":"","family":"Salihu","given":"M","non-dropping-particle":"","parse-names":false,"suffix":""},{"dropping-particle":"","family":"Muhammad","given":"A. B.","non-dropping-particle":"","parse-names":false,"suffix":""},{"dropping-particle":"","family":"Wada","given":"Bello M","non-dropping-particle":"","parse-names":false,"suffix":""},{"dropping-particle":"","family":"Abdullahi","given":"S","non-dropping-particle":"","parse-names":false,"suffix":""}],"container-title":"Global Journal of Pure and Applied Chemistry Research","id":"ITEM-2","issue":"1","issued":{"date-parts":[["2020"]]},"number-of-pages":"23-34","title":"Natural Products Chemistry: A Pathway For Drugs Discovery","type":"report","volume":"8"},"uris":["http://www.mendeley.com/documents/?uuid=bfb0543e-924b-3290-9e71-0ce81c836f2b"]},{"id":"ITEM-3","itemData":{"author":[{"dropping-particle":"","family":"Barton","given":"Derek","non-dropping-particle":"","parse-names":false,"suffix":""},{"dropping-particle":"","family":"Meth-Cohn","given":"O.","non-dropping-particle":"","parse-names":false,"suffix":""}],"edition":"1st Ed.","id":"ITEM-3","issued":{"date-parts":[["1999"]]},"publisher":"Pergamon Press","publisher-place":"England","title":"Comprehensive Natural Products Chemistry","type":"book"},"uris":["http://www.mendeley.com/documents/?uuid=f43035e6-3824-4645-a59e-a4848ff4d5ec"]}],"mendeley":{"formattedCitation":"(50,52,53)","plainTextFormattedCitation":"(50,52,53)","previouslyFormattedCitation":"(50,52,53)"},"properties":{"noteIndex":0},"schema":"https://github.com/citation-style-language/schema/raw/master/csl-citation.json"}</w:instrText>
      </w:r>
      <w:r w:rsidR="009E180A">
        <w:fldChar w:fldCharType="separate"/>
      </w:r>
      <w:r w:rsidR="007B4533" w:rsidRPr="007B4533">
        <w:rPr>
          <w:noProof/>
        </w:rPr>
        <w:t>(50,52,53)</w:t>
      </w:r>
      <w:r w:rsidR="009E180A">
        <w:fldChar w:fldCharType="end"/>
      </w:r>
      <w:r w:rsidR="009A24E8" w:rsidRPr="00144F61">
        <w:t xml:space="preserve">. </w:t>
      </w:r>
      <w:r w:rsidR="00775258">
        <w:t xml:space="preserve">Additionally, </w:t>
      </w:r>
      <w:r w:rsidR="00F54BAD">
        <w:t xml:space="preserve">once </w:t>
      </w:r>
      <w:r w:rsidR="00C62A31">
        <w:t>the</w:t>
      </w:r>
      <w:r w:rsidR="00AB2541">
        <w:t xml:space="preserve"> </w:t>
      </w:r>
      <w:r w:rsidR="00F54BAD">
        <w:t>molecular structure of a psychedelic molecule</w:t>
      </w:r>
      <w:r w:rsidR="00C62A31">
        <w:t xml:space="preserve"> </w:t>
      </w:r>
      <w:r w:rsidR="000F3228">
        <w:t>has been</w:t>
      </w:r>
      <w:r w:rsidR="00C62A31">
        <w:t xml:space="preserve"> established</w:t>
      </w:r>
      <w:r w:rsidR="00F54BAD">
        <w:t>,</w:t>
      </w:r>
      <w:r w:rsidR="00ED0933">
        <w:t xml:space="preserve"> synthetic chemistry can be</w:t>
      </w:r>
      <w:r w:rsidR="000A47C1">
        <w:t xml:space="preserve"> </w:t>
      </w:r>
      <w:r w:rsidR="004921CC">
        <w:t xml:space="preserve">used </w:t>
      </w:r>
      <w:r w:rsidR="000A47C1">
        <w:t>to</w:t>
      </w:r>
      <w:r w:rsidR="00B901AC">
        <w:t xml:space="preserve"> alter </w:t>
      </w:r>
      <w:r w:rsidR="007C3456">
        <w:t>the</w:t>
      </w:r>
      <w:r w:rsidR="009A24E8" w:rsidRPr="00144F61">
        <w:t xml:space="preserve"> functional groups on </w:t>
      </w:r>
      <w:r w:rsidR="0040786E">
        <w:t xml:space="preserve">these </w:t>
      </w:r>
      <w:r w:rsidR="0040786E" w:rsidRPr="00144F61">
        <w:t>molecules</w:t>
      </w:r>
      <w:r w:rsidR="007C3456">
        <w:t xml:space="preserve"> producing</w:t>
      </w:r>
      <w:r w:rsidR="00A04BC5">
        <w:t xml:space="preserve"> novel</w:t>
      </w:r>
      <w:r w:rsidR="00AE1E1D">
        <w:t xml:space="preserve"> psychedelic</w:t>
      </w:r>
      <w:r w:rsidR="007C3456">
        <w:t xml:space="preserve"> </w:t>
      </w:r>
      <w:r w:rsidR="00AE1E1D">
        <w:t>derivatives</w:t>
      </w:r>
      <w:r w:rsidR="009E180A">
        <w:fldChar w:fldCharType="begin" w:fldLock="1"/>
      </w:r>
      <w:r w:rsidR="00966577">
        <w:instrText>ADDIN CSL_CITATION {"citationItems":[{"id":"ITEM-1","itemData":{"DOI":"10.4324/9781849773669-32","author":[{"dropping-particle":"","family":"Nutt","given":"David","non-dropping-particle":"","parse-names":false,"suffix":""}],"container-title":"Unnatural Selection","edition":"1st Ed.","id":"ITEM-1","issued":{"date-parts":[["2008","12","25"]]},"page":"173-180","publisher":"Routledge","title":"Happier: A Psychopharmacology Perspective","type":"chapter"},"uris":["http://www.mendeley.com/documents/?uuid=a7ad2c6e-0861-3613-adf0-59f1ebd55ffd"]},{"id":"ITEM-2","itemData":{"DOI":"10.1093/ijnp/pyz042","ISSN":"14695111","PMID":"31353393","abstract":"Multiple initiatives at the national and international level support natural drug discovery. Psychiatrists and patients are not well informed about natural psychotropics in general. Existing antidepressant and antipsychotic drugs were developed from atropine, a natural product. Subsequent drug developments were largely based on extension and modification of earlier molecular scaffolds. This limits their mechanisms of action to similar neuropathways. Natural psychotropic substances, particularly those with hallucinogenic and psychedelic properties and different chemical structures, may serve as new paths to novel psychotropic drug development.","author":[{"dropping-particle":"","family":"Tang","given":"Siu Wa","non-dropping-particle":"","parse-names":false,"suffix":""},{"dropping-particle":"","family":"Tang","given":"Wayne H.","non-dropping-particle":"","parse-names":false,"suffix":""}],"container-title":"The international journal of neuropsychopharmacology","id":"ITEM-2","issue":"9","issued":{"date-parts":[["2019","9","1"]]},"page":"601-607","publisher":"NLM (Medline)","title":"Opportunities in Novel Psychotropic Drug Design from Natural Compounds","type":"article","volume":"22"},"uris":["http://www.mendeley.com/documents/?uuid=9edc3972-00e5-36d3-b9a9-f46349b606c1"]},{"id":"ITEM-3","itemData":{"DOI":"10.1002/chem.202000134","ISSN":"15213765","PMID":"32101345","abstract":"Psilocybin, the principal indole alkaloid of Psilocybe mushrooms, is currently undergoing clinical trials as a medication against treatment-resistant depression and major depressive disorder. The psilocybin supply for pharmaceutical purposes is met by synthetic chemistry. We replaced the problematic phosphorylation step during synthesis with the mushroom kinase PsiK. This enzyme was biochemically characterized and used to produce one gram of psilocybin from psilocin within 20 minutes. We also describe a pilot-scale protocol for recombinant PsiK that yielded 150 mg enzyme in active and soluble form. Our work consolidates the simplicity of tryptamine chemistry with the specificity and selectivity of enzymatic catalysis and helps provide access to an important drug at potentially reasonable cost.","author":[{"dropping-particle":"","family":"Fricke","given":"Janis","non-dropping-particle":"","parse-names":false,"suffix":""},{"dropping-particle":"","family":"Kargbo","given":"Robert","non-dropping-particle":"","parse-names":false,"suffix":""},{"dropping-particle":"","family":"Regestein","given":"Lars","non-dropping-particle":"","parse-names":false,"suffix":""},{"dropping-particle":"","family":"Lenz","given":"Claudius","non-dropping-particle":"","parse-names":false,"suffix":""},{"dropping-particle":"","family":"Peschel","given":"Gundela","non-dropping-particle":"","parse-names":false,"suffix":""},{"dropping-particle":"","family":"Rosenbaum","given":"Miriam A.","non-dropping-particle":"","parse-names":false,"suffix":""},{"dropping-particle":"","family":"Sherwood","given":"Alexander","non-dropping-particle":"","parse-names":false,"suffix":""},{"dropping-particle":"","family":"Hoffmeister","given":"Dirk","non-dropping-particle":"","parse-names":false,"suffix":""}],"container-title":"Chemistry - A European Journal","id":"ITEM-3","issue":"37","issued":{"date-parts":[["2020","7","2"]]},"page":"8281-8285","publisher":"Wiley-VCH Verlag","title":"Scalable Hybrid Synthetic/Biocatalytic Route to Psilocybin","type":"article-journal","volume":"26"},"uris":["http://www.mendeley.com/documents/?uuid=cc2429f8-9293-3f58-8694-85c68487e4bc"]}],"mendeley":{"formattedCitation":"(54–56)","plainTextFormattedCitation":"(54–56)","previouslyFormattedCitation":"(54–56)"},"properties":{"noteIndex":0},"schema":"https://github.com/citation-style-language/schema/raw/master/csl-citation.json"}</w:instrText>
      </w:r>
      <w:r w:rsidR="009E180A">
        <w:fldChar w:fldCharType="separate"/>
      </w:r>
      <w:r w:rsidR="007B4533" w:rsidRPr="007B4533">
        <w:rPr>
          <w:noProof/>
        </w:rPr>
        <w:t>(54–56)</w:t>
      </w:r>
      <w:r w:rsidR="009E180A">
        <w:fldChar w:fldCharType="end"/>
      </w:r>
      <w:r w:rsidR="00EB6E1F">
        <w:t>.</w:t>
      </w:r>
      <w:r w:rsidR="004C1D28">
        <w:t xml:space="preserve"> </w:t>
      </w:r>
      <w:r w:rsidR="00D940ED">
        <w:t>A n</w:t>
      </w:r>
      <w:r w:rsidR="006B4018">
        <w:t>otable</w:t>
      </w:r>
      <w:r w:rsidR="007C3456">
        <w:t xml:space="preserve"> </w:t>
      </w:r>
      <w:r w:rsidR="006B4018">
        <w:t xml:space="preserve">example </w:t>
      </w:r>
      <w:r w:rsidR="00110C9E">
        <w:t xml:space="preserve">was </w:t>
      </w:r>
      <w:r w:rsidR="00A04BC5">
        <w:t>when the Swiss chemist Albert Hofmann synthesised</w:t>
      </w:r>
      <w:r w:rsidR="00110C9E">
        <w:t xml:space="preserve"> lysergic acid diethylamide (LSD</w:t>
      </w:r>
      <w:r w:rsidR="009E4114">
        <w:t>)</w:t>
      </w:r>
      <w:r w:rsidR="00A04BC5">
        <w:t xml:space="preserve"> for the first time</w:t>
      </w:r>
      <w:r w:rsidR="00110C9E">
        <w:t xml:space="preserve"> </w:t>
      </w:r>
      <w:r w:rsidR="00A04BC5">
        <w:t xml:space="preserve">in </w:t>
      </w:r>
      <w:r w:rsidR="004116CF">
        <w:t>1938</w:t>
      </w:r>
      <w:r w:rsidR="00CE4D64">
        <w:fldChar w:fldCharType="begin" w:fldLock="1"/>
      </w:r>
      <w:r w:rsidR="00966577">
        <w:instrText>ADDIN CSL_CITATION {"citationItems":[{"id":"ITEM-1","itemData":{"author":[{"dropping-particle":"","family":"Hofmann","given":"Albert","non-dropping-particle":"","parse-names":false,"suffix":""}],"container-title":"LSD- A Total Study","id":"ITEM-1","issued":{"date-parts":[["1975"]]},"page":"107-141","publisher":"PJD Publications Limited","publisher-place":"New York, U.S.","title":"Chemistry of LSD","type":"chapter"},"uris":["http://www.mendeley.com/documents/?uuid=b0f10bc5-51c9-4f55-a7d8-dd0b6aa0c532"]}],"mendeley":{"formattedCitation":"(57)","plainTextFormattedCitation":"(57)","previouslyFormattedCitation":"(57)"},"properties":{"noteIndex":0},"schema":"https://github.com/citation-style-language/schema/raw/master/csl-citation.json"}</w:instrText>
      </w:r>
      <w:r w:rsidR="00CE4D64">
        <w:fldChar w:fldCharType="separate"/>
      </w:r>
      <w:r w:rsidR="007B4533" w:rsidRPr="007B4533">
        <w:rPr>
          <w:noProof/>
        </w:rPr>
        <w:t>(57)</w:t>
      </w:r>
      <w:r w:rsidR="00CE4D64">
        <w:fldChar w:fldCharType="end"/>
      </w:r>
      <w:r w:rsidR="00A04BC5">
        <w:t>;</w:t>
      </w:r>
      <w:r w:rsidR="00110C9E">
        <w:t xml:space="preserve"> the molecule is </w:t>
      </w:r>
      <w:r w:rsidR="00CA489F">
        <w:t>a derivative of lysergic acid found in ergot fungus</w:t>
      </w:r>
      <w:r w:rsidR="00D940ED">
        <w:t xml:space="preserve">. </w:t>
      </w:r>
    </w:p>
    <w:p w14:paraId="3612222D" w14:textId="77777777" w:rsidR="002079EB" w:rsidRDefault="002079EB" w:rsidP="00E50706"/>
    <w:p w14:paraId="1EAB7058" w14:textId="6F012CA2" w:rsidR="00963D0E" w:rsidRDefault="00C07A6A" w:rsidP="00E50706">
      <w:r>
        <w:t>Psychedelic molecules can be separated into two major groups</w:t>
      </w:r>
      <w:r w:rsidR="009E180A">
        <w:t>:</w:t>
      </w:r>
      <w:r>
        <w:t xml:space="preserve"> </w:t>
      </w:r>
      <w:proofErr w:type="spellStart"/>
      <w:r>
        <w:t>indol</w:t>
      </w:r>
      <w:r w:rsidR="002D5330">
        <w:t>e</w:t>
      </w:r>
      <w:r>
        <w:t>alkylamines</w:t>
      </w:r>
      <w:proofErr w:type="spellEnd"/>
      <w:r>
        <w:t xml:space="preserve"> </w:t>
      </w:r>
      <w:r w:rsidR="009E180A">
        <w:t>and</w:t>
      </w:r>
      <w:r>
        <w:t xml:space="preserve"> phenylethylamines</w:t>
      </w:r>
      <w:r>
        <w:fldChar w:fldCharType="begin" w:fldLock="1"/>
      </w:r>
      <w:r w:rsidR="00966577">
        <w:instrText>ADDIN CSL_CITATION {"citationItems":[{"id":"ITEM-1","itemData":{"DOI":"10.1080/03602532.2016.1278228","ISSN":"10979883","PMID":"28074670","abstract":"Psilocybin and psilocin are controlled substances in many countries. These are the two main hallucinogenic compounds of the “magic mushrooms” and both act as agonists or partial agonists at 5-hydroxytryptamine (5-HT)2A subtype receptors. During the last few years, psilocybin and psilocin have gained therapeutic relevance but considerable physiological variability between individuals that can influence dose-response and toxicological profile has been reported. This review aims to discuss metabolism of psilocybin and psilocin, by presenting all major and minor psychoactive metabolites. Psilocybin is primarily a pro-drug that is dephosphorylated by alkaline phosphatase to active metabolite psilocin. This last is then further metabolized, psilocin-O-glucuronide being the main urinary metabolite with clinical and forensic relevance in diagnosis.","author":[{"dropping-particle":"","family":"Dinis-Oliveira","given":"Ricardo Jorge","non-dropping-particle":"","parse-names":false,"suffix":""}],"container-title":"Drug Metabolism Reviews","id":"ITEM-1","issue":"1","issued":{"date-parts":[["2017","1","2"]]},"page":"84-91","publisher":"Taylor and Francis Ltd","title":"Metabolism of psilocybin and psilocin: clinical and forensic toxicological relevance","type":"article","volume":"49"},"uris":["http://www.mendeley.com/documents/?uuid=934d6748-7350-3cf3-8814-5cf4397a3b16"]}],"mendeley":{"formattedCitation":"(58)","plainTextFormattedCitation":"(58)","previouslyFormattedCitation":"(58)"},"properties":{"noteIndex":0},"schema":"https://github.com/citation-style-language/schema/raw/master/csl-citation.json"}</w:instrText>
      </w:r>
      <w:r>
        <w:fldChar w:fldCharType="separate"/>
      </w:r>
      <w:r w:rsidR="007B4533" w:rsidRPr="007B4533">
        <w:rPr>
          <w:noProof/>
        </w:rPr>
        <w:t>(58)</w:t>
      </w:r>
      <w:r>
        <w:fldChar w:fldCharType="end"/>
      </w:r>
      <w:r>
        <w:t xml:space="preserve">. </w:t>
      </w:r>
      <w:r w:rsidR="009E180A">
        <w:t>All</w:t>
      </w:r>
      <w:r>
        <w:t xml:space="preserve"> </w:t>
      </w:r>
      <w:proofErr w:type="spellStart"/>
      <w:r w:rsidR="00A73524">
        <w:t>indolealkylamines</w:t>
      </w:r>
      <w:proofErr w:type="spellEnd"/>
      <w:r>
        <w:t xml:space="preserve"> share t</w:t>
      </w:r>
      <w:r w:rsidRPr="00144F61">
        <w:t xml:space="preserve">he basic structure </w:t>
      </w:r>
      <w:r>
        <w:t xml:space="preserve">of a </w:t>
      </w:r>
      <w:r w:rsidRPr="00144F61">
        <w:t>tryptamine moiety</w:t>
      </w:r>
      <w:r>
        <w:t xml:space="preserve"> and</w:t>
      </w:r>
      <w:r w:rsidR="00654835">
        <w:t xml:space="preserve"> </w:t>
      </w:r>
      <w:r w:rsidR="000F2E8E">
        <w:t>are</w:t>
      </w:r>
      <w:r>
        <w:t xml:space="preserve"> often referred to as </w:t>
      </w:r>
      <w:r w:rsidR="000F2E8E">
        <w:t xml:space="preserve">belonging to </w:t>
      </w:r>
      <w:r>
        <w:t>the tryptamine class</w:t>
      </w:r>
      <w:r w:rsidR="00144C16">
        <w:t>.</w:t>
      </w:r>
      <w:r w:rsidRPr="00144F61">
        <w:t xml:space="preserve"> </w:t>
      </w:r>
      <w:r>
        <w:t xml:space="preserve">The tryptamine moiety is </w:t>
      </w:r>
      <w:r w:rsidR="002567D8">
        <w:t xml:space="preserve">also </w:t>
      </w:r>
      <w:r>
        <w:t xml:space="preserve">the </w:t>
      </w:r>
      <w:r w:rsidR="0078152C">
        <w:t xml:space="preserve">structural </w:t>
      </w:r>
      <w:r>
        <w:t>backbone</w:t>
      </w:r>
      <w:r w:rsidRPr="00144F61">
        <w:t xml:space="preserve"> </w:t>
      </w:r>
      <w:r w:rsidR="0078152C">
        <w:t xml:space="preserve">present </w:t>
      </w:r>
      <w:r w:rsidRPr="00144F61">
        <w:t>i</w:t>
      </w:r>
      <w:r w:rsidR="009E180A">
        <w:t>n</w:t>
      </w:r>
      <w:r w:rsidRPr="00144F61">
        <w:t xml:space="preserve"> serotonin</w:t>
      </w:r>
      <w:r>
        <w:t xml:space="preserve"> </w:t>
      </w:r>
      <w:r w:rsidR="00433150">
        <w:t>(</w:t>
      </w:r>
      <w:r w:rsidR="00433150">
        <w:rPr>
          <w:color w:val="000000"/>
          <w:shd w:val="clear" w:color="auto" w:fill="FFFFFF"/>
        </w:rPr>
        <w:t>5-hydroxytryptamine</w:t>
      </w:r>
      <w:r w:rsidR="00433150">
        <w:t>, 5-HT)</w:t>
      </w:r>
      <w:r w:rsidR="009E180A">
        <w:t xml:space="preserve"> </w:t>
      </w:r>
      <w:r w:rsidR="00BA3D94">
        <w:t>(Figure 1A)</w:t>
      </w:r>
      <w:r w:rsidR="009E180A">
        <w:t xml:space="preserve">. </w:t>
      </w:r>
      <w:r w:rsidR="00433150">
        <w:t>5-HT</w:t>
      </w:r>
      <w:r w:rsidR="00347DF6">
        <w:t xml:space="preserve"> is </w:t>
      </w:r>
      <w:r>
        <w:t>a</w:t>
      </w:r>
      <w:r w:rsidR="00347DF6">
        <w:t>n</w:t>
      </w:r>
      <w:r>
        <w:t xml:space="preserve"> essential neurotransmitte</w:t>
      </w:r>
      <w:r w:rsidR="00AC2919">
        <w:t>r</w:t>
      </w:r>
      <w:r w:rsidR="00D61AA3">
        <w:t xml:space="preserve"> that </w:t>
      </w:r>
      <w:r w:rsidR="00587D58">
        <w:t xml:space="preserve">has been implicated in </w:t>
      </w:r>
      <w:r w:rsidR="00EC255C">
        <w:t xml:space="preserve">mood regulation, learning mechanisms </w:t>
      </w:r>
      <w:r w:rsidR="0064723F">
        <w:t>and decision making</w:t>
      </w:r>
      <w:r w:rsidR="00F21E63">
        <w:fldChar w:fldCharType="begin" w:fldLock="1"/>
      </w:r>
      <w:r w:rsidR="00966577">
        <w:instrText>ADDIN CSL_CITATION {"citationItems":[{"id":"ITEM-1","itemData":{"DOI":"10.1038/s41467-020-16090-2","ISSN":"20411723","PMID":"32393738","abstract":"Selective serotonin reuptake inhibitors (SSRIs) constitute a first-line antidepressant intervention, though the precise cognitive and computational mechanisms that explain treatment response remain elusive. Using week-long SSRI treatment in healthy volunteer participants, we show serotonin enhances the impact of experimentally induced positive affect on learning of novel, and reconsolidation of previously learned, reward associations. Computational modelling indicated these effects are best accounted for by a boost in subjective reward perception during learning, following a positive, but not negative, mood induction. Thus, instead of influencing affect or reward sensitivity directly, SSRIs might amplify an interaction between the two, giving rise to a delayed mood response. We suggest this modulation of affect-learning dynamics may explain the evolution of a gradual mood improvement seen with these agents and provides a novel candidate mechanism for the unfolding of serotonin’s antidepressant effects over time.","author":[{"dropping-particle":"","family":"Michely","given":"Jochen","non-dropping-particle":"","parse-names":false,"suffix":""},{"dropping-particle":"","family":"Eldar","given":"Eran","non-dropping-particle":"","parse-names":false,"suffix":""},{"dropping-particle":"","family":"Martin","given":"Ingrid M.","non-dropping-particle":"","parse-names":false,"suffix":""},{"dropping-particle":"","family":"Dolan","given":"Raymond J.","non-dropping-particle":"","parse-names":false,"suffix":""}],"container-title":"Nature Communications","id":"ITEM-1","issue":"1","issued":{"date-parts":[["2020","12","1"]]},"page":"1-11","publisher":"Nature Research","title":"A mechanistic account of serotonin’s impact on mood","type":"article-journal","volume":"11"},"uris":["http://www.mendeley.com/documents/?uuid=a8d17271-c752-3f42-9814-b1cf98fed6db"]},{"id":"ITEM-2","itemData":{"DOI":"10.1038/npp.2010.151","abstract":"Affective valence lies on a spectrum ranging from punishment to reward. The coding of such spectra in the brain almost always involves opponency between pairs of systems or structures. There is ample evidence for the role of dopamine in the appetitive half of this spectrum, but little agreement about the existence, nature, or role of putative aversive opponents such as serotonin. In this review, we consider the structure of opponency in terms of previous biases about the nature of the decision problems that animals face, the conflicts that may thus arise between Pavlovian and instrumental responses, and an additional spectrum joining invigoration to inhibition. We use this analysis to shed light on aspects of the role of serotonin and its interactions with dopamine.","author":[{"dropping-particle":"","family":"Boureau","given":"Y-Lan","non-dropping-particle":"","parse-names":false,"suffix":""},{"dropping-particle":"","family":"Dayan","given":"Peter","non-dropping-particle":"","parse-names":false,"suffix":""}],"container-title":"Neuropsychopharmacology Reviews","id":"ITEM-2","issued":{"date-parts":[["2011"]]},"page":"74-97","title":"Opponency Revisited: Competition and Cooperation Between Dopamine and Serotonin","type":"article-journal","volume":"36"},"uris":["http://www.mendeley.com/documents/?uuid=273f6173-82c7-3780-b2d4-955830484039"]}],"mendeley":{"formattedCitation":"(59,60)","plainTextFormattedCitation":"(59,60)","previouslyFormattedCitation":"(59,60)"},"properties":{"noteIndex":0},"schema":"https://github.com/citation-style-language/schema/raw/master/csl-citation.json"}</w:instrText>
      </w:r>
      <w:r w:rsidR="00F21E63">
        <w:fldChar w:fldCharType="separate"/>
      </w:r>
      <w:r w:rsidR="007B4533" w:rsidRPr="007B4533">
        <w:rPr>
          <w:noProof/>
        </w:rPr>
        <w:t>(59,60)</w:t>
      </w:r>
      <w:r w:rsidR="00F21E63">
        <w:fldChar w:fldCharType="end"/>
      </w:r>
      <w:r w:rsidR="000C0C68">
        <w:t>.</w:t>
      </w:r>
      <w:r w:rsidR="00C66AE5">
        <w:t xml:space="preserve"> </w:t>
      </w:r>
      <w:r w:rsidR="00AC2919">
        <w:t>This moiety is also present in psilocin</w:t>
      </w:r>
      <w:r w:rsidR="002C3EA7">
        <w:t xml:space="preserve">, psilocybin, </w:t>
      </w:r>
      <w:r w:rsidR="00AC2919">
        <w:t>N-N-Dimethyltryptamine (DMT)</w:t>
      </w:r>
      <w:r w:rsidR="002C3EA7">
        <w:t>,</w:t>
      </w:r>
      <w:r w:rsidR="00AC2919">
        <w:t xml:space="preserve"> 5-methoxy-N-N-Dimet</w:t>
      </w:r>
      <w:r w:rsidR="00C5045F">
        <w:t>h</w:t>
      </w:r>
      <w:r w:rsidR="00AC2919">
        <w:t>yltryptamine (5-MeO-DMT)</w:t>
      </w:r>
      <w:r w:rsidR="002C3EA7">
        <w:t xml:space="preserve"> and LSD</w:t>
      </w:r>
      <w:r w:rsidR="00AC2919">
        <w:t xml:space="preserve">, as seen in </w:t>
      </w:r>
      <w:r w:rsidR="002567D8">
        <w:t>F</w:t>
      </w:r>
      <w:r w:rsidR="00AC2919">
        <w:t xml:space="preserve">igure 1. </w:t>
      </w:r>
      <w:r w:rsidR="005D0E11">
        <w:t xml:space="preserve">Despite </w:t>
      </w:r>
      <w:r w:rsidR="001C74AB">
        <w:t xml:space="preserve">psilocybin being the main </w:t>
      </w:r>
      <w:r w:rsidR="002C170B">
        <w:t xml:space="preserve">compound </w:t>
      </w:r>
      <w:r w:rsidR="001C74AB">
        <w:t>in</w:t>
      </w:r>
      <w:r w:rsidR="005D0E11">
        <w:t xml:space="preserve"> </w:t>
      </w:r>
      <w:proofErr w:type="spellStart"/>
      <w:r w:rsidR="001C74AB" w:rsidRPr="0041409E">
        <w:rPr>
          <w:i/>
          <w:iCs/>
        </w:rPr>
        <w:t>psilocybe</w:t>
      </w:r>
      <w:proofErr w:type="spellEnd"/>
      <w:r w:rsidR="001C74AB">
        <w:t xml:space="preserve"> mushrooms</w:t>
      </w:r>
      <w:r w:rsidR="00D05254">
        <w:t>, it is often falsely assumed to be the</w:t>
      </w:r>
      <w:r w:rsidR="00C23AE0">
        <w:t xml:space="preserve"> active molecule that binds to the receptors</w:t>
      </w:r>
      <w:r w:rsidR="00D05254">
        <w:t xml:space="preserve">. </w:t>
      </w:r>
      <w:r w:rsidR="00D05254">
        <w:lastRenderedPageBreak/>
        <w:t xml:space="preserve">Psilocybin </w:t>
      </w:r>
      <w:r w:rsidR="00545FDA">
        <w:t xml:space="preserve">has to be dephosphorylated by phosphatase to </w:t>
      </w:r>
      <w:r w:rsidR="0023346C">
        <w:t xml:space="preserve">become psilocin, and </w:t>
      </w:r>
      <w:r w:rsidR="00456429">
        <w:t>it is psilocin that is the</w:t>
      </w:r>
      <w:r w:rsidR="0023346C">
        <w:t xml:space="preserve"> </w:t>
      </w:r>
      <w:r w:rsidR="00C74A8A">
        <w:t>active metabolite</w:t>
      </w:r>
      <w:r w:rsidR="001C74AB">
        <w:t xml:space="preserve"> that </w:t>
      </w:r>
      <w:r w:rsidR="00E23B1A">
        <w:t>produces the psych</w:t>
      </w:r>
      <w:r w:rsidR="001060F9">
        <w:t xml:space="preserve">oactive </w:t>
      </w:r>
      <w:r w:rsidR="00E23B1A">
        <w:t>effect</w:t>
      </w:r>
      <w:r w:rsidR="0023346C">
        <w:t xml:space="preserve"> in the brain</w:t>
      </w:r>
      <w:r w:rsidR="002C170B">
        <w:fldChar w:fldCharType="begin" w:fldLock="1"/>
      </w:r>
      <w:r w:rsidR="00966577">
        <w:instrText>ADDIN CSL_CITATION {"citationItems":[{"id":"ITEM-1","itemData":{"DOI":"10.1080/03602532.2016.1278228","ISSN":"10979883","PMID":"28074670","abstract":"Psilocybin and psilocin are controlled substances in many countries. These are the two main hallucinogenic compounds of the “magic mushrooms” and both act as agonists or partial agonists at 5-hydroxytryptamine (5-HT)2A subtype receptors. During the last few years, psilocybin and psilocin have gained therapeutic relevance but considerable physiological variability between individuals that can influence dose-response and toxicological profile has been reported. This review aims to discuss metabolism of psilocybin and psilocin, by presenting all major and minor psychoactive metabolites. Psilocybin is primarily a pro-drug that is dephosphorylated by alkaline phosphatase to active metabolite psilocin. This last is then further metabolized, psilocin-O-glucuronide being the main urinary metabolite with clinical and forensic relevance in diagnosis.","author":[{"dropping-particle":"","family":"Dinis-Oliveira","given":"Ricardo Jorge","non-dropping-particle":"","parse-names":false,"suffix":""}],"container-title":"Drug Metabolism Reviews","id":"ITEM-1","issue":"1","issued":{"date-parts":[["2017","1","2"]]},"page":"84-91","publisher":"Taylor and Francis Ltd","title":"Metabolism of psilocybin and psilocin: clinical and forensic toxicological relevance","type":"article","volume":"49"},"uris":["http://www.mendeley.com/documents/?uuid=934d6748-7350-3cf3-8814-5cf4397a3b16"]}],"mendeley":{"formattedCitation":"(58)","plainTextFormattedCitation":"(58)","previouslyFormattedCitation":"(58)"},"properties":{"noteIndex":0},"schema":"https://github.com/citation-style-language/schema/raw/master/csl-citation.json"}</w:instrText>
      </w:r>
      <w:r w:rsidR="002C170B">
        <w:fldChar w:fldCharType="separate"/>
      </w:r>
      <w:r w:rsidR="007B4533" w:rsidRPr="007B4533">
        <w:rPr>
          <w:noProof/>
        </w:rPr>
        <w:t>(58)</w:t>
      </w:r>
      <w:r w:rsidR="002C170B">
        <w:fldChar w:fldCharType="end"/>
      </w:r>
      <w:r w:rsidR="0023346C">
        <w:t>. Therefore, b</w:t>
      </w:r>
      <w:r w:rsidR="005D0E11">
        <w:t xml:space="preserve">oth structures are included for comparison </w:t>
      </w:r>
      <w:r w:rsidR="004E7EBC">
        <w:t>(Figure 1B and 1C</w:t>
      </w:r>
      <w:proofErr w:type="gramStart"/>
      <w:r w:rsidR="004E7EBC">
        <w:t>)</w:t>
      </w:r>
      <w:proofErr w:type="gramEnd"/>
      <w:r w:rsidR="005945FA">
        <w:t xml:space="preserve"> and </w:t>
      </w:r>
      <w:r w:rsidR="00E66D75">
        <w:t xml:space="preserve">both will be included </w:t>
      </w:r>
      <w:r w:rsidR="005945FA">
        <w:t>in this review</w:t>
      </w:r>
      <w:r w:rsidR="005D0E11">
        <w:t xml:space="preserve">. </w:t>
      </w:r>
      <w:r w:rsidR="005945FA">
        <w:t xml:space="preserve">It </w:t>
      </w:r>
      <w:r w:rsidR="007A73B2">
        <w:t>should be noted that</w:t>
      </w:r>
      <w:r w:rsidR="005945FA">
        <w:t xml:space="preserve"> the</w:t>
      </w:r>
      <w:r w:rsidR="0078152C">
        <w:t xml:space="preserve"> </w:t>
      </w:r>
      <w:proofErr w:type="spellStart"/>
      <w:r w:rsidR="00AC2919">
        <w:t>indol</w:t>
      </w:r>
      <w:r w:rsidR="00A73524">
        <w:t>e</w:t>
      </w:r>
      <w:r w:rsidR="00AC2919">
        <w:t>alkylamines</w:t>
      </w:r>
      <w:proofErr w:type="spellEnd"/>
      <w:r w:rsidR="00AC2919">
        <w:t xml:space="preserve"> group can be divided further into two subgroups</w:t>
      </w:r>
      <w:r w:rsidR="00C16B21">
        <w:t xml:space="preserve"> called simple tryptamines and ergolines</w:t>
      </w:r>
      <w:r w:rsidR="00382A0C">
        <w:t>,</w:t>
      </w:r>
      <w:r w:rsidR="00C16B21">
        <w:t xml:space="preserve"> and this</w:t>
      </w:r>
      <w:r w:rsidR="00AC2919">
        <w:t xml:space="preserve"> provide</w:t>
      </w:r>
      <w:r w:rsidR="00C16B21">
        <w:t>s</w:t>
      </w:r>
      <w:r w:rsidR="00AC2919">
        <w:t xml:space="preserve"> more clarity about the structure. </w:t>
      </w:r>
      <w:r w:rsidR="007A73B2">
        <w:t>S</w:t>
      </w:r>
      <w:r w:rsidR="00AC2919">
        <w:t>imple tryptamines like psilocin, DMT and 5-MeO-DMT have conformational flexibility,</w:t>
      </w:r>
      <w:r w:rsidR="00382A0C">
        <w:t xml:space="preserve"> this is where a molecule can </w:t>
      </w:r>
      <w:r w:rsidR="009F083F">
        <w:t xml:space="preserve">adjust its molecular shape </w:t>
      </w:r>
      <w:r w:rsidR="00727608">
        <w:t>as it interacts with</w:t>
      </w:r>
      <w:r w:rsidR="009F083F">
        <w:t xml:space="preserve"> environmental factors </w:t>
      </w:r>
      <w:r w:rsidR="00727608">
        <w:t>or receptors</w:t>
      </w:r>
      <w:r w:rsidR="00736B40">
        <w:t xml:space="preserve">. </w:t>
      </w:r>
      <w:r w:rsidR="004442BB">
        <w:t>Contrastingly, e</w:t>
      </w:r>
      <w:r w:rsidR="00AC2919">
        <w:t>rgolines like LSD have relatively rigid structures</w:t>
      </w:r>
      <w:r w:rsidR="00377DAC">
        <w:t xml:space="preserve"> because </w:t>
      </w:r>
      <w:r w:rsidR="009E180A">
        <w:t xml:space="preserve">of the presence of </w:t>
      </w:r>
      <w:proofErr w:type="gramStart"/>
      <w:r w:rsidR="009E180A">
        <w:t>a number of</w:t>
      </w:r>
      <w:proofErr w:type="gramEnd"/>
      <w:r w:rsidR="009E180A">
        <w:t xml:space="preserve"> conjugated double bonds across the ring structures</w:t>
      </w:r>
      <w:r w:rsidR="00377DAC">
        <w:t xml:space="preserve"> (Figure 1F), </w:t>
      </w:r>
      <w:r w:rsidR="00736B40">
        <w:t xml:space="preserve">which means </w:t>
      </w:r>
      <w:r w:rsidR="001C768F">
        <w:t>that</w:t>
      </w:r>
      <w:r w:rsidR="000F2E8E">
        <w:t xml:space="preserve"> the</w:t>
      </w:r>
      <w:r w:rsidR="001C768F">
        <w:t xml:space="preserve"> </w:t>
      </w:r>
      <w:r w:rsidR="00215250">
        <w:t xml:space="preserve">LSD molecule cannot </w:t>
      </w:r>
      <w:r w:rsidR="006508EA">
        <w:t xml:space="preserve">rotate freely around bonds (i.e., </w:t>
      </w:r>
      <w:r w:rsidR="00BB7D24">
        <w:t xml:space="preserve">freely </w:t>
      </w:r>
      <w:r w:rsidR="00215250">
        <w:t>adjust its shape</w:t>
      </w:r>
      <w:r w:rsidR="006508EA">
        <w:t>)</w:t>
      </w:r>
      <w:r w:rsidR="00DF2118">
        <w:t xml:space="preserve">. </w:t>
      </w:r>
      <w:r w:rsidR="000723CF">
        <w:t xml:space="preserve">It is important to note that </w:t>
      </w:r>
      <w:r w:rsidR="000723CF">
        <w:rPr>
          <w:rFonts w:eastAsiaTheme="minorEastAsia"/>
          <w:color w:val="000000" w:themeColor="text1"/>
        </w:rPr>
        <w:t>t</w:t>
      </w:r>
      <w:r w:rsidR="00AF0C79">
        <w:rPr>
          <w:rFonts w:eastAsiaTheme="minorEastAsia"/>
          <w:color w:val="000000" w:themeColor="text1"/>
        </w:rPr>
        <w:t>here are hundreds of LSD derivatives that have been chemically synthesised since the discovery of LSD</w:t>
      </w:r>
      <w:r w:rsidR="00C5045F">
        <w:rPr>
          <w:rFonts w:eastAsiaTheme="minorEastAsia"/>
          <w:color w:val="000000" w:themeColor="text1"/>
        </w:rPr>
        <w:fldChar w:fldCharType="begin" w:fldLock="1"/>
      </w:r>
      <w:r w:rsidR="00966577">
        <w:rPr>
          <w:rFonts w:eastAsiaTheme="minorEastAsia"/>
          <w:color w:val="000000" w:themeColor="text1"/>
        </w:rPr>
        <w:instrText>ADDIN CSL_CITATION {"citationItems":[{"id":"ITEM-1","itemData":{"ISBN":"0-9630096-9-9","author":[{"dropping-particle":"","family":"Shulgin","given":"Alexander","non-dropping-particle":"","parse-names":false,"suffix":""},{"dropping-particle":"","family":"Shulgin","given":"Ann","non-dropping-particle":"","parse-names":false,"suffix":""}],"edition":"1st","editor":[{"dropping-particle":"","family":"Joy","given":"Dan","non-dropping-particle":"","parse-names":false,"suffix":""}],"id":"ITEM-1","issued":{"date-parts":[["1997"]]},"publisher":"Transform Press","publisher-place":"Berkley, California, U.S.","title":"TiHKAL: The Continuation","type":"book"},"uris":["http://www.mendeley.com/documents/?uuid=d08090d8-a9ab-486c-a939-5af38457cadf"]}],"mendeley":{"formattedCitation":"(61)","plainTextFormattedCitation":"(61)","previouslyFormattedCitation":"(61)"},"properties":{"noteIndex":0},"schema":"https://github.com/citation-style-language/schema/raw/master/csl-citation.json"}</w:instrText>
      </w:r>
      <w:r w:rsidR="00C5045F">
        <w:rPr>
          <w:rFonts w:eastAsiaTheme="minorEastAsia"/>
          <w:color w:val="000000" w:themeColor="text1"/>
        </w:rPr>
        <w:fldChar w:fldCharType="separate"/>
      </w:r>
      <w:r w:rsidR="007B4533" w:rsidRPr="007B4533">
        <w:rPr>
          <w:rFonts w:eastAsiaTheme="minorEastAsia"/>
          <w:noProof/>
          <w:color w:val="000000" w:themeColor="text1"/>
        </w:rPr>
        <w:t>(61)</w:t>
      </w:r>
      <w:r w:rsidR="00C5045F">
        <w:rPr>
          <w:rFonts w:eastAsiaTheme="minorEastAsia"/>
          <w:color w:val="000000" w:themeColor="text1"/>
        </w:rPr>
        <w:fldChar w:fldCharType="end"/>
      </w:r>
      <w:r w:rsidR="000F2E8E">
        <w:rPr>
          <w:rFonts w:eastAsiaTheme="minorEastAsia"/>
          <w:color w:val="000000" w:themeColor="text1"/>
        </w:rPr>
        <w:t>;</w:t>
      </w:r>
      <w:r w:rsidR="00AF0C79">
        <w:rPr>
          <w:rFonts w:eastAsiaTheme="minorEastAsia"/>
          <w:color w:val="000000" w:themeColor="text1"/>
        </w:rPr>
        <w:t xml:space="preserve"> these are often referred to as new psychoactive substance (NPS). These derivatives often become available on the illegal drug market as </w:t>
      </w:r>
      <w:r w:rsidR="000B2D36">
        <w:rPr>
          <w:rFonts w:eastAsiaTheme="minorEastAsia"/>
          <w:color w:val="000000" w:themeColor="text1"/>
        </w:rPr>
        <w:t>“</w:t>
      </w:r>
      <w:r w:rsidR="00AF0C79">
        <w:rPr>
          <w:rFonts w:eastAsiaTheme="minorEastAsia"/>
          <w:color w:val="000000" w:themeColor="text1"/>
        </w:rPr>
        <w:t>designer drugs</w:t>
      </w:r>
      <w:r w:rsidR="00C5045F">
        <w:rPr>
          <w:rFonts w:eastAsiaTheme="minorEastAsia"/>
          <w:color w:val="000000" w:themeColor="text1"/>
        </w:rPr>
        <w:t>”</w:t>
      </w:r>
      <w:r w:rsidR="00AF0C79">
        <w:rPr>
          <w:rFonts w:eastAsiaTheme="minorEastAsia"/>
          <w:color w:val="000000" w:themeColor="text1"/>
        </w:rPr>
        <w:t xml:space="preserve"> and are consumed with the assumption they will evoke a similar biological response as LSD. </w:t>
      </w:r>
    </w:p>
    <w:p w14:paraId="0103D3C8" w14:textId="6F0D43C6" w:rsidR="00963D0E" w:rsidRDefault="00963D0E" w:rsidP="00E50706"/>
    <w:p w14:paraId="01F6BFFC" w14:textId="314E5095" w:rsidR="00FC3660" w:rsidRDefault="00813D94" w:rsidP="00E50706">
      <w:pPr>
        <w:rPr>
          <w:color w:val="000000"/>
          <w:shd w:val="clear" w:color="auto" w:fill="FFFFFF"/>
        </w:rPr>
      </w:pPr>
      <w:r>
        <w:t>I</w:t>
      </w:r>
      <w:r w:rsidRPr="00144F61">
        <w:t>t is understood that psych</w:t>
      </w:r>
      <w:r>
        <w:t>e</w:t>
      </w:r>
      <w:r w:rsidRPr="00144F61">
        <w:t xml:space="preserve">delics are agonists or partial agonists for the brain </w:t>
      </w:r>
      <w:r w:rsidR="00433150">
        <w:t xml:space="preserve">serotonergic </w:t>
      </w:r>
      <w:r w:rsidRPr="00144F61">
        <w:t>5</w:t>
      </w:r>
      <w:r>
        <w:t>-</w:t>
      </w:r>
      <w:r w:rsidRPr="00144F61">
        <w:t>HT</w:t>
      </w:r>
      <w:r w:rsidRPr="005F78B7">
        <w:rPr>
          <w:vertAlign w:val="subscript"/>
        </w:rPr>
        <w:t>2A</w:t>
      </w:r>
      <w:r w:rsidRPr="00144F61">
        <w:t xml:space="preserve"> receptors, which are expressed on the apical dendrites of the neocortical pyramidal cells in layer V</w:t>
      </w:r>
      <w:r w:rsidR="00C627D6">
        <w:fldChar w:fldCharType="begin" w:fldLock="1"/>
      </w:r>
      <w:r w:rsidR="00966577">
        <w:instrText>ADDIN CSL_CITATION {"citationItems":[{"id":"ITEM-1","itemData":{"DOI":"10.1124/pr.115.011478","ISSN":"15210081","PMID":"26841800","abstract":"Psychedelics (serotonergic hallucinogens) are powerful psychoactive substances that alter perception and mood and affect numerous cognitive processes. They are generally considered physiologically safe and do not lead to dependence or addiction. Their origin predates written history, and they were employed by early cultures in many sociocultural and ritual contexts. After the virtually contemporaneous discovery of (5R,8R)-(+)-lysergic acid-N,N-diethylamide (LSD)-25 and the identification of serotonin in the brain, early research focused intensively on the possibility that LSD and other psychedelics had a serotonergic basis for their action. Today there is a consensus that psychedelics are agonists or partial agonists at brain serotonin 5-hydroxytryptamine 2A receptors, with particular importance on those expressed on apical dendrites of neocortical pyramidal cells in layer V. Several useful rodent models have been developed over the years to help unravel the neurochemical correlates of serotonin 5-hydroxytryptamine 2A receptor activation in the brain, and a variety of imaging techniques have been employed to identify key brain areas that are directly affected by psychedelics. Recent and exciting developments in the field have occurred in clinical research, where several double-blind placebo-controlled phase 2 studies of psilocybin-assisted psychotherapy in patients with cancer-related psychosocial distress have demonstrated unprecedented positive relief of anxiety and depression. Two small pilot studies of psilocybinassisted psychotherapy also have shown positive benefit in treating both alcohol and nicotine addiction. Recently, blood oxygen level–dependent functional magnetic resonance imaging and magnetoencephalography have been employed for in vivo brain imaging in humans after administration of a psychedelic, and results indicate that intravenously administered psilocybin and LSD produce decreases in oscillatory power in areas of the brain’s default mode network.","author":[{"dropping-particle":"","family":"Nichols","given":"David E.","non-dropping-particle":"","parse-names":false,"suffix":""}],"container-title":"Pharmacological Reviews","id":"ITEM-1","issue":"2","issued":{"date-parts":[["2016","4","1"]]},"page":"264-355","publisher":"American Society for Pharmacology and Experimental Therapy","title":"Psychedelics","type":"article-journal","volume":"68"},"uris":["http://www.mendeley.com/documents/?uuid=542acdcf-054a-3f7c-8eb2-ddacc5e43cd3"]},{"id":"ITEM-2","itemData":{"DOI":"10.1523/JNEUROSCI.2063-13.2013","ISSN":"02706474","PMID":"24048847","abstract":"Psychedelic drugs produce profound changes in consciousness, but the underlying neurobiological mechanisms for this remain unclear. Spontaneous and induced oscillatory activity was recorded in healthy human participants with magnetoencephalography after intravenous infusion of psilocybin-prodrug of the nonselective serotonin 2A receptor agonist and classic psychedelic psilocin. Psilocybin reduced spontaneous cortical oscillatory power from 1 to 50 Hz in posterior association cortices, and from 8 to 100 Hz in frontal association cortices. Large decreases in oscillatory power were seen in areas of the default-mode network. Independent component analysis was used to identify a number of resting-state networks, and activity in these was similarly decreased after psilocybin. Psilocybin had no effect on low-level visually induced and motor-induced gamma-band oscillations, suggesting that some basic elements of oscillatory brain activity are relatively preserved during the psychedelic experience. Dynamic causal modeling revealed that posterior cingulate cortex desynchronization can be explained by increased excitability of deep-layer pyramidal neurons, which are known to be rich in 5-HT2A receptors. These findings suggest that the subjective effects of psychedelics result from a desynchronization of ongoing oscillatory rhythms in the cortex, likely triggered by 5-HT2A receptor-mediated excitation of deep pyramidal cells. © 2013 the authors.","author":[{"dropping-particle":"","family":"Muthukumaraswamy","given":"Suresh D.","non-dropping-particle":"","parse-names":false,"suffix":""},{"dropping-particle":"","family":"Carhart-Harris","given":"Robin L.","non-dropping-particle":"","parse-names":false,"suffix":""},{"dropping-particle":"","family":"Moran","given":"Rosalyn J.","non-dropping-particle":"","parse-names":false,"suffix":""},{"dropping-particle":"","family":"Brookes","given":"Matthew J.","non-dropping-particle":"","parse-names":false,"suffix":""},{"dropping-particle":"","family":"Williams","given":"Tim M.","non-dropping-particle":"","parse-names":false,"suffix":""},{"dropping-particle":"","family":"Errtizoe","given":"David","non-dropping-particle":"","parse-names":false,"suffix":""},{"dropping-particle":"","family":"Sessa","given":"Ben","non-dropping-particle":"","parse-names":false,"suffix":""},{"dropping-particle":"","family":"Papadopoulos","given":"Andreas","non-dropping-particle":"","parse-names":false,"suffix":""},{"dropping-particle":"","family":"Bolstridge","given":"Mark","non-dropping-particle":"","parse-names":false,"suffix":""},{"dropping-particle":"","family":"Singh","given":"Krish D.","non-dropping-particle":"","parse-names":false,"suffix":""},{"dropping-particle":"","family":"Feilding","given":"Amanda","non-dropping-particle":"","parse-names":false,"suffix":""},{"dropping-particle":"","family":"Friston","given":"Karl J.","non-dropping-particle":"","parse-names":false,"suffix":""},{"dropping-particle":"","family":"Nutt","given":"David J.","non-dropping-particle":"","parse-names":false,"suffix":""}],"container-title":"Journal of Neuroscience","id":"ITEM-2","issue":"38","issued":{"date-parts":[["2013"]]},"page":"15171-15183","publisher":"J Neurosci","title":"Broadband cortical desynchronization underlies the human psychedelic state","type":"article-journal","volume":"33"},"uris":["http://www.mendeley.com/documents/?uuid=63c1d810-2efb-34d2-b1d2-9457983f0f04"]}],"mendeley":{"formattedCitation":"(51,62)","plainTextFormattedCitation":"(51,62)","previouslyFormattedCitation":"(51,62)"},"properties":{"noteIndex":0},"schema":"https://github.com/citation-style-language/schema/raw/master/csl-citation.json"}</w:instrText>
      </w:r>
      <w:r w:rsidR="00C627D6">
        <w:fldChar w:fldCharType="separate"/>
      </w:r>
      <w:r w:rsidR="007B4533" w:rsidRPr="007B4533">
        <w:rPr>
          <w:noProof/>
        </w:rPr>
        <w:t>(51,62)</w:t>
      </w:r>
      <w:r w:rsidR="00C627D6">
        <w:fldChar w:fldCharType="end"/>
      </w:r>
      <w:r>
        <w:t xml:space="preserve">. </w:t>
      </w:r>
      <w:r w:rsidR="00B74E6C">
        <w:t>The tryptamine moiety is an</w:t>
      </w:r>
      <w:r w:rsidR="00E45174">
        <w:t xml:space="preserve"> essential</w:t>
      </w:r>
      <w:r w:rsidR="00591DF8">
        <w:t xml:space="preserve"> </w:t>
      </w:r>
      <w:r w:rsidR="00B74E6C">
        <w:t>part of psychedelic mol</w:t>
      </w:r>
      <w:r w:rsidR="00756ADE">
        <w:t>e</w:t>
      </w:r>
      <w:r w:rsidR="00B74E6C">
        <w:t>cul</w:t>
      </w:r>
      <w:r w:rsidR="00550F5A">
        <w:t>e</w:t>
      </w:r>
      <w:r w:rsidR="009E180A">
        <w:t>s</w:t>
      </w:r>
      <w:r w:rsidR="00B74E6C">
        <w:t xml:space="preserve"> because </w:t>
      </w:r>
      <w:r w:rsidR="00756ADE">
        <w:t>it is</w:t>
      </w:r>
      <w:r w:rsidR="00F07C83">
        <w:t xml:space="preserve"> </w:t>
      </w:r>
      <w:r w:rsidR="009E180A">
        <w:t xml:space="preserve">the part that </w:t>
      </w:r>
      <w:r w:rsidR="00756ADE">
        <w:t>binds to</w:t>
      </w:r>
      <w:r w:rsidR="00CF0202">
        <w:t xml:space="preserve"> the </w:t>
      </w:r>
      <w:proofErr w:type="spellStart"/>
      <w:r w:rsidR="004C4975">
        <w:t>orthosteric</w:t>
      </w:r>
      <w:proofErr w:type="spellEnd"/>
      <w:r w:rsidR="004C4975">
        <w:t xml:space="preserve"> pocket </w:t>
      </w:r>
      <w:r w:rsidR="00513510">
        <w:t xml:space="preserve">of the </w:t>
      </w:r>
      <w:r w:rsidR="00513510" w:rsidRPr="00144F61">
        <w:t>5</w:t>
      </w:r>
      <w:r w:rsidR="00513510">
        <w:t>-</w:t>
      </w:r>
      <w:r w:rsidR="00513510" w:rsidRPr="00144F61">
        <w:t>HT</w:t>
      </w:r>
      <w:r w:rsidR="00513510" w:rsidRPr="005F78B7">
        <w:rPr>
          <w:vertAlign w:val="subscript"/>
        </w:rPr>
        <w:t>2A</w:t>
      </w:r>
      <w:r w:rsidR="00513510">
        <w:t xml:space="preserve"> receptor</w:t>
      </w:r>
      <w:r w:rsidR="00DE353B">
        <w:fldChar w:fldCharType="begin" w:fldLock="1"/>
      </w:r>
      <w:r w:rsidR="00966577">
        <w:instrText>ADDIN CSL_CITATION {"citationItems":[{"id":"ITEM-1","itemData":{"DOI":"10.1016/j.cell.2017.01.012","ISSN":"10974172","PMID":"28129534","abstract":"Wacker et al. report the crystal structure of LSD in complex with one of its major targets in the brain, the 5-HT2B receptor, the first such structure for any psychedelic drug. The results shed light on the molecular mechanisms underlying its ability to induce hallucinations with greater duration and potency than closely related compounds.","author":[{"dropping-particle":"","family":"Chen","given":"Qiuyan","non-dropping-particle":"","parse-names":false,"suffix":""},{"dropping-particle":"","family":"Tesmer","given":"John J.G.","non-dropping-particle":"","parse-names":false,"suffix":""}],"container-title":"Cell","id":"ITEM-1","issue":"3","issued":{"date-parts":[["2017","1","26"]]},"page":"339-341","publisher":"Cell Press","title":"A Receptor on Acid","type":"article","volume":"168"},"uris":["http://www.mendeley.com/documents/?uuid=d97196c3-c751-39e8-8505-facb34329882"]}],"mendeley":{"formattedCitation":"(63)","plainTextFormattedCitation":"(63)","previouslyFormattedCitation":"(63)"},"properties":{"noteIndex":0},"schema":"https://github.com/citation-style-language/schema/raw/master/csl-citation.json"}</w:instrText>
      </w:r>
      <w:r w:rsidR="00DE353B">
        <w:fldChar w:fldCharType="separate"/>
      </w:r>
      <w:r w:rsidR="007B4533" w:rsidRPr="007B4533">
        <w:rPr>
          <w:noProof/>
        </w:rPr>
        <w:t>(63)</w:t>
      </w:r>
      <w:r w:rsidR="00DE353B">
        <w:fldChar w:fldCharType="end"/>
      </w:r>
      <w:r w:rsidR="004C4975">
        <w:t>, which is the endogenous agonist binding site</w:t>
      </w:r>
      <w:r w:rsidR="00DE353B">
        <w:t xml:space="preserve">. </w:t>
      </w:r>
      <w:r w:rsidR="00B12B1E" w:rsidRPr="00144F61">
        <w:t>The</w:t>
      </w:r>
      <w:r w:rsidR="00B12B1E">
        <w:t xml:space="preserve"> </w:t>
      </w:r>
      <w:r w:rsidR="00B12B1E" w:rsidRPr="00144F61">
        <w:t>5</w:t>
      </w:r>
      <w:r w:rsidR="00B12B1E">
        <w:t>-</w:t>
      </w:r>
      <w:r w:rsidR="00B12B1E" w:rsidRPr="00144F61">
        <w:t>HT</w:t>
      </w:r>
      <w:r w:rsidR="00B12B1E" w:rsidRPr="005F78B7">
        <w:rPr>
          <w:vertAlign w:val="subscript"/>
        </w:rPr>
        <w:t>2A</w:t>
      </w:r>
      <w:r w:rsidR="00B12B1E">
        <w:t xml:space="preserve"> receptors are believed to play a critical role in higher cortical brain functions</w:t>
      </w:r>
      <w:r w:rsidR="00B12B1E">
        <w:fldChar w:fldCharType="begin" w:fldLock="1"/>
      </w:r>
      <w:r w:rsidR="00966577">
        <w:instrText>ADDIN CSL_CITATION {"citationItems":[{"id":"ITEM-1","itemData":{"DOI":"10.1016/B978-0-12-374947-5.00015-8","ISBN":"9780123749475","author":[{"dropping-particle":"","family":"Hensler","given":"Julie G.","non-dropping-particle":"","parse-names":false,"suffix":""}],"container-title":"Basic Neurochemistry","id":"ITEM-1","issued":{"date-parts":[["2012","1","1"]]},"page":"300-322","publisher":"Elsevier","title":"Serotonin","type":"chapter"},"uris":["http://www.mendeley.com/documents/?uuid=c51cd02b-820c-3854-8213-f647a3f0b138"]}],"mendeley":{"formattedCitation":"(64)","plainTextFormattedCitation":"(64)","previouslyFormattedCitation":"(64)"},"properties":{"noteIndex":0},"schema":"https://github.com/citation-style-language/schema/raw/master/csl-citation.json"}</w:instrText>
      </w:r>
      <w:r w:rsidR="00B12B1E">
        <w:fldChar w:fldCharType="separate"/>
      </w:r>
      <w:r w:rsidR="007B4533" w:rsidRPr="007B4533">
        <w:rPr>
          <w:noProof/>
        </w:rPr>
        <w:t>(64)</w:t>
      </w:r>
      <w:r w:rsidR="00B12B1E">
        <w:fldChar w:fldCharType="end"/>
      </w:r>
      <w:r w:rsidR="00B12B1E">
        <w:t>.</w:t>
      </w:r>
      <w:r w:rsidR="00051467">
        <w:t xml:space="preserve"> </w:t>
      </w:r>
      <w:r w:rsidR="00550F5A">
        <w:t xml:space="preserve">However, </w:t>
      </w:r>
      <w:r w:rsidR="00427AC1">
        <w:t xml:space="preserve">there is also evidence that there is serotonergic activity outside the CNS. </w:t>
      </w:r>
      <w:r w:rsidR="00433150">
        <w:rPr>
          <w:color w:val="000000"/>
          <w:shd w:val="clear" w:color="auto" w:fill="FFFFFF"/>
        </w:rPr>
        <w:t>Approximately 90% of the body’s 5-HT is produced by enteroendocrine cells that reside in the epithelium of the gu</w:t>
      </w:r>
      <w:r w:rsidR="003A38E6">
        <w:rPr>
          <w:color w:val="000000"/>
          <w:shd w:val="clear" w:color="auto" w:fill="FFFFFF"/>
        </w:rPr>
        <w:t>t</w:t>
      </w:r>
      <w:r w:rsidR="003A38E6">
        <w:rPr>
          <w:color w:val="000000"/>
          <w:shd w:val="clear" w:color="auto" w:fill="FFFFFF"/>
        </w:rPr>
        <w:fldChar w:fldCharType="begin" w:fldLock="1"/>
      </w:r>
      <w:r w:rsidR="00966577">
        <w:rPr>
          <w:color w:val="000000"/>
          <w:shd w:val="clear" w:color="auto" w:fill="FFFFFF"/>
        </w:rPr>
        <w:instrText>ADDIN CSL_CITATION {"citationItems":[{"id":"ITEM-1","itemData":{"DOI":"10.1073/pnas.1720017115","ISSN":"10916490","PMID":"29866843","abstract":"The enteric nervous system (ENS) is crucial for essential gastrointestinal physiologic functions such as motility, fluid secretion, and blood flow. The gut is colonized by trillions of bacteria that regulate host production of several signaling molecules including serotonin (5-HT) and other hormones and neurotransmitters. Approximately 90% of 5-HT originates from the intestine, and activation of the 5-HT4 receptor in the ENS has been linked to adult neurogenesis and neuroprotection. Here, we tested the hypothesis that the gut microbiota could induce maturation of the adult ENS through release of 5-HT and activation of 5-HT4 receptors. Colonization of germ-free mice with a microbiota from conventionally raised mice modified the neuroanatomy of the ENS and increased intestinal transit rates, which was associated with neuronal and mucosal 5-HT production and the proliferation of enteric neuronal progenitors in the adult intestine. Pharmacological modulation of the 5-HT4 receptor, as well as depletion of endogenous 5-HT, identified a mechanistic link between the gut microbiota and maturation of the adult ENS through the release of 5-HT and activation of the 5-HT4 receptor. Taken together, these findings show that the microbiota modulates the anatomy of the adult ENS in a 5-HT-dependent fashion with concomitant changes in intestinal transit.","author":[{"dropping-particle":"","family":"Vadder","given":"Filipe","non-dropping-particle":"De","parse-names":false,"suffix":""},{"dropping-particle":"","family":"Grasset","given":"Estelle","non-dropping-particle":"","parse-names":false,"suffix":""},{"dropping-particle":"","family":"Holm","given":"Louise Mannerås","non-dropping-particle":"","parse-names":false,"suffix":""},{"dropping-particle":"","family":"Karsenty","given":"Gérard","non-dropping-particle":"","parse-names":false,"suffix":""},{"dropping-particle":"","family":"Macpherson","given":"Andrew J.","non-dropping-particle":"","parse-names":false,"suffix":""},{"dropping-particle":"","family":"Olofsson","given":"Louise E.","non-dropping-particle":"","parse-names":false,"suffix":""},{"dropping-particle":"","family":"Bäckhed","given":"Fredrik","non-dropping-particle":"","parse-names":false,"suffix":""}],"container-title":"Proceedings of the National Academy of Sciences of the United States of America","id":"ITEM-1","issue":"25","issued":{"date-parts":[["2018","6","19"]]},"page":"6458-6463","publisher":"National Academy of Sciences","title":"Gut microbiota regulates maturation of the adult enteric nervous system via enteric serotonin networks","type":"article-journal","volume":"115"},"uris":["http://www.mendeley.com/documents/?uuid=f1fbb506-29c6-39a1-96f0-cc245d0fe0cb"]}],"mendeley":{"formattedCitation":"(65)","plainTextFormattedCitation":"(65)","previouslyFormattedCitation":"(65)"},"properties":{"noteIndex":0},"schema":"https://github.com/citation-style-language/schema/raw/master/csl-citation.json"}</w:instrText>
      </w:r>
      <w:r w:rsidR="003A38E6">
        <w:rPr>
          <w:color w:val="000000"/>
          <w:shd w:val="clear" w:color="auto" w:fill="FFFFFF"/>
        </w:rPr>
        <w:fldChar w:fldCharType="separate"/>
      </w:r>
      <w:r w:rsidR="007B4533" w:rsidRPr="007B4533">
        <w:rPr>
          <w:noProof/>
          <w:color w:val="000000"/>
          <w:shd w:val="clear" w:color="auto" w:fill="FFFFFF"/>
        </w:rPr>
        <w:t>(65)</w:t>
      </w:r>
      <w:r w:rsidR="003A38E6">
        <w:rPr>
          <w:color w:val="000000"/>
          <w:shd w:val="clear" w:color="auto" w:fill="FFFFFF"/>
        </w:rPr>
        <w:fldChar w:fldCharType="end"/>
      </w:r>
      <w:r w:rsidR="003A38E6">
        <w:rPr>
          <w:color w:val="000000"/>
          <w:shd w:val="clear" w:color="auto" w:fill="FFFFFF"/>
        </w:rPr>
        <w:t xml:space="preserve">. </w:t>
      </w:r>
      <w:r w:rsidR="00550F5A">
        <w:rPr>
          <w:color w:val="000000"/>
          <w:shd w:val="clear" w:color="auto" w:fill="FFFFFF"/>
        </w:rPr>
        <w:t>5-HT</w:t>
      </w:r>
      <w:r w:rsidR="00433150">
        <w:rPr>
          <w:color w:val="000000"/>
          <w:shd w:val="clear" w:color="auto" w:fill="FFFFFF"/>
        </w:rPr>
        <w:t xml:space="preserve"> is fundamental for the formation and maturation of the Enteric Nervous System (ENS</w:t>
      </w:r>
      <w:r w:rsidR="00550F5A">
        <w:rPr>
          <w:color w:val="000000"/>
          <w:shd w:val="clear" w:color="auto" w:fill="FFFFFF"/>
        </w:rPr>
        <w:t>) and</w:t>
      </w:r>
      <w:r w:rsidR="00433150">
        <w:rPr>
          <w:color w:val="000000"/>
          <w:shd w:val="clear" w:color="auto" w:fill="FFFFFF"/>
        </w:rPr>
        <w:t xml:space="preserve"> has recently demonstrated that the gut microbiota plays an important role in the modulation and the function of the ENS</w:t>
      </w:r>
      <w:r w:rsidR="003A38E6">
        <w:rPr>
          <w:color w:val="000000"/>
          <w:shd w:val="clear" w:color="auto" w:fill="FFFFFF"/>
        </w:rPr>
        <w:fldChar w:fldCharType="begin" w:fldLock="1"/>
      </w:r>
      <w:r w:rsidR="00966577">
        <w:rPr>
          <w:color w:val="000000"/>
          <w:shd w:val="clear" w:color="auto" w:fill="FFFFFF"/>
        </w:rPr>
        <w:instrText>ADDIN CSL_CITATION {"citationItems":[{"id":"ITEM-1","itemData":{"DOI":"10.1073/pnas.1720017115","ISSN":"10916490","PMID":"29866843","abstract":"The enteric nervous system (ENS) is crucial for essential gastrointestinal physiologic functions such as motility, fluid secretion, and blood flow. The gut is colonized by trillions of bacteria that regulate host production of several signaling molecules including serotonin (5-HT) and other hormones and neurotransmitters. Approximately 90% of 5-HT originates from the intestine, and activation of the 5-HT4 receptor in the ENS has been linked to adult neurogenesis and neuroprotection. Here, we tested the hypothesis that the gut microbiota could induce maturation of the adult ENS through release of 5-HT and activation of 5-HT4 receptors. Colonization of germ-free mice with a microbiota from conventionally raised mice modified the neuroanatomy of the ENS and increased intestinal transit rates, which was associated with neuronal and mucosal 5-HT production and the proliferation of enteric neuronal progenitors in the adult intestine. Pharmacological modulation of the 5-HT4 receptor, as well as depletion of endogenous 5-HT, identified a mechanistic link between the gut microbiota and maturation of the adult ENS through the release of 5-HT and activation of the 5-HT4 receptor. Taken together, these findings show that the microbiota modulates the anatomy of the adult ENS in a 5-HT-dependent fashion with concomitant changes in intestinal transit.","author":[{"dropping-particle":"","family":"Vadder","given":"Filipe","non-dropping-particle":"De","parse-names":false,"suffix":""},{"dropping-particle":"","family":"Grasset","given":"Estelle","non-dropping-particle":"","parse-names":false,"suffix":""},{"dropping-particle":"","family":"Holm","given":"Louise Mannerås","non-dropping-particle":"","parse-names":false,"suffix":""},{"dropping-particle":"","family":"Karsenty","given":"Gérard","non-dropping-particle":"","parse-names":false,"suffix":""},{"dropping-particle":"","family":"Macpherson","given":"Andrew J.","non-dropping-particle":"","parse-names":false,"suffix":""},{"dropping-particle":"","family":"Olofsson","given":"Louise E.","non-dropping-particle":"","parse-names":false,"suffix":""},{"dropping-particle":"","family":"Bäckhed","given":"Fredrik","non-dropping-particle":"","parse-names":false,"suffix":""}],"container-title":"Proceedings of the National Academy of Sciences of the United States of America","id":"ITEM-1","issue":"25","issued":{"date-parts":[["2018","6","19"]]},"page":"6458-6463","publisher":"National Academy of Sciences","title":"Gut microbiota regulates maturation of the adult enteric nervous system via enteric serotonin networks","type":"article-journal","volume":"115"},"uris":["http://www.mendeley.com/documents/?uuid=f1fbb506-29c6-39a1-96f0-cc245d0fe0cb"]}],"mendeley":{"formattedCitation":"(65)","plainTextFormattedCitation":"(65)","previouslyFormattedCitation":"(65)"},"properties":{"noteIndex":0},"schema":"https://github.com/citation-style-language/schema/raw/master/csl-citation.json"}</w:instrText>
      </w:r>
      <w:r w:rsidR="003A38E6">
        <w:rPr>
          <w:color w:val="000000"/>
          <w:shd w:val="clear" w:color="auto" w:fill="FFFFFF"/>
        </w:rPr>
        <w:fldChar w:fldCharType="separate"/>
      </w:r>
      <w:r w:rsidR="007B4533" w:rsidRPr="007B4533">
        <w:rPr>
          <w:noProof/>
          <w:color w:val="000000"/>
          <w:shd w:val="clear" w:color="auto" w:fill="FFFFFF"/>
        </w:rPr>
        <w:t>(65)</w:t>
      </w:r>
      <w:r w:rsidR="003A38E6">
        <w:rPr>
          <w:color w:val="000000"/>
          <w:shd w:val="clear" w:color="auto" w:fill="FFFFFF"/>
        </w:rPr>
        <w:fldChar w:fldCharType="end"/>
      </w:r>
      <w:r w:rsidR="00550F5A">
        <w:rPr>
          <w:color w:val="000000"/>
          <w:shd w:val="clear" w:color="auto" w:fill="FFFFFF"/>
        </w:rPr>
        <w:t>. Additionally, a recent paper implicates the gut microbiota</w:t>
      </w:r>
      <w:r w:rsidR="00433150">
        <w:rPr>
          <w:color w:val="000000"/>
          <w:shd w:val="clear" w:color="auto" w:fill="FFFFFF"/>
        </w:rPr>
        <w:t xml:space="preserve"> </w:t>
      </w:r>
      <w:r w:rsidR="00550F5A">
        <w:rPr>
          <w:color w:val="000000"/>
          <w:shd w:val="clear" w:color="auto" w:fill="FFFFFF"/>
        </w:rPr>
        <w:t>in the</w:t>
      </w:r>
      <w:r w:rsidR="00433150">
        <w:rPr>
          <w:color w:val="000000"/>
          <w:shd w:val="clear" w:color="auto" w:fill="FFFFFF"/>
        </w:rPr>
        <w:t xml:space="preserve"> modulat</w:t>
      </w:r>
      <w:r w:rsidR="00550F5A">
        <w:rPr>
          <w:color w:val="000000"/>
          <w:shd w:val="clear" w:color="auto" w:fill="FFFFFF"/>
        </w:rPr>
        <w:t>ion</w:t>
      </w:r>
      <w:r w:rsidR="00433150">
        <w:rPr>
          <w:color w:val="000000"/>
          <w:shd w:val="clear" w:color="auto" w:fill="FFFFFF"/>
        </w:rPr>
        <w:t xml:space="preserve"> </w:t>
      </w:r>
      <w:r w:rsidR="00550F5A" w:rsidRPr="00144F61">
        <w:t>5</w:t>
      </w:r>
      <w:r w:rsidR="00550F5A">
        <w:t>-</w:t>
      </w:r>
      <w:r w:rsidR="00550F5A" w:rsidRPr="00144F61">
        <w:t>HT</w:t>
      </w:r>
      <w:r w:rsidR="00550F5A" w:rsidRPr="005F78B7">
        <w:rPr>
          <w:vertAlign w:val="subscript"/>
        </w:rPr>
        <w:t>2A</w:t>
      </w:r>
      <w:r w:rsidR="00550F5A" w:rsidRPr="00144F61">
        <w:t xml:space="preserve"> receptor</w:t>
      </w:r>
      <w:r w:rsidR="00550F5A">
        <w:t>s</w:t>
      </w:r>
      <w:r w:rsidR="009E180A">
        <w:t xml:space="preserve"> that</w:t>
      </w:r>
      <w:r w:rsidR="00550F5A">
        <w:t xml:space="preserve"> </w:t>
      </w:r>
      <w:r w:rsidR="00433150" w:rsidRPr="00430E66">
        <w:rPr>
          <w:color w:val="000000" w:themeColor="text1"/>
          <w:shd w:val="clear" w:color="auto" w:fill="FFFFFF"/>
        </w:rPr>
        <w:t>promot</w:t>
      </w:r>
      <w:r w:rsidR="009E180A" w:rsidRPr="00430E66">
        <w:rPr>
          <w:color w:val="000000" w:themeColor="text1"/>
          <w:shd w:val="clear" w:color="auto" w:fill="FFFFFF"/>
        </w:rPr>
        <w:t>e</w:t>
      </w:r>
      <w:r w:rsidR="00433150" w:rsidRPr="00430E66">
        <w:rPr>
          <w:color w:val="000000" w:themeColor="text1"/>
          <w:shd w:val="clear" w:color="auto" w:fill="FFFFFF"/>
        </w:rPr>
        <w:t xml:space="preserve"> activity in the brain</w:t>
      </w:r>
      <w:r w:rsidR="003A38E6" w:rsidRPr="00430E66">
        <w:rPr>
          <w:color w:val="000000" w:themeColor="text1"/>
          <w:shd w:val="clear" w:color="auto" w:fill="FFFFFF"/>
        </w:rPr>
        <w:fldChar w:fldCharType="begin" w:fldLock="1"/>
      </w:r>
      <w:r w:rsidR="00966577">
        <w:rPr>
          <w:color w:val="000000" w:themeColor="text1"/>
          <w:shd w:val="clear" w:color="auto" w:fill="FFFFFF"/>
        </w:rPr>
        <w:instrText>ADDIN CSL_CITATION {"citationItems":[{"id":"ITEM-1","itemData":{"DOI":"10.1038/s41598-020-61635-6","ISSN":"20452322","PMID":"32170216","abstract":"Previous studies demonstrate an association between activation of the maternal immune system during pregnancy and increased risk of neurodevelopmental psychiatric conditions, such as schizophrenia and autism, in the offspring. Relatively recent findings also suggest that the gut microbiota plays an important role in shaping brain development and behavior. Here we show that maternal immune activation (MIA) accomplished by infection with a mouse-adapted influenza virus during pregnancy induced up-regulation of frontal cortex serotonin 5-HT2A receptor (5-HT2AR) density in the adult offspring, a phenotype previously observed in postmortem frontal cortex of schizophrenic subjects. 5-HT2AR agonist-induced head-twitch behavior was also augmented in this preclinical mouse model. Using the novel object recognition (NOR) test to evaluate cognitive performance, we demonstrate that MIA induced NOR deficits in adult offspring. Oral antibiotic treatment of prepubertal mice prevented this cognitive impairment, but not increased frontal cortex 5-HT2AR density or psychedelic-induced head-twitch behavior in adult MIA offspring. Additionally, gut microbiota transplantation from MIA mice produced behavioral deficits in antibiotic-treated mock mice. Adult MIA offspring displayed altered gut microbiota, and relative abundance of specific components of the gut microbiota, including Ruminococcaceae, correlated with frontal cortex 5-HT2AR density. Together, these findings provide a better understanding of basic mechanisms by which prenatal insults impact offspring brain function, and suggest gut-brain axis manipulation as a potential therapeutic approach for neurodevelopmental psychiatric conditions.","author":[{"dropping-particle":"","family":"Saunders","given":"Justin M.","non-dropping-particle":"","parse-names":false,"suffix":""},{"dropping-particle":"","family":"Moreno","given":"José L.","non-dropping-particle":"","parse-names":false,"suffix":""},{"dropping-particle":"","family":"Ibi","given":"Daisuke","non-dropping-particle":"","parse-names":false,"suffix":""},{"dropping-particle":"","family":"Sikaroodi","given":"Masoumeh","non-dropping-particle":"","parse-names":false,"suffix":""},{"dropping-particle":"","family":"Kang","given":"Dae Joong","non-dropping-particle":"","parse-names":false,"suffix":""},{"dropping-particle":"","family":"Muñoz-Moreno","given":"Raquel","non-dropping-particle":"","parse-names":false,"suffix":""},{"dropping-particle":"","family":"Dalmet","given":"Swati S.","non-dropping-particle":"","parse-names":false,"suffix":""},{"dropping-particle":"","family":"García-Sastre","given":"Adolfo","non-dropping-particle":"","parse-names":false,"suffix":""},{"dropping-particle":"","family":"Gillevet","given":"Patrick M.","non-dropping-particle":"","parse-names":false,"suffix":""},{"dropping-particle":"","family":"Dozmorov","given":"Mikhail G.","non-dropping-particle":"","parse-names":false,"suffix":""},{"dropping-particle":"","family":"Bajaj","given":"Jasmohan S.","non-dropping-particle":"","parse-names":false,"suffix":""},{"dropping-particle":"","family":"González-Maeso","given":"Javier","non-dropping-particle":"","parse-names":false,"suffix":""}],"container-title":"Scientific Reports","id":"ITEM-1","issue":"1","issued":{"date-parts":[["2020","12","1"]]},"page":"1-13","publisher":"Nature Research","title":"Gut microbiota manipulation during the prepubertal period shapes behavioral abnormalities in a mouse neurodevelopmental disorder model","type":"article-journal","volume":"10"},"uris":["http://www.mendeley.com/documents/?uuid=bc35e895-3dd1-3335-a5b0-e739ef38a5ae"]}],"mendeley":{"formattedCitation":"(66)","plainTextFormattedCitation":"(66)","previouslyFormattedCitation":"(66)"},"properties":{"noteIndex":0},"schema":"https://github.com/citation-style-language/schema/raw/master/csl-citation.json"}</w:instrText>
      </w:r>
      <w:r w:rsidR="003A38E6" w:rsidRPr="00430E66">
        <w:rPr>
          <w:color w:val="000000" w:themeColor="text1"/>
          <w:shd w:val="clear" w:color="auto" w:fill="FFFFFF"/>
        </w:rPr>
        <w:fldChar w:fldCharType="separate"/>
      </w:r>
      <w:r w:rsidR="007B4533" w:rsidRPr="007B4533">
        <w:rPr>
          <w:noProof/>
          <w:color w:val="000000" w:themeColor="text1"/>
          <w:shd w:val="clear" w:color="auto" w:fill="FFFFFF"/>
        </w:rPr>
        <w:t>(66)</w:t>
      </w:r>
      <w:r w:rsidR="003A38E6" w:rsidRPr="00430E66">
        <w:rPr>
          <w:color w:val="000000" w:themeColor="text1"/>
          <w:shd w:val="clear" w:color="auto" w:fill="FFFFFF"/>
        </w:rPr>
        <w:fldChar w:fldCharType="end"/>
      </w:r>
      <w:r w:rsidR="009E180A" w:rsidRPr="00430E66">
        <w:rPr>
          <w:color w:val="000000" w:themeColor="text1"/>
          <w:shd w:val="clear" w:color="auto" w:fill="FFFFFF"/>
        </w:rPr>
        <w:t>,</w:t>
      </w:r>
      <w:r w:rsidR="00430E66">
        <w:rPr>
          <w:color w:val="000000" w:themeColor="text1"/>
          <w:shd w:val="clear" w:color="auto" w:fill="FFFFFF"/>
        </w:rPr>
        <w:t xml:space="preserve"> and another paper found that mice that were given a combination of antibiotics experienced cognitive impairments in recognition tasks</w:t>
      </w:r>
      <w:r w:rsidR="00430E66">
        <w:rPr>
          <w:color w:val="000000" w:themeColor="text1"/>
          <w:shd w:val="clear" w:color="auto" w:fill="FFFFFF"/>
        </w:rPr>
        <w:fldChar w:fldCharType="begin" w:fldLock="1"/>
      </w:r>
      <w:r w:rsidR="00966577">
        <w:rPr>
          <w:color w:val="000000" w:themeColor="text1"/>
          <w:shd w:val="clear" w:color="auto" w:fill="FFFFFF"/>
        </w:rPr>
        <w:instrText>ADDIN CSL_CITATION {"citationItems":[{"id":"ITEM-1","itemData":{"DOI":"10.1016/j.bbi.2016.02.020","ISSN":"10902139","PMID":"26923630","abstract":"Emerging evidence indicates that disruption of the gut microbial community (dysbiosis) impairs mental health. Germ-free mice and antibiotic-induced gut dysbiosis are two approaches to establish causality in gut microbiota-brain relationships. However, both models have limitations, as germ-free mice display alterations in blood-brain barrier and brain ultrastructure and antibiotics may act directly on the brain. We hypothesized that the concerns related to antibiotic-induced gut dysbiosis can only adequately be addressed if the effect of intragastric treatment of adult mice with multiple antibiotics on (i) gut microbial community, (ii) metabolite profile in the colon, (iii) circulating metabolites, (iv) expression of neuronal signaling molecules in distinct brain areas and (v) cognitive behavior is systematically investigated. Of the antibiotics used (ampicillin, bacitracin, meropenem, neomycin, vancomycin), ampicillin had some oral bioavailability but did not enter the brain. 16S rDNA sequencing confirmed antibiotic-induced microbial community disruption, and metabolomics revealed that gut dysbiosis was associated with depletion of bacteria-derived metabolites in the colon and alterations of lipid species and converted microbe-derived molecules in the plasma. Importantly, novel object recognition, but not spatial, memory was impaired in antibiotic-treated mice. This cognitive deficit was associated with brain region-specific changes in the expression of cognition-relevant signaling molecules, notably brain-derived neurotrophic factor, N-methyl-. d-aspartate receptor subunit 2B, serotonin transporter and neuropeptide Y system. We conclude that circulating metabolites and the cerebral neuropeptide Y system play an important role in the cognitive impairment and dysregulation of cerebral signaling molecules due to antibiotic-induced gut dysbiosis.","author":[{"dropping-particle":"","family":"Fröhlich","given":"Esther E.","non-dropping-particle":"","parse-names":false,"suffix":""},{"dropping-particle":"","family":"Farzi","given":"Aitak","non-dropping-particle":"","parse-names":false,"suffix":""},{"dropping-particle":"","family":"Mayerhofer","given":"Raphaela","non-dropping-particle":"","parse-names":false,"suffix":""},{"dropping-particle":"","family":"Reichmann","given":"Florian","non-dropping-particle":"","parse-names":false,"suffix":""},{"dropping-particle":"","family":"Jačan","given":"Angela","non-dropping-particle":"","parse-names":false,"suffix":""},{"dropping-particle":"","family":"Wagner","given":"Bernhard","non-dropping-particle":"","parse-names":false,"suffix":""},{"dropping-particle":"","family":"Zinser","given":"Erwin","non-dropping-particle":"","parse-names":false,"suffix":""},{"dropping-particle":"","family":"Bordag","given":"Natalie","non-dropping-particle":"","parse-names":false,"suffix":""},{"dropping-particle":"","family":"Magnes","given":"Christoph","non-dropping-particle":"","parse-names":false,"suffix":""},{"dropping-particle":"","family":"Fröhlich","given":"Eleonore","non-dropping-particle":"","parse-names":false,"suffix":""},{"dropping-particle":"","family":"Kashofer","given":"Karl","non-dropping-particle":"","parse-names":false,"suffix":""},{"dropping-particle":"","family":"Gorkiewicz","given":"Gregor","non-dropping-particle":"","parse-names":false,"suffix":""},{"dropping-particle":"","family":"Holzer","given":"Peter","non-dropping-particle":"","parse-names":false,"suffix":""}],"container-title":"Brain, Behavior, and Immunity","id":"ITEM-1","issued":{"date-parts":[["2016","8","1"]]},"page":"140-155","publisher":"Academic Press Inc.","title":"Cognitive impairment by antibiotic-induced gut dysbiosis: Analysis of gut microbiota-brain communication","type":"article-journal","volume":"56"},"uris":["http://www.mendeley.com/documents/?uuid=e43b931a-e994-3250-ae32-dc554a7f621d"]}],"mendeley":{"formattedCitation":"(67)","plainTextFormattedCitation":"(67)","previouslyFormattedCitation":"(67)"},"properties":{"noteIndex":0},"schema":"https://github.com/citation-style-language/schema/raw/master/csl-citation.json"}</w:instrText>
      </w:r>
      <w:r w:rsidR="00430E66">
        <w:rPr>
          <w:color w:val="000000" w:themeColor="text1"/>
          <w:shd w:val="clear" w:color="auto" w:fill="FFFFFF"/>
        </w:rPr>
        <w:fldChar w:fldCharType="separate"/>
      </w:r>
      <w:r w:rsidR="007B4533" w:rsidRPr="007B4533">
        <w:rPr>
          <w:noProof/>
          <w:color w:val="000000" w:themeColor="text1"/>
          <w:shd w:val="clear" w:color="auto" w:fill="FFFFFF"/>
        </w:rPr>
        <w:t>(67)</w:t>
      </w:r>
      <w:r w:rsidR="00430E66">
        <w:rPr>
          <w:color w:val="000000" w:themeColor="text1"/>
          <w:shd w:val="clear" w:color="auto" w:fill="FFFFFF"/>
        </w:rPr>
        <w:fldChar w:fldCharType="end"/>
      </w:r>
      <w:r w:rsidR="00433150">
        <w:rPr>
          <w:color w:val="000000"/>
          <w:shd w:val="clear" w:color="auto" w:fill="FFFFFF"/>
        </w:rPr>
        <w:t>.</w:t>
      </w:r>
      <w:r w:rsidR="000A455D">
        <w:rPr>
          <w:color w:val="000000"/>
          <w:shd w:val="clear" w:color="auto" w:fill="FFFFFF"/>
        </w:rPr>
        <w:t xml:space="preserve"> </w:t>
      </w:r>
      <w:r w:rsidR="00430E66">
        <w:rPr>
          <w:color w:val="000000"/>
          <w:shd w:val="clear" w:color="auto" w:fill="FFFFFF"/>
        </w:rPr>
        <w:t xml:space="preserve">If psychedelic molecules are found to interact with the gut microbiome this could lead to a modulation of the ENS and CNS, therefore this </w:t>
      </w:r>
      <w:r w:rsidR="000A455D">
        <w:rPr>
          <w:color w:val="000000"/>
          <w:shd w:val="clear" w:color="auto" w:fill="FFFFFF"/>
        </w:rPr>
        <w:t xml:space="preserve">interaction </w:t>
      </w:r>
      <w:r w:rsidR="00430E66">
        <w:rPr>
          <w:color w:val="000000"/>
          <w:shd w:val="clear" w:color="auto" w:fill="FFFFFF"/>
        </w:rPr>
        <w:t xml:space="preserve">needs to </w:t>
      </w:r>
      <w:r w:rsidR="00042889">
        <w:rPr>
          <w:color w:val="000000"/>
          <w:shd w:val="clear" w:color="auto" w:fill="FFFFFF"/>
        </w:rPr>
        <w:t>be</w:t>
      </w:r>
      <w:r w:rsidR="00430E66">
        <w:rPr>
          <w:color w:val="000000"/>
          <w:shd w:val="clear" w:color="auto" w:fill="FFFFFF"/>
        </w:rPr>
        <w:t xml:space="preserve"> considered when investigating the </w:t>
      </w:r>
      <w:r w:rsidR="00430E66">
        <w:t xml:space="preserve">physiological and psychological effect of </w:t>
      </w:r>
      <w:r w:rsidR="00430E66">
        <w:rPr>
          <w:color w:val="000000"/>
          <w:shd w:val="clear" w:color="auto" w:fill="FFFFFF"/>
        </w:rPr>
        <w:t>psychedelic molecules.</w:t>
      </w:r>
    </w:p>
    <w:p w14:paraId="2A6CEB91" w14:textId="7D4A5220" w:rsidR="00FC3660" w:rsidRDefault="00FC3660" w:rsidP="00E50706">
      <w:pPr>
        <w:rPr>
          <w:color w:val="000000"/>
          <w:shd w:val="clear" w:color="auto" w:fill="FFFFFF"/>
        </w:rPr>
      </w:pPr>
    </w:p>
    <w:p w14:paraId="273D9574" w14:textId="77777777" w:rsidR="00E50706" w:rsidRPr="00FC3660" w:rsidRDefault="00E50706" w:rsidP="00E50706">
      <w:pPr>
        <w:rPr>
          <w:color w:val="000000"/>
          <w:shd w:val="clear" w:color="auto" w:fill="FFFFFF"/>
        </w:rPr>
      </w:pPr>
    </w:p>
    <w:p w14:paraId="10982BBB" w14:textId="6C0FE3BE" w:rsidR="00C5045F" w:rsidRDefault="0082526D" w:rsidP="00E50706">
      <w:pPr>
        <w:rPr>
          <w:b/>
          <w:bCs/>
        </w:rPr>
      </w:pPr>
      <w:r w:rsidRPr="001C560C">
        <w:rPr>
          <w:b/>
          <w:bCs/>
        </w:rPr>
        <w:t>The Application of Psychedelics in Disease Treatment</w:t>
      </w:r>
    </w:p>
    <w:p w14:paraId="38A0DCE5" w14:textId="77777777" w:rsidR="001C560C" w:rsidRPr="00C5045F" w:rsidRDefault="001C560C" w:rsidP="00E50706">
      <w:pPr>
        <w:rPr>
          <w:b/>
          <w:bCs/>
        </w:rPr>
      </w:pPr>
    </w:p>
    <w:p w14:paraId="4CBEE243" w14:textId="3B4A4F2A" w:rsidR="001C560C" w:rsidRDefault="002307FB" w:rsidP="00E50706">
      <w:r w:rsidRPr="00D41D6B">
        <w:t>R</w:t>
      </w:r>
      <w:r w:rsidR="00343BBA" w:rsidRPr="00D41D6B">
        <w:t>ecent r</w:t>
      </w:r>
      <w:r w:rsidRPr="00D41D6B">
        <w:t>esearch</w:t>
      </w:r>
      <w:r w:rsidR="0004118C" w:rsidRPr="00D41D6B">
        <w:t xml:space="preserve"> into psychedelics</w:t>
      </w:r>
      <w:r w:rsidR="00BA716D" w:rsidRPr="00D41D6B">
        <w:t xml:space="preserve"> </w:t>
      </w:r>
      <w:r w:rsidR="0025477A" w:rsidRPr="00D41D6B">
        <w:t xml:space="preserve">as a </w:t>
      </w:r>
      <w:r w:rsidR="00F72F55">
        <w:t>catalyst in a therapeutic process</w:t>
      </w:r>
      <w:r w:rsidR="0025477A" w:rsidRPr="00D41D6B">
        <w:t xml:space="preserve"> </w:t>
      </w:r>
      <w:r w:rsidR="009E180A">
        <w:t>appears to be promisin</w:t>
      </w:r>
      <w:r w:rsidR="00F72F55">
        <w:t>g. Previous</w:t>
      </w:r>
      <w:r w:rsidR="009E180A">
        <w:t xml:space="preserve"> </w:t>
      </w:r>
      <w:r w:rsidR="0026645C" w:rsidRPr="00D41D6B">
        <w:t xml:space="preserve">clinical </w:t>
      </w:r>
      <w:r w:rsidR="00F72F55">
        <w:t xml:space="preserve">research </w:t>
      </w:r>
      <w:r w:rsidR="0026645C" w:rsidRPr="00D41D6B">
        <w:t xml:space="preserve">have shown that oral doses of </w:t>
      </w:r>
      <w:r w:rsidR="008D12F7" w:rsidRPr="00D41D6B">
        <w:t xml:space="preserve">psilocybin </w:t>
      </w:r>
      <w:r w:rsidR="009E180A">
        <w:t>may</w:t>
      </w:r>
      <w:r w:rsidR="00D75298" w:rsidRPr="00D41D6B">
        <w:t xml:space="preserve"> </w:t>
      </w:r>
      <w:r w:rsidR="00BA716D" w:rsidRPr="00D41D6B">
        <w:t xml:space="preserve">improve mental health related variables and produce </w:t>
      </w:r>
      <w:r w:rsidR="008D12F7" w:rsidRPr="00D41D6B">
        <w:t>persistent</w:t>
      </w:r>
      <w:r w:rsidR="00BA716D" w:rsidRPr="00D41D6B">
        <w:t xml:space="preserve"> positive</w:t>
      </w:r>
      <w:r w:rsidR="008D12F7" w:rsidRPr="00D41D6B">
        <w:t xml:space="preserve"> </w:t>
      </w:r>
      <w:r w:rsidRPr="00D41D6B">
        <w:t>psychological effect</w:t>
      </w:r>
      <w:r w:rsidR="00C267F0">
        <w:t>s</w:t>
      </w:r>
      <w:r w:rsidR="00F06ABC" w:rsidRPr="00D41D6B">
        <w:t xml:space="preserve"> for depression and anxiety</w:t>
      </w:r>
      <w:r w:rsidR="00611CE3" w:rsidRPr="00D41D6B">
        <w:fldChar w:fldCharType="begin" w:fldLock="1"/>
      </w:r>
      <w:r w:rsidR="00966577">
        <w:instrText>ADDIN CSL_CITATION {"citationItems":[{"id":"ITEM-1","itemData":{"DOI":"10.1056/NEJMoa2032994","ISSN":"0028-4793","abstract":"Abstract Background Psilocybin may have antidepressant properties, but direct comparisons between psilocybin and established treatments for depression are lacking. Methods In a phase 2, double-blin...","author":[{"dropping-particle":"","family":"Carhart-Harris","given":"Robin","non-dropping-particle":"","parse-names":false,"suffix":""},{"dropping-particle":"","family":"Giribaldi","given":"Bruna","non-dropping-particle":"","parse-names":false,"suffix":""},{"dropping-particle":"","family":"Watts","given":"Rosalind","non-dropping-particle":"","parse-names":false,"suffix":""},{"dropping-particle":"","family":"Baker-Jones","given":"Michelle","non-dropping-particle":"","parse-names":false,"suffix":""},{"dropping-particle":"","family":"Murphy-Beiner","given":"Ashleigh","non-dropping-particle":"","parse-names":false,"suffix":""},{"dropping-particle":"","family":"Murphy","given":"Roberta","non-dropping-particle":"","parse-names":false,"suffix":""},{"dropping-particle":"","family":"Martell","given":"Jonny","non-dropping-particle":"","parse-names":false,"suffix":""},{"dropping-particle":"","family":"Blemings","given":"Allan","non-dropping-particle":"","parse-names":false,"suffix":""},{"dropping-particle":"","family":"Erritzoe","given":"David","non-dropping-particle":"","parse-names":false,"suffix":""},{"dropping-particle":"","family":"Nutt","given":"David J.","non-dropping-particle":"","parse-names":false,"suffix":""}],"container-title":"New England Journal of Medicine","id":"ITEM-1","issue":"15","issued":{"date-parts":[["2021","4","15"]]},"page":"1402-1411","publisher":"Massachusetts Medical Society","title":"Trial of Psilocybin versus Escitalopram for Depression","type":"article-journal","volume":"384"},"uris":["http://www.mendeley.com/documents/?uuid=36cb059d-442d-3a29-b5c5-3e3d0962fdd5"]},{"id":"ITEM-2","itemData":{"DOI":"10.1177/0269881116675512","ISSN":"14617285","PMID":"27909164","abstract":"Background: Clinically significant anxiety and depression are common in patients with cancer, and are associated with poor psychiatric and medical outcomes. Historical and recent research suggests a role for psilocybin to treat cancer-related anxiety and depression. Methods: In this double-blind, placebo-controlled, crossover trial, 29 patients with cancer-related anxiety and depression were randomly assigned and received treatment with single-dose psilocybin (0.3 mg/kg) or niacin, both in conjunction with psychotherapy. The primary outcomes were anxiety and depression assessed between groups prior to the crossover at 7 weeks. Results: Prior to the crossover, psilocybin produced immediate, substantial, and sustained improvements in anxiety and depression and led to decreases in cancer-related demoralization and hopelessness, improved spiritual wellbeing, and increased quality of life. At the 6.5-month follow-up, psilocybin was associated with enduring anxiolytic and anti-depressant effects (approximately 60-80% of participants continued with clinically significant reductions in depression or anxiety), sustained benefits in existential distress and quality of life, as well as improved attitudes towards death. The psilocybin-induced mystical experience mediated the therapeutic effect of psilocybin on anxiety and depression. Conclusions: In conjunction with psychotherapy, single moderate-dose psilocybin produced rapid, robust and enduring anxiolytic and anti-depressant effects in patients with cancer-related psychological distress. Trial Registration: ClinicalTrials.gov Identifier: NCT00957359.","author":[{"dropping-particle":"","family":"Ross","given":"Stephen","non-dropping-particle":"","parse-names":false,"suffix":""},{"dropping-particle":"","family":"Bossis","given":"Anthony","non-dropping-particle":"","parse-names":false,"suffix":""},{"dropping-particle":"","family":"Guss","given":"Jeffrey","non-dropping-particle":"","parse-names":false,"suffix":""},{"dropping-particle":"","family":"Agin-Liebes","given":"Gabrielle","non-dropping-particle":"","parse-names":false,"suffix":""},{"dropping-particle":"","family":"Malone","given":"Tara","non-dropping-particle":"","parse-names":false,"suffix":""},{"dropping-particle":"","family":"Cohen","given":"Barry","non-dropping-particle":"","parse-names":false,"suffix":""},{"dropping-particle":"","family":"Mennenga","given":"Sarah E.","non-dropping-particle":"","parse-names":false,"suffix":""},{"dropping-particle":"","family":"Belser","given":"Alexander","non-dropping-particle":"","parse-names":false,"suffix":""},{"dropping-particle":"","family":"Kalliontzi","given":"Krystallia","non-dropping-particle":"","parse-names":false,"suffix":""},{"dropping-particle":"","family":"Babb","given":"James","non-dropping-particle":"","parse-names":false,"suffix":""},{"dropping-particle":"","family":"Su","given":"Zhe","non-dropping-particle":"","parse-names":false,"suffix":""},{"dropping-particle":"","family":"Corby","given":"Patricia","non-dropping-particle":"","parse-names":false,"suffix":""},{"dropping-particle":"","family":"Schmidt","given":"Brian L.","non-dropping-particle":"","parse-names":false,"suffix":""}],"container-title":"Journal of Psychopharmacology","id":"ITEM-2","issue":"12","issued":{"date-parts":[["2016","12","1"]]},"page":"1165-1180","publisher":"SAGE Publications Ltd","title":"Rapid and sustained symptom reduction following psilocybin treatment for anxiety and depression in patients with life-threatening cancer: A randomized controlled trial","type":"article-journal","volume":"30"},"uris":["http://www.mendeley.com/documents/?uuid=e73906d3-b8ed-3297-a0e9-af0a58099f7c"]},{"id":"ITEM-3","itemData":{"DOI":"10.1177/0269881116675513","ISSN":"14617285","PMID":"27909165","abstract":"Cancer patients often develop chronic, clinically significant symptoms of depression and anxiety. Previous studies suggest that psilocybin may decrease depression and anxiety in cancer patients. The effects of psilocybin were studied in 51 cancer patients with life-threatening diagnoses and symptoms of depression and/or anxiety. This randomized, double-blind, cross-over trial investigated the effects of a very low (placebo-like) dose (1 or 3 mg/70 kg) vs. a high dose (22 or 30 mg/70 kg) of psilocybin administered in counterbalanced sequence with 5 weeks between sessions and a 6-month follow-up. Instructions to participants and staff minimized expectancy effects. Participants, staff, and community observers rated participant moods, attitudes, and behaviors throughout the study. High-dose psilocybin produced large decreases in clinician- and self-rated measures of depressed mood and anxiety, along with increases in quality of life, life meaning, and optimism, and decreases in death anxiety. At 6-month follow-up, these changes were sustained, with about 80% of participants continuing to show clinically significant decreases in depressed mood and anxiety. Participants attributed improvements in attitudes about life/self, mood, relationships, and spirituality to the high-dose experience, with &gt;80% endorsing moderately or greater increased well-being/life satisfaction. Community observer ratings showed corresponding changes. Mystical-type psilocybin experience on session day mediated the effect of psilocybin dose on therapeutic outcomes. Trial Registration ClinicalTrials.gov identifier: NCT00465595","author":[{"dropping-particle":"","family":"Griffiths","given":"Roland R.","non-dropping-particle":"","parse-names":false,"suffix":""},{"dropping-particle":"","family":"Johnson","given":"Matthew W.","non-dropping-particle":"","parse-names":false,"suffix":""},{"dropping-particle":"","family":"Carducci","given":"Michael A.","non-dropping-particle":"","parse-names":false,"suffix":""},{"dropping-particle":"","family":"Umbricht","given":"Annie","non-dropping-particle":"","parse-names":false,"suffix":""},{"dropping-particle":"","family":"Richards","given":"William A.","non-dropping-particle":"","parse-names":false,"suffix":""},{"dropping-particle":"","family":"Richards","given":"Brian D.","non-dropping-particle":"","parse-names":false,"suffix":""},{"dropping-particle":"","family":"Cosimano","given":"Mary P.","non-dropping-particle":"","parse-names":false,"suffix":""},{"dropping-particle":"","family":"Klinedinst","given":"Margaret A.","non-dropping-particle":"","parse-names":false,"suffix":""}],"container-title":"Journal of Psychopharmacology","id":"ITEM-3","issue":"12","issued":{"date-parts":[["2016","12","1"]]},"page":"1181-1197","publisher":"SAGE Publications Ltd","title":"Psilocybin produces substantial and sustained decreases in depression and anxiety in patients with life-threatening cancer: A randomized double-blind trial","type":"article-journal","volume":"30"},"uris":["http://www.mendeley.com/documents/?uuid=0c0edf43-4c7d-327a-8797-0e2aabbbac5f"]},{"id":"ITEM-4","itemData":{"DOI":"10.1177/0269881118780713","ISSN":"14617285","PMID":"29945469","abstract":"Aim: The aim of the current study was to investigate the relationship between escalating higher doses of psilocybin and the potential psilocybin occasioned positive subjective effects. Methods: Healthy participants (n=12) were given three escalating doses of oral psilocybin (0.3 mg/kg; 0.45 mg/kg; 0.6 mg/kg) or (18.8–36.6 mg; 27.1–54.0 mg; 36.3–59.2 mg) a minimum of four weeks apart in a supervised setting. Blood and urine samples, vital signs, and electrocardiograms were obtained. Subjective effects were assessed using the Mystical Experience Questionnaire and Persisting Effects Questionnaire. Results: There was a significant linear dose-related response in Mystical Experience Questionnaire total score and the transcendence of time and space subscale, but not in the rate of a complete mystical experience. There was also a significant difference between dose 3 compared to dose 1 on the transcendence of time and space subscale, while no dose-related differences were found for Mystical Experience Questionnaire total scores or rate of a mystical experience. Persisting Effects Questionnaire positive composite scores 30 days after completion of the last dose were significantly higher than negative composite scores. Persisting Effects Questionnaire results revealed a moderate increase in sense of well-being or life satisfaction on average that was associated with the maximum Mystical Experience Questionnaire total score. Pharmacokinetic measures were associated with dose but not with Mystical Experience Questionnaire total scores or rate of a mystical experience. Conclusions: High doses of psilocybin elicited subjective effects at least as strong as the lower doses and resulted in positive persisting subjective effects 30 days after, indicating that a complete mystical experience was not a prerequisite for positive outcomes.","author":[{"dropping-particle":"","family":"Nicholas","given":"Christopher R.","non-dropping-particle":"","parse-names":false,"suffix":""},{"dropping-particle":"","family":"Henriquez","given":"Kelsey M.","non-dropping-particle":"","parse-names":false,"suffix":""},{"dropping-particle":"","family":"Gassman","given":"Michele C.","non-dropping-particle":"","parse-names":false,"suffix":""},{"dropping-particle":"","family":"Cooper","given":"Karen M.","non-dropping-particle":"","parse-names":false,"suffix":""},{"dropping-particle":"","family":"Muller","given":"Daniel","non-dropping-particle":"","parse-names":false,"suffix":""},{"dropping-particle":"","family":"Hetzel","given":"Scott","non-dropping-particle":"","parse-names":false,"suffix":""},{"dropping-particle":"","family":"Brown","given":"Randall T.","non-dropping-particle":"","parse-names":false,"suffix":""},{"dropping-particle":"V.","family":"Cozzi","given":"Nicholas","non-dropping-particle":"","parse-names":false,"suffix":""},{"dropping-particle":"","family":"Thomas","given":"Chantelle","non-dropping-particle":"","parse-names":false,"suffix":""},{"dropping-particle":"","family":"Hutson","given":"Paul R.","non-dropping-particle":"","parse-names":false,"suffix":""}],"container-title":"Journal of Psychopharmacology","id":"ITEM-4","issue":"7","issued":{"date-parts":[["2018","7","1"]]},"page":"770-778","publisher":"SAGE Publications Ltd","title":"High dose psilocybin is associated with positive subjective effects in healthy volunteers","type":"article-journal","volume":"32"},"uris":["http://www.mendeley.com/documents/?uuid=b05c195e-217b-3281-8365-390943b2887c"]},{"id":"ITEM-5","itemData":{"DOI":"10.1177/0269881108094300","ISSN":"02698811","PMID":"18593735","abstract":"Psilocybin has been used for centuries for religious purposes; however, little is known scientifically about its long-term effects. We previously reported the effects of a double-blind study evaluating the psychological effects of a high psilocybin dose. This report presents the 14-month follow-up and examines the relationship of the follow-up results to data obtained at screening and on drug session days. Participants were 36 hallucinogen-naïve adults reporting regular participation in religious/ spiritual activities. Oral psilocybin (30 mg/70 kg) was administered on one of two or three sessions, with methylphenidate (40 mg/70 kg) administered on the other session(s). During sessions, volunteers were encouraged to close their eyes and direct their attention inward. At the 14-month follow-up, 58% and 67%, respectively, of volunteers rated the psilocybin-occasioned experience as being among the five most personally meaningful and among the five most spiritually significant experiences of their lives; 64% indicated that the experience increased well-being or life satisfaction; 58% met criteria for having had a 'complete' mystical experience. Correlation and regression analyses indicated a central role of the mystical experience assessed on the session day in the high ratings of personal meaning and spiritual significance at follow-up. Of the measures of personality, affect, quality of life and spirituality assessed across the study, only a scale measuring mystical experience showed a difference from screening. When administered under supportive conditions, psilocybin occasioned experiences similar to spontaneously occurring mystical experiences that, at 14-month follow-up, were considered by volunteers to be among the most personally meaningful and spiritually significant of their lives. © 2008 British Association for Psychopharmacology.","author":[{"dropping-particle":"","family":"Griffiths","given":"R. R.","non-dropping-particle":"","parse-names":false,"suffix":""},{"dropping-particle":"","family":"Richards","given":"W. A.","non-dropping-particle":"","parse-names":false,"suffix":""},{"dropping-particle":"","family":"Johnson","given":"M. W.","non-dropping-particle":"","parse-names":false,"suffix":""},{"dropping-particle":"","family":"McCann","given":"U. D.","non-dropping-particle":"","parse-names":false,"suffix":""},{"dropping-particle":"","family":"Jesse","given":"R.","non-dropping-particle":"","parse-names":false,"suffix":""}],"container-title":"Journal of Psychopharmacology","id":"ITEM-5","issue":"6","issued":{"date-parts":[["2008","8"]]},"page":"621-632","publisher":"J Psychopharmacol","title":"Mystical-type experiences occasioned by psilocybin mediate the attribution of personal meaning and spiritual significance 14 months later","type":"article-journal","volume":"22"},"uris":["http://www.mendeley.com/documents/?uuid=4c37db8d-28a9-341b-833c-5755eee0941f"]}],"mendeley":{"formattedCitation":"(1–5)","plainTextFormattedCitation":"(1–5)","previouslyFormattedCitation":"(1–5)"},"properties":{"noteIndex":0},"schema":"https://github.com/citation-style-language/schema/raw/master/csl-citation.json"}</w:instrText>
      </w:r>
      <w:r w:rsidR="00611CE3" w:rsidRPr="00D41D6B">
        <w:fldChar w:fldCharType="separate"/>
      </w:r>
      <w:r w:rsidR="007B4533" w:rsidRPr="007B4533">
        <w:rPr>
          <w:noProof/>
        </w:rPr>
        <w:t>(1–5)</w:t>
      </w:r>
      <w:r w:rsidR="00611CE3" w:rsidRPr="00D41D6B">
        <w:fldChar w:fldCharType="end"/>
      </w:r>
      <w:r w:rsidR="00935764" w:rsidRPr="00D41D6B">
        <w:t xml:space="preserve">. </w:t>
      </w:r>
      <w:r w:rsidR="00C3372B">
        <w:rPr>
          <w:shd w:val="clear" w:color="auto" w:fill="FFFFFF"/>
        </w:rPr>
        <w:t>The</w:t>
      </w:r>
      <w:r w:rsidR="00D41D6B">
        <w:rPr>
          <w:shd w:val="clear" w:color="auto" w:fill="FFFFFF"/>
        </w:rPr>
        <w:t xml:space="preserve"> </w:t>
      </w:r>
      <w:r w:rsidR="009E180A">
        <w:rPr>
          <w:shd w:val="clear" w:color="auto" w:fill="FFFFFF"/>
        </w:rPr>
        <w:t>results</w:t>
      </w:r>
      <w:r w:rsidR="00C3372B">
        <w:rPr>
          <w:shd w:val="clear" w:color="auto" w:fill="FFFFFF"/>
        </w:rPr>
        <w:t xml:space="preserve"> of these </w:t>
      </w:r>
      <w:r w:rsidR="009E180A">
        <w:t>may have important implications</w:t>
      </w:r>
      <w:r w:rsidR="00CB7066">
        <w:t xml:space="preserve"> for</w:t>
      </w:r>
      <w:r w:rsidR="00C66637">
        <w:t xml:space="preserve"> patients with </w:t>
      </w:r>
      <w:r w:rsidR="009E180A">
        <w:t xml:space="preserve">for example </w:t>
      </w:r>
      <w:r w:rsidR="00F34F7B">
        <w:t>treatment-resistant depression</w:t>
      </w:r>
      <w:r w:rsidR="009C7263">
        <w:t xml:space="preserve"> </w:t>
      </w:r>
      <w:r w:rsidR="002E7AD4">
        <w:t>(TRD)</w:t>
      </w:r>
      <w:r w:rsidR="009E180A">
        <w:t xml:space="preserve"> that are not experiencing any amelioration in their symptoms despite going through cognitive behavioural therapy or anti-depressant drug therapy</w:t>
      </w:r>
      <w:r w:rsidR="00F34F7B">
        <w:fldChar w:fldCharType="begin" w:fldLock="1"/>
      </w:r>
      <w:r w:rsidR="00966577">
        <w:instrText>ADDIN CSL_CITATION {"citationItems":[{"id":"ITEM-1","itemData":{"DOI":"10.3389/fphar.2017.00974","ISSN":"1663-9812","abstract":"Introduction: It is a basic principle of the \"psychedelic\" treatment model that the quality of the acute experience mediates long-term improvements in mental health. In the present paper we sought to test this using data from a clinical trial assessing psilocybin for treatment-resistant depression (TRD). In line with previous reports, we hypothesized that the occurrence and magnitude of Oceanic Boundlessness (OBN) (sharing features with mystical-type experience) and Dread of Ego Dissolution (DED) (similar to anxiety) would predict long-term positive outcomes, whereas sensory perceptual effects would have negligible predictive value. Materials and Methods: Twenty patients with treatment resistant depression underwent treatment with psilocybin (two separate sessions: 10 and 25 mg psilocybin). The Altered States of Consciousness (ASC) questionnaire was used to assess the quality of experiences in the 25 mg psilocybin session. From the ASC, the dimensions OBN and DED were used to measure the mystical-type and challenging experiences, respectively. The Self-Reported Quick Inventory of Depressive Symptoms (QIDS-SR) at 5 weeks served as the endpoint clinical outcome measure, as in later time points some of the subjects had gone on to receive new treatments, thus confounding inferences. In a repeated measure ANOVA, Time was the within-subject factor (independent variable), with QIDS-SR as the within-subject dependent variable in baseline, 1-day, 1-week, 5-weeks. OBN and DED were independent variables. OBN-by-Time and DED-by-Time interactions were the primary outcomes of interest. Results: For the interaction of OBN and DED with Time (QIDS-SR as dependent variable), the main effect and the effects at each time point compared to baseline were all significant (p = 0.002 and p = 0.003, respectively, for main effects), confirming our main hypothesis. Furthermore, Pearson's correlation of OBN with QIDS-SR (5 weeks) was specific compared to perceptual dimensions of the ASC (p &lt; 0.05). Discussion: This report further bolsters the view that the quality of the acute psychedelic experience is a key mediator of long-term changes in mental health. Future therapeutic work with psychedelics should recognize the essential importance of quality of experience in determining treatment efficacy and consider ways of enhancing mystical-type experiences and reducing anxiety.","author":[{"dropping-particle":"","family":"Roseman","given":"Leor","non-dropping-particle":"","parse-names":false,"suffix":""},{"dropping-particle":"","family":"Nutt","given":"David J.","non-dropping-particle":"","parse-names":false,"suffix":""},{"dropping-particle":"","family":"Carhart-Harris","given":"Robin L.","non-dropping-particle":"","parse-names":false,"suffix":""}],"container-title":"Frontiers in Pharmacology","id":"ITEM-1","issue":"JAN","issued":{"date-parts":[["2018","1","17"]]},"page":"974","publisher":"Frontiers Media S.A.","title":"Quality of Acute Psychedelic Experience Predicts Therapeutic Efficacy of Psilocybin for Treatment-Resistant Depression","type":"article-journal","volume":"8"},"uris":["http://www.mendeley.com/documents/?uuid=41fb18e6-159d-3d10-9757-8b25ce18dadf"]},{"id":"ITEM-2","itemData":{"DOI":"10.3389/fpsyt.2020.00782","ISSN":"16640640","abstract":"Psychedelic therapy shows promise as a novel intervention for a wide range of mental health concerns but its therapeutic action is incompletely understood. In line with acceptance and commitment therapy’s (ACT’s) transdiagnostic model, qualitative research has suggested that reductions in experiential avoidance are an important component of therapeutic outcomes associated with psychedelics. However, limited research has quantitatively explored the association between decreases in experiential avoidance and therapeutic outcomes associated with psychedelics. Therefore, in two prospective studies, using convenience samples of individuals with plans to use a psychedelic, we explored the impact of psychedelic use on experiential avoidance, depression severity, and suicidal ideation, as well as relationships between changes in these outcomes. Participants (Study 1, N=104; Study 2, N=254) completed self-report questionnaires of depression severity, suicidal ideation, and experiential avoidance: 1) before using a psychedelic (in ceremonial and non-ceremonial contexts), as well as 2) 2-weeks and 3) 4-weeks after psychedelic use. Across both studies, repeated measures ANOVAs indicated significant decreases in experiential avoidance, depression severity, and suicidal ideation after psychedelic use. Furthermore, decreases in experiential avoidance were significantly associated with decreases in depression severity and suicidal ideation. These results suggest that psychedelics may lead to significant decreases in experiential avoidance, depression severity, and suicidal ideation. Additionally, these findings imply that reduced experiential avoidance may be a transdiagnostic mechanism mediating treatment success within psychedelic therapy. We conclude that integrating psychedelics with psychotherapeutic interventions that target experiential avoidance (e.g. ACT) may enhance therapeutic outcomes.","author":[{"dropping-particle":"","family":"Zeifman","given":"Richard J.","non-dropping-particle":"","parse-names":false,"suffix":""},{"dropping-particle":"","family":"Wagner","given":"Anne C.","non-dropping-particle":"","parse-names":false,"suffix":""},{"dropping-particle":"","family":"Watts","given":"Ros","non-dropping-particle":"","parse-names":false,"suffix":""},{"dropping-particle":"","family":"Kettner","given":"Hannes","non-dropping-particle":"","parse-names":false,"suffix":""},{"dropping-particle":"","family":"Mertens","given":"Lea J.","non-dropping-particle":"","parse-names":false,"suffix":""},{"dropping-particle":"","family":"Carhart-Harris","given":"Robin L.","non-dropping-particle":"","parse-names":false,"suffix":""}],"container-title":"Frontiers in Psychiatry","id":"ITEM-2","issued":{"date-parts":[["2020","8","7"]]},"page":"1","publisher":"Frontiers Media S.A.","title":"Post-Psychedelic Reductions in Experiential Avoidance Are Associated With Decreases in Depression Severity and Suicidal Ideation","type":"article-journal","volume":"11"},"uris":["http://www.mendeley.com/documents/?uuid=36b90b50-361a-3521-8678-9c9f228dcb6e"]},{"id":"ITEM-3","itemData":{"DOI":"10.1177/0022167817709585","ISSN":"0022-1678","abstract":"&lt;p&gt;Objective: To identify patients’ perceptions of the value of psilocybin as a treatment for depression. Method: Twenty patients enrolled in an open-label trial of psilocybin for treatment-resistant depression participated in a semistructured interview at 6-month follow-up. Thematic analysis was used to identify patients’ experiences of the treatment and how it compared with previous treatments. Results: Two main change processes were identified in relation to the treatment. The first concerned change from disconnection (from self, others, and world) to connection, and the second concerned change from avoidance (of emotion) to acceptance. A third theme concerned comparison between psilocybin and conventional treatments. Patients reported that medications and some short-term talking therapies tended to reinforce their sense of disconnection and avoidance, whereas treatment with psilocybin encouraged connection and acceptance. Conclusions: These results suggest that psilocybin treatment for depression may work via paradigmatically novel means, antithetical to antidepressant medications, and some short-term talking therapies.&lt;/p&gt;","author":[{"dropping-particle":"","family":"Watts","given":"Rosalind","non-dropping-particle":"","parse-names":false,"suffix":""},{"dropping-particle":"","family":"Day","given":"Camilla","non-dropping-particle":"","parse-names":false,"suffix":""},{"dropping-particle":"","family":"Krzanowski","given":"Jacob","non-dropping-particle":"","parse-names":false,"suffix":""},{"dropping-particle":"","family":"Nutt","given":"David","non-dropping-particle":"","parse-names":false,"suffix":""},{"dropping-particle":"","family":"Carhart-Harris","given":"Robin","non-dropping-particle":"","parse-names":false,"suffix":""}],"container-title":"Journal of Humanistic Psychology","id":"ITEM-3","issue":"5","issued":{"date-parts":[["2017","9","19"]]},"page":"520-564","publisher":"SAGE Publications Inc.","title":"Patients’ Accounts of Increased “Connectedness” and “Acceptance” After Psilocybin for Treatment-Resistant Depression","type":"article-journal","volume":"57"},"uris":["http://www.mendeley.com/documents/?uuid=498a2eb9-d9a3-3c92-8825-00f5f2448a8d"]},{"id":"ITEM-4","itemData":{"DOI":"10.1016/S2215-0366(16)30065-7","ISSN":"22150374","PMID":"27210031","abstract":"Background Psilocybin is a serotonin receptor agonist that occurs naturally in some mushroom species. Recent studies have assessed the therapeutic potential of psilocybin for various conditions, including end-of-life anxiety, obsessive-compulsive disorder, and smoking and alcohol dependence, with promising preliminary results. Here, we aimed to investigate the feasibility, safety, and efficacy of psilocybin in patients with unipolar treatment-resistant depression. Methods In this open-label feasibility trial, 12 patients (six men, six women) with moderate-to-severe, unipolar, treatment-resistant major depression received two oral doses of psilocybin (10 mg and 25 mg, 7 days apart) in a supportive setting. There was no control group. Psychological support was provided before, during, and after each session. The primary outcome measure for feasibility was patient-reported intensity of psilocybin's effects. Patients were monitored for adverse reactions during the dosing sessions and subsequent clinic and remote follow-up. Depressive symptoms were assessed with standard assessments from 1 week to 3 months after treatment, with the 16-item Quick Inventory of Depressive Symptoms (QIDS) serving as the primary efficacy outcome. This trial is registered with ISRCTN, number ISRCTN14426797. Findings Psilocybin's acute psychedelic effects typically became detectable 30–60 min after dosing, peaked 2–3 h after dosing, and subsided to negligible levels at least 6 h after dosing. Mean self-rated intensity (on a 0–1 scale) was 0·51 (SD 0·36) for the low-dose session and 0·75 (SD 0·27) for the high-dose session. Psilocybin was well tolerated by all of the patients, and no serious or unexpected adverse events occurred. The adverse reactions we noted were transient anxiety during drug onset (all patients), transient confusion or thought disorder (nine patients), mild and transient nausea (four patients), and transient headache (four patients). Relative to baseline, depressive symptoms were markedly reduced 1 week (mean QIDS difference −11·8, 95% CI −9·15 to −14·35, p=0·002, Hedges' g=3·1) and 3 months (−9·2, 95% CI −5·69 to −12·71, p=0·003, Hedges' g=2) after high-dose treatment. Marked and sustained improvements in anxiety and anhedonia were also noted. Interpretation This study provides preliminary support for the safety and efficacy of psilocybin for treatment-resistant depression and motivates further trials, with more rigorous designs, to better examine the therapeuti…","author":[{"dropping-particle":"","family":"Carhart-Harris","given":"Robin L.","non-dropping-particle":"","parse-names":false,"suffix":""},{"dropping-particle":"","family":"Bolstridge","given":"Mark","non-dropping-particle":"","parse-names":false,"suffix":""},{"dropping-particle":"","family":"Rucker","given":"James","non-dropping-particle":"","parse-names":false,"suffix":""},{"dropping-particle":"","family":"Day","given":"Camilla M.J.","non-dropping-particle":"","parse-names":false,"suffix":""},{"dropping-particle":"","family":"Erritzoe","given":"David","non-dropping-particle":"","parse-names":false,"suffix":""},{"dropping-particle":"","family":"Kaelen","given":"Mendel","non-dropping-particle":"","parse-names":false,"suffix":""},{"dropping-particle":"","family":"Bloomfield","given":"Michael","non-dropping-particle":"","parse-names":false,"suffix":""},{"dropping-particle":"","family":"Rickard","given":"James A.","non-dropping-particle":"","parse-names":false,"suffix":""},{"dropping-particle":"","family":"Forbes","given":"Ben","non-dropping-particle":"","parse-names":false,"suffix":""},{"dropping-particle":"","family":"Feilding","given":"Amanda","non-dropping-particle":"","parse-names":false,"suffix":""},{"dropping-particle":"","family":"Taylor","given":"David","non-dropping-particle":"","parse-names":false,"suffix":""},{"dropping-particle":"","family":"Pilling","given":"Steve","non-dropping-particle":"","parse-names":false,"suffix":""},{"dropping-particle":"","family":"Curran","given":"Valerie H.","non-dropping-particle":"","parse-names":false,"suffix":""},{"dropping-particle":"","family":"Nutt","given":"David J.","non-dropping-particle":"","parse-names":false,"suffix":""}],"container-title":"The Lancet Psychiatry","id":"ITEM-4","issue":"7","issued":{"date-parts":[["2016","7","1"]]},"page":"619-627","publisher":"Elsevier Ltd","title":"Psilocybin with psychological support for treatment-resistant depression: an open-label feasibility study","type":"article-journal","volume":"3"},"uris":["http://www.mendeley.com/documents/?uuid=0ad69268-22a4-31b3-94a2-fb8d1de9e081"]},{"id":"ITEM-5","itemData":{"DOI":"10.1177/0004867419888575","ISSN":"14401614","PMID":"31752499","abstract":"In the quest for new treatment options for depression, attention is being paid to the potential role of psychedelic drugs. Psilocybin is of particular interest given its mechanism of action, its benefits in early trials and its relatively low side effects burden. This viewpoint outlines a number of key issues that remain to be elucidated about its potential use in the clinical environment, including clarification of the profile of people most likely to benefit and those who might experience adverse effects, longer-term outcomes and the role of psychotherapeutic input alongside the drug itself. There are also opportunities to understand better, the neurobiology underpinning its effects.","author":[{"dropping-particle":"","family":"Meikle","given":"Sally E.","non-dropping-particle":"","parse-names":false,"suffix":""},{"dropping-particle":"","family":"Liknaitzky","given":"Paul","non-dropping-particle":"","parse-names":false,"suffix":""},{"dropping-particle":"","family":"Rossell","given":"Susan L.","non-dropping-particle":"","parse-names":false,"suffix":""},{"dropping-particle":"","family":"Ross","given":"Margaret","non-dropping-particle":"","parse-names":false,"suffix":""},{"dropping-particle":"","family":"Strauss","given":"Nigel","non-dropping-particle":"","parse-names":false,"suffix":""},{"dropping-particle":"","family":"Thomas","given":"Neil","non-dropping-particle":"","parse-names":false,"suffix":""},{"dropping-particle":"","family":"Murray","given":"Greg","non-dropping-particle":"","parse-names":false,"suffix":""},{"dropping-particle":"","family":"Williams","given":"Martin","non-dropping-particle":"","parse-names":false,"suffix":""},{"dropping-particle":"","family":"Castle","given":"David J.","non-dropping-particle":"","parse-names":false,"suffix":""}],"container-title":"Australian and New Zealand Journal of Psychiatry","id":"ITEM-5","issue":"3","issued":{"date-parts":[["2020","3","1"]]},"page":"225-231","publisher":"SAGE Publications Inc.","title":"Psilocybin-assisted therapy for depression: How do we advance the field?","type":"article-journal","volume":"54"},"uris":["http://www.mendeley.com/documents/?uuid=ebfaba7d-dd00-3b8a-a4c7-f7950aa8149f"]},{"id":"ITEM-6","itemData":{"DOI":"10.1016/j.cell.2020.03.020","ISSN":"10974172","PMID":"32243793","abstract":"After a legally mandated, decades-long global arrest of research on psychedelic drugs, investigation of psychedelics in the context of psychiatric disorders is yielding exciting results. Outcomes of neuroscience and clinical research into 5-Hydroxytryptamine 2A (5-HT2A) receptor agonists, such as psilocybin, show promise for addressing a range of serious disorders, including depression and addiction.","author":[{"dropping-particle":"","family":"Nutt","given":"David","non-dropping-particle":"","parse-names":false,"suffix":""},{"dropping-particle":"","family":"Erritzoe","given":"David","non-dropping-particle":"","parse-names":false,"suffix":""},{"dropping-particle":"","family":"Carhart-Harris","given":"Robin","non-dropping-particle":"","parse-names":false,"suffix":""}],"container-title":"Cell","id":"ITEM-6","issue":"1","issued":{"date-parts":[["2020","4","2"]]},"page":"24-28","publisher":"Cell Press","title":"Psychedelic Psychiatry's Brave New World","type":"article-journal","volume":"181"},"uris":["http://www.mendeley.com/documents/?uuid=94394b7b-186e-3099-b7c6-ff599d51ed66"]}],"mendeley":{"formattedCitation":"(68–73)","plainTextFormattedCitation":"(68–73)","previouslyFormattedCitation":"(68–73)"},"properties":{"noteIndex":0},"schema":"https://github.com/citation-style-language/schema/raw/master/csl-citation.json"}</w:instrText>
      </w:r>
      <w:r w:rsidR="00F34F7B">
        <w:fldChar w:fldCharType="separate"/>
      </w:r>
      <w:r w:rsidR="007B4533" w:rsidRPr="007B4533">
        <w:rPr>
          <w:noProof/>
        </w:rPr>
        <w:t>(68–73)</w:t>
      </w:r>
      <w:r w:rsidR="00F34F7B">
        <w:fldChar w:fldCharType="end"/>
      </w:r>
      <w:r w:rsidR="009E180A">
        <w:t>.</w:t>
      </w:r>
      <w:r w:rsidR="00F72F55">
        <w:t xml:space="preserve"> Importantly,</w:t>
      </w:r>
      <w:r w:rsidR="009E180A">
        <w:t xml:space="preserve"> t</w:t>
      </w:r>
      <w:r w:rsidR="0042778B">
        <w:t>h</w:t>
      </w:r>
      <w:r w:rsidR="0064204C">
        <w:t>ere is a</w:t>
      </w:r>
      <w:r w:rsidR="0042778B">
        <w:t xml:space="preserve"> strong association between depression and suicidal ideation</w:t>
      </w:r>
      <w:r w:rsidR="00C3744D">
        <w:fldChar w:fldCharType="begin" w:fldLock="1"/>
      </w:r>
      <w:r w:rsidR="00966577">
        <w:instrText>ADDIN CSL_CITATION {"citationItems":[{"id":"ITEM-1","itemData":{"DOI":"10.1016/j.jad.2018.04.016","ISSN":"15732517","PMID":"29665520","abstract":"Background: Thirty percent of patients with treatment-resistant depression (TRD) attempt suicide at least once during their lifetime. However, it is unclear what the attempted and completed suicide incidences are in TRD patients after initiating a treatment, and whether specific treatments increase or decrease these incidences. Methods: We searched PubMed systematically for studies of depressed patients who failed at least two antidepressant therapies and were followed for at least three months after initiating a treatment. We estimated attempted and completed suicide incidences using a Poisson meta-analysis. Given the lack of controlled comparisons, we used a meta-regression to estimate whether these incidences differed between treatments. Results: We included 30 studies investigating suicidality in 32 TRD samples, undergoing deep brain stimulation (DBS, n = 9), vagal nerve stimulation (VNS, n = 9), electroconvulsive therapy (ECT, n = 5), treatment-as-usual (n = 3), capsulotomy (n = 2), cognitive behavioral therapy (n = 2), ketamine (n = 1), and epidural cortical stimulation (n = 1). The overall incidence of completed suicides was 0.47 per 100 patient years (95% CI: 0.22–1.00), and of attempted suicides 4.66 per 100 patient years (95% CI: 3.53–6.23). No differences were found in incidences following DBS, VNS or ECT. Limitations: Suicidality is poorly recorded in many studies limiting the number of studies available. Conclusions: The completed and attempted suicide incidences are high (0.47 and 4.66 per 100 patient years respectively), but these incidences did not differ between three end of the line treatments (DBS, VNS or ECT). Given the high suicide risk in TRD patients, clinical trials should consider suicidality as an explicit outcome measure.","author":[{"dropping-particle":"","family":"Bergfeld","given":"Isidoor O.","non-dropping-particle":"","parse-names":false,"suffix":""},{"dropping-particle":"","family":"Mantione","given":"Mariska","non-dropping-particle":"","parse-names":false,"suffix":""},{"dropping-particle":"","family":"Figee","given":"Martijn","non-dropping-particle":"","parse-names":false,"suffix":""},{"dropping-particle":"","family":"Schuurman","given":"P. Richard","non-dropping-particle":"","parse-names":false,"suffix":""},{"dropping-particle":"","family":"Lok","given":"Anja","non-dropping-particle":"","parse-names":false,"suffix":""},{"dropping-particle":"","family":"Denys","given":"Damiaan","non-dropping-particle":"","parse-names":false,"suffix":""}],"container-title":"Journal of Affective Disorders","id":"ITEM-1","issued":{"date-parts":[["2018","8","1"]]},"page":"362-367","publisher":"Elsevier B.V.","title":"Treatment-resistant depression and suicidality","type":"article","volume":"235"},"uris":["http://www.mendeley.com/documents/?uuid=9f42f950-ba50-3319-8807-ddb04646fa63"]},{"id":"ITEM-2","itemData":{"DOI":"10.1016/j.jad.2013.01.004","ISSN":"01650327","PMID":"23411024","abstract":"Background: Depression is the most common psychiatric disorder in people who die by suicide. Awareness of risk factors for suicide in depression is important for clinicians. Methods: In a systematic review of the international literature we identified cohort and case-control studies of people with depression in which suicide was an outcome, and conducted meta-analyses of potential risk factors. Results: Nineteen studies (28 publications) were included. Factors significantly associated with suicide were: male gender (OR=1.76, 95% CI=1.08-2.86), family history of psychiatric disorder (OR=1.41, 95% CI=1.00-1.97), previous attempted suicide (OR=4.84, 95% CI=3.26-7.20), more severe depression (OR=2.20, 95% CI=1.05-4.60), hopelessness (OR=2.20, 95% CI=1.49-3.23) and comorbid disorders, including anxiety (OR=1.59, 95% CI=1.03-2.45) and misuse of alcohol and drugs (OR=2.17, 95% CI=1.77-2.66). Limitations: There were fewer studies than suspected. Interdependence between risk factors could not be examined. Conclusions: The factors identified should be included in clinical assessment of risk in depressed patients. Further large-scale studies are required to identify other relevant factors. © 2013 Elsevier B.V. All rights reserved.","author":[{"dropping-particle":"","family":"Hawton","given":"Keith","non-dropping-particle":"","parse-names":false,"suffix":""},{"dropping-particle":"","family":"Casañas I Comabella","given":"Carolina","non-dropping-particle":"","parse-names":false,"suffix":""},{"dropping-particle":"","family":"Haw","given":"Camilla","non-dropping-particle":"","parse-names":false,"suffix":""},{"dropping-particle":"","family":"Saunders","given":"Kate","non-dropping-particle":"","parse-names":false,"suffix":""}],"container-title":"Journal of Affective Disorders","id":"ITEM-2","issue":"1-3","issued":{"date-parts":[["2013","5"]]},"page":"17-28","publisher":"J Affect Disord","title":"Risk factors for suicide in individuals with depression: A systematic review","type":"article","volume":"147"},"uris":["http://www.mendeley.com/documents/?uuid=274c8f8a-a654-39f3-8735-180759868445"]},{"id":"ITEM-3","itemData":{"DOI":"10.1002/da.20915","ISSN":"10914269","PMID":"22147587","abstract":"Background Previous studies suggest that people attempt suicide because they are cognitively inflexible, but past research suggesting a link between cognitive inflexibility and suicidal thoughts and behavior has been limited by cross-sectional designs. This study examined whether cognitive inflexibility differentially and prospectively predicted suicidal ideation among young adults with and without a history of a suicide attempt. Methods A sample of 45 young adults with (n = 13) or without (n = 32) a suicide attempt history completed the Wisconsin Card Sorting Test (WCST), a diagnostic interview, and self-report measures of hopelessness, depressive symptoms, and suicidal ideation, and were followed up 6 months later to reassess suicidal ideation. Results Cognitive inflexibility, as measured by perseverative errors on the WCST, predicted suicidal ideation at 6-month follow-up, among suicide attempters, but not among nonattempters, adjusting for the presence of a baseline mood or anxiety diagnosis, hopelessness, and baseline suicidal ideation. Conclusions Cognitive inflexibility may increase vulnerability to suicidal ideation over time among individuals with a previous suicide attempt history. Implications for interventions with suicide attempters are discussed. © 2011 Wiley Periodicals, Inc.","author":[{"dropping-particle":"","family":"Miranda","given":"Regina","non-dropping-particle":"","parse-names":false,"suffix":""},{"dropping-particle":"","family":"Gallagher","given":"Michelle","non-dropping-particle":"","parse-names":false,"suffix":""},{"dropping-particle":"","family":"Bauchner","given":"Brett","non-dropping-particle":"","parse-names":false,"suffix":""},{"dropping-particle":"","family":"Vaysman","given":"Renata","non-dropping-particle":"","parse-names":false,"suffix":""},{"dropping-particle":"","family":"Marroquín","given":"Brett","non-dropping-particle":"","parse-names":false,"suffix":""}],"container-title":"Depression and Anxiety","id":"ITEM-3","issue":"3","issued":{"date-parts":[["2012","3"]]},"page":"180-186","publisher":"Depress Anxiety","title":"Cognitive inflexibility as a prospective predictor of suicidal ideation among young adults with a suicide attempt history","type":"article-journal","volume":"29"},"uris":["http://www.mendeley.com/documents/?uuid=df4591e8-c18d-3d55-8b58-ee2ac982d538"]}],"mendeley":{"formattedCitation":"(74–76)","plainTextFormattedCitation":"(74–76)","previouslyFormattedCitation":"(74–76)"},"properties":{"noteIndex":0},"schema":"https://github.com/citation-style-language/schema/raw/master/csl-citation.json"}</w:instrText>
      </w:r>
      <w:r w:rsidR="00C3744D">
        <w:fldChar w:fldCharType="separate"/>
      </w:r>
      <w:r w:rsidR="007B4533" w:rsidRPr="007B4533">
        <w:rPr>
          <w:noProof/>
        </w:rPr>
        <w:t>(74–76)</w:t>
      </w:r>
      <w:r w:rsidR="00C3744D">
        <w:fldChar w:fldCharType="end"/>
      </w:r>
      <w:r w:rsidR="00C267F0">
        <w:t>.</w:t>
      </w:r>
      <w:r w:rsidR="009E180A">
        <w:t xml:space="preserve"> In fact, </w:t>
      </w:r>
      <w:r w:rsidR="0042778B">
        <w:t>30% of TRD patient attempt suicide at least on</w:t>
      </w:r>
      <w:r w:rsidR="002252E9">
        <w:t>c</w:t>
      </w:r>
      <w:r w:rsidR="0042778B">
        <w:t>e during their lifetime</w:t>
      </w:r>
      <w:r w:rsidR="003352C6">
        <w:fldChar w:fldCharType="begin" w:fldLock="1"/>
      </w:r>
      <w:r w:rsidR="00966577">
        <w:instrText>ADDIN CSL_CITATION {"citationItems":[{"id":"ITEM-1","itemData":{"DOI":"10.1016/j.jad.2018.04.016","ISSN":"15732517","PMID":"29665520","abstract":"Background: Thirty percent of patients with treatment-resistant depression (TRD) attempt suicide at least once during their lifetime. However, it is unclear what the attempted and completed suicide incidences are in TRD patients after initiating a treatment, and whether specific treatments increase or decrease these incidences. Methods: We searched PubMed systematically for studies of depressed patients who failed at least two antidepressant therapies and were followed for at least three months after initiating a treatment. We estimated attempted and completed suicide incidences using a Poisson meta-analysis. Given the lack of controlled comparisons, we used a meta-regression to estimate whether these incidences differed between treatments. Results: We included 30 studies investigating suicidality in 32 TRD samples, undergoing deep brain stimulation (DBS, n = 9), vagal nerve stimulation (VNS, n = 9), electroconvulsive therapy (ECT, n = 5), treatment-as-usual (n = 3), capsulotomy (n = 2), cognitive behavioral therapy (n = 2), ketamine (n = 1), and epidural cortical stimulation (n = 1). The overall incidence of completed suicides was 0.47 per 100 patient years (95% CI: 0.22–1.00), and of attempted suicides 4.66 per 100 patient years (95% CI: 3.53–6.23). No differences were found in incidences following DBS, VNS or ECT. Limitations: Suicidality is poorly recorded in many studies limiting the number of studies available. Conclusions: The completed and attempted suicide incidences are high (0.47 and 4.66 per 100 patient years respectively), but these incidences did not differ between three end of the line treatments (DBS, VNS or ECT). Given the high suicide risk in TRD patients, clinical trials should consider suicidality as an explicit outcome measure.","author":[{"dropping-particle":"","family":"Bergfeld","given":"Isidoor O.","non-dropping-particle":"","parse-names":false,"suffix":""},{"dropping-particle":"","family":"Mantione","given":"Mariska","non-dropping-particle":"","parse-names":false,"suffix":""},{"dropping-particle":"","family":"Figee","given":"Martijn","non-dropping-particle":"","parse-names":false,"suffix":""},{"dropping-particle":"","family":"Schuurman","given":"P. Richard","non-dropping-particle":"","parse-names":false,"suffix":""},{"dropping-particle":"","family":"Lok","given":"Anja","non-dropping-particle":"","parse-names":false,"suffix":""},{"dropping-particle":"","family":"Denys","given":"Damiaan","non-dropping-particle":"","parse-names":false,"suffix":""}],"container-title":"Journal of Affective Disorders","id":"ITEM-1","issued":{"date-parts":[["2018","8","1"]]},"page":"362-367","publisher":"Elsevier B.V.","title":"Treatment-resistant depression and suicidality","type":"article","volume":"235"},"uris":["http://www.mendeley.com/documents/?uuid=9f42f950-ba50-3319-8807-ddb04646fa63"]}],"mendeley":{"formattedCitation":"(74)","plainTextFormattedCitation":"(74)","previouslyFormattedCitation":"(74)"},"properties":{"noteIndex":0},"schema":"https://github.com/citation-style-language/schema/raw/master/csl-citation.json"}</w:instrText>
      </w:r>
      <w:r w:rsidR="003352C6">
        <w:fldChar w:fldCharType="separate"/>
      </w:r>
      <w:r w:rsidR="007B4533" w:rsidRPr="007B4533">
        <w:rPr>
          <w:noProof/>
        </w:rPr>
        <w:t>(74)</w:t>
      </w:r>
      <w:r w:rsidR="003352C6">
        <w:fldChar w:fldCharType="end"/>
      </w:r>
      <w:r w:rsidR="009E180A">
        <w:t>. Thus, novel treatment options are highly warranted</w:t>
      </w:r>
      <w:r w:rsidR="0042778B">
        <w:t>.</w:t>
      </w:r>
      <w:r w:rsidR="0042778B">
        <w:rPr>
          <w:color w:val="000000" w:themeColor="text1"/>
        </w:rPr>
        <w:t xml:space="preserve"> </w:t>
      </w:r>
      <w:r w:rsidR="00DC27C7">
        <w:t xml:space="preserve">For </w:t>
      </w:r>
      <w:r w:rsidR="0042778B">
        <w:t xml:space="preserve">TRD </w:t>
      </w:r>
      <w:r w:rsidR="00DC27C7">
        <w:t>patients,</w:t>
      </w:r>
      <w:r w:rsidR="009E180A">
        <w:t xml:space="preserve"> psychedelic assisted psychotherapy may be such an option,</w:t>
      </w:r>
      <w:r w:rsidR="00DC27C7">
        <w:t xml:space="preserve"> </w:t>
      </w:r>
      <w:r w:rsidR="00277D1A">
        <w:t xml:space="preserve">especially when combined with </w:t>
      </w:r>
      <w:r w:rsidR="00E638FE">
        <w:t>psychological support</w:t>
      </w:r>
      <w:r w:rsidR="00E638FE">
        <w:fldChar w:fldCharType="begin" w:fldLock="1"/>
      </w:r>
      <w:r w:rsidR="00966577">
        <w:instrText>ADDIN CSL_CITATION {"citationItems":[{"id":"ITEM-1","itemData":{"DOI":"10.1016/j.jcbs.2019.12.004","ISSN":"22121447","abstract":"Psychedelic assisted therapy comprises three stages: Preparation, Psychedelic Session, and Integration. Preparation is key for maximising the potential of a beneficial psychedelic experience and integration is important for prolonging improvements. The psychological flexibility model (PFM) appears to be a promising one to guide psychedelic preparation and integration. This paper proposes a model that utilises the PFM as informed by a previously published qualitative study of patient accounts of change processes in psilocybin therapy that identified themes of acceptance and connection as associated with positive outcomes. This new model, the ACE (Accept, Connect, Embody) model presents the six psychological flexibility processes, renamed and rearranged in an acceptance triad (defusion, present moment focus, willingness) and a connection triad (self as context, values, committed action). This paper describes the ACE model and how it is being used in an ongoing trial of psilocybin treatment for major depression. It also describes qualitative evidence supportive of the idea that psychological flexibility may be key to characterizing the processes of change involved in psilocybin assisted therapy for depression. These and other results suggest that psilocybin may be specifically increasing psychological flexibility and point to the possibility that psychotherapy approaches incorporating the PFM may serve as a means to deepen and extend the benefits of psilocybin treatment, thus bridging the experiential gap between a potent inner experience and an outer life better lived.","author":[{"dropping-particle":"","family":"Watts","given":"Rosalind","non-dropping-particle":"","parse-names":false,"suffix":""},{"dropping-particle":"","family":"Luoma","given":"Jason B.","non-dropping-particle":"","parse-names":false,"suffix":""}],"container-title":"Journal of Contextual Behavioral Science","id":"ITEM-1","issued":{"date-parts":[["2020","1","1"]]},"page":"92-102","publisher":"Elsevier Inc.","title":"The use of the psychological flexibility model to support psychedelic assisted therapy","type":"article","volume":"15"},"uris":["http://www.mendeley.com/documents/?uuid=f4d6eb46-b507-318e-a809-304c73c52480"]}],"mendeley":{"formattedCitation":"(77)","plainTextFormattedCitation":"(77)","previouslyFormattedCitation":"(77)"},"properties":{"noteIndex":0},"schema":"https://github.com/citation-style-language/schema/raw/master/csl-citation.json"}</w:instrText>
      </w:r>
      <w:r w:rsidR="00E638FE">
        <w:fldChar w:fldCharType="separate"/>
      </w:r>
      <w:r w:rsidR="007B4533" w:rsidRPr="007B4533">
        <w:rPr>
          <w:noProof/>
        </w:rPr>
        <w:t>(77)</w:t>
      </w:r>
      <w:r w:rsidR="00E638FE">
        <w:fldChar w:fldCharType="end"/>
      </w:r>
      <w:r w:rsidR="001C560C">
        <w:t xml:space="preserve">. </w:t>
      </w:r>
    </w:p>
    <w:p w14:paraId="0A35B7D3" w14:textId="49D9BEF7" w:rsidR="001C560C" w:rsidRDefault="001C560C" w:rsidP="00E50706"/>
    <w:p w14:paraId="49316CA6" w14:textId="72EC53EE" w:rsidR="001C560C" w:rsidRDefault="001E02FD" w:rsidP="00E50706">
      <w:r>
        <w:lastRenderedPageBreak/>
        <w:t xml:space="preserve">Interestingly, </w:t>
      </w:r>
      <w:r w:rsidR="007C7D38">
        <w:t>there has been evidence to suggest</w:t>
      </w:r>
      <w:r>
        <w:t xml:space="preserve"> psychedelics </w:t>
      </w:r>
      <w:r w:rsidR="007C7D38">
        <w:t>can modulate</w:t>
      </w:r>
      <w:r>
        <w:t xml:space="preserve"> autoimmune diseases (</w:t>
      </w:r>
      <w:proofErr w:type="spellStart"/>
      <w:r>
        <w:t>AiD</w:t>
      </w:r>
      <w:proofErr w:type="spellEnd"/>
      <w:r>
        <w:t>)</w:t>
      </w:r>
      <w:r w:rsidR="00934B2D">
        <w:fldChar w:fldCharType="begin" w:fldLock="1"/>
      </w:r>
      <w:r w:rsidR="00966577">
        <w:instrText>ADDIN CSL_CITATION {"citationItems":[{"id":"ITEM-1","itemData":{"DOI":"10.1016/j.imlet.2020.10.001","ISSN":"18790542","abstract":"With a rise in the incidence of autoimmune diseases (AiD), health care providers continue to seek out more efficacious treatment approaches for the AiD patient population. Classic serotonergic psychedelics have recently been gaining public and professional interest as novel interventions to a number of mental health afflictions. Psychedelics have also been shown to be able to modulate immune functions, however, while there has been great interest to researching into their psychotherapeutic applications, there has so far been very little exploration into the potential to treat inflammatory and immune-related diseases with these compounds. A handful of studies from a variety of fields suggest that psychedelics do indeed have effects in the body that may attenuate the outcome of AiD. This literature review explores existing evidence that psychedelic compounds may offer a potential novel application in the treatment of pathologies related to autoimmunity. We propose that psychedelics hold the potential to attenuate or even resolve autoimmunity by targeting psychosomatic origins, maladaptive chronic stress responses, inflammatory pathways, immune modulation and enteric microbiome populations.","author":[{"dropping-particle":"","family":"Thompson","given":"Caitlin","non-dropping-particle":"","parse-names":false,"suffix":""},{"dropping-particle":"","family":"Szabo","given":"Attila","non-dropping-particle":"","parse-names":false,"suffix":""}],"container-title":"Immunology Letters","id":"ITEM-1","issued":{"date-parts":[["2020"]]},"title":"Psychedelics as a novel approach to treating autoimmune conditions","type":"article","volume":"228"},"uris":["http://www.mendeley.com/documents/?uuid=dc5965ee-9874-37a2-a699-b8279a70b8a0"]}],"mendeley":{"formattedCitation":"(6)","plainTextFormattedCitation":"(6)","previouslyFormattedCitation":"(6)"},"properties":{"noteIndex":0},"schema":"https://github.com/citation-style-language/schema/raw/master/csl-citation.json"}</w:instrText>
      </w:r>
      <w:r w:rsidR="00934B2D">
        <w:fldChar w:fldCharType="separate"/>
      </w:r>
      <w:r w:rsidR="007B4533" w:rsidRPr="007B4533">
        <w:rPr>
          <w:noProof/>
        </w:rPr>
        <w:t>(6)</w:t>
      </w:r>
      <w:r w:rsidR="00934B2D">
        <w:fldChar w:fldCharType="end"/>
      </w:r>
      <w:r w:rsidR="007C7D38">
        <w:t xml:space="preserve">. </w:t>
      </w:r>
      <w:r w:rsidR="006D193C">
        <w:t xml:space="preserve">Through activating </w:t>
      </w:r>
      <w:r w:rsidR="006D193C" w:rsidRPr="006D193C">
        <w:rPr>
          <w:color w:val="000000" w:themeColor="text1"/>
          <w:shd w:val="clear" w:color="auto" w:fill="FFFFFF"/>
        </w:rPr>
        <w:t>NF-</w:t>
      </w:r>
      <w:proofErr w:type="spellStart"/>
      <w:r w:rsidR="006D193C" w:rsidRPr="006D193C">
        <w:rPr>
          <w:color w:val="000000" w:themeColor="text1"/>
          <w:shd w:val="clear" w:color="auto" w:fill="FFFFFF"/>
        </w:rPr>
        <w:t>κB</w:t>
      </w:r>
      <w:proofErr w:type="spellEnd"/>
      <w:r w:rsidR="006D193C" w:rsidRPr="006D193C">
        <w:rPr>
          <w:color w:val="000000" w:themeColor="text1"/>
          <w:shd w:val="clear" w:color="auto" w:fill="FFFFFF"/>
        </w:rPr>
        <w:t xml:space="preserve"> and mitogen-activated protein kinases</w:t>
      </w:r>
      <w:r w:rsidR="006D193C">
        <w:rPr>
          <w:color w:val="000000" w:themeColor="text1"/>
        </w:rPr>
        <w:t xml:space="preserve">, the psychedelic molecules </w:t>
      </w:r>
      <w:r w:rsidR="00165686">
        <w:rPr>
          <w:color w:val="000000" w:themeColor="text1"/>
        </w:rPr>
        <w:t>are</w:t>
      </w:r>
      <w:r w:rsidR="006D193C">
        <w:rPr>
          <w:color w:val="000000" w:themeColor="text1"/>
        </w:rPr>
        <w:t xml:space="preserve"> believed to have a downstream effect on the resulting signalling pathways involved in the inflammation, cell survival and cell proliferation</w:t>
      </w:r>
      <w:r w:rsidR="00934B2D">
        <w:rPr>
          <w:color w:val="000000" w:themeColor="text1"/>
        </w:rPr>
        <w:fldChar w:fldCharType="begin" w:fldLock="1"/>
      </w:r>
      <w:r w:rsidR="00966577">
        <w:rPr>
          <w:color w:val="000000" w:themeColor="text1"/>
        </w:rPr>
        <w:instrText>ADDIN CSL_CITATION {"citationItems":[{"id":"ITEM-1","itemData":{"DOI":"10.3389/fimmu.2015.00358","ISSN":"16643224","abstract":"Classical psychedelics are psychoactive substances, which, besides their psychopharmacological activity, have also been shown to exert significant modulatory effects on immune responses by altering signaling pathways involved in inflammation, cellular proliferation and cell survival via activating NF-κB and MAPKs. Recently, several neurotransmitter receptors involved in the pharmacology of psychedelics, such as serotonin and sigma-1 receptors, have also been shown to play crucial roles in numerous immunological processes. This emerging field also offers promising treatment modalities in the therapy of various diseases including autoimmune and chronic inflammatory conditions, infections, and cancer. However, the scarcity of available review literature renders the topic unclear and obscure, mostly posing psychedelics as illicit drugs of abuse and not as physiologically relevant molecules or as possible agents of future pharmacotherapies. In this paper, the immunomodulatory potential of classical serotonergic psychedelics, including N, N dimethyltryptamine (DMT), 5-methoxy-N, N-dimethyltryptamine (5-MeO-DMT), lysergic acid diethylamide (LSD), 2,5-dimethoxy-4-iodoamphetamine (DOI) and 3,4-methylenedioxy-methamphetamine (MDMA) will be discussed from a perspective of molecular immunology and pharmacology. Special attention will be given to the functional interaction of serotonin and sigma-1 receptors and their cross-talk with Toll-like and RIG-I like pattern recognition receptor-mediated signaling. Furthermore, novel approaches will be suggested feasible for the treatment of diseases with chronic inflammatory etiology and pathology, such as atherosclerosis, rheumatoid arthritis, multiple sclerosis, schizophrenia, depression and Alzheimer's disease.","author":[{"dropping-particle":"","family":"Szabo","given":"Attila","non-dropping-particle":"","parse-names":false,"suffix":""}],"container-title":"Frontiers in Immunology","id":"ITEM-1","issue":"JUN","issued":{"date-parts":[["2015"]]},"title":"Psychedelics and immunomodulation: Novel approaches and therapeutic opportunities","type":"article-journal","volume":"6"},"uris":["http://www.mendeley.com/documents/?uuid=20b8f5fb-553d-38e2-a06f-020b9c2ce63d"]}],"mendeley":{"formattedCitation":"(8)","plainTextFormattedCitation":"(8)","previouslyFormattedCitation":"(8)"},"properties":{"noteIndex":0},"schema":"https://github.com/citation-style-language/schema/raw/master/csl-citation.json"}</w:instrText>
      </w:r>
      <w:r w:rsidR="00934B2D">
        <w:rPr>
          <w:color w:val="000000" w:themeColor="text1"/>
        </w:rPr>
        <w:fldChar w:fldCharType="separate"/>
      </w:r>
      <w:r w:rsidR="007B4533" w:rsidRPr="007B4533">
        <w:rPr>
          <w:noProof/>
          <w:color w:val="000000" w:themeColor="text1"/>
        </w:rPr>
        <w:t>(8)</w:t>
      </w:r>
      <w:r w:rsidR="00934B2D">
        <w:rPr>
          <w:color w:val="000000" w:themeColor="text1"/>
        </w:rPr>
        <w:fldChar w:fldCharType="end"/>
      </w:r>
      <w:r w:rsidR="006D193C">
        <w:rPr>
          <w:color w:val="000000" w:themeColor="text1"/>
        </w:rPr>
        <w:t xml:space="preserve">. </w:t>
      </w:r>
      <w:r w:rsidR="00FA5E82">
        <w:t>Research has</w:t>
      </w:r>
      <w:r w:rsidR="006D193C">
        <w:t xml:space="preserve"> even</w:t>
      </w:r>
      <w:r w:rsidR="00FA5E82">
        <w:t xml:space="preserve"> implicated DMT and 5-MeO-DMT in the modulation of the sigma-1 receptor found on human primary monocyte-derived dendritic cells</w:t>
      </w:r>
      <w:r w:rsidR="00934B2D">
        <w:fldChar w:fldCharType="begin" w:fldLock="1"/>
      </w:r>
      <w:r w:rsidR="00966577">
        <w:instrText>ADDIN CSL_CITATION {"citationItems":[{"id":"ITEM-1","itemData":{"DOI":"10.1371/journal.pone.0106533","ISSN":"19326203","abstract":"The orphan receptor sigma-1 (sigmar-1) is a transmembrane chaperone protein expressed in both the central nervous system and in immune cells. It has been shown to regulate neuronal differentiation and cell survival, and mediates anti-inflammatory responses and immunosuppression in murine in vivo models. Since the details of these findings have not been elucidated so far, we studied the effects of the endogenous sigmar-1 ligands N,N-dimethyltryptamine (NN-DMT), its derivative 5-methoxy-N,N-dimethyltryptamine (5-MeO-DMT) and the synthetic high affinity sigmar-1 agonist PRE-084 hydrochloride on human primary monocyte-derived dendritic cell (moDCs) activation provoked by LPS, polyI:C or pathogen-derived stimuli to induce inflammatory responses. Co-treatment of moDC with these activators and sigma-1 receptor ligands inhibited the production of pro-inflammatory cytokines IL-1β, IL-6, TNFα and the chemokine IL-8, while increased the secretion of the anti-inflammatory cytokine IL-10. The T-cell activating capacity of moDCs was also inhibited, and dimethyltryptamines used in combination with E. coli or influenza virus as stimulators decreased the differentiation of moDC-induced Th1 and Th17 inflammatory effector T-cells in a sigmar-1 specific manner as confirmed by gene silencing. Here we demonstrate for the first time the immunomodulatory potential of NN-DMT and 5-MeO-DMT on human moDC functions via sigmar-1 that could be harnessed for the pharmacological treatment of autoimmune diseases and chronic inflammatory conditions of the CNS or peripheral tissues. Our findings also point out a new biological role for dimethyltryptamines, which may act as systemic endogenous regulators of inflammation and immune homeostasis through the sigma-1 receptor. © 2014 Szabo et al.","author":[{"dropping-particle":"","family":"Szabo","given":"Attila","non-dropping-particle":"","parse-names":false,"suffix":""},{"dropping-particle":"","family":"Kovacs","given":"Attila","non-dropping-particle":"","parse-names":false,"suffix":""},{"dropping-particle":"","family":"Frecska","given":"Ede","non-dropping-particle":"","parse-names":false,"suffix":""},{"dropping-particle":"","family":"Rajnavolgyi","given":"Eva","non-dropping-particle":"","parse-names":false,"suffix":""}],"container-title":"PLoS ONE","id":"ITEM-1","issue":"8","issued":{"date-parts":[["2014"]]},"title":"Psychedelic N,N-dimethyltryptamine and 5-methoxy-N,N-dimethyltryptamine modulate innate and adaptive inflammatory responses through the sigma-1 receptor of human monocyte-derived dendritic cells","type":"article-journal","volume":"9"},"uris":["http://www.mendeley.com/documents/?uuid=14d29523-1fc7-31ea-bead-00d9a4fbb6f3"]}],"mendeley":{"formattedCitation":"(7)","plainTextFormattedCitation":"(7)","previouslyFormattedCitation":"(7)"},"properties":{"noteIndex":0},"schema":"https://github.com/citation-style-language/schema/raw/master/csl-citation.json"}</w:instrText>
      </w:r>
      <w:r w:rsidR="00934B2D">
        <w:fldChar w:fldCharType="separate"/>
      </w:r>
      <w:r w:rsidR="007B4533" w:rsidRPr="007B4533">
        <w:rPr>
          <w:noProof/>
        </w:rPr>
        <w:t>(7)</w:t>
      </w:r>
      <w:r w:rsidR="00934B2D">
        <w:fldChar w:fldCharType="end"/>
      </w:r>
      <w:r w:rsidR="00934B2D">
        <w:t>.</w:t>
      </w:r>
      <w:r w:rsidR="006D193C">
        <w:t xml:space="preserve"> I</w:t>
      </w:r>
      <w:r w:rsidR="00AF4527">
        <w:t xml:space="preserve">t </w:t>
      </w:r>
      <w:r w:rsidR="006D193C">
        <w:t>is speculated that because these cells are involved in the inflammatory and infection response, the psychedelic molecules play a role in their regulation of</w:t>
      </w:r>
      <w:r w:rsidR="00AF4527">
        <w:t xml:space="preserve"> immune homeostasis</w:t>
      </w:r>
      <w:r w:rsidR="00934B2D">
        <w:fldChar w:fldCharType="begin" w:fldLock="1"/>
      </w:r>
      <w:r w:rsidR="00966577">
        <w:instrText>ADDIN CSL_CITATION {"citationItems":[{"id":"ITEM-1","itemData":{"DOI":"10.1371/journal.pone.0106533","ISSN":"19326203","abstract":"The orphan receptor sigma-1 (sigmar-1) is a transmembrane chaperone protein expressed in both the central nervous system and in immune cells. It has been shown to regulate neuronal differentiation and cell survival, and mediates anti-inflammatory responses and immunosuppression in murine in vivo models. Since the details of these findings have not been elucidated so far, we studied the effects of the endogenous sigmar-1 ligands N,N-dimethyltryptamine (NN-DMT), its derivative 5-methoxy-N,N-dimethyltryptamine (5-MeO-DMT) and the synthetic high affinity sigmar-1 agonist PRE-084 hydrochloride on human primary monocyte-derived dendritic cell (moDCs) activation provoked by LPS, polyI:C or pathogen-derived stimuli to induce inflammatory responses. Co-treatment of moDC with these activators and sigma-1 receptor ligands inhibited the production of pro-inflammatory cytokines IL-1β, IL-6, TNFα and the chemokine IL-8, while increased the secretion of the anti-inflammatory cytokine IL-10. The T-cell activating capacity of moDCs was also inhibited, and dimethyltryptamines used in combination with E. coli or influenza virus as stimulators decreased the differentiation of moDC-induced Th1 and Th17 inflammatory effector T-cells in a sigmar-1 specific manner as confirmed by gene silencing. Here we demonstrate for the first time the immunomodulatory potential of NN-DMT and 5-MeO-DMT on human moDC functions via sigmar-1 that could be harnessed for the pharmacological treatment of autoimmune diseases and chronic inflammatory conditions of the CNS or peripheral tissues. Our findings also point out a new biological role for dimethyltryptamines, which may act as systemic endogenous regulators of inflammation and immune homeostasis through the sigma-1 receptor. © 2014 Szabo et al.","author":[{"dropping-particle":"","family":"Szabo","given":"Attila","non-dropping-particle":"","parse-names":false,"suffix":""},{"dropping-particle":"","family":"Kovacs","given":"Attila","non-dropping-particle":"","parse-names":false,"suffix":""},{"dropping-particle":"","family":"Frecska","given":"Ede","non-dropping-particle":"","parse-names":false,"suffix":""},{"dropping-particle":"","family":"Rajnavolgyi","given":"Eva","non-dropping-particle":"","parse-names":false,"suffix":""}],"container-title":"PLoS ONE","id":"ITEM-1","issue":"8","issued":{"date-parts":[["2014"]]},"title":"Psychedelic N,N-dimethyltryptamine and 5-methoxy-N,N-dimethyltryptamine modulate innate and adaptive inflammatory responses through the sigma-1 receptor of human monocyte-derived dendritic cells","type":"article-journal","volume":"9"},"uris":["http://www.mendeley.com/documents/?uuid=14d29523-1fc7-31ea-bead-00d9a4fbb6f3"]}],"mendeley":{"formattedCitation":"(7)","plainTextFormattedCitation":"(7)","previouslyFormattedCitation":"(7)"},"properties":{"noteIndex":0},"schema":"https://github.com/citation-style-language/schema/raw/master/csl-citation.json"}</w:instrText>
      </w:r>
      <w:r w:rsidR="00934B2D">
        <w:fldChar w:fldCharType="separate"/>
      </w:r>
      <w:r w:rsidR="007B4533" w:rsidRPr="007B4533">
        <w:rPr>
          <w:noProof/>
        </w:rPr>
        <w:t>(7)</w:t>
      </w:r>
      <w:r w:rsidR="00934B2D">
        <w:fldChar w:fldCharType="end"/>
      </w:r>
      <w:r w:rsidR="00AF4527">
        <w:t xml:space="preserve">. </w:t>
      </w:r>
      <w:r w:rsidR="00E41010">
        <w:t xml:space="preserve">Future </w:t>
      </w:r>
      <w:r w:rsidR="00110FFC">
        <w:t>studies</w:t>
      </w:r>
      <w:r w:rsidR="00B07848">
        <w:t xml:space="preserve"> still </w:t>
      </w:r>
      <w:r w:rsidR="00E41010">
        <w:t>need</w:t>
      </w:r>
      <w:r w:rsidR="00B07848">
        <w:t xml:space="preserve"> to be conducted to </w:t>
      </w:r>
      <w:r w:rsidR="00E41010">
        <w:t xml:space="preserve">fully </w:t>
      </w:r>
      <w:r w:rsidR="00FA5E82">
        <w:t>understand the immuno</w:t>
      </w:r>
      <w:r w:rsidR="00AF4527">
        <w:t>m</w:t>
      </w:r>
      <w:r w:rsidR="00FA5E82">
        <w:t>odulatory mechanisms of</w:t>
      </w:r>
      <w:r w:rsidR="00B07848">
        <w:t xml:space="preserve"> psychedelics</w:t>
      </w:r>
      <w:r w:rsidR="00E41010">
        <w:t xml:space="preserve"> but there is enough evidence to suggest it has potential as a future </w:t>
      </w:r>
      <w:r w:rsidR="00B07848">
        <w:t xml:space="preserve">treatment for </w:t>
      </w:r>
      <w:proofErr w:type="spellStart"/>
      <w:r w:rsidR="007C7D38">
        <w:t>AiD</w:t>
      </w:r>
      <w:proofErr w:type="spellEnd"/>
      <w:r w:rsidR="00934B2D">
        <w:fldChar w:fldCharType="begin" w:fldLock="1"/>
      </w:r>
      <w:r w:rsidR="00966577">
        <w:instrText>ADDIN CSL_CITATION {"citationItems":[{"id":"ITEM-1","itemData":{"DOI":"10.1016/j.imlet.2020.10.001","ISSN":"18790542","abstract":"With a rise in the incidence of autoimmune diseases (AiD), health care providers continue to seek out more efficacious treatment approaches for the AiD patient population. Classic serotonergic psychedelics have recently been gaining public and professional interest as novel interventions to a number of mental health afflictions. Psychedelics have also been shown to be able to modulate immune functions, however, while there has been great interest to researching into their psychotherapeutic applications, there has so far been very little exploration into the potential to treat inflammatory and immune-related diseases with these compounds. A handful of studies from a variety of fields suggest that psychedelics do indeed have effects in the body that may attenuate the outcome of AiD. This literature review explores existing evidence that psychedelic compounds may offer a potential novel application in the treatment of pathologies related to autoimmunity. We propose that psychedelics hold the potential to attenuate or even resolve autoimmunity by targeting psychosomatic origins, maladaptive chronic stress responses, inflammatory pathways, immune modulation and enteric microbiome populations.","author":[{"dropping-particle":"","family":"Thompson","given":"Caitlin","non-dropping-particle":"","parse-names":false,"suffix":""},{"dropping-particle":"","family":"Szabo","given":"Attila","non-dropping-particle":"","parse-names":false,"suffix":""}],"container-title":"Immunology Letters","id":"ITEM-1","issued":{"date-parts":[["2020"]]},"title":"Psychedelics as a novel approach to treating autoimmune conditions","type":"article","volume":"228"},"uris":["http://www.mendeley.com/documents/?uuid=dc5965ee-9874-37a2-a699-b8279a70b8a0"]}],"mendeley":{"formattedCitation":"(6)","plainTextFormattedCitation":"(6)","previouslyFormattedCitation":"(6)"},"properties":{"noteIndex":0},"schema":"https://github.com/citation-style-language/schema/raw/master/csl-citation.json"}</w:instrText>
      </w:r>
      <w:r w:rsidR="00934B2D">
        <w:fldChar w:fldCharType="separate"/>
      </w:r>
      <w:r w:rsidR="007B4533" w:rsidRPr="007B4533">
        <w:rPr>
          <w:noProof/>
        </w:rPr>
        <w:t>(6)</w:t>
      </w:r>
      <w:r w:rsidR="00934B2D">
        <w:fldChar w:fldCharType="end"/>
      </w:r>
      <w:r w:rsidR="00165686">
        <w:t xml:space="preserve">. Moreover, because there are a multitude of diseases that also involve inflammation dysfunction, there is even the potential for psychedelic studies to focus on </w:t>
      </w:r>
      <w:r w:rsidR="00934B2D">
        <w:t>potential</w:t>
      </w:r>
      <w:r w:rsidR="00165686">
        <w:t xml:space="preserve"> treatment of arthritis, atherosclerosis and Alzheimer’s disease</w:t>
      </w:r>
      <w:r w:rsidR="00934B2D">
        <w:fldChar w:fldCharType="begin" w:fldLock="1"/>
      </w:r>
      <w:r w:rsidR="00966577">
        <w:instrText>ADDIN CSL_CITATION {"citationItems":[{"id":"ITEM-1","itemData":{"DOI":"10.3389/fimmu.2015.00358","ISSN":"16643224","abstract":"Classical psychedelics are psychoactive substances, which, besides their psychopharmacological activity, have also been shown to exert significant modulatory effects on immune responses by altering signaling pathways involved in inflammation, cellular proliferation and cell survival via activating NF-κB and MAPKs. Recently, several neurotransmitter receptors involved in the pharmacology of psychedelics, such as serotonin and sigma-1 receptors, have also been shown to play crucial roles in numerous immunological processes. This emerging field also offers promising treatment modalities in the therapy of various diseases including autoimmune and chronic inflammatory conditions, infections, and cancer. However, the scarcity of available review literature renders the topic unclear and obscure, mostly posing psychedelics as illicit drugs of abuse and not as physiologically relevant molecules or as possible agents of future pharmacotherapies. In this paper, the immunomodulatory potential of classical serotonergic psychedelics, including N, N dimethyltryptamine (DMT), 5-methoxy-N, N-dimethyltryptamine (5-MeO-DMT), lysergic acid diethylamide (LSD), 2,5-dimethoxy-4-iodoamphetamine (DOI) and 3,4-methylenedioxy-methamphetamine (MDMA) will be discussed from a perspective of molecular immunology and pharmacology. Special attention will be given to the functional interaction of serotonin and sigma-1 receptors and their cross-talk with Toll-like and RIG-I like pattern recognition receptor-mediated signaling. Furthermore, novel approaches will be suggested feasible for the treatment of diseases with chronic inflammatory etiology and pathology, such as atherosclerosis, rheumatoid arthritis, multiple sclerosis, schizophrenia, depression and Alzheimer's disease.","author":[{"dropping-particle":"","family":"Szabo","given":"Attila","non-dropping-particle":"","parse-names":false,"suffix":""}],"container-title":"Frontiers in Immunology","id":"ITEM-1","issue":"JUN","issued":{"date-parts":[["2015"]]},"title":"Psychedelics and immunomodulation: Novel approaches and therapeutic opportunities","type":"article-journal","volume":"6"},"uris":["http://www.mendeley.com/documents/?uuid=20b8f5fb-553d-38e2-a06f-020b9c2ce63d"]}],"mendeley":{"formattedCitation":"(8)","plainTextFormattedCitation":"(8)","previouslyFormattedCitation":"(8)"},"properties":{"noteIndex":0},"schema":"https://github.com/citation-style-language/schema/raw/master/csl-citation.json"}</w:instrText>
      </w:r>
      <w:r w:rsidR="00934B2D">
        <w:fldChar w:fldCharType="separate"/>
      </w:r>
      <w:r w:rsidR="007B4533" w:rsidRPr="007B4533">
        <w:rPr>
          <w:noProof/>
        </w:rPr>
        <w:t>(8)</w:t>
      </w:r>
      <w:r w:rsidR="00934B2D">
        <w:fldChar w:fldCharType="end"/>
      </w:r>
      <w:r w:rsidR="00165686">
        <w:t xml:space="preserve">. </w:t>
      </w:r>
    </w:p>
    <w:p w14:paraId="4D9E3092" w14:textId="77777777" w:rsidR="001E02FD" w:rsidRDefault="001E02FD" w:rsidP="00E50706">
      <w:pPr>
        <w:rPr>
          <w:rFonts w:ascii="Arial" w:hAnsi="Arial" w:cs="Arial"/>
          <w:color w:val="222222"/>
          <w:shd w:val="clear" w:color="auto" w:fill="FFFFFF"/>
        </w:rPr>
      </w:pPr>
    </w:p>
    <w:p w14:paraId="7B80C7B1" w14:textId="467B6CB1" w:rsidR="00B0098B" w:rsidRDefault="001C560C" w:rsidP="00E50706">
      <w:pPr>
        <w:rPr>
          <w:color w:val="000000" w:themeColor="text1"/>
        </w:rPr>
      </w:pPr>
      <w:r>
        <w:t xml:space="preserve">The recent wave of research taking place on psychedelic substances </w:t>
      </w:r>
      <w:r w:rsidR="0010580B">
        <w:t xml:space="preserve">may be a </w:t>
      </w:r>
      <w:r>
        <w:t>testament to the shift in opinion that this class of molecules could be beneficial for</w:t>
      </w:r>
      <w:r w:rsidR="00165686">
        <w:t xml:space="preserve"> physical and</w:t>
      </w:r>
      <w:r>
        <w:t xml:space="preserve"> mental health treatment</w:t>
      </w:r>
      <w:r w:rsidR="0010580B">
        <w:t xml:space="preserve"> </w:t>
      </w:r>
      <w:r>
        <w:fldChar w:fldCharType="begin" w:fldLock="1"/>
      </w:r>
      <w:r w:rsidR="00966577">
        <w:instrText>ADDIN CSL_CITATION {"citationItems":[{"id":"ITEM-1","itemData":{"ISBN":"9780857844941","author":[{"dropping-particle":"","family":"Nutt","given":"David","non-dropping-particle":"","parse-names":false,"suffix":""}],"edition":"2nd","id":"ITEM-1","issued":{"date-parts":[["2012"]]},"publisher":"UIT Cambridge Ltd.","publisher-place":"Cambridge, England","title":"Drugs without the hot air: making sense of legal and illegal drugs","type":"book"},"uris":["http://www.mendeley.com/documents/?uuid=f64e4a72-d228-4786-b994-dad4e0895178"]}],"mendeley":{"formattedCitation":"(78)","plainTextFormattedCitation":"(78)","previouslyFormattedCitation":"(78)"},"properties":{"noteIndex":0},"schema":"https://github.com/citation-style-language/schema/raw/master/csl-citation.json"}</w:instrText>
      </w:r>
      <w:r>
        <w:fldChar w:fldCharType="separate"/>
      </w:r>
      <w:r w:rsidR="007B4533" w:rsidRPr="007B4533">
        <w:rPr>
          <w:noProof/>
        </w:rPr>
        <w:t>(78)</w:t>
      </w:r>
      <w:r>
        <w:fldChar w:fldCharType="end"/>
      </w:r>
      <w:r>
        <w:t xml:space="preserve">, but </w:t>
      </w:r>
      <w:r>
        <w:rPr>
          <w:color w:val="000000" w:themeColor="text1"/>
          <w:shd w:val="clear" w:color="auto" w:fill="FFFFFF"/>
        </w:rPr>
        <w:t>more research is warranted before the adoption of these novel interventions.</w:t>
      </w:r>
      <w:r w:rsidRPr="001C560C">
        <w:rPr>
          <w:color w:val="000000" w:themeColor="text1"/>
        </w:rPr>
        <w:t xml:space="preserve"> </w:t>
      </w:r>
      <w:r w:rsidR="00956657">
        <w:rPr>
          <w:color w:val="000000" w:themeColor="text1"/>
        </w:rPr>
        <w:t xml:space="preserve">Ultimately, there is strong incentive to assess the integration between the field of </w:t>
      </w:r>
      <w:proofErr w:type="spellStart"/>
      <w:r w:rsidR="00956657">
        <w:rPr>
          <w:color w:val="000000" w:themeColor="text1"/>
        </w:rPr>
        <w:t>metabonomics</w:t>
      </w:r>
      <w:proofErr w:type="spellEnd"/>
      <w:r w:rsidR="00956657">
        <w:rPr>
          <w:color w:val="000000" w:themeColor="text1"/>
        </w:rPr>
        <w:t xml:space="preserve"> and the field of psychedelic research to ensure appropriate advancements are being made. </w:t>
      </w:r>
      <w:r>
        <w:rPr>
          <w:color w:val="000000" w:themeColor="text1"/>
        </w:rPr>
        <w:t xml:space="preserve">This is to the best of our knowledge the first review paper on </w:t>
      </w:r>
      <w:r w:rsidRPr="002C7794">
        <w:rPr>
          <w:color w:val="000000" w:themeColor="text1"/>
          <w:shd w:val="clear" w:color="auto" w:fill="FFFFFF"/>
          <w:vertAlign w:val="superscript"/>
        </w:rPr>
        <w:t>1</w:t>
      </w:r>
      <w:r w:rsidRPr="002C7794">
        <w:rPr>
          <w:color w:val="000000" w:themeColor="text1"/>
          <w:shd w:val="clear" w:color="auto" w:fill="FFFFFF"/>
        </w:rPr>
        <w:t>H</w:t>
      </w:r>
      <w:r w:rsidRPr="002C7794">
        <w:rPr>
          <w:color w:val="000000" w:themeColor="text1"/>
          <w:vertAlign w:val="superscript"/>
        </w:rPr>
        <w:t xml:space="preserve"> </w:t>
      </w:r>
      <w:r w:rsidRPr="002C7794">
        <w:rPr>
          <w:color w:val="000000" w:themeColor="text1"/>
        </w:rPr>
        <w:t>NMR</w:t>
      </w:r>
      <w:r>
        <w:rPr>
          <w:color w:val="000000" w:themeColor="text1"/>
        </w:rPr>
        <w:t xml:space="preserve"> spectroscopy use in psychedelic research. T</w:t>
      </w:r>
      <w:r w:rsidR="001910B7">
        <w:rPr>
          <w:color w:val="000000" w:themeColor="text1"/>
        </w:rPr>
        <w:t>hus, t</w:t>
      </w:r>
      <w:r>
        <w:rPr>
          <w:color w:val="000000" w:themeColor="text1"/>
        </w:rPr>
        <w:t>he</w:t>
      </w:r>
      <w:r w:rsidRPr="004948FA">
        <w:rPr>
          <w:color w:val="000000" w:themeColor="text1"/>
        </w:rPr>
        <w:t xml:space="preserve"> </w:t>
      </w:r>
      <w:r w:rsidR="00F95006">
        <w:rPr>
          <w:color w:val="000000" w:themeColor="text1"/>
        </w:rPr>
        <w:t>first</w:t>
      </w:r>
      <w:r w:rsidR="00F95006" w:rsidRPr="004948FA">
        <w:rPr>
          <w:color w:val="000000" w:themeColor="text1"/>
        </w:rPr>
        <w:t xml:space="preserve"> </w:t>
      </w:r>
      <w:r w:rsidRPr="004948FA">
        <w:rPr>
          <w:color w:val="000000" w:themeColor="text1"/>
        </w:rPr>
        <w:t xml:space="preserve">aim of this review is to explore </w:t>
      </w:r>
      <w:r w:rsidR="00D0020C">
        <w:rPr>
          <w:color w:val="000000" w:themeColor="text1"/>
        </w:rPr>
        <w:t>the use of</w:t>
      </w:r>
      <w:r w:rsidRPr="002C7794">
        <w:rPr>
          <w:color w:val="000000" w:themeColor="text1"/>
        </w:rPr>
        <w:t xml:space="preserve"> </w:t>
      </w:r>
      <w:r w:rsidRPr="002C7794">
        <w:rPr>
          <w:color w:val="000000" w:themeColor="text1"/>
          <w:shd w:val="clear" w:color="auto" w:fill="FFFFFF"/>
          <w:vertAlign w:val="superscript"/>
        </w:rPr>
        <w:t>1</w:t>
      </w:r>
      <w:r w:rsidRPr="002C7794">
        <w:rPr>
          <w:color w:val="000000" w:themeColor="text1"/>
          <w:shd w:val="clear" w:color="auto" w:fill="FFFFFF"/>
        </w:rPr>
        <w:t>H</w:t>
      </w:r>
      <w:r w:rsidRPr="002C7794">
        <w:rPr>
          <w:color w:val="000000" w:themeColor="text1"/>
          <w:vertAlign w:val="superscript"/>
        </w:rPr>
        <w:t xml:space="preserve"> </w:t>
      </w:r>
      <w:r w:rsidRPr="002C7794">
        <w:rPr>
          <w:color w:val="000000" w:themeColor="text1"/>
        </w:rPr>
        <w:t>NMR spectroscopy in</w:t>
      </w:r>
      <w:r>
        <w:rPr>
          <w:color w:val="000000" w:themeColor="text1"/>
        </w:rPr>
        <w:t xml:space="preserve"> psychedelic research</w:t>
      </w:r>
      <w:r>
        <w:rPr>
          <w:color w:val="000000"/>
        </w:rPr>
        <w:t xml:space="preserve"> and determine whether</w:t>
      </w:r>
      <w:r w:rsidR="008B41E5">
        <w:rPr>
          <w:color w:val="000000"/>
        </w:rPr>
        <w:t xml:space="preserve"> it</w:t>
      </w:r>
      <w:r>
        <w:rPr>
          <w:color w:val="000000"/>
        </w:rPr>
        <w:t xml:space="preserve"> has ever been used to study the human metabolic response to</w:t>
      </w:r>
      <w:r w:rsidRPr="00BE06A3">
        <w:rPr>
          <w:color w:val="FF0000"/>
        </w:rPr>
        <w:t xml:space="preserve"> </w:t>
      </w:r>
      <w:r w:rsidRPr="00B0098B">
        <w:rPr>
          <w:color w:val="000000" w:themeColor="text1"/>
        </w:rPr>
        <w:t>psychedelic substances</w:t>
      </w:r>
      <w:r>
        <w:rPr>
          <w:color w:val="000000" w:themeColor="text1"/>
        </w:rPr>
        <w:t xml:space="preserve"> with biofluid analysis</w:t>
      </w:r>
      <w:r w:rsidRPr="00B0098B">
        <w:rPr>
          <w:color w:val="000000" w:themeColor="text1"/>
        </w:rPr>
        <w:t xml:space="preserve">. </w:t>
      </w:r>
      <w:r>
        <w:rPr>
          <w:color w:val="000000"/>
        </w:rPr>
        <w:t xml:space="preserve">The second aim of this review is </w:t>
      </w:r>
      <w:r>
        <w:t>to</w:t>
      </w:r>
      <w:r>
        <w:rPr>
          <w:color w:val="000000"/>
        </w:rPr>
        <w:t xml:space="preserve"> </w:t>
      </w:r>
      <w:r w:rsidRPr="00E86528">
        <w:t>assess the potential benefit</w:t>
      </w:r>
      <w:r>
        <w:t xml:space="preserve">s and limitations associated with </w:t>
      </w:r>
      <w:r w:rsidRPr="00144F61">
        <w:rPr>
          <w:color w:val="000000" w:themeColor="text1"/>
          <w:shd w:val="clear" w:color="auto" w:fill="FFFFFF"/>
          <w:vertAlign w:val="superscript"/>
        </w:rPr>
        <w:t>1</w:t>
      </w:r>
      <w:r w:rsidRPr="00144F61">
        <w:rPr>
          <w:color w:val="000000" w:themeColor="text1"/>
          <w:shd w:val="clear" w:color="auto" w:fill="FFFFFF"/>
        </w:rPr>
        <w:t>H</w:t>
      </w:r>
      <w:r w:rsidRPr="00144F61">
        <w:rPr>
          <w:vertAlign w:val="superscript"/>
        </w:rPr>
        <w:t xml:space="preserve"> </w:t>
      </w:r>
      <w:r w:rsidRPr="00144F61">
        <w:rPr>
          <w:color w:val="000000"/>
        </w:rPr>
        <w:t>NMR</w:t>
      </w:r>
      <w:r>
        <w:rPr>
          <w:color w:val="000000"/>
        </w:rPr>
        <w:t xml:space="preserve"> spectroscopy in this research field. Finally, the third aim of this review will be to suggest </w:t>
      </w:r>
      <w:r w:rsidR="0095426C">
        <w:rPr>
          <w:color w:val="000000"/>
        </w:rPr>
        <w:t>novel</w:t>
      </w:r>
      <w:r w:rsidR="0043203F">
        <w:rPr>
          <w:color w:val="000000"/>
        </w:rPr>
        <w:t xml:space="preserve"> </w:t>
      </w:r>
      <w:r>
        <w:rPr>
          <w:color w:val="000000"/>
        </w:rPr>
        <w:t xml:space="preserve">applications of </w:t>
      </w:r>
      <w:r w:rsidRPr="00144F61">
        <w:rPr>
          <w:color w:val="000000" w:themeColor="text1"/>
          <w:shd w:val="clear" w:color="auto" w:fill="FFFFFF"/>
          <w:vertAlign w:val="superscript"/>
        </w:rPr>
        <w:t>1</w:t>
      </w:r>
      <w:r w:rsidRPr="00144F61">
        <w:rPr>
          <w:color w:val="000000" w:themeColor="text1"/>
          <w:shd w:val="clear" w:color="auto" w:fill="FFFFFF"/>
        </w:rPr>
        <w:t>H</w:t>
      </w:r>
      <w:r w:rsidRPr="00144F61">
        <w:rPr>
          <w:vertAlign w:val="superscript"/>
        </w:rPr>
        <w:t xml:space="preserve"> </w:t>
      </w:r>
      <w:r w:rsidRPr="00144F61">
        <w:rPr>
          <w:color w:val="000000"/>
        </w:rPr>
        <w:t>NMR</w:t>
      </w:r>
      <w:r>
        <w:rPr>
          <w:color w:val="000000"/>
        </w:rPr>
        <w:t xml:space="preserve"> that may improve the analytical data retrieved from</w:t>
      </w:r>
      <w:r w:rsidR="0095426C">
        <w:rPr>
          <w:color w:val="000000"/>
        </w:rPr>
        <w:t xml:space="preserve"> future</w:t>
      </w:r>
      <w:r>
        <w:rPr>
          <w:color w:val="000000"/>
        </w:rPr>
        <w:t xml:space="preserve"> psychedelic research</w:t>
      </w:r>
      <w:r w:rsidR="00B25477">
        <w:rPr>
          <w:color w:val="000000"/>
        </w:rPr>
        <w:t xml:space="preserve"> studies</w:t>
      </w:r>
      <w:r>
        <w:rPr>
          <w:color w:val="000000"/>
        </w:rPr>
        <w:t xml:space="preserve">. </w:t>
      </w:r>
    </w:p>
    <w:p w14:paraId="127FC51C" w14:textId="009B587D" w:rsidR="00165686" w:rsidRDefault="00165686" w:rsidP="00E50706">
      <w:pPr>
        <w:rPr>
          <w:color w:val="000000" w:themeColor="text1"/>
        </w:rPr>
      </w:pPr>
    </w:p>
    <w:p w14:paraId="4B7368A9" w14:textId="77777777" w:rsidR="00165686" w:rsidRPr="00165686" w:rsidRDefault="00165686" w:rsidP="00E50706">
      <w:pPr>
        <w:rPr>
          <w:color w:val="000000" w:themeColor="text1"/>
        </w:rPr>
      </w:pPr>
    </w:p>
    <w:p w14:paraId="510B5BD5" w14:textId="109CBE5F" w:rsidR="00A2684A" w:rsidRPr="00144F61" w:rsidRDefault="00A2684A" w:rsidP="0030129B">
      <w:pPr>
        <w:keepNext/>
        <w:rPr>
          <w:b/>
          <w:bCs/>
        </w:rPr>
      </w:pPr>
      <w:r w:rsidRPr="00144F61">
        <w:rPr>
          <w:b/>
          <w:bCs/>
        </w:rPr>
        <w:t>Methods</w:t>
      </w:r>
    </w:p>
    <w:p w14:paraId="683FF1A4" w14:textId="77777777" w:rsidR="00144F61" w:rsidRPr="00144F61" w:rsidRDefault="00144F61" w:rsidP="0030129B">
      <w:pPr>
        <w:keepNext/>
        <w:rPr>
          <w:b/>
          <w:bCs/>
        </w:rPr>
      </w:pPr>
    </w:p>
    <w:p w14:paraId="633FC590" w14:textId="77777777" w:rsidR="0030129B" w:rsidRDefault="00144F61" w:rsidP="0030129B">
      <w:pPr>
        <w:keepNext/>
        <w:rPr>
          <w:color w:val="000000" w:themeColor="text1"/>
        </w:rPr>
      </w:pPr>
      <w:r>
        <w:t>This review</w:t>
      </w:r>
      <w:r w:rsidR="00A2684A" w:rsidRPr="002F666D">
        <w:t xml:space="preserve"> </w:t>
      </w:r>
      <w:r w:rsidR="00E377ED">
        <w:t xml:space="preserve">collected publications </w:t>
      </w:r>
      <w:r w:rsidR="006C2FF8">
        <w:t>from</w:t>
      </w:r>
      <w:r w:rsidR="00E377ED">
        <w:t xml:space="preserve"> </w:t>
      </w:r>
      <w:r w:rsidR="004665AF">
        <w:t xml:space="preserve">the </w:t>
      </w:r>
      <w:r>
        <w:t>PUBMED</w:t>
      </w:r>
      <w:r w:rsidR="00A2684A" w:rsidRPr="002F666D">
        <w:t xml:space="preserve"> database</w:t>
      </w:r>
      <w:r w:rsidR="00FC2E7B">
        <w:t xml:space="preserve"> and </w:t>
      </w:r>
      <w:r w:rsidR="00FD7A24">
        <w:t xml:space="preserve">Cochrane </w:t>
      </w:r>
      <w:r w:rsidR="00C276C9">
        <w:t>Library</w:t>
      </w:r>
      <w:r w:rsidR="00FD7A24">
        <w:t xml:space="preserve"> databas</w:t>
      </w:r>
      <w:r w:rsidR="00FC2E7B">
        <w:t>e</w:t>
      </w:r>
      <w:r w:rsidR="009A74B4">
        <w:t xml:space="preserve">. </w:t>
      </w:r>
      <w:r w:rsidR="004665AF">
        <w:t>The s</w:t>
      </w:r>
      <w:r w:rsidR="00A72D48">
        <w:t>earch was</w:t>
      </w:r>
      <w:r w:rsidR="00E377ED">
        <w:t xml:space="preserve"> </w:t>
      </w:r>
      <w:r w:rsidR="00456E44">
        <w:t>conducted</w:t>
      </w:r>
      <w:r w:rsidR="00FD7A24">
        <w:t xml:space="preserve"> </w:t>
      </w:r>
      <w:r w:rsidR="003C17D4">
        <w:t>March-</w:t>
      </w:r>
      <w:r w:rsidR="00FD7A24">
        <w:t>May 2021</w:t>
      </w:r>
      <w:r w:rsidR="00A2684A" w:rsidRPr="002F666D">
        <w:t>.</w:t>
      </w:r>
      <w:r w:rsidR="00FD7A24">
        <w:t xml:space="preserve"> </w:t>
      </w:r>
      <w:r w:rsidR="00E377ED">
        <w:t>T</w:t>
      </w:r>
      <w:r w:rsidR="00C267F0">
        <w:t>hese</w:t>
      </w:r>
      <w:r w:rsidR="009A74B4">
        <w:t xml:space="preserve"> </w:t>
      </w:r>
      <w:r w:rsidR="00456E44">
        <w:t>d</w:t>
      </w:r>
      <w:r w:rsidR="00FD7A24">
        <w:t xml:space="preserve">atabases </w:t>
      </w:r>
      <w:r w:rsidR="00456E44">
        <w:t>w</w:t>
      </w:r>
      <w:r w:rsidR="00E377ED">
        <w:t>ere used in combination t</w:t>
      </w:r>
      <w:r w:rsidR="00456E44">
        <w:t>o acquire</w:t>
      </w:r>
      <w:r w:rsidR="00FD7A24">
        <w:t xml:space="preserve"> a </w:t>
      </w:r>
      <w:r w:rsidR="004A6CBB">
        <w:t xml:space="preserve">wider </w:t>
      </w:r>
      <w:r w:rsidR="00FD7A24">
        <w:t xml:space="preserve">collection of </w:t>
      </w:r>
      <w:r w:rsidR="00C267F0">
        <w:t>publications,</w:t>
      </w:r>
      <w:r w:rsidR="00E377ED">
        <w:t xml:space="preserve"> but </w:t>
      </w:r>
      <w:r w:rsidR="00C267F0">
        <w:t xml:space="preserve">no further databases were used </w:t>
      </w:r>
      <w:r w:rsidR="00215496">
        <w:t xml:space="preserve">to </w:t>
      </w:r>
      <w:r w:rsidR="00E377ED">
        <w:t>reduce</w:t>
      </w:r>
      <w:r w:rsidR="00215496">
        <w:t xml:space="preserve"> duplicates</w:t>
      </w:r>
      <w:r w:rsidR="00E377ED">
        <w:t xml:space="preserve"> during screening</w:t>
      </w:r>
      <w:r w:rsidR="00215496">
        <w:t>.</w:t>
      </w:r>
      <w:r w:rsidR="00A2684A" w:rsidRPr="002F666D">
        <w:t xml:space="preserve"> </w:t>
      </w:r>
      <w:r w:rsidR="00E377ED">
        <w:t>T</w:t>
      </w:r>
      <w:r w:rsidR="00A2684A" w:rsidRPr="002F666D">
        <w:t xml:space="preserve">he following </w:t>
      </w:r>
      <w:r w:rsidR="006C2FF8">
        <w:t xml:space="preserve">terms </w:t>
      </w:r>
      <w:r w:rsidR="00E377ED">
        <w:t xml:space="preserve">were </w:t>
      </w:r>
      <w:r w:rsidR="00E6170D">
        <w:t>searche</w:t>
      </w:r>
      <w:r w:rsidR="00E377ED">
        <w:t>d</w:t>
      </w:r>
      <w:r w:rsidR="00A2684A" w:rsidRPr="002F666D">
        <w:t xml:space="preserve">: </w:t>
      </w:r>
      <w:r w:rsidR="00F828B8" w:rsidRPr="003534C7">
        <w:rPr>
          <w:i/>
          <w:iCs/>
        </w:rPr>
        <w:t>proton nuclear magnetic resonance</w:t>
      </w:r>
      <w:r w:rsidR="003534C7">
        <w:t xml:space="preserve"> or </w:t>
      </w:r>
      <w:r w:rsidR="00F828B8" w:rsidRPr="003534C7">
        <w:rPr>
          <w:i/>
          <w:iCs/>
        </w:rPr>
        <w:t>1H NMR</w:t>
      </w:r>
      <w:r w:rsidR="003534C7">
        <w:rPr>
          <w:i/>
          <w:iCs/>
        </w:rPr>
        <w:t xml:space="preserve">, </w:t>
      </w:r>
      <w:r w:rsidR="003534C7">
        <w:t xml:space="preserve">and </w:t>
      </w:r>
      <w:r w:rsidR="00F828B8" w:rsidRPr="003534C7">
        <w:rPr>
          <w:i/>
          <w:iCs/>
        </w:rPr>
        <w:t>psychedelics</w:t>
      </w:r>
      <w:r w:rsidR="003534C7">
        <w:rPr>
          <w:i/>
          <w:iCs/>
        </w:rPr>
        <w:t>,</w:t>
      </w:r>
      <w:r w:rsidR="003534C7">
        <w:t xml:space="preserve"> </w:t>
      </w:r>
      <w:r w:rsidR="00B16E17" w:rsidRPr="00C276C9">
        <w:rPr>
          <w:i/>
          <w:iCs/>
        </w:rPr>
        <w:t>psilocybin</w:t>
      </w:r>
      <w:r w:rsidR="00B16E17">
        <w:t xml:space="preserve">, </w:t>
      </w:r>
      <w:r w:rsidR="00B16E17" w:rsidRPr="00C276C9">
        <w:rPr>
          <w:i/>
          <w:iCs/>
        </w:rPr>
        <w:t>lysergic acid diethylamide</w:t>
      </w:r>
      <w:r w:rsidR="00B16E17">
        <w:t xml:space="preserve">, </w:t>
      </w:r>
      <w:r w:rsidR="00B16E17" w:rsidRPr="00C276C9">
        <w:rPr>
          <w:i/>
          <w:iCs/>
        </w:rPr>
        <w:t>dimethyltryptamine, 5-methoxy-</w:t>
      </w:r>
      <w:proofErr w:type="gramStart"/>
      <w:r w:rsidR="00B16E17" w:rsidRPr="00C276C9">
        <w:rPr>
          <w:i/>
          <w:iCs/>
        </w:rPr>
        <w:t>N,N</w:t>
      </w:r>
      <w:proofErr w:type="gramEnd"/>
      <w:r w:rsidR="00B16E17" w:rsidRPr="00C276C9">
        <w:rPr>
          <w:i/>
          <w:iCs/>
        </w:rPr>
        <w:t>-dimet</w:t>
      </w:r>
      <w:r w:rsidR="00E9300D">
        <w:rPr>
          <w:i/>
          <w:iCs/>
        </w:rPr>
        <w:t>h</w:t>
      </w:r>
      <w:r w:rsidR="00B16E17" w:rsidRPr="00C276C9">
        <w:rPr>
          <w:i/>
          <w:iCs/>
        </w:rPr>
        <w:t>ylt</w:t>
      </w:r>
      <w:r w:rsidR="00C276C9" w:rsidRPr="00C276C9">
        <w:rPr>
          <w:i/>
          <w:iCs/>
        </w:rPr>
        <w:t>ryptamine</w:t>
      </w:r>
      <w:r w:rsidR="00C276C9">
        <w:t>.</w:t>
      </w:r>
      <w:r w:rsidR="00E6562D">
        <w:t xml:space="preserve"> </w:t>
      </w:r>
      <w:r w:rsidR="00F72F55">
        <w:t>Any p</w:t>
      </w:r>
      <w:r w:rsidR="00F72F55">
        <w:rPr>
          <w:rFonts w:eastAsiaTheme="minorEastAsia"/>
          <w:color w:val="000000" w:themeColor="text1"/>
        </w:rPr>
        <w:t>ublications that included LSD derivatives were added. There were no publications that included phenylethylamines found through this search.</w:t>
      </w:r>
      <w:r w:rsidR="00E56F9C">
        <w:rPr>
          <w:rFonts w:eastAsiaTheme="minorEastAsia"/>
          <w:color w:val="000000" w:themeColor="text1"/>
        </w:rPr>
        <w:t xml:space="preserve"> </w:t>
      </w:r>
      <w:r w:rsidR="00E56F9C" w:rsidRPr="002F666D">
        <w:t>No limits were set regarding the publication date.</w:t>
      </w:r>
      <w:r w:rsidR="00F72F55">
        <w:t xml:space="preserve"> </w:t>
      </w:r>
      <w:r w:rsidR="00C276C9">
        <w:t>The search identified a</w:t>
      </w:r>
      <w:r w:rsidR="00D80EFA">
        <w:rPr>
          <w:color w:val="000000" w:themeColor="text1"/>
        </w:rPr>
        <w:t xml:space="preserve"> total of </w:t>
      </w:r>
      <w:r w:rsidR="00FC2E7B">
        <w:rPr>
          <w:color w:val="000000" w:themeColor="text1"/>
        </w:rPr>
        <w:t>87</w:t>
      </w:r>
      <w:r w:rsidR="00D80EFA">
        <w:rPr>
          <w:color w:val="000000" w:themeColor="text1"/>
        </w:rPr>
        <w:t xml:space="preserve"> papers</w:t>
      </w:r>
      <w:r w:rsidR="00FC2E7B">
        <w:rPr>
          <w:color w:val="000000" w:themeColor="text1"/>
        </w:rPr>
        <w:t xml:space="preserve"> (</w:t>
      </w:r>
      <w:r w:rsidR="00C267F0">
        <w:rPr>
          <w:color w:val="000000" w:themeColor="text1"/>
        </w:rPr>
        <w:t xml:space="preserve">84 from </w:t>
      </w:r>
      <w:r w:rsidR="00FC2E7B">
        <w:rPr>
          <w:color w:val="000000" w:themeColor="text1"/>
        </w:rPr>
        <w:t xml:space="preserve">PUBMED </w:t>
      </w:r>
      <w:r w:rsidR="00C267F0">
        <w:rPr>
          <w:color w:val="000000" w:themeColor="text1"/>
        </w:rPr>
        <w:t>and 3 from</w:t>
      </w:r>
      <w:r w:rsidR="00FC2E7B">
        <w:rPr>
          <w:color w:val="000000" w:themeColor="text1"/>
        </w:rPr>
        <w:t xml:space="preserve"> Cochrane)</w:t>
      </w:r>
      <w:r w:rsidR="00D80EFA">
        <w:rPr>
          <w:color w:val="000000" w:themeColor="text1"/>
        </w:rPr>
        <w:t>.</w:t>
      </w:r>
      <w:r w:rsidR="005F3846">
        <w:rPr>
          <w:color w:val="000000" w:themeColor="text1"/>
        </w:rPr>
        <w:t xml:space="preserve"> Subsequent </w:t>
      </w:r>
      <w:r w:rsidR="00E737FA">
        <w:rPr>
          <w:color w:val="000000" w:themeColor="text1"/>
        </w:rPr>
        <w:t>examination of reference lists identified other eligible studies for this review</w:t>
      </w:r>
      <w:r w:rsidR="0003364D">
        <w:rPr>
          <w:color w:val="000000" w:themeColor="text1"/>
        </w:rPr>
        <w:t xml:space="preserve">. </w:t>
      </w:r>
      <w:r w:rsidR="00B11846">
        <w:rPr>
          <w:color w:val="000000" w:themeColor="text1"/>
        </w:rPr>
        <w:t>1</w:t>
      </w:r>
      <w:r w:rsidR="00AB0EB1">
        <w:rPr>
          <w:color w:val="000000" w:themeColor="text1"/>
        </w:rPr>
        <w:t>4</w:t>
      </w:r>
      <w:r w:rsidR="00630E90">
        <w:rPr>
          <w:color w:val="000000" w:themeColor="text1"/>
        </w:rPr>
        <w:t xml:space="preserve"> </w:t>
      </w:r>
      <w:r w:rsidR="00B11846">
        <w:rPr>
          <w:color w:val="000000" w:themeColor="text1"/>
        </w:rPr>
        <w:t>papers</w:t>
      </w:r>
      <w:r w:rsidR="0003364D">
        <w:rPr>
          <w:color w:val="000000" w:themeColor="text1"/>
        </w:rPr>
        <w:t xml:space="preserve"> were</w:t>
      </w:r>
      <w:r w:rsidR="00B11846">
        <w:rPr>
          <w:color w:val="000000" w:themeColor="text1"/>
        </w:rPr>
        <w:t xml:space="preserve"> acquired through th</w:t>
      </w:r>
      <w:r w:rsidR="00C267F0">
        <w:rPr>
          <w:color w:val="000000" w:themeColor="text1"/>
        </w:rPr>
        <w:t>is method</w:t>
      </w:r>
      <w:r w:rsidR="00E737FA">
        <w:rPr>
          <w:color w:val="000000" w:themeColor="text1"/>
        </w:rPr>
        <w:t xml:space="preserve">. This brought the total </w:t>
      </w:r>
      <w:r w:rsidR="0003364D">
        <w:rPr>
          <w:color w:val="000000" w:themeColor="text1"/>
        </w:rPr>
        <w:t xml:space="preserve">amount of </w:t>
      </w:r>
      <w:r w:rsidR="00E737FA">
        <w:rPr>
          <w:color w:val="000000" w:themeColor="text1"/>
        </w:rPr>
        <w:t>paper</w:t>
      </w:r>
      <w:r w:rsidR="0003364D">
        <w:rPr>
          <w:color w:val="000000" w:themeColor="text1"/>
        </w:rPr>
        <w:t>s</w:t>
      </w:r>
      <w:r w:rsidR="00E737FA">
        <w:rPr>
          <w:color w:val="000000" w:themeColor="text1"/>
        </w:rPr>
        <w:t xml:space="preserve"> to </w:t>
      </w:r>
      <w:r w:rsidR="00B11846">
        <w:rPr>
          <w:color w:val="000000" w:themeColor="text1"/>
        </w:rPr>
        <w:t>10</w:t>
      </w:r>
      <w:r w:rsidR="00AB0EB1">
        <w:rPr>
          <w:color w:val="000000" w:themeColor="text1"/>
        </w:rPr>
        <w:t>2</w:t>
      </w:r>
      <w:r w:rsidR="00E737FA">
        <w:rPr>
          <w:color w:val="000000" w:themeColor="text1"/>
        </w:rPr>
        <w:t xml:space="preserve">. </w:t>
      </w:r>
      <w:r w:rsidR="00B11846">
        <w:rPr>
          <w:color w:val="000000" w:themeColor="text1"/>
        </w:rPr>
        <w:t>Papers were excluded if they were not written in English</w:t>
      </w:r>
      <w:r w:rsidR="00933145">
        <w:rPr>
          <w:color w:val="000000" w:themeColor="text1"/>
        </w:rPr>
        <w:t>,</w:t>
      </w:r>
      <w:r w:rsidR="00B11846">
        <w:rPr>
          <w:color w:val="000000" w:themeColor="text1"/>
        </w:rPr>
        <w:t xml:space="preserve"> </w:t>
      </w:r>
      <w:r w:rsidR="00933145">
        <w:rPr>
          <w:color w:val="000000" w:themeColor="text1"/>
        </w:rPr>
        <w:t>investigated non-psychedelic</w:t>
      </w:r>
      <w:r w:rsidR="00B11846">
        <w:rPr>
          <w:color w:val="000000" w:themeColor="text1"/>
        </w:rPr>
        <w:t xml:space="preserve"> molecules </w:t>
      </w:r>
      <w:r w:rsidR="00933145">
        <w:rPr>
          <w:color w:val="000000" w:themeColor="text1"/>
        </w:rPr>
        <w:t>(</w:t>
      </w:r>
      <w:proofErr w:type="gramStart"/>
      <w:r w:rsidR="00C267F0" w:rsidRPr="00C267F0">
        <w:rPr>
          <w:i/>
          <w:iCs/>
          <w:color w:val="000000" w:themeColor="text1"/>
        </w:rPr>
        <w:t>e.g</w:t>
      </w:r>
      <w:r w:rsidR="00C267F0">
        <w:rPr>
          <w:color w:val="000000" w:themeColor="text1"/>
        </w:rPr>
        <w:t>.</w:t>
      </w:r>
      <w:proofErr w:type="gramEnd"/>
      <w:r w:rsidR="00C267F0">
        <w:rPr>
          <w:color w:val="000000" w:themeColor="text1"/>
        </w:rPr>
        <w:t xml:space="preserve"> </w:t>
      </w:r>
      <w:r w:rsidR="00933145">
        <w:rPr>
          <w:color w:val="000000" w:themeColor="text1"/>
        </w:rPr>
        <w:t xml:space="preserve">cannabis </w:t>
      </w:r>
      <w:r w:rsidR="00B11846">
        <w:rPr>
          <w:color w:val="000000" w:themeColor="text1"/>
        </w:rPr>
        <w:t>or</w:t>
      </w:r>
      <w:r w:rsidR="00933145">
        <w:rPr>
          <w:color w:val="000000" w:themeColor="text1"/>
        </w:rPr>
        <w:t xml:space="preserve"> opioids)</w:t>
      </w:r>
      <w:r w:rsidR="00B11846">
        <w:rPr>
          <w:color w:val="000000" w:themeColor="text1"/>
        </w:rPr>
        <w:t xml:space="preserve"> </w:t>
      </w:r>
      <w:r w:rsidR="00933145">
        <w:rPr>
          <w:color w:val="000000" w:themeColor="text1"/>
        </w:rPr>
        <w:t xml:space="preserve">or </w:t>
      </w:r>
      <w:r w:rsidR="00C267F0">
        <w:rPr>
          <w:color w:val="000000" w:themeColor="text1"/>
        </w:rPr>
        <w:t>were conducted</w:t>
      </w:r>
      <w:r w:rsidR="00933145">
        <w:rPr>
          <w:color w:val="000000" w:themeColor="text1"/>
        </w:rPr>
        <w:t xml:space="preserve"> us</w:t>
      </w:r>
      <w:r w:rsidR="00C267F0">
        <w:rPr>
          <w:color w:val="000000" w:themeColor="text1"/>
        </w:rPr>
        <w:t xml:space="preserve">ing </w:t>
      </w:r>
      <w:r w:rsidR="00933145">
        <w:rPr>
          <w:color w:val="000000" w:themeColor="text1"/>
        </w:rPr>
        <w:t xml:space="preserve">irrelevant </w:t>
      </w:r>
      <w:r w:rsidR="00B11846">
        <w:rPr>
          <w:color w:val="000000" w:themeColor="text1"/>
        </w:rPr>
        <w:t>methods</w:t>
      </w:r>
      <w:r w:rsidR="00933145">
        <w:rPr>
          <w:color w:val="000000" w:themeColor="text1"/>
        </w:rPr>
        <w:t xml:space="preserve"> (</w:t>
      </w:r>
      <w:r w:rsidR="00C267F0" w:rsidRPr="00C267F0">
        <w:rPr>
          <w:i/>
          <w:iCs/>
          <w:color w:val="000000" w:themeColor="text1"/>
        </w:rPr>
        <w:t>e.g.</w:t>
      </w:r>
      <w:r w:rsidR="00C267F0">
        <w:rPr>
          <w:color w:val="000000" w:themeColor="text1"/>
        </w:rPr>
        <w:t xml:space="preserve"> </w:t>
      </w:r>
      <w:r w:rsidR="00933145">
        <w:rPr>
          <w:color w:val="000000" w:themeColor="text1"/>
        </w:rPr>
        <w:t>functional magnetic resonance imaging</w:t>
      </w:r>
      <w:r w:rsidR="00C267F0">
        <w:rPr>
          <w:color w:val="000000" w:themeColor="text1"/>
        </w:rPr>
        <w:t>, etc.</w:t>
      </w:r>
      <w:r w:rsidR="00933145">
        <w:rPr>
          <w:color w:val="000000" w:themeColor="text1"/>
        </w:rPr>
        <w:t>)</w:t>
      </w:r>
      <w:r w:rsidR="00B11846">
        <w:rPr>
          <w:color w:val="000000" w:themeColor="text1"/>
        </w:rPr>
        <w:t xml:space="preserve">. </w:t>
      </w:r>
      <w:r w:rsidR="00C276C9">
        <w:rPr>
          <w:color w:val="000000" w:themeColor="text1"/>
        </w:rPr>
        <w:t xml:space="preserve">The screening of publication titles and abstracts led to </w:t>
      </w:r>
      <w:r w:rsidR="00900134">
        <w:rPr>
          <w:color w:val="000000" w:themeColor="text1"/>
        </w:rPr>
        <w:t>79</w:t>
      </w:r>
      <w:r w:rsidR="00D80EFA">
        <w:rPr>
          <w:color w:val="000000" w:themeColor="text1"/>
        </w:rPr>
        <w:t xml:space="preserve"> </w:t>
      </w:r>
      <w:r w:rsidR="00C276C9">
        <w:rPr>
          <w:color w:val="000000" w:themeColor="text1"/>
        </w:rPr>
        <w:t xml:space="preserve">papers </w:t>
      </w:r>
      <w:r w:rsidR="000F2E8E">
        <w:rPr>
          <w:color w:val="000000" w:themeColor="text1"/>
        </w:rPr>
        <w:t xml:space="preserve">being </w:t>
      </w:r>
      <w:r w:rsidR="00D80EFA">
        <w:rPr>
          <w:color w:val="000000" w:themeColor="text1"/>
        </w:rPr>
        <w:t xml:space="preserve">excluded, leaving </w:t>
      </w:r>
      <w:r w:rsidR="00B11846">
        <w:rPr>
          <w:color w:val="000000" w:themeColor="text1"/>
        </w:rPr>
        <w:t>2</w:t>
      </w:r>
      <w:r w:rsidR="00AB0EB1">
        <w:rPr>
          <w:color w:val="000000" w:themeColor="text1"/>
        </w:rPr>
        <w:t>3</w:t>
      </w:r>
      <w:r w:rsidR="00B11846">
        <w:rPr>
          <w:color w:val="000000" w:themeColor="text1"/>
        </w:rPr>
        <w:t xml:space="preserve"> </w:t>
      </w:r>
      <w:r w:rsidR="00D80EFA">
        <w:rPr>
          <w:color w:val="000000" w:themeColor="text1"/>
        </w:rPr>
        <w:t xml:space="preserve">that were screened in more detail for eligibility. </w:t>
      </w:r>
      <w:r w:rsidR="005F3846">
        <w:rPr>
          <w:color w:val="000000" w:themeColor="text1"/>
        </w:rPr>
        <w:t xml:space="preserve">These final </w:t>
      </w:r>
      <w:r w:rsidR="00B11846">
        <w:rPr>
          <w:color w:val="000000" w:themeColor="text1"/>
        </w:rPr>
        <w:t>2</w:t>
      </w:r>
      <w:r w:rsidR="00AB0EB1">
        <w:rPr>
          <w:color w:val="000000" w:themeColor="text1"/>
        </w:rPr>
        <w:t>3</w:t>
      </w:r>
      <w:r w:rsidR="00630E90">
        <w:rPr>
          <w:color w:val="000000" w:themeColor="text1"/>
        </w:rPr>
        <w:t xml:space="preserve"> </w:t>
      </w:r>
      <w:r w:rsidR="00D80EFA">
        <w:rPr>
          <w:color w:val="000000" w:themeColor="text1"/>
        </w:rPr>
        <w:t xml:space="preserve">papers </w:t>
      </w:r>
      <w:r w:rsidR="005F3846">
        <w:rPr>
          <w:color w:val="000000" w:themeColor="text1"/>
        </w:rPr>
        <w:t xml:space="preserve">were </w:t>
      </w:r>
      <w:r w:rsidR="00D80EFA">
        <w:rPr>
          <w:color w:val="000000" w:themeColor="text1"/>
        </w:rPr>
        <w:t>used in this review. These findings are listed in Table</w:t>
      </w:r>
      <w:r w:rsidR="0030129B">
        <w:rPr>
          <w:color w:val="000000" w:themeColor="text1"/>
        </w:rPr>
        <w:t xml:space="preserve"> 1.</w:t>
      </w:r>
    </w:p>
    <w:p w14:paraId="317B38FD" w14:textId="77777777" w:rsidR="00B25477" w:rsidRDefault="00B25477" w:rsidP="0030129B">
      <w:pPr>
        <w:keepNext/>
        <w:rPr>
          <w:color w:val="000000" w:themeColor="text1"/>
        </w:rPr>
      </w:pPr>
    </w:p>
    <w:p w14:paraId="160311BC" w14:textId="0DA5ECD4" w:rsidR="00B25477" w:rsidRPr="001E3C8B" w:rsidRDefault="00B25477" w:rsidP="0030129B">
      <w:pPr>
        <w:keepNext/>
        <w:rPr>
          <w:color w:val="000000" w:themeColor="text1"/>
        </w:rPr>
        <w:sectPr w:rsidR="00B25477" w:rsidRPr="001E3C8B" w:rsidSect="0030129B">
          <w:footerReference w:type="even" r:id="rId10"/>
          <w:footerReference w:type="default" r:id="rId11"/>
          <w:type w:val="continuous"/>
          <w:pgSz w:w="11900" w:h="16840"/>
          <w:pgMar w:top="1440" w:right="1440" w:bottom="1440" w:left="1440" w:header="709" w:footer="709" w:gutter="0"/>
          <w:lnNumType w:countBy="1" w:restart="continuous"/>
          <w:cols w:space="708"/>
          <w:docGrid w:linePitch="360"/>
        </w:sectPr>
      </w:pPr>
    </w:p>
    <w:p w14:paraId="57ABB7D8" w14:textId="0B24DF3D" w:rsidR="00C267F0" w:rsidRDefault="00C276C9" w:rsidP="0030129B">
      <w:pPr>
        <w:keepNext/>
        <w:rPr>
          <w:rFonts w:eastAsiaTheme="minorEastAsia"/>
          <w:b/>
          <w:bCs/>
          <w:color w:val="000000"/>
        </w:rPr>
      </w:pPr>
      <w:r w:rsidRPr="00E86528">
        <w:rPr>
          <w:rFonts w:eastAsiaTheme="minorEastAsia"/>
          <w:b/>
          <w:bCs/>
          <w:color w:val="000000"/>
        </w:rPr>
        <w:lastRenderedPageBreak/>
        <w:t xml:space="preserve">Description </w:t>
      </w:r>
      <w:r>
        <w:rPr>
          <w:rFonts w:eastAsiaTheme="minorEastAsia"/>
          <w:b/>
          <w:bCs/>
          <w:color w:val="000000"/>
        </w:rPr>
        <w:t xml:space="preserve">of </w:t>
      </w:r>
      <w:r w:rsidRPr="00E86528">
        <w:rPr>
          <w:rFonts w:eastAsiaTheme="minorEastAsia"/>
          <w:b/>
          <w:bCs/>
          <w:color w:val="000000"/>
        </w:rPr>
        <w:t>studies</w:t>
      </w:r>
      <w:r w:rsidR="001A450F">
        <w:rPr>
          <w:rFonts w:eastAsiaTheme="minorEastAsia"/>
          <w:b/>
          <w:bCs/>
          <w:color w:val="000000"/>
        </w:rPr>
        <w:t xml:space="preserve"> </w:t>
      </w:r>
    </w:p>
    <w:p w14:paraId="35033D45" w14:textId="4CF20639" w:rsidR="00367F32" w:rsidRPr="00C267F0" w:rsidRDefault="00436FF9" w:rsidP="0030129B">
      <w:pPr>
        <w:keepNext/>
        <w:rPr>
          <w:rFonts w:eastAsiaTheme="minorEastAsia"/>
          <w:b/>
          <w:bCs/>
          <w:color w:val="000000"/>
        </w:rPr>
      </w:pPr>
      <w:r>
        <w:br/>
      </w:r>
      <w:r w:rsidR="008F16A8">
        <w:t>T</w:t>
      </w:r>
      <w:r w:rsidR="00367F32">
        <w:t xml:space="preserve">wo research groups used </w:t>
      </w:r>
      <w:r w:rsidR="00367F32" w:rsidRPr="00873C8C">
        <w:rPr>
          <w:color w:val="000000" w:themeColor="text1"/>
          <w:shd w:val="clear" w:color="auto" w:fill="FFFFFF"/>
          <w:vertAlign w:val="superscript"/>
        </w:rPr>
        <w:t>1</w:t>
      </w:r>
      <w:r w:rsidR="00367F32" w:rsidRPr="00873C8C">
        <w:rPr>
          <w:color w:val="000000" w:themeColor="text1"/>
          <w:shd w:val="clear" w:color="auto" w:fill="FFFFFF"/>
        </w:rPr>
        <w:t>H</w:t>
      </w:r>
      <w:r w:rsidR="00367F32" w:rsidRPr="00A36890">
        <w:t xml:space="preserve"> NMR</w:t>
      </w:r>
      <w:r w:rsidR="00367F32">
        <w:t xml:space="preserve"> spectroscopy during the process of synthesising psychedelic molecules into their water-soluble salt forms. </w:t>
      </w:r>
      <w:r w:rsidR="00AF43D1">
        <w:t xml:space="preserve">Sherwood </w:t>
      </w:r>
      <w:r w:rsidR="00AF43D1" w:rsidRPr="00AF43D1">
        <w:rPr>
          <w:i/>
          <w:iCs/>
        </w:rPr>
        <w:t>et al.</w:t>
      </w:r>
      <w:r w:rsidR="00367F32">
        <w:rPr>
          <w:i/>
          <w:iCs/>
        </w:rPr>
        <w:fldChar w:fldCharType="begin" w:fldLock="1"/>
      </w:r>
      <w:r w:rsidR="00966577">
        <w:rPr>
          <w:i/>
          <w:iCs/>
        </w:rPr>
        <w:instrText>ADDIN CSL_CITATION {"citationItems":[{"id":"ITEM-1","itemData":{"DOI":"10.1021/acsomega.0c05099","ISSN":"24701343","abstract":"To support clinical use, a multigram-scale process has been developed to provide 5-MeO-DMT, a psychedelic natural product found in the parotid gland secretions of the toad, Incilius alvarius. Several synthetic routes were initially explored, and the selected process featured an optimized Fischer indole reaction to 5-MeO-DMT freebase in high-yield, from which the 1:1 succinate salt was produced to provide 136 g of crystalline active pharmaceutical ingredient (API) with 99.86% peak area by high-performance liquid chromatography (HPLC) and a net yield of 49%. The report provides in-process monitoring, validated analytical methods, impurity formation and removal, and solid-state characterization of the API essential for subsequent clinical development.","author":[{"dropping-particle":"","family":"Sherwood","given":"Alexander M.","non-dropping-particle":"","parse-names":false,"suffix":""},{"dropping-particle":"","family":"Claveau","given":"Romain","non-dropping-particle":"","parse-names":false,"suffix":""},{"dropping-particle":"","family":"Lancelotta","given":"Rafael","non-dropping-particle":"","parse-names":false,"suffix":""},{"dropping-particle":"","family":"Kaylo","given":"Kristi W.","non-dropping-particle":"","parse-names":false,"suffix":""},{"dropping-particle":"","family":"Lenoch","given":"Kelsey","non-dropping-particle":"","parse-names":false,"suffix":""}],"container-title":"ACS Omega","id":"ITEM-1","issue":"49","issued":{"date-parts":[["2020","12","15"]]},"page":"32067-32075","publisher":"American Chemical Society","title":"Synthesis and Characterization of 5-MeO-DMT Succinate for Clinical Use","type":"article-journal","volume":"5"},"uris":["http://www.mendeley.com/documents/?uuid=babf08d0-b636-3be7-8438-cfe146702618"]}],"mendeley":{"formattedCitation":"(79)","plainTextFormattedCitation":"(79)","previouslyFormattedCitation":"(79)"},"properties":{"noteIndex":0},"schema":"https://github.com/citation-style-language/schema/raw/master/csl-citation.json"}</w:instrText>
      </w:r>
      <w:r w:rsidR="00367F32">
        <w:rPr>
          <w:i/>
          <w:iCs/>
        </w:rPr>
        <w:fldChar w:fldCharType="separate"/>
      </w:r>
      <w:r w:rsidR="007B4533" w:rsidRPr="007B4533">
        <w:rPr>
          <w:iCs/>
          <w:noProof/>
        </w:rPr>
        <w:t>(79)</w:t>
      </w:r>
      <w:r w:rsidR="00367F32">
        <w:rPr>
          <w:i/>
          <w:iCs/>
        </w:rPr>
        <w:fldChar w:fldCharType="end"/>
      </w:r>
      <w:r w:rsidR="00AF43D1">
        <w:t xml:space="preserve">, </w:t>
      </w:r>
      <w:r w:rsidR="00367F32">
        <w:t xml:space="preserve">synthesised </w:t>
      </w:r>
      <w:r w:rsidR="00263EF7" w:rsidRPr="00AF43D1">
        <w:t>5</w:t>
      </w:r>
      <w:r w:rsidR="00263EF7" w:rsidRPr="00AF43D1">
        <w:noBreakHyphen/>
        <w:t xml:space="preserve">MeO-DMT </w:t>
      </w:r>
      <w:r w:rsidR="00AF43D1">
        <w:t>s</w:t>
      </w:r>
      <w:r w:rsidR="00263EF7" w:rsidRPr="00AF43D1">
        <w:t>uccinate</w:t>
      </w:r>
      <w:r w:rsidR="00AF43D1">
        <w:t xml:space="preserve"> salt</w:t>
      </w:r>
      <w:r w:rsidR="00263EF7" w:rsidRPr="00AF43D1">
        <w:t xml:space="preserve"> </w:t>
      </w:r>
      <w:r w:rsidR="00367F32">
        <w:t>and Cozzi &amp; Daley</w:t>
      </w:r>
      <w:r w:rsidR="00367F32">
        <w:fldChar w:fldCharType="begin" w:fldLock="1"/>
      </w:r>
      <w:r w:rsidR="001E3C8B">
        <w:instrText>ADDIN CSL_CITATION {"citationItems":[{"id":"ITEM-1","itemData":{"DOI":"10.1002/dta.2889","ISSN":"19427611","PMID":"32608093","abstract":"Since 2006, there has been a resurgent interest in the pharmacology and therapeutics of psychedelic drugs. Psilocybin, the 4-phosphoryl ester of N,N-dimethyltryptamine (DMT), has been studied most often, but DMT itself is also appealing because of its brief but profound psychological effects and its presence as an endogenous substance in mammalian brain. Although there have been a few studies of ayahuasca, a DMT-containing water infusion, only one human study with pure DMT has been reported since the early 2000s. Newly planned clinical trials to assess the safety and efficacy of DMT in humans with major depressive disorders require high-purity water-soluble DMT for intravenous administration. Accordingly, we synthesized and characterized DMT hemifumarate for these upcoming studies. The synthetic approach of Speeter and Anthony was slightly modified to gain some efficiency in time. In particular, this is the first known report to use aluminum hydride, generated in situ from lithium aluminum hydride, to reduce the intermediate 2-(1H-indol-3-yl)-N,N-dimethyl-2-oxoacetamide to DMT. A quench protocol was developed to produce a good yield of exceptionally pure free base DMT upon workup, which was then converted to the hemifumarate salt. Analysis of the final product included differential scanning calorimetry, thermogravimetric analysis, gas chromatography–mass spectrometry (GC–MS), 1H and 13C nuclear magnetic resonance spectroscopy, high-performance liquid chromatography, residual solvent analysis by GC headspace sampling, X-ray powder diffraction analysis, and residual lithium analysis by inductively coupled plasma-mass spectrometry. The DMT hemifumarate was minimally 99.9% pure, with no significant impurities or residual solvents, thus meeting regulatory standards for administration to humans.","author":[{"dropping-particle":"V.","family":"Cozzi","given":"Nicholas","non-dropping-particle":"","parse-names":false,"suffix":""},{"dropping-particle":"","family":"Daley","given":"Paul F.","non-dropping-particle":"","parse-names":false,"suffix":""}],"container-title":"Drug Testing and Analysis","id":"ITEM-1","issue":"10","issued":{"date-parts":[["2020","10","1"]]},"page":"1483-1493","publisher":"John Wiley and Sons Ltd","title":"Synthesis and characterization of high-purity N,N-dimethyltryptamine hemifumarate for human clinical trials","type":"article-journal","volume":"12"},"uris":["http://www.mendeley.com/documents/?uuid=8c793cc7-6f64-32e6-9541-a7d5b1133ef2"]}],"mendeley":{"formattedCitation":"(80)","plainTextFormattedCitation":"(80)","previouslyFormattedCitation":"(80)"},"properties":{"noteIndex":0},"schema":"https://github.com/citation-style-language/schema/raw/master/csl-citation.json"}</w:instrText>
      </w:r>
      <w:r w:rsidR="00367F32">
        <w:fldChar w:fldCharType="separate"/>
      </w:r>
      <w:r w:rsidR="001E3C8B" w:rsidRPr="001E3C8B">
        <w:rPr>
          <w:noProof/>
        </w:rPr>
        <w:t>(80)</w:t>
      </w:r>
      <w:r w:rsidR="00367F32">
        <w:fldChar w:fldCharType="end"/>
      </w:r>
      <w:r w:rsidR="00367F32">
        <w:t xml:space="preserve"> synthesised DMT </w:t>
      </w:r>
      <w:proofErr w:type="spellStart"/>
      <w:r w:rsidR="00367F32" w:rsidRPr="00A36890">
        <w:t>hemifumarat</w:t>
      </w:r>
      <w:r w:rsidR="00367F32">
        <w:t>e</w:t>
      </w:r>
      <w:proofErr w:type="spellEnd"/>
      <w:r w:rsidR="00367F32">
        <w:t xml:space="preserve"> salt. </w:t>
      </w:r>
      <w:r w:rsidR="003814AB">
        <w:t xml:space="preserve">The reactions used to synthesis these molecules </w:t>
      </w:r>
      <w:r w:rsidR="00367F32">
        <w:t>were different</w:t>
      </w:r>
      <w:r w:rsidR="003814AB">
        <w:t xml:space="preserve">; </w:t>
      </w:r>
      <w:r w:rsidR="00367F32">
        <w:t>5</w:t>
      </w:r>
      <w:r w:rsidR="00367F32" w:rsidRPr="00AF43D1">
        <w:noBreakHyphen/>
        <w:t xml:space="preserve">MeO-DMT </w:t>
      </w:r>
      <w:r w:rsidR="00367F32">
        <w:t>s</w:t>
      </w:r>
      <w:r w:rsidR="00367F32" w:rsidRPr="00AF43D1">
        <w:t>uccinate</w:t>
      </w:r>
      <w:r w:rsidR="00367F32">
        <w:t xml:space="preserve"> salt </w:t>
      </w:r>
      <w:r w:rsidR="003814AB">
        <w:t>was</w:t>
      </w:r>
      <w:r w:rsidR="002C7794">
        <w:t xml:space="preserve"> produced using </w:t>
      </w:r>
      <w:r w:rsidR="00367F32">
        <w:t xml:space="preserve">a Fischer indole reaction, whereas the </w:t>
      </w:r>
      <w:r w:rsidR="00367F32" w:rsidRPr="00762EBF">
        <w:t xml:space="preserve">DMT </w:t>
      </w:r>
      <w:proofErr w:type="spellStart"/>
      <w:r w:rsidR="00367F32" w:rsidRPr="00762EBF">
        <w:t>hemifumarate</w:t>
      </w:r>
      <w:proofErr w:type="spellEnd"/>
      <w:r w:rsidR="00367F32">
        <w:t xml:space="preserve"> salt </w:t>
      </w:r>
      <w:r w:rsidR="002C7794">
        <w:t xml:space="preserve">was produced with a </w:t>
      </w:r>
      <w:proofErr w:type="spellStart"/>
      <w:r w:rsidR="00367F32" w:rsidRPr="00762EBF">
        <w:t>Speeter</w:t>
      </w:r>
      <w:proofErr w:type="spellEnd"/>
      <w:r w:rsidR="00367F32" w:rsidRPr="00762EBF">
        <w:t xml:space="preserve"> and Anthony approac</w:t>
      </w:r>
      <w:r w:rsidR="00367F32">
        <w:t xml:space="preserve">h. </w:t>
      </w:r>
      <w:r w:rsidR="008F16A8">
        <w:t>B</w:t>
      </w:r>
      <w:r w:rsidR="002C7794">
        <w:t>oth studies</w:t>
      </w:r>
      <w:r w:rsidR="008F16A8">
        <w:t xml:space="preserve"> selected and optimised their</w:t>
      </w:r>
      <w:r w:rsidR="002C7794">
        <w:t xml:space="preserve"> </w:t>
      </w:r>
      <w:r w:rsidR="00367F32">
        <w:t>synthetic routes to produce the highest yield and highest purity salts. Purity refers to the percentage of active pharmaceutical ingredient (5-MeO-DMT and DMT) present in the salt produced, both salts had a purity above 99.8%. Analytical c</w:t>
      </w:r>
      <w:r w:rsidR="00367F32" w:rsidRPr="00AF43D1">
        <w:t>haracteri</w:t>
      </w:r>
      <w:r w:rsidR="00367F32">
        <w:t xml:space="preserve">sation of these compounds was achieved using </w:t>
      </w:r>
      <w:r w:rsidR="00367F32" w:rsidRPr="00873C8C">
        <w:rPr>
          <w:color w:val="000000" w:themeColor="text1"/>
          <w:shd w:val="clear" w:color="auto" w:fill="FFFFFF"/>
          <w:vertAlign w:val="superscript"/>
        </w:rPr>
        <w:t>1</w:t>
      </w:r>
      <w:r w:rsidR="00367F32" w:rsidRPr="00873C8C">
        <w:rPr>
          <w:color w:val="000000" w:themeColor="text1"/>
          <w:shd w:val="clear" w:color="auto" w:fill="FFFFFF"/>
        </w:rPr>
        <w:t>H</w:t>
      </w:r>
      <w:r w:rsidR="00367F32" w:rsidRPr="00A36890">
        <w:t xml:space="preserve"> NM</w:t>
      </w:r>
      <w:r w:rsidR="00367F32">
        <w:t>R spectroscopy</w:t>
      </w:r>
      <w:r w:rsidR="002C7794">
        <w:t>, X-ray powder diffraction, thermogravimetric analysis, differential scanning calorimetry</w:t>
      </w:r>
      <w:r w:rsidR="00367F32">
        <w:t xml:space="preserve">. Sherwood </w:t>
      </w:r>
      <w:r w:rsidR="00367F32" w:rsidRPr="002C7794">
        <w:rPr>
          <w:i/>
          <w:iCs/>
        </w:rPr>
        <w:t>et al.</w:t>
      </w:r>
      <w:r w:rsidR="00367F32">
        <w:t xml:space="preserve"> </w:t>
      </w:r>
      <w:r w:rsidR="002C7794">
        <w:t>additionally</w:t>
      </w:r>
      <w:r w:rsidR="00367F32">
        <w:t xml:space="preserve"> us</w:t>
      </w:r>
      <w:r w:rsidR="002C7794">
        <w:t>ed dynamic vapor sorption (DVS) and optical microscopy</w:t>
      </w:r>
      <w:r w:rsidR="00367F32">
        <w:t xml:space="preserve">, </w:t>
      </w:r>
      <w:r w:rsidR="002C7794">
        <w:t xml:space="preserve">while </w:t>
      </w:r>
      <w:r w:rsidR="00367F32">
        <w:t>Cozzi &amp; Daley</w:t>
      </w:r>
      <w:r w:rsidR="002C7794">
        <w:t xml:space="preserve"> </w:t>
      </w:r>
      <w:r w:rsidR="00367F32">
        <w:t xml:space="preserve">used </w:t>
      </w:r>
      <w:r w:rsidR="00367F32" w:rsidRPr="004465EE">
        <w:rPr>
          <w:rStyle w:val="Emphasis"/>
          <w:i w:val="0"/>
          <w:iCs w:val="0"/>
          <w:color w:val="000000" w:themeColor="text1"/>
          <w:shd w:val="clear" w:color="auto" w:fill="FFFFFF"/>
          <w:vertAlign w:val="superscript"/>
        </w:rPr>
        <w:t>13</w:t>
      </w:r>
      <w:r w:rsidR="00367F32" w:rsidRPr="004465EE">
        <w:rPr>
          <w:rStyle w:val="Emphasis"/>
          <w:i w:val="0"/>
          <w:iCs w:val="0"/>
          <w:color w:val="000000" w:themeColor="text1"/>
          <w:shd w:val="clear" w:color="auto" w:fill="FFFFFF"/>
        </w:rPr>
        <w:t>C</w:t>
      </w:r>
      <w:r w:rsidR="00367F32">
        <w:rPr>
          <w:rStyle w:val="Emphasis"/>
          <w:i w:val="0"/>
          <w:iCs w:val="0"/>
          <w:color w:val="000000" w:themeColor="text1"/>
          <w:shd w:val="clear" w:color="auto" w:fill="FFFFFF"/>
        </w:rPr>
        <w:t xml:space="preserve"> NMR</w:t>
      </w:r>
      <w:r w:rsidR="00367F32">
        <w:rPr>
          <w:color w:val="000000" w:themeColor="text1"/>
          <w:shd w:val="clear" w:color="auto" w:fill="FFFFFF"/>
        </w:rPr>
        <w:t xml:space="preserve"> spectroscopy, GC-MS, HPLC, </w:t>
      </w:r>
      <w:r w:rsidR="00367F32" w:rsidRPr="00035006">
        <w:rPr>
          <w:rFonts w:eastAsiaTheme="minorEastAsia"/>
          <w:color w:val="000000" w:themeColor="text1"/>
        </w:rPr>
        <w:t>residual solvent analysis by GC headspace sampling, and residual lithium analysis by inductively coupled plasma-</w:t>
      </w:r>
      <w:r w:rsidR="00E07A91">
        <w:rPr>
          <w:rFonts w:eastAsiaTheme="minorEastAsia"/>
          <w:color w:val="000000" w:themeColor="text1"/>
        </w:rPr>
        <w:t>MS</w:t>
      </w:r>
      <w:r w:rsidR="00367F32" w:rsidRPr="00035006">
        <w:rPr>
          <w:color w:val="000000" w:themeColor="text1"/>
        </w:rPr>
        <w:t>.</w:t>
      </w:r>
      <w:r w:rsidR="00367F32">
        <w:rPr>
          <w:color w:val="000000" w:themeColor="text1"/>
        </w:rPr>
        <w:t xml:space="preserve"> </w:t>
      </w:r>
      <w:r w:rsidR="00367F32">
        <w:t>Th</w:t>
      </w:r>
      <w:r w:rsidR="002C7794">
        <w:t xml:space="preserve">e implications of this research </w:t>
      </w:r>
      <w:r w:rsidR="000E19BF">
        <w:t>were</w:t>
      </w:r>
      <w:r w:rsidR="002C7794">
        <w:t xml:space="preserve"> that it could potentially improve the application of</w:t>
      </w:r>
      <w:r w:rsidR="00367F32">
        <w:t xml:space="preserve"> high-purity water-soluble salt forms </w:t>
      </w:r>
      <w:r w:rsidR="002C7794">
        <w:t>in future clinical trial</w:t>
      </w:r>
      <w:r w:rsidR="00367F32">
        <w:t xml:space="preserve">, </w:t>
      </w:r>
      <w:r w:rsidR="00367F32" w:rsidRPr="00AF43D1">
        <w:t>5</w:t>
      </w:r>
      <w:r w:rsidR="00367F32" w:rsidRPr="00AF43D1">
        <w:noBreakHyphen/>
        <w:t xml:space="preserve">MeO-DMT </w:t>
      </w:r>
      <w:r w:rsidR="00367F32">
        <w:t>s</w:t>
      </w:r>
      <w:r w:rsidR="00367F32" w:rsidRPr="00AF43D1">
        <w:t>uccinate</w:t>
      </w:r>
      <w:r w:rsidR="00367F32">
        <w:t xml:space="preserve"> salt </w:t>
      </w:r>
      <w:r w:rsidR="002C7794">
        <w:t>used for</w:t>
      </w:r>
      <w:r w:rsidR="00367F32">
        <w:t xml:space="preserve"> intramuscular (IM) injection or DMT </w:t>
      </w:r>
      <w:r w:rsidR="002C7794">
        <w:t>for</w:t>
      </w:r>
      <w:r w:rsidR="00367F32">
        <w:t xml:space="preserve"> intravenous (IV) injection. </w:t>
      </w:r>
      <w:r w:rsidR="00367F32" w:rsidRPr="00873C8C">
        <w:rPr>
          <w:color w:val="000000" w:themeColor="text1"/>
          <w:shd w:val="clear" w:color="auto" w:fill="FFFFFF"/>
          <w:vertAlign w:val="superscript"/>
        </w:rPr>
        <w:t>1</w:t>
      </w:r>
      <w:r w:rsidR="00367F32" w:rsidRPr="00873C8C">
        <w:rPr>
          <w:color w:val="000000" w:themeColor="text1"/>
          <w:shd w:val="clear" w:color="auto" w:fill="FFFFFF"/>
        </w:rPr>
        <w:t>H</w:t>
      </w:r>
      <w:r w:rsidR="00367F32" w:rsidRPr="00A36890">
        <w:t xml:space="preserve"> NMR</w:t>
      </w:r>
      <w:r w:rsidR="00367F32">
        <w:t xml:space="preserve"> spectroscopy was essential in determining drug purity; however, it was not used as a </w:t>
      </w:r>
      <w:proofErr w:type="spellStart"/>
      <w:r w:rsidR="00367F32">
        <w:t>metabonomics</w:t>
      </w:r>
      <w:proofErr w:type="spellEnd"/>
      <w:r w:rsidR="00367F32">
        <w:t xml:space="preserve"> tool.</w:t>
      </w:r>
    </w:p>
    <w:p w14:paraId="08B1170F" w14:textId="77777777" w:rsidR="002C7794" w:rsidRDefault="002C7794" w:rsidP="00E50706">
      <w:pPr>
        <w:autoSpaceDE w:val="0"/>
        <w:autoSpaceDN w:val="0"/>
        <w:adjustRightInd w:val="0"/>
      </w:pPr>
    </w:p>
    <w:p w14:paraId="5854701B" w14:textId="4FB05C1D" w:rsidR="00367F32" w:rsidRPr="008F16A8" w:rsidRDefault="00367F32" w:rsidP="00E50706">
      <w:pPr>
        <w:rPr>
          <w:color w:val="000000" w:themeColor="text1"/>
          <w:shd w:val="clear" w:color="auto" w:fill="FFFFFF"/>
        </w:rPr>
      </w:pPr>
      <w:r>
        <w:t xml:space="preserve">Brandt </w:t>
      </w:r>
      <w:r w:rsidRPr="00E832EC">
        <w:rPr>
          <w:i/>
          <w:iCs/>
        </w:rPr>
        <w:t>et a</w:t>
      </w:r>
      <w:r>
        <w:rPr>
          <w:i/>
          <w:iCs/>
        </w:rPr>
        <w:t xml:space="preserve">l. </w:t>
      </w:r>
      <w:r>
        <w:t>conducted their first LSD derivative experiment</w:t>
      </w:r>
      <w:r w:rsidR="00E07A91">
        <w:t xml:space="preserve"> </w:t>
      </w:r>
      <w:r w:rsidR="002C7794">
        <w:t xml:space="preserve">on </w:t>
      </w:r>
      <w:r w:rsidR="002C7794" w:rsidRPr="00854A74">
        <w:t xml:space="preserve">1-Propionyl-d-lysergic acid diethylamide </w:t>
      </w:r>
      <w:r w:rsidR="002C7794">
        <w:t>(</w:t>
      </w:r>
      <w:r w:rsidR="002C7794" w:rsidRPr="00854A74">
        <w:t>1P-LSD)</w:t>
      </w:r>
      <w:r w:rsidR="002C7794">
        <w:fldChar w:fldCharType="begin" w:fldLock="1"/>
      </w:r>
      <w:r w:rsidR="001E3C8B">
        <w:instrText>ADDIN CSL_CITATION {"citationItems":[{"id":"ITEM-1","itemData":{"DOI":"10.1002/dta.1884","ISSN":"19427611","PMID":"26456305","abstract":"1-Propionyl-d-lysergic acid diethylamide hemitartrate (1P-LSD) has become available as a ‘research chemical’ in the form of blotters and powdered material. This non-controlled derivative of d-lysergic acid diethylamide (LSD) has previously not been described in the published literature despite being closely related to 1-acetyl-LSD (ALD-52), which was developed in the 1950s. This study describes the characterization of 1P-LSD in comparison with LSD using various chromatographic and mass spectrometric methods, infrared and nuclear magnetic resonance spectroscopy. An important feature common to LSD and other serotonergic hallucinogens is that they produce 5-HT2A-receptor activation and induce the head-twitch response (HTR) in rats and mice. In order to assess whether 1P-LSD displays LSD-like properties and activates the 5-HT2A receptor, male C57BL/6 J mice were injected with vehicle (saline) or 1P-LSD (0.025–0.8 mg/kg, IP) and HTR assessed for 30 min using magnetometer coil recordings. It was found that 1P-LSD produced a dose-dependent increase in HTR counts, and that it had ~38% (ED50 = 349.6 nmol/kg) of the potency of LSD (ED50 = 132.8 nmol/kg). Furthermore, HTR was abolished when 1P-LSD administration followed pretreatment with the selective 5-HT2A receptor antagonist M100907 (0.1 mg/kg, SC), which was consistent with the concept that the behavioural response was mediated by activation of the 5-HT2A receptor. These results indicate that 1P-LSD produces LSD-like effects in mice, consistent with its classification as a serotonergic hallucinogen. Nevertheless, the extent to which 1P-LSD might show psychoactive effects in humans similar to LSD remains to be investigated. Copyright © 2015 John Wiley &amp; Sons, Ltd.","author":[{"dropping-particle":"","family":"Brandt","given":"Simon D.","non-dropping-particle":"","parse-names":false,"suffix":""},{"dropping-particle":"V.","family":"Kavanagh","given":"Pierce","non-dropping-particle":"","parse-names":false,"suffix":""},{"dropping-particle":"","family":"Westphal","given":"Folker","non-dropping-particle":"","parse-names":false,"suffix":""},{"dropping-particle":"","family":"Stratford","given":"Alexander","non-dropping-particle":"","parse-names":false,"suffix":""},{"dropping-particle":"","family":"Elliott","given":"Simon P.","non-dropping-particle":"","parse-names":false,"suffix":""},{"dropping-particle":"","family":"Hoang","given":"Khoa","non-dropping-particle":"","parse-names":false,"suffix":""},{"dropping-particle":"","family":"Wallach","given":"Jason","non-dropping-particle":"","parse-names":false,"suffix":""},{"dropping-particle":"","family":"Halberstadt","given":"Adam L.","non-dropping-particle":"","parse-names":false,"suffix":""}],"container-title":"Drug Testing and Analysis","id":"ITEM-1","issue":"9","issued":{"date-parts":[["2016","9","1"]]},"page":"891-902","publisher":"John Wiley and Sons Ltd","title":"Return of the lysergamides. Part I: Analytical and behavioural characterization of 1-propionyl-d-lysergic acid diethylamide (1P-LSD)","type":"article-journal","volume":"8"},"uris":["http://www.mendeley.com/documents/?uuid=00758d21-369e-3c6c-bcc9-aded0aeccded"]}],"mendeley":{"formattedCitation":"(81)","plainTextFormattedCitation":"(81)","previouslyFormattedCitation":"(81)"},"properties":{"noteIndex":0},"schema":"https://github.com/citation-style-language/schema/raw/master/csl-citation.json"}</w:instrText>
      </w:r>
      <w:r w:rsidR="002C7794">
        <w:fldChar w:fldCharType="separate"/>
      </w:r>
      <w:r w:rsidR="001E3C8B" w:rsidRPr="001E3C8B">
        <w:rPr>
          <w:noProof/>
        </w:rPr>
        <w:t>(81)</w:t>
      </w:r>
      <w:r w:rsidR="002C7794">
        <w:fldChar w:fldCharType="end"/>
      </w:r>
      <w:r>
        <w:t xml:space="preserve"> in 2016</w:t>
      </w:r>
      <w:r w:rsidR="00E07A91">
        <w:t xml:space="preserve">. </w:t>
      </w:r>
      <w:r w:rsidR="002C7794">
        <w:t xml:space="preserve">LSD analogues typically have limited analytical data and so Brandt </w:t>
      </w:r>
      <w:r w:rsidR="002C7794" w:rsidRPr="00E832EC">
        <w:rPr>
          <w:i/>
          <w:iCs/>
        </w:rPr>
        <w:t>et a</w:t>
      </w:r>
      <w:r w:rsidR="002C7794">
        <w:rPr>
          <w:i/>
          <w:iCs/>
        </w:rPr>
        <w:t xml:space="preserve">l. </w:t>
      </w:r>
      <w:r w:rsidR="002C7794">
        <w:t xml:space="preserve">used </w:t>
      </w:r>
      <w:r w:rsidR="002C7794" w:rsidRPr="00CE7615">
        <w:rPr>
          <w:color w:val="000000" w:themeColor="text1"/>
          <w:shd w:val="clear" w:color="auto" w:fill="FFFFFF"/>
          <w:vertAlign w:val="superscript"/>
        </w:rPr>
        <w:t>1</w:t>
      </w:r>
      <w:r w:rsidR="002C7794" w:rsidRPr="00CE7615">
        <w:rPr>
          <w:color w:val="000000" w:themeColor="text1"/>
          <w:shd w:val="clear" w:color="auto" w:fill="FFFFFF"/>
        </w:rPr>
        <w:t>H</w:t>
      </w:r>
      <w:r w:rsidR="002C7794">
        <w:rPr>
          <w:color w:val="000000" w:themeColor="text1"/>
          <w:shd w:val="clear" w:color="auto" w:fill="FFFFFF"/>
        </w:rPr>
        <w:t xml:space="preserve"> NMR, </w:t>
      </w:r>
      <w:r w:rsidR="002C7794" w:rsidRPr="004465EE">
        <w:rPr>
          <w:rStyle w:val="Emphasis"/>
          <w:i w:val="0"/>
          <w:iCs w:val="0"/>
          <w:color w:val="000000" w:themeColor="text1"/>
          <w:shd w:val="clear" w:color="auto" w:fill="FFFFFF"/>
          <w:vertAlign w:val="superscript"/>
        </w:rPr>
        <w:t>13</w:t>
      </w:r>
      <w:r w:rsidR="002C7794" w:rsidRPr="004465EE">
        <w:rPr>
          <w:rStyle w:val="Emphasis"/>
          <w:i w:val="0"/>
          <w:iCs w:val="0"/>
          <w:color w:val="000000" w:themeColor="text1"/>
          <w:shd w:val="clear" w:color="auto" w:fill="FFFFFF"/>
        </w:rPr>
        <w:t>C</w:t>
      </w:r>
      <w:r w:rsidR="002C7794">
        <w:rPr>
          <w:rStyle w:val="Emphasis"/>
          <w:i w:val="0"/>
          <w:iCs w:val="0"/>
          <w:color w:val="000000" w:themeColor="text1"/>
          <w:shd w:val="clear" w:color="auto" w:fill="FFFFFF"/>
        </w:rPr>
        <w:t xml:space="preserve"> NMR</w:t>
      </w:r>
      <w:r w:rsidR="002C7794">
        <w:t xml:space="preserve"> spectroscopy, </w:t>
      </w:r>
      <w:r w:rsidR="002C7794" w:rsidRPr="00854A74">
        <w:t xml:space="preserve">various chromatographic and </w:t>
      </w:r>
      <w:r w:rsidR="002C7794">
        <w:t>MS</w:t>
      </w:r>
      <w:r w:rsidR="002C7794" w:rsidRPr="00854A74">
        <w:t xml:space="preserve"> methods</w:t>
      </w:r>
      <w:r w:rsidR="002C7794">
        <w:t xml:space="preserve"> and</w:t>
      </w:r>
      <w:r w:rsidR="002C7794" w:rsidRPr="00854A74">
        <w:t xml:space="preserve"> </w:t>
      </w:r>
      <w:r w:rsidR="002C7794">
        <w:t xml:space="preserve">IR </w:t>
      </w:r>
      <w:r w:rsidR="002C7794" w:rsidRPr="00854A74">
        <w:t>spectroscopy</w:t>
      </w:r>
      <w:r w:rsidR="002C7794">
        <w:t xml:space="preserve"> for their analytically c</w:t>
      </w:r>
      <w:r w:rsidR="002C7794" w:rsidRPr="00854A74">
        <w:t>haracteri</w:t>
      </w:r>
      <w:r w:rsidR="002C7794">
        <w:t>sation and comparison to</w:t>
      </w:r>
      <w:r w:rsidR="002C7794" w:rsidRPr="00854A74">
        <w:t xml:space="preserve"> LSD</w:t>
      </w:r>
      <w:r w:rsidR="002C7794">
        <w:t xml:space="preserve">. Building on this first research paper, Brandt </w:t>
      </w:r>
      <w:r w:rsidR="002C7794" w:rsidRPr="00E832EC">
        <w:rPr>
          <w:i/>
          <w:iCs/>
        </w:rPr>
        <w:t>et a</w:t>
      </w:r>
      <w:r w:rsidR="002C7794">
        <w:rPr>
          <w:i/>
          <w:iCs/>
        </w:rPr>
        <w:t>l.</w:t>
      </w:r>
      <w:r w:rsidR="002C7794">
        <w:t xml:space="preserve"> published several follow-up papers on additional LSD derivatives using similar analytical tools. The papers included the molecules </w:t>
      </w:r>
      <w:r w:rsidR="002C7794" w:rsidRPr="00673993">
        <w:t>N6 -allyl-6-norlysergic acid diethylamide (AL-LAD)</w:t>
      </w:r>
      <w:r w:rsidR="002C7794">
        <w:fldChar w:fldCharType="begin" w:fldLock="1"/>
      </w:r>
      <w:r w:rsidR="001E3C8B">
        <w:instrText>ADDIN CSL_CITATION {"citationItems":[{"id":"ITEM-1","itemData":{"DOI":"10.1002/dta.1985","ISSN":"19427611","PMID":"27265891","abstract":"Lysergic acid N,N-diethylamide (LSD) is perhaps one of the most intriguing psychoactive substances known and numerous analogs have been explored to varying extents in previous decades. In 2013, N6-allyl-6-norlysergic acid diethylamide (AL-LAD) and (2’S,4’S)-lysergic acid 2,4-dimethylazetidide (LSZ) appeared on the ‘research chemicals’/new psychoactive substances (NPS) market in both powdered and blotter form. This study reports the analytical characterization of powdered AL-LAD and LSZ tartrate samples and their semi-quantitative determination on blotter paper. Included in this study was the use of nuclear magnetic resonance (NMR) spectroscopy, gas chromatography-mass spectrometry (GC-MS), low and high mass accuracy electrospray MS(/MS), high performance liquid chromatography diode array detection and GC solid-state infrared analysis. One feature shared by serotonergic psychedelics, such as LSD, is the ability to mediate behavioural responses via activation of 5-HT2A receptors. Both AL-LAD and LSZ displayed LSD-like responses in male C57BL/6 J mice when employing the head-twitch response (HTR) assay. AL-LAD and LSZ produced nearly identical inverted-U-shaped dose-dependent effects, with the maximal responses occurring at 200 µg/kg. Analysis of the dose responses by nonlinear regression confirmed that LSZ (ED50 = 114.2 nmol/kg) was equipotent to LSD (ED50 = 132.8 nmol/kg) in mice, whereas AL-LAD was slightly less potent (ED50 = 174.9 nmol/kg). The extent to which a comparison in potency can be translated directly to humans requires further investigation. Chemical and pharmacological data obtained from NPS may assist research communities that are interested in various aspects related to substance use and forensic identification. Copyright © 2016 John Wiley &amp; Sons, Ltd.","author":[{"dropping-particle":"","family":"Brandt","given":"Simon D.","non-dropping-particle":"","parse-names":false,"suffix":""},{"dropping-particle":"V.","family":"Kavanagh","given":"Pierce","non-dropping-particle":"","parse-names":false,"suffix":""},{"dropping-particle":"","family":"Westphal","given":"Folker","non-dropping-particle":"","parse-names":false,"suffix":""},{"dropping-particle":"","family":"Elliott","given":"Simon P.","non-dropping-particle":"","parse-names":false,"suffix":""},{"dropping-particle":"","family":"Wallach","given":"Jason","non-dropping-particle":"","parse-names":false,"suffix":""},{"dropping-particle":"","family":"Colestock","given":"Tristan","non-dropping-particle":"","parse-names":false,"suffix":""},{"dropping-particle":"","family":"Burrow","given":"Timothy E.","non-dropping-particle":"","parse-names":false,"suffix":""},{"dropping-particle":"","family":"Chapman","given":"Stephen J.","non-dropping-particle":"","parse-names":false,"suffix":""},{"dropping-particle":"","family":"Stratford","given":"Alexander","non-dropping-particle":"","parse-names":false,"suffix":""},{"dropping-particle":"","family":"Nichols","given":"David E.","non-dropping-particle":"","parse-names":false,"suffix":""},{"dropping-particle":"","family":"Halberstadt","given":"Adam L.","non-dropping-particle":"","parse-names":false,"suffix":""}],"container-title":"Drug Testing and Analysis","id":"ITEM-1","issue":"1","issued":{"date-parts":[["2017","1","1"]]},"page":"38-50","publisher":"John Wiley and Sons Ltd","title":"Return of the lysergamides. Part II: Analytical and behavioural characterization of N6-allyl-6-norlysergic acid diethylamide (AL-LAD) and (2’S,4’S)-lysergic acid 2,4-dimethylazetidide (LSZ)","type":"article-journal","volume":"9"},"uris":["http://www.mendeley.com/documents/?uuid=120bd062-9f9c-37aa-8bf1-99f52b8b6d26"]}],"mendeley":{"formattedCitation":"(82)","plainTextFormattedCitation":"(82)","previouslyFormattedCitation":"(82)"},"properties":{"noteIndex":0},"schema":"https://github.com/citation-style-language/schema/raw/master/csl-citation.json"}</w:instrText>
      </w:r>
      <w:r w:rsidR="002C7794">
        <w:fldChar w:fldCharType="separate"/>
      </w:r>
      <w:r w:rsidR="001E3C8B" w:rsidRPr="001E3C8B">
        <w:rPr>
          <w:noProof/>
        </w:rPr>
        <w:t>(82)</w:t>
      </w:r>
      <w:r w:rsidR="002C7794">
        <w:fldChar w:fldCharType="end"/>
      </w:r>
      <w:r w:rsidR="002C7794">
        <w:t>,</w:t>
      </w:r>
      <w:r w:rsidR="002C7794" w:rsidRPr="00673993">
        <w:t xml:space="preserve"> (2'S,4'S)-lysergic acid 2,4-dimethylazetidide (LSZ)</w:t>
      </w:r>
      <w:r w:rsidR="002C7794">
        <w:fldChar w:fldCharType="begin" w:fldLock="1"/>
      </w:r>
      <w:r w:rsidR="001E3C8B">
        <w:instrText>ADDIN CSL_CITATION {"citationItems":[{"id":"ITEM-1","itemData":{"DOI":"10.1002/dta.1985","ISSN":"19427611","PMID":"27265891","abstract":"Lysergic acid N,N-diethylamide (LSD) is perhaps one of the most intriguing psychoactive substances known and numerous analogs have been explored to varying extents in previous decades. In 2013, N6-allyl-6-norlysergic acid diethylamide (AL-LAD) and (2’S,4’S)-lysergic acid 2,4-dimethylazetidide (LSZ) appeared on the ‘research chemicals’/new psychoactive substances (NPS) market in both powdered and blotter form. This study reports the analytical characterization of powdered AL-LAD and LSZ tartrate samples and their semi-quantitative determination on blotter paper. Included in this study was the use of nuclear magnetic resonance (NMR) spectroscopy, gas chromatography-mass spectrometry (GC-MS), low and high mass accuracy electrospray MS(/MS), high performance liquid chromatography diode array detection and GC solid-state infrared analysis. One feature shared by serotonergic psychedelics, such as LSD, is the ability to mediate behavioural responses via activation of 5-HT2A receptors. Both AL-LAD and LSZ displayed LSD-like responses in male C57BL/6 J mice when employing the head-twitch response (HTR) assay. AL-LAD and LSZ produced nearly identical inverted-U-shaped dose-dependent effects, with the maximal responses occurring at 200 µg/kg. Analysis of the dose responses by nonlinear regression confirmed that LSZ (ED50 = 114.2 nmol/kg) was equipotent to LSD (ED50 = 132.8 nmol/kg) in mice, whereas AL-LAD was slightly less potent (ED50 = 174.9 nmol/kg). The extent to which a comparison in potency can be translated directly to humans requires further investigation. Chemical and pharmacological data obtained from NPS may assist research communities that are interested in various aspects related to substance use and forensic identification. Copyright © 2016 John Wiley &amp; Sons, Ltd.","author":[{"dropping-particle":"","family":"Brandt","given":"Simon D.","non-dropping-particle":"","parse-names":false,"suffix":""},{"dropping-particle":"V.","family":"Kavanagh","given":"Pierce","non-dropping-particle":"","parse-names":false,"suffix":""},{"dropping-particle":"","family":"Westphal","given":"Folker","non-dropping-particle":"","parse-names":false,"suffix":""},{"dropping-particle":"","family":"Elliott","given":"Simon P.","non-dropping-particle":"","parse-names":false,"suffix":""},{"dropping-particle":"","family":"Wallach","given":"Jason","non-dropping-particle":"","parse-names":false,"suffix":""},{"dropping-particle":"","family":"Colestock","given":"Tristan","non-dropping-particle":"","parse-names":false,"suffix":""},{"dropping-particle":"","family":"Burrow","given":"Timothy E.","non-dropping-particle":"","parse-names":false,"suffix":""},{"dropping-particle":"","family":"Chapman","given":"Stephen J.","non-dropping-particle":"","parse-names":false,"suffix":""},{"dropping-particle":"","family":"Stratford","given":"Alexander","non-dropping-particle":"","parse-names":false,"suffix":""},{"dropping-particle":"","family":"Nichols","given":"David E.","non-dropping-particle":"","parse-names":false,"suffix":""},{"dropping-particle":"","family":"Halberstadt","given":"Adam L.","non-dropping-particle":"","parse-names":false,"suffix":""}],"container-title":"Drug Testing and Analysis","id":"ITEM-1","issue":"1","issued":{"date-parts":[["2017","1","1"]]},"page":"38-50","publisher":"John Wiley and Sons Ltd","title":"Return of the lysergamides. Part II: Analytical and behavioural characterization of N6-allyl-6-norlysergic acid diethylamide (AL-LAD) and (2’S,4’S)-lysergic acid 2,4-dimethylazetidide (LSZ)","type":"article-journal","volume":"9"},"uris":["http://www.mendeley.com/documents/?uuid=120bd062-9f9c-37aa-8bf1-99f52b8b6d26"]}],"mendeley":{"formattedCitation":"(82)","plainTextFormattedCitation":"(82)","previouslyFormattedCitation":"(82)"},"properties":{"noteIndex":0},"schema":"https://github.com/citation-style-language/schema/raw/master/csl-citation.json"}</w:instrText>
      </w:r>
      <w:r w:rsidR="002C7794">
        <w:fldChar w:fldCharType="separate"/>
      </w:r>
      <w:r w:rsidR="001E3C8B" w:rsidRPr="001E3C8B">
        <w:rPr>
          <w:noProof/>
        </w:rPr>
        <w:t>(82)</w:t>
      </w:r>
      <w:r w:rsidR="002C7794">
        <w:fldChar w:fldCharType="end"/>
      </w:r>
      <w:r w:rsidR="002C7794">
        <w:t xml:space="preserve">, </w:t>
      </w:r>
      <w:r w:rsidR="002C7794" w:rsidRPr="002B0FE8">
        <w:t>N6 -ethyl-6-norlysergic acid diethylamide (ETH-LAD)</w:t>
      </w:r>
      <w:r w:rsidR="002C7794">
        <w:fldChar w:fldCharType="begin" w:fldLock="1"/>
      </w:r>
      <w:r w:rsidR="001E3C8B">
        <w:instrText>ADDIN CSL_CITATION {"citationItems":[{"id":"ITEM-1","itemData":{"DOI":"10.1002/dta.2196","ISSN":"19427611","PMID":"28342178","abstract":"The psychoactive properties of lysergic acid diethylamide (LSD) have fascinated scientists across disciplines and the exploration of other analogues and derivatives has been motivated by deepening the understanding of ligand-receptor interactions at the molecular level as well as by the search for new therapeutics. Several LSD congeners have appeared on the new psychoactive substances (NPS) market in the form of blotters or powders. Examples include 1-propionyl-LSD (1P–LSD), AL-LAD, and LSZ. The absence of analytical data for novel compounds is a frequent challenge encountered in clinical and toxicological investigations. Two newly emerging lysergamides, namely N6-ethyl-6-norlysergic acid diethylamide (ETH-LAD) and 1P–ETH-LAD, were characterized by gas chromatography–mass spectrometry (GC–MS), low and high mass accuracy electrospray MS(/MS), GC solid-state infrared analysis, high performance liquid chromatography diode array detection as well as nuclear magnetic resonance spectroscopy. Limited analytical data for ETH-LAD were previously available, whereas information about 1P–ETH-LAD has not previously been encountered in the scientific literature. This study extends the characterization of lysergamides distributed on the NPS market, which will help to make analytical data available to clinicians, toxicologists, and other stakeholders who are likely to encounter these substances. The analysis of a test incubation of 1P–ETH-LAD with human serum at 37°C by LC single quadrupole MS at various time points (0–6 h, once per hour and one measurement after 24 h) revealed the formation of ETH-LAD, suggesting that 1P–ETH-LAD might serve as a pro-drug. 1P–ETH-LAD was still detectable in serum after 24 h. Copyright © 2017 John Wiley &amp; Sons, Ltd.","author":[{"dropping-particle":"","family":"Brandt","given":"Simon D.","non-dropping-particle":"","parse-names":false,"suffix":""},{"dropping-particle":"V.","family":"Kavanagh","given":"Pierce","non-dropping-particle":"","parse-names":false,"suffix":""},{"dropping-particle":"","family":"Westphal","given":"Folker","non-dropping-particle":"","parse-names":false,"suffix":""},{"dropping-particle":"","family":"Elliott","given":"Simon P.","non-dropping-particle":"","parse-names":false,"suffix":""},{"dropping-particle":"","family":"Wallach","given":"Jason","non-dropping-particle":"","parse-names":false,"suffix":""},{"dropping-particle":"","family":"Stratford","given":"Alexander","non-dropping-particle":"","parse-names":false,"suffix":""},{"dropping-particle":"","family":"Nichols","given":"David E.","non-dropping-particle":"","parse-names":false,"suffix":""},{"dropping-particle":"","family":"Halberstadt","given":"Adam L.","non-dropping-particle":"","parse-names":false,"suffix":""}],"container-title":"Drug Testing and Analysis","id":"ITEM-1","issue":"10","issued":{"date-parts":[["2017","10","1"]]},"page":"1641-1649","publisher":"John Wiley and Sons Ltd","title":"Return of the lysergamides. Part III: Analytical characterization of N6-ethyl-6-norlysergic acid diethylamide (ETH-LAD) and 1-propionyl ETH-LAD (1P–ETH-LAD)","type":"article-journal","volume":"9"},"uris":["http://www.mendeley.com/documents/?uuid=dab18258-4204-3c64-9c30-9e626f33d2eb"]}],"mendeley":{"formattedCitation":"(83)","plainTextFormattedCitation":"(83)","previouslyFormattedCitation":"(83)"},"properties":{"noteIndex":0},"schema":"https://github.com/citation-style-language/schema/raw/master/csl-citation.json"}</w:instrText>
      </w:r>
      <w:r w:rsidR="002C7794">
        <w:fldChar w:fldCharType="separate"/>
      </w:r>
      <w:r w:rsidR="001E3C8B" w:rsidRPr="001E3C8B">
        <w:rPr>
          <w:noProof/>
        </w:rPr>
        <w:t>(83)</w:t>
      </w:r>
      <w:r w:rsidR="002C7794">
        <w:fldChar w:fldCharType="end"/>
      </w:r>
      <w:r w:rsidR="002C7794">
        <w:t>,</w:t>
      </w:r>
      <w:r w:rsidR="002C7794" w:rsidRPr="002B0FE8">
        <w:t xml:space="preserve"> </w:t>
      </w:r>
      <w:r w:rsidR="002C7794">
        <w:t xml:space="preserve">1-propionyl </w:t>
      </w:r>
      <w:r w:rsidR="002C7794" w:rsidRPr="002B0FE8">
        <w:t xml:space="preserve">N6 -ethyl-6-norlysergic acid diethylamide </w:t>
      </w:r>
      <w:r w:rsidR="002C7794">
        <w:t>(</w:t>
      </w:r>
      <w:r w:rsidR="002C7794" w:rsidRPr="002B0FE8">
        <w:t>1P-ETH-LAD</w:t>
      </w:r>
      <w:r w:rsidR="002C7794">
        <w:t>)</w:t>
      </w:r>
      <w:r w:rsidR="002C7794">
        <w:fldChar w:fldCharType="begin" w:fldLock="1"/>
      </w:r>
      <w:r w:rsidR="001E3C8B">
        <w:instrText>ADDIN CSL_CITATION {"citationItems":[{"id":"ITEM-1","itemData":{"DOI":"10.1002/dta.2196","ISSN":"19427611","PMID":"28342178","abstract":"The psychoactive properties of lysergic acid diethylamide (LSD) have fascinated scientists across disciplines and the exploration of other analogues and derivatives has been motivated by deepening the understanding of ligand-receptor interactions at the molecular level as well as by the search for new therapeutics. Several LSD congeners have appeared on the new psychoactive substances (NPS) market in the form of blotters or powders. Examples include 1-propionyl-LSD (1P–LSD), AL-LAD, and LSZ. The absence of analytical data for novel compounds is a frequent challenge encountered in clinical and toxicological investigations. Two newly emerging lysergamides, namely N6-ethyl-6-norlysergic acid diethylamide (ETH-LAD) and 1P–ETH-LAD, were characterized by gas chromatography–mass spectrometry (GC–MS), low and high mass accuracy electrospray MS(/MS), GC solid-state infrared analysis, high performance liquid chromatography diode array detection as well as nuclear magnetic resonance spectroscopy. Limited analytical data for ETH-LAD were previously available, whereas information about 1P–ETH-LAD has not previously been encountered in the scientific literature. This study extends the characterization of lysergamides distributed on the NPS market, which will help to make analytical data available to clinicians, toxicologists, and other stakeholders who are likely to encounter these substances. The analysis of a test incubation of 1P–ETH-LAD with human serum at 37°C by LC single quadrupole MS at various time points (0–6 h, once per hour and one measurement after 24 h) revealed the formation of ETH-LAD, suggesting that 1P–ETH-LAD might serve as a pro-drug. 1P–ETH-LAD was still detectable in serum after 24 h. Copyright © 2017 John Wiley &amp; Sons, Ltd.","author":[{"dropping-particle":"","family":"Brandt","given":"Simon D.","non-dropping-particle":"","parse-names":false,"suffix":""},{"dropping-particle":"V.","family":"Kavanagh","given":"Pierce","non-dropping-particle":"","parse-names":false,"suffix":""},{"dropping-particle":"","family":"Westphal","given":"Folker","non-dropping-particle":"","parse-names":false,"suffix":""},{"dropping-particle":"","family":"Elliott","given":"Simon P.","non-dropping-particle":"","parse-names":false,"suffix":""},{"dropping-particle":"","family":"Wallach","given":"Jason","non-dropping-particle":"","parse-names":false,"suffix":""},{"dropping-particle":"","family":"Stratford","given":"Alexander","non-dropping-particle":"","parse-names":false,"suffix":""},{"dropping-particle":"","family":"Nichols","given":"David E.","non-dropping-particle":"","parse-names":false,"suffix":""},{"dropping-particle":"","family":"Halberstadt","given":"Adam L.","non-dropping-particle":"","parse-names":false,"suffix":""}],"container-title":"Drug Testing and Analysis","id":"ITEM-1","issue":"10","issued":{"date-parts":[["2017","10","1"]]},"page":"1641-1649","publisher":"John Wiley and Sons Ltd","title":"Return of the lysergamides. Part III: Analytical characterization of N6-ethyl-6-norlysergic acid diethylamide (ETH-LAD) and 1-propionyl ETH-LAD (1P–ETH-LAD)","type":"article-journal","volume":"9"},"uris":["http://www.mendeley.com/documents/?uuid=dab18258-4204-3c64-9c30-9e626f33d2eb"]}],"mendeley":{"formattedCitation":"(83)","plainTextFormattedCitation":"(83)","previouslyFormattedCitation":"(83)"},"properties":{"noteIndex":0},"schema":"https://github.com/citation-style-language/schema/raw/master/csl-citation.json"}</w:instrText>
      </w:r>
      <w:r w:rsidR="002C7794">
        <w:fldChar w:fldCharType="separate"/>
      </w:r>
      <w:r w:rsidR="001E3C8B" w:rsidRPr="001E3C8B">
        <w:rPr>
          <w:noProof/>
        </w:rPr>
        <w:t>(83)</w:t>
      </w:r>
      <w:r w:rsidR="002C7794">
        <w:fldChar w:fldCharType="end"/>
      </w:r>
      <w:r w:rsidR="002C7794">
        <w:t>, l</w:t>
      </w:r>
      <w:r w:rsidR="002C7794" w:rsidRPr="002B0FE8">
        <w:t xml:space="preserve">ysergic acid </w:t>
      </w:r>
      <w:proofErr w:type="spellStart"/>
      <w:r w:rsidR="002C7794" w:rsidRPr="002B0FE8">
        <w:t>morpholide</w:t>
      </w:r>
      <w:proofErr w:type="spellEnd"/>
      <w:r w:rsidR="002C7794" w:rsidRPr="002B0FE8">
        <w:t xml:space="preserve"> </w:t>
      </w:r>
      <w:r w:rsidR="002C7794">
        <w:t>(LSM-775)</w:t>
      </w:r>
      <w:r w:rsidR="002C7794">
        <w:fldChar w:fldCharType="begin" w:fldLock="1"/>
      </w:r>
      <w:r w:rsidR="001E3C8B">
        <w:instrText>ADDIN CSL_CITATION {"citationItems":[{"id":"ITEM-1","itemData":{"DOI":"10.1002/dta.2222","ISSN":"19427611","PMID":"28585392","abstract":"Lysergic acid diethylamide (LSD) is perhaps one of the best-known psychoactive substances and many structural modifications of this prototypical lysergamide have been investigated. Several lysergamides were recently encountered as ‘research chemicals’ or new psychoactive substances (NPS). Although lysergic acid morpholide (LSM-775) appeared on the NPS market in 2013, there is disagreement in the literature regarding the potency and psychoactive properties of LSM-775 in humans. The present investigation attempts to address the gap of information that exists regarding the analytical profile and pharmacological effects of LSM-775. A powdered sample of LSM-775 was characterized by X-ray crystallography, nuclear magnetic resonance spectroscopy (NMR), gas chromatography mass spectrometry (GC–MS), high mass accuracy electrospray MS/MS, high performance liquid chromatography (HPLC) diode array detection, HPLC quadrupole MS, and GC solid-state infrared analysis. Screening for receptor affinity and functional efficacy revealed that LSM-775 acts as a nonselective agonist at 5-HT1A and 5-HT2A receptors. Head twitch studies were conducted in C57BL/6J mice to determine whether LSM-775 activates 5-HT2A receptors and produces hallucinogen-like effects in vivo. LSM-775 did not induce the head twitch response unless 5-HT1A receptors were blocked by pretreatment with the antagonist WAY-100,635 (1 mg/kg, subcutaneous). These findings suggest that 5-HT1A activation by LSM-775 masks its ability to induce the head twitch response, which is potentially consistent with reports in the literature indicating that LSM-775 is only capable of producing weak LSD-like effects in humans.","author":[{"dropping-particle":"","family":"Brandt","given":"Simon D.","non-dropping-particle":"","parse-names":false,"suffix":""},{"dropping-particle":"V.","family":"Kavanagh","given":"Pierce","non-dropping-particle":"","parse-names":false,"suffix":""},{"dropping-particle":"","family":"Twamley","given":"Brendan","non-dropping-particle":"","parse-names":false,"suffix":""},{"dropping-particle":"","family":"Westphal","given":"Folker","non-dropping-particle":"","parse-names":false,"suffix":""},{"dropping-particle":"","family":"Elliott","given":"Simon P.","non-dropping-particle":"","parse-names":false,"suffix":""},{"dropping-particle":"","family":"Wallach","given":"Jason","non-dropping-particle":"","parse-names":false,"suffix":""},{"dropping-particle":"","family":"Stratford","given":"Alexander","non-dropping-particle":"","parse-names":false,"suffix":""},{"dropping-particle":"","family":"Klein","given":"Landon M.","non-dropping-particle":"","parse-names":false,"suffix":""},{"dropping-particle":"","family":"McCorvy","given":"John D.","non-dropping-particle":"","parse-names":false,"suffix":""},{"dropping-particle":"","family":"Nichols","given":"David E.","non-dropping-particle":"","parse-names":false,"suffix":""},{"dropping-particle":"","family":"Halberstadt","given":"Adam L.","non-dropping-particle":"","parse-names":false,"suffix":""}],"container-title":"Drug Testing and Analysis","id":"ITEM-1","issue":"2","issued":{"date-parts":[["2018","2","1"]]},"page":"310-322","publisher":"John Wiley and Sons Ltd","title":"Return of the lysergamides. Part IV: Analytical and pharmacological characterization of lysergic acid morpholide (LSM-775)","type":"article-journal","volume":"10"},"uris":["http://www.mendeley.com/documents/?uuid=4a2c10e0-7ddf-384e-b5a3-4ee9ba422fd3"]}],"mendeley":{"formattedCitation":"(84)","plainTextFormattedCitation":"(84)","previouslyFormattedCitation":"(84)"},"properties":{"noteIndex":0},"schema":"https://github.com/citation-style-language/schema/raw/master/csl-citation.json"}</w:instrText>
      </w:r>
      <w:r w:rsidR="002C7794">
        <w:fldChar w:fldCharType="separate"/>
      </w:r>
      <w:r w:rsidR="001E3C8B" w:rsidRPr="001E3C8B">
        <w:rPr>
          <w:noProof/>
        </w:rPr>
        <w:t>(84)</w:t>
      </w:r>
      <w:r w:rsidR="002C7794">
        <w:fldChar w:fldCharType="end"/>
      </w:r>
      <w:r w:rsidR="002C7794">
        <w:t xml:space="preserve">, </w:t>
      </w:r>
      <w:r w:rsidR="002C7794">
        <w:rPr>
          <w:rStyle w:val="Emphasis"/>
          <w:i w:val="0"/>
          <w:iCs w:val="0"/>
          <w:color w:val="000000" w:themeColor="text1"/>
          <w:shd w:val="clear" w:color="auto" w:fill="FFFFFF"/>
        </w:rPr>
        <w:t>1-butanoyl-d-lysergic acid diethylamide (</w:t>
      </w:r>
      <w:r w:rsidR="002C7794">
        <w:t>1B-LSD)</w:t>
      </w:r>
      <w:r w:rsidR="002C7794">
        <w:fldChar w:fldCharType="begin" w:fldLock="1"/>
      </w:r>
      <w:r w:rsidR="001E3C8B">
        <w:instrText>ADDIN CSL_CITATION {"citationItems":[{"id":"ITEM-1","itemData":{"DOI":"10.1002/dta.2613","ISSN":"19427611","PMID":"31083768","abstract":"The psychedelic properties of lysergic acid diethylamide (LSD) have captured the imagination of researchers for many years and its rediscovery as an important research tool is evidenced by its clinical use within neuroscientific and therapeutic settings. At the same time, a number of novel LSD analogs have recently emerged as recreational drugs, which makes it necessary to study their analytical and pharmacological properties. One recent addition to this series of LSD analogs is 1-butanoyl-LSD (1B-LSD), a constitutional isomer of 1-propanoyl-6-ethyl-6-nor-lysergic acid diethylamide (1P-ETH-LAD), another LSD analog that was described previously. This study presents a comprehensive analytical characterization of 1B-LSD employing nuclear magnetic resonance spectroscopy (NMR), low- and high-resolution mass spectrometry platforms, gas- and liquid chromatography (GC and LC), and GC-condensed phase and attenuated total reflection infrared spectroscopy analyses. Analytical differentiation of 1B-LSD from 1P-ETH-LAD was straightforward. LSD and other serotonergic hallucinogens induce the head-twitch response (HTR) in rats and mice, which is believed to be mediated largely by 5-HT2A receptor activation. HTR studies were conducted in C57BL/6J mice to assess whether 1B-LSD has LSD-like behavioral effects. 1B-LSD produced a dose-dependent increase in HTR counts, acting with ~14% (ED50 = 976.7 nmol/kg) of the potency of LSD (ED50 = 132.8 nmol/kg). This finding suggests that the behavioral effects of 1B-LSD are reminiscent of LSD and other serotonergic hallucinogens. The possibility exists that 1B-LSD serves as a pro-drug for LSD. Further investigations are warranted to confirm whether 1B-LSD produces LSD-like psychoactive effects in humans.","author":[{"dropping-particle":"","family":"Brandt","given":"Simon D.","non-dropping-particle":"","parse-names":false,"suffix":""},{"dropping-particle":"V.","family":"Kavanagh","given":"Pierce","non-dropping-particle":"","parse-names":false,"suffix":""},{"dropping-particle":"","family":"Westphal","given":"Folker","non-dropping-particle":"","parse-names":false,"suffix":""},{"dropping-particle":"","family":"Stratford","given":"Alexander","non-dropping-particle":"","parse-names":false,"suffix":""},{"dropping-particle":"","family":"Elliott","given":"Simon P.","non-dropping-particle":"","parse-names":false,"suffix":""},{"dropping-particle":"","family":"Dowling","given":"Geraldine","non-dropping-particle":"","parse-names":false,"suffix":""},{"dropping-particle":"","family":"Wallach","given":"Jason","non-dropping-particle":"","parse-names":false,"suffix":""},{"dropping-particle":"","family":"Halberstadt","given":"Adam L.","non-dropping-particle":"","parse-names":false,"suffix":""}],"container-title":"Drug Testing and Analysis","id":"ITEM-1","issue":"8","issued":{"date-parts":[["2019","8","1"]]},"page":"1122-1133","publisher":"John Wiley and Sons Ltd","title":"Return of the lysergamides. Part V: Analytical and behavioural characterization of 1-butanoyl-d-lysergic acid diethylamide (1B-LSD)","type":"article-journal","volume":"11"},"uris":["http://www.mendeley.com/documents/?uuid=342ceee6-7e4a-3279-b7ae-13bb2a9f0811"]}],"mendeley":{"formattedCitation":"(85)","plainTextFormattedCitation":"(85)","previouslyFormattedCitation":"(85)"},"properties":{"noteIndex":0},"schema":"https://github.com/citation-style-language/schema/raw/master/csl-citation.json"}</w:instrText>
      </w:r>
      <w:r w:rsidR="002C7794">
        <w:fldChar w:fldCharType="separate"/>
      </w:r>
      <w:r w:rsidR="001E3C8B" w:rsidRPr="001E3C8B">
        <w:rPr>
          <w:noProof/>
        </w:rPr>
        <w:t>(85)</w:t>
      </w:r>
      <w:r w:rsidR="002C7794">
        <w:fldChar w:fldCharType="end"/>
      </w:r>
      <w:r w:rsidR="002C7794">
        <w:t>, 1-cyclopropanoyl-LSD</w:t>
      </w:r>
      <w:r w:rsidR="002C7794" w:rsidRPr="00A36890">
        <w:t xml:space="preserve"> (</w:t>
      </w:r>
      <w:r w:rsidR="002C7794">
        <w:t>1CP-LSD)</w:t>
      </w:r>
      <w:r w:rsidR="002C7794">
        <w:fldChar w:fldCharType="begin" w:fldLock="1"/>
      </w:r>
      <w:r w:rsidR="001E3C8B">
        <w:instrText>ADDIN CSL_CITATION {"citationItems":[{"id":"ITEM-1","itemData":{"DOI":"10.1002/dta.2789","ISSN":"19427611","PMID":"32180350","abstract":"Lysergic acid diethylamide (LSD) is a prototypical serotonergic psychedelic drug and the subject of many clinical investigations. In recent years, a range of lysergamides has emerged with the production of some being inspired by the existing scientific literature. Others, for example various 1-acyl substituted lysergamides, did not exist before their appearance as research chemicals. 1-Cylopropanoyl-LSD (1CP-LSD) has recently emerged as a new addition to the group of lysergamide-based designer drugs and is believed to be psychoactive in humans. In this investigation, 1CP-LSD was subjected to detailed analytical characterizations including various mass spectrometry (MS) platforms, gas and liquid chromatography, nuclear magnetic resonance spectroscopy, solid phase and GC condensed phase infrared spectroscopy. Analysis by GC–MS also revealed the detection of artificially induced degradation products. Incubation of 1CP-LSD with human serum led to the formation of LSD, indicating that it may act as a prodrug for LSD in vivo, similar to other 1-acyl substituted lysergamides. The analysis of blotters and pellets is also included. 1CP-LSD also induces the head-twitch response (HTR) in C57BL/6 J mice, indicating that it produces an LSD-like behavioural profile. 1CP-LSD induced the HTR with an ED50 = 430.0 nmol/kg which was comparable to 1P-LSD (ED50 = 349.6 nmol/kg) investigated previously. Clinical studies are required to determine the potency and profile of the effects produced by 1CP-LSD in humans.","author":[{"dropping-particle":"","family":"Brandt","given":"Simon D.","non-dropping-particle":"","parse-names":false,"suffix":""},{"dropping-particle":"V.","family":"Kavanagh","given":"Pierce","non-dropping-particle":"","parse-names":false,"suffix":""},{"dropping-particle":"","family":"Westphal","given":"Folker","non-dropping-particle":"","parse-names":false,"suffix":""},{"dropping-particle":"","family":"Stratford","given":"Alexander","non-dropping-particle":"","parse-names":false,"suffix":""},{"dropping-particle":"","family":"Odland","given":"Anna U.","non-dropping-particle":"","parse-names":false,"suffix":""},{"dropping-particle":"","family":"Klein","given":"Adam K.","non-dropping-particle":"","parse-names":false,"suffix":""},{"dropping-particle":"","family":"Dowling","given":"Geraldine","non-dropping-particle":"","parse-names":false,"suffix":""},{"dropping-particle":"","family":"Dempster","given":"Nicola M.","non-dropping-particle":"","parse-names":false,"suffix":""},{"dropping-particle":"","family":"Wallach","given":"Jason","non-dropping-particle":"","parse-names":false,"suffix":""},{"dropping-particle":"","family":"Passie","given":"Torsten","non-dropping-particle":"","parse-names":false,"suffix":""},{"dropping-particle":"","family":"Halberstadt","given":"Adam L.","non-dropping-particle":"","parse-names":false,"suffix":""}],"container-title":"Drug Testing and Analysis","id":"ITEM-1","issue":"6","issued":{"date-parts":[["2020","6","1"]]},"page":"812-826","publisher":"John Wiley and Sons Ltd","title":"Return of the lysergamides. Part VI: Analytical and behavioural characterization of 1-cyclopropanoyl-d-lysergic acid diethylamide (1CP-LSD)","type":"article-journal","volume":"12"},"uris":["http://www.mendeley.com/documents/?uuid=5609c300-b2d2-3a06-ad28-fad07f95a118"]}],"mendeley":{"formattedCitation":"(86)","plainTextFormattedCitation":"(86)","previouslyFormattedCitation":"(86)"},"properties":{"noteIndex":0},"schema":"https://github.com/citation-style-language/schema/raw/master/csl-citation.json"}</w:instrText>
      </w:r>
      <w:r w:rsidR="002C7794">
        <w:fldChar w:fldCharType="separate"/>
      </w:r>
      <w:r w:rsidR="001E3C8B" w:rsidRPr="001E3C8B">
        <w:rPr>
          <w:noProof/>
        </w:rPr>
        <w:t>(86)</w:t>
      </w:r>
      <w:r w:rsidR="002C7794">
        <w:fldChar w:fldCharType="end"/>
      </w:r>
      <w:r w:rsidR="002C7794">
        <w:t xml:space="preserve"> and the </w:t>
      </w:r>
      <w:r w:rsidR="002C7794" w:rsidRPr="00A36890">
        <w:t xml:space="preserve">N-ethyl-N-cyclopropyl </w:t>
      </w:r>
      <w:proofErr w:type="spellStart"/>
      <w:r w:rsidR="002C7794" w:rsidRPr="00A36890">
        <w:t>lysergamide</w:t>
      </w:r>
      <w:proofErr w:type="spellEnd"/>
      <w:r w:rsidR="002C7794" w:rsidRPr="00A36890">
        <w:t xml:space="preserve"> (ECPLA</w:t>
      </w:r>
      <w:r w:rsidR="002C7794">
        <w:t>)</w:t>
      </w:r>
      <w:r w:rsidR="002C7794">
        <w:fldChar w:fldCharType="begin" w:fldLock="1"/>
      </w:r>
      <w:r w:rsidR="001E3C8B">
        <w:instrText>ADDIN CSL_CITATION {"citationItems":[{"id":"ITEM-1","itemData":{"DOI":"10.1002/dta.2911","ISSN":"19427611","PMID":"32803833","abstract":"Recent investigations have shown that N-ethyl-N-cyclopropyl lysergamide (ECPLA) produces LSD-like behavioral effects in mice, which suggests that it may act as a hallucinogen in humans. Although the use of ECPLA as a recreational drug has been limited, key analytical data that can be used to detect ECPLA are required for future forensic and clinical investigations. ECPLA is an isomer of (2′S,4′S)-lysergic acid 2,4-dimethylazetidide (LSZ), a lysergamide that emerged as a recreational drug in 2013. Several analytical approaches were examined, including single- and tandem mass spectrometry platforms at low and high resolution, gas- and liquid chromatography (GC, LC), nuclear magnetic resonance spectroscopy (NMR), and GC condensed-phase infrared spectroscopy (GC-sIR). ECPLA and LSZ could be differentiated by NMR, GC-sIR, GC, and LC-based methods. The electron ionization mass spectra of ECPLA and LSZ contained ion clusters typically observed with related lysergamides such as m/z 150–155, m/z 177–182, m/z 191–197, m/z 205–208, and m/z 219–224. One of the significant differences in abundance related to these clusters included ions at m/z 196 and m/z 207/208. The base peaks were detected at m/z 221 in both cases followed by the retro-Diels-Alder fragment at m/z 292. Minor but noticeable differences between the two isomers could also be seen in the relative abundance of m/z 98 and m/z 41. Electrospray ionization mass spectra included lysergamide-related ions at m/z 281, 251, 223, 208, 197, 180, and 140. LSZ (but not ECPLA) showed product ions at m/z 267 and m/z 98 under the conditions used.","author":[{"dropping-particle":"","family":"Brandt","given":"Simon D.","non-dropping-particle":"","parse-names":false,"suffix":""},{"dropping-particle":"V.","family":"Kavanagh","given":"Pierce","non-dropping-particle":"","parse-names":false,"suffix":""},{"dropping-particle":"","family":"Westphal","given":"Folker","non-dropping-particle":"","parse-names":false,"suffix":""},{"dropping-particle":"","family":"Stratford","given":"Alexander","non-dropping-particle":"","parse-names":false,"suffix":""},{"dropping-particle":"","family":"Elliott","given":"Simon P.","non-dropping-particle":"","parse-names":false,"suffix":""},{"dropping-particle":"","family":"Dowling","given":"Geraldine","non-dropping-particle":"","parse-names":false,"suffix":""},{"dropping-particle":"","family":"Halberstadt","given":"Adam L.","non-dropping-particle":"","parse-names":false,"suffix":""}],"container-title":"Drug Testing and Analysis","id":"ITEM-1","issue":"10","issued":{"date-parts":[["2020","10","1"]]},"page":"1514-1521","publisher":"John Wiley and Sons Ltd","title":"Analytical profile of N-ethyl-N-cyclopropyl lysergamide (ECPLA), an isomer of lysergic acid 2,4-dimethylazetidide (LSZ)","type":"article-journal","volume":"12"},"uris":["http://www.mendeley.com/documents/?uuid=1eec34fc-141e-32ef-877b-851baea77fb7"]}],"mendeley":{"formattedCitation":"(87)","plainTextFormattedCitation":"(87)","previouslyFormattedCitation":"(87)"},"properties":{"noteIndex":0},"schema":"https://github.com/citation-style-language/schema/raw/master/csl-citation.json"}</w:instrText>
      </w:r>
      <w:r w:rsidR="002C7794">
        <w:fldChar w:fldCharType="separate"/>
      </w:r>
      <w:r w:rsidR="001E3C8B" w:rsidRPr="001E3C8B">
        <w:rPr>
          <w:noProof/>
        </w:rPr>
        <w:t>(87)</w:t>
      </w:r>
      <w:r w:rsidR="002C7794">
        <w:fldChar w:fldCharType="end"/>
      </w:r>
      <w:r w:rsidR="00DA3CD5">
        <w:t xml:space="preserve">, as seen in </w:t>
      </w:r>
      <w:r w:rsidR="009E5625">
        <w:t>F</w:t>
      </w:r>
      <w:r w:rsidR="00DA3CD5">
        <w:t xml:space="preserve">igure </w:t>
      </w:r>
      <w:r w:rsidR="009E5625">
        <w:t>2</w:t>
      </w:r>
      <w:r w:rsidR="002C7794">
        <w:t xml:space="preserve">. </w:t>
      </w:r>
      <w:r w:rsidR="00F976E5">
        <w:t>Each molecule mentioned was successfully characterised with</w:t>
      </w:r>
      <w:r w:rsidR="006508EA">
        <w:t xml:space="preserve"> the</w:t>
      </w:r>
      <w:r w:rsidR="00F976E5">
        <w:t xml:space="preserve"> use of </w:t>
      </w:r>
      <w:r w:rsidR="00F976E5" w:rsidRPr="00CE7615">
        <w:rPr>
          <w:color w:val="000000" w:themeColor="text1"/>
          <w:shd w:val="clear" w:color="auto" w:fill="FFFFFF"/>
          <w:vertAlign w:val="superscript"/>
        </w:rPr>
        <w:t>1</w:t>
      </w:r>
      <w:r w:rsidR="00F976E5" w:rsidRPr="00CE7615">
        <w:rPr>
          <w:color w:val="000000" w:themeColor="text1"/>
          <w:shd w:val="clear" w:color="auto" w:fill="FFFFFF"/>
        </w:rPr>
        <w:t>H</w:t>
      </w:r>
      <w:r w:rsidR="00F976E5">
        <w:rPr>
          <w:color w:val="000000" w:themeColor="text1"/>
          <w:shd w:val="clear" w:color="auto" w:fill="FFFFFF"/>
        </w:rPr>
        <w:t xml:space="preserve"> NMR to understand the molecular structure and chemical properties. </w:t>
      </w:r>
      <w:r w:rsidR="00840FB8">
        <w:rPr>
          <w:color w:val="000000" w:themeColor="text1"/>
          <w:shd w:val="clear" w:color="auto" w:fill="FFFFFF"/>
        </w:rPr>
        <w:t>Some</w:t>
      </w:r>
      <w:r w:rsidR="00F976E5">
        <w:rPr>
          <w:color w:val="000000" w:themeColor="text1"/>
          <w:shd w:val="clear" w:color="auto" w:fill="FFFFFF"/>
        </w:rPr>
        <w:t xml:space="preserve"> papers</w:t>
      </w:r>
      <w:r w:rsidR="008D6C66">
        <w:rPr>
          <w:color w:val="000000" w:themeColor="text1"/>
          <w:shd w:val="clear" w:color="auto" w:fill="FFFFFF"/>
        </w:rPr>
        <w:t xml:space="preserve"> </w:t>
      </w:r>
      <w:r w:rsidR="00F976E5">
        <w:fldChar w:fldCharType="begin" w:fldLock="1"/>
      </w:r>
      <w:r w:rsidR="00133B53">
        <w:instrText>ADDIN CSL_CITATION {"citationItems":[{"id":"ITEM-1","itemData":{"DOI":"10.1002/dta.2196","ISSN":"19427611","PMID":"28342178","abstract":"The psychoactive properties of lysergic acid diethylamide (LSD) have fascinated scientists across disciplines and the exploration of other analogues and derivatives has been motivated by deepening the understanding of ligand-receptor interactions at the molecular level as well as by the search for new therapeutics. Several LSD congeners have appeared on the new psychoactive substances (NPS) market in the form of blotters or powders. Examples include 1-propionyl-LSD (1P–LSD), AL-LAD, and LSZ. The absence of analytical data for novel compounds is a frequent challenge encountered in clinical and toxicological investigations. Two newly emerging lysergamides, namely N6-ethyl-6-norlysergic acid diethylamide (ETH-LAD) and 1P–ETH-LAD, were characterized by gas chromatography–mass spectrometry (GC–MS), low and high mass accuracy electrospray MS(/MS), GC solid-state infrared analysis, high performance liquid chromatography diode array detection as well as nuclear magnetic resonance spectroscopy. Limited analytical data for ETH-LAD were previously available, whereas information about 1P–ETH-LAD has not previously been encountered in the scientific literature. This study extends the characterization of lysergamides distributed on the NPS market, which will help to make analytical data available to clinicians, toxicologists, and other stakeholders who are likely to encounter these substances. The analysis of a test incubation of 1P–ETH-LAD with human serum at 37°C by LC single quadrupole MS at various time points (0–6 h, once per hour and one measurement after 24 h) revealed the formation of ETH-LAD, suggesting that 1P–ETH-LAD might serve as a pro-drug. 1P–ETH-LAD was still detectable in serum after 24 h. Copyright © 2017 John Wiley &amp; Sons, Ltd.","author":[{"dropping-particle":"","family":"Brandt","given":"Simon D.","non-dropping-particle":"","parse-names":false,"suffix":""},{"dropping-particle":"V.","family":"Kavanagh","given":"Pierce","non-dropping-particle":"","parse-names":false,"suffix":""},{"dropping-particle":"","family":"Westphal","given":"Folker","non-dropping-particle":"","parse-names":false,"suffix":""},{"dropping-particle":"","family":"Elliott","given":"Simon P.","non-dropping-particle":"","parse-names":false,"suffix":""},{"dropping-particle":"","family":"Wallach","given":"Jason","non-dropping-particle":"","parse-names":false,"suffix":""},{"dropping-particle":"","family":"Stratford","given":"Alexander","non-dropping-particle":"","parse-names":false,"suffix":""},{"dropping-particle":"","family":"Nichols","given":"David E.","non-dropping-particle":"","parse-names":false,"suffix":""},{"dropping-particle":"","family":"Halberstadt","given":"Adam L.","non-dropping-particle":"","parse-names":false,"suffix":""}],"container-title":"Drug Testing and Analysis","id":"ITEM-1","issue":"10","issued":{"date-parts":[["2017","10","1"]]},"page":"1641-1649","publisher":"John Wiley and Sons Ltd","title":"Return of the lysergamides. Part III: Analytical characterization of N6-ethyl-6-norlysergic acid diethylamide (ETH-LAD) and 1-propionyl ETH-LAD (1P–ETH-LAD)","type":"article-journal","volume":"9"},"uris":["http://www.mendeley.com/documents/?uuid=dab18258-4204-3c64-9c30-9e626f33d2eb"]},{"id":"ITEM-2","itemData":{"DOI":"10.1002/dta.2789","ISSN":"19427611","PMID":"32180350","abstract":"Lysergic acid diethylamide (LSD) is a prototypical serotonergic psychedelic drug and the subject of many clinical investigations. In recent years, a range of lysergamides has emerged with the production of some being inspired by the existing scientific literature. Others, for example various 1-acyl substituted lysergamides, did not exist before their appearance as research chemicals. 1-Cylopropanoyl-LSD (1CP-LSD) has recently emerged as a new addition to the group of lysergamide-based designer drugs and is believed to be psychoactive in humans. In this investigation, 1CP-LSD was subjected to detailed analytical characterizations including various mass spectrometry (MS) platforms, gas and liquid chromatography, nuclear magnetic resonance spectroscopy, solid phase and GC condensed phase infrared spectroscopy. Analysis by GC–MS also revealed the detection of artificially induced degradation products. Incubation of 1CP-LSD with human serum led to the formation of LSD, indicating that it may act as a prodrug for LSD in vivo, similar to other 1-acyl substituted lysergamides. The analysis of blotters and pellets is also included. 1CP-LSD also induces the head-twitch response (HTR) in C57BL/6 J mice, indicating that it produces an LSD-like behavioural profile. 1CP-LSD induced the HTR with an ED50 = 430.0 nmol/kg which was comparable to 1P-LSD (ED50 = 349.6 nmol/kg) investigated previously. Clinical studies are required to determine the potency and profile of the effects produced by 1CP-LSD in humans.","author":[{"dropping-particle":"","family":"Brandt","given":"Simon D.","non-dropping-particle":"","parse-names":false,"suffix":""},{"dropping-particle":"V.","family":"Kavanagh","given":"Pierce","non-dropping-particle":"","parse-names":false,"suffix":""},{"dropping-particle":"","family":"Westphal","given":"Folker","non-dropping-particle":"","parse-names":false,"suffix":""},{"dropping-particle":"","family":"Stratford","given":"Alexander","non-dropping-particle":"","parse-names":false,"suffix":""},{"dropping-particle":"","family":"Odland","given":"Anna U.","non-dropping-particle":"","parse-names":false,"suffix":""},{"dropping-particle":"","family":"Klein","given":"Adam K.","non-dropping-particle":"","parse-names":false,"suffix":""},{"dropping-particle":"","family":"Dowling","given":"Geraldine","non-dropping-particle":"","parse-names":false,"suffix":""},{"dropping-particle":"","family":"Dempster","given":"Nicola M.","non-dropping-particle":"","parse-names":false,"suffix":""},{"dropping-particle":"","family":"Wallach","given":"Jason","non-dropping-particle":"","parse-names":false,"suffix":""},{"dropping-particle":"","family":"Passie","given":"Torsten","non-dropping-particle":"","parse-names":false,"suffix":""},{"dropping-particle":"","family":"Halberstadt","given":"Adam L.","non-dropping-particle":"","parse-names":false,"suffix":""}],"container-title":"Drug Testing and Analysis","id":"ITEM-2","issue":"6","issued":{"date-parts":[["2020","6","1"]]},"page":"812-826","publisher":"John Wiley and Sons Ltd","title":"Return of the lysergamides. Part VI: Analytical and behavioural characterization of 1-cyclopropanoyl-d-lysergic acid diethylamide (1CP-LSD)","type":"article-journal","volume":"12"},"uris":["http://www.mendeley.com/documents/?uuid=5609c300-b2d2-3a06-ad28-fad07f95a118"]}],"mendeley":{"formattedCitation":"(83,86)","manualFormatting":"(81,83,85,86)","plainTextFormattedCitation":"(83,86)","previouslyFormattedCitation":"(83,86)"},"properties":{"noteIndex":0},"schema":"https://github.com/citation-style-language/schema/raw/master/csl-citation.json"}</w:instrText>
      </w:r>
      <w:r w:rsidR="00F976E5">
        <w:fldChar w:fldCharType="separate"/>
      </w:r>
      <w:r w:rsidR="001E3C8B" w:rsidRPr="001E3C8B">
        <w:rPr>
          <w:noProof/>
        </w:rPr>
        <w:t>(</w:t>
      </w:r>
      <w:r w:rsidR="00325AB7">
        <w:rPr>
          <w:noProof/>
        </w:rPr>
        <w:t>81,</w:t>
      </w:r>
      <w:r w:rsidR="001E3C8B" w:rsidRPr="001E3C8B">
        <w:rPr>
          <w:noProof/>
        </w:rPr>
        <w:t>83,</w:t>
      </w:r>
      <w:r w:rsidR="00C7607E">
        <w:rPr>
          <w:noProof/>
        </w:rPr>
        <w:t>85,</w:t>
      </w:r>
      <w:r w:rsidR="001E3C8B" w:rsidRPr="001E3C8B">
        <w:rPr>
          <w:noProof/>
        </w:rPr>
        <w:t>86)</w:t>
      </w:r>
      <w:r w:rsidR="00F976E5">
        <w:fldChar w:fldCharType="end"/>
      </w:r>
      <w:r w:rsidR="00F976E5">
        <w:rPr>
          <w:color w:val="000000" w:themeColor="text1"/>
          <w:shd w:val="clear" w:color="auto" w:fill="FFFFFF"/>
        </w:rPr>
        <w:t xml:space="preserve"> </w:t>
      </w:r>
      <w:r w:rsidR="002C7794">
        <w:t>included the incubation of</w:t>
      </w:r>
      <w:r w:rsidR="000F2E8E">
        <w:t xml:space="preserve"> the</w:t>
      </w:r>
      <w:r w:rsidR="002C7794">
        <w:t xml:space="preserve"> LSD analogue with human serum for 24 hours to observe any molecular changes in this environment. They found that</w:t>
      </w:r>
      <w:r w:rsidR="00C7607E">
        <w:t xml:space="preserve"> 1</w:t>
      </w:r>
      <w:r w:rsidR="00BD2BD0">
        <w:t xml:space="preserve">B-LSD, </w:t>
      </w:r>
      <w:r w:rsidR="00E41265">
        <w:t>1CP-</w:t>
      </w:r>
      <w:proofErr w:type="gramStart"/>
      <w:r w:rsidR="00E41265">
        <w:t>LSD</w:t>
      </w:r>
      <w:proofErr w:type="gramEnd"/>
      <w:r w:rsidR="00E41265">
        <w:t xml:space="preserve"> and 1P-LSD formed LSD and that</w:t>
      </w:r>
      <w:r w:rsidR="002C7794" w:rsidRPr="002B0FE8">
        <w:t xml:space="preserve"> 1P-ETH-LAD form</w:t>
      </w:r>
      <w:r w:rsidR="002C7794">
        <w:t>ed</w:t>
      </w:r>
      <w:r w:rsidR="002C7794" w:rsidRPr="002B0FE8">
        <w:t xml:space="preserve"> ETH-LAD</w:t>
      </w:r>
      <w:r w:rsidR="000F2E8E">
        <w:t>;</w:t>
      </w:r>
      <w:r w:rsidR="002C7794" w:rsidRPr="002B0FE8">
        <w:t xml:space="preserve"> </w:t>
      </w:r>
      <w:r w:rsidR="002C7794">
        <w:t xml:space="preserve">this suggests that </w:t>
      </w:r>
      <w:r w:rsidR="001033CF">
        <w:t>several LSD derivatives potentially</w:t>
      </w:r>
      <w:r w:rsidR="002C7794">
        <w:t xml:space="preserve"> serve as pro-drugs. </w:t>
      </w:r>
      <w:r w:rsidR="00E07A91">
        <w:t xml:space="preserve">Brandt </w:t>
      </w:r>
      <w:r w:rsidR="00E07A91" w:rsidRPr="00E832EC">
        <w:rPr>
          <w:i/>
          <w:iCs/>
        </w:rPr>
        <w:t>et a</w:t>
      </w:r>
      <w:r w:rsidR="00E07A91">
        <w:rPr>
          <w:i/>
          <w:iCs/>
        </w:rPr>
        <w:t>l.</w:t>
      </w:r>
      <w:r w:rsidR="00E07A91" w:rsidRPr="00E07A91">
        <w:t xml:space="preserve"> </w:t>
      </w:r>
      <w:r w:rsidR="00E07A91">
        <w:t xml:space="preserve">also wanted to assess the behavioural characterisation of LSD </w:t>
      </w:r>
      <w:r w:rsidR="002C7794">
        <w:t>analogues</w:t>
      </w:r>
      <w:r w:rsidR="00E07A91">
        <w:t xml:space="preserve"> by injecting the substances into </w:t>
      </w:r>
      <w:r w:rsidR="00E07A91" w:rsidRPr="00854A74">
        <w:t xml:space="preserve">male C57BL/6 J mice </w:t>
      </w:r>
      <w:r w:rsidR="00E07A91">
        <w:t xml:space="preserve">and measuring their head twitch response (HTR) </w:t>
      </w:r>
      <w:r w:rsidR="00E07A91" w:rsidRPr="00854A74">
        <w:t>for 30 min</w:t>
      </w:r>
      <w:r w:rsidR="00E07A91">
        <w:t>utes</w:t>
      </w:r>
      <w:r w:rsidR="00E07A91" w:rsidRPr="00854A74">
        <w:t xml:space="preserve"> using magnetometer coil recordings</w:t>
      </w:r>
      <w:r w:rsidR="00E07A91">
        <w:t>.</w:t>
      </w:r>
      <w:r w:rsidR="002C7794">
        <w:t xml:space="preserve"> The control group of mice receiv</w:t>
      </w:r>
      <w:r w:rsidR="00C267F0">
        <w:t>ed</w:t>
      </w:r>
      <w:r w:rsidR="002C7794">
        <w:t xml:space="preserve"> saline injections instead.</w:t>
      </w:r>
      <w:r w:rsidR="00E07A91" w:rsidRPr="00E07A91">
        <w:t xml:space="preserve"> </w:t>
      </w:r>
      <w:r w:rsidR="00E07A91">
        <w:t>LSD is known to induce HTR which is associated with 5-</w:t>
      </w:r>
      <w:r w:rsidR="00E07A91" w:rsidRPr="00144F61">
        <w:t>HT</w:t>
      </w:r>
      <w:r w:rsidR="00E07A91" w:rsidRPr="005F78B7">
        <w:rPr>
          <w:vertAlign w:val="subscript"/>
        </w:rPr>
        <w:t>2A</w:t>
      </w:r>
      <w:r w:rsidR="00E07A91">
        <w:t xml:space="preserve"> receptor activation, and so HTR is an indicator of a</w:t>
      </w:r>
      <w:r w:rsidR="002C7794">
        <w:t>n</w:t>
      </w:r>
      <w:r w:rsidR="00E07A91">
        <w:t xml:space="preserve"> LSD-like behavioural effect. </w:t>
      </w:r>
      <w:r w:rsidR="002C7794">
        <w:t xml:space="preserve">Results demonstrated that </w:t>
      </w:r>
      <w:r w:rsidR="00E07A91">
        <w:t>1P-LSD</w:t>
      </w:r>
      <w:r w:rsidR="002C7794">
        <w:t>,</w:t>
      </w:r>
      <w:r w:rsidR="00E07A91">
        <w:t xml:space="preserve"> </w:t>
      </w:r>
      <w:r w:rsidRPr="00854A74">
        <w:t>produced a dose-dependent increase in HTR counts</w:t>
      </w:r>
      <w:r w:rsidR="002C7794">
        <w:t xml:space="preserve"> and that its potency was significantly less than</w:t>
      </w:r>
      <w:r w:rsidRPr="00854A74">
        <w:t xml:space="preserve"> LSD </w:t>
      </w:r>
      <w:r w:rsidR="00E07A91">
        <w:t xml:space="preserve">potency. Additionally, when pre-treatment of </w:t>
      </w:r>
      <w:r w:rsidR="002C7794">
        <w:t xml:space="preserve">the </w:t>
      </w:r>
      <w:r w:rsidR="00E07A91" w:rsidRPr="00854A74">
        <w:t>selective 5-HT</w:t>
      </w:r>
      <w:r w:rsidR="00E07A91" w:rsidRPr="002C7794">
        <w:rPr>
          <w:vertAlign w:val="subscript"/>
        </w:rPr>
        <w:t>2A</w:t>
      </w:r>
      <w:r w:rsidR="00E07A91" w:rsidRPr="00854A74">
        <w:t xml:space="preserve"> receptor antagonist M100907 </w:t>
      </w:r>
      <w:r w:rsidR="00E07A91">
        <w:t>was used before</w:t>
      </w:r>
      <w:r w:rsidR="00E07A91" w:rsidRPr="00854A74">
        <w:t xml:space="preserve"> </w:t>
      </w:r>
      <w:r w:rsidRPr="00854A74">
        <w:t>1P-LSD administration</w:t>
      </w:r>
      <w:r w:rsidR="00E07A91">
        <w:t xml:space="preserve"> there was no HTR. This </w:t>
      </w:r>
      <w:r w:rsidRPr="00854A74">
        <w:t>indicate</w:t>
      </w:r>
      <w:r w:rsidR="00E07A91">
        <w:t>s</w:t>
      </w:r>
      <w:r w:rsidRPr="00854A74">
        <w:t xml:space="preserve"> that 1P-LSD produces LSD-like effect in mice</w:t>
      </w:r>
      <w:r w:rsidR="00E07A91">
        <w:t xml:space="preserve"> mediated by 5-</w:t>
      </w:r>
      <w:r w:rsidR="00E07A91" w:rsidRPr="00144F61">
        <w:t>HT</w:t>
      </w:r>
      <w:r w:rsidR="00E07A91" w:rsidRPr="005F78B7">
        <w:rPr>
          <w:vertAlign w:val="subscript"/>
        </w:rPr>
        <w:t>2A</w:t>
      </w:r>
      <w:r w:rsidR="00E07A91">
        <w:t xml:space="preserve"> receptor activation</w:t>
      </w:r>
      <w:r>
        <w:t>.</w:t>
      </w:r>
      <w:r w:rsidR="00E07A91">
        <w:t xml:space="preserve"> </w:t>
      </w:r>
      <w:r w:rsidR="00E07A91" w:rsidRPr="00673993">
        <w:t xml:space="preserve">AL-LAD and LSZ </w:t>
      </w:r>
      <w:r w:rsidR="002C7794">
        <w:t xml:space="preserve">also </w:t>
      </w:r>
      <w:r w:rsidR="00E07A91" w:rsidRPr="00673993">
        <w:t xml:space="preserve">produced dose-dependent </w:t>
      </w:r>
      <w:r w:rsidR="002C7794">
        <w:t>increase of HTR counts where</w:t>
      </w:r>
      <w:r w:rsidR="00E07A91" w:rsidRPr="00673993">
        <w:t xml:space="preserve"> LSZ was equipotent to LSD in mice</w:t>
      </w:r>
      <w:r w:rsidR="002C7794">
        <w:t xml:space="preserve"> and</w:t>
      </w:r>
      <w:r w:rsidR="00E07A91" w:rsidRPr="00673993">
        <w:t xml:space="preserve"> AL-LAD was slightly less potent</w:t>
      </w:r>
      <w:r w:rsidR="002C7794">
        <w:t xml:space="preserve">. Additionally, </w:t>
      </w:r>
      <w:r w:rsidR="002C7794" w:rsidRPr="007810E6">
        <w:t xml:space="preserve">1B-LSD </w:t>
      </w:r>
      <w:r w:rsidR="002C7794">
        <w:t xml:space="preserve">and 1-CP-LSD were also found to </w:t>
      </w:r>
      <w:r w:rsidR="002C7794" w:rsidRPr="007810E6">
        <w:t>produce</w:t>
      </w:r>
      <w:r w:rsidR="002C7794">
        <w:t xml:space="preserve"> an </w:t>
      </w:r>
      <w:r w:rsidR="002C7794" w:rsidRPr="007810E6">
        <w:t>increase in HTR counts</w:t>
      </w:r>
      <w:r w:rsidR="002C7794">
        <w:t xml:space="preserve">. The only </w:t>
      </w:r>
      <w:r w:rsidR="002C7794">
        <w:lastRenderedPageBreak/>
        <w:t xml:space="preserve">molecule that did </w:t>
      </w:r>
      <w:r w:rsidR="002C7794" w:rsidRPr="002B0FE8">
        <w:t xml:space="preserve">not induce </w:t>
      </w:r>
      <w:r w:rsidR="002C7794">
        <w:t xml:space="preserve">HTR was </w:t>
      </w:r>
      <w:r w:rsidR="00E07A91" w:rsidRPr="002B0FE8">
        <w:t>LSM-775</w:t>
      </w:r>
      <w:r w:rsidR="002C7794">
        <w:t xml:space="preserve">. It was only through the </w:t>
      </w:r>
      <w:r w:rsidR="002C7794" w:rsidRPr="002B0FE8">
        <w:t>pre</w:t>
      </w:r>
      <w:r w:rsidR="002C7794">
        <w:t>-</w:t>
      </w:r>
      <w:r w:rsidR="002C7794" w:rsidRPr="002B0FE8">
        <w:t xml:space="preserve">treatment </w:t>
      </w:r>
      <w:r w:rsidR="002C7794">
        <w:t>of</w:t>
      </w:r>
      <w:r w:rsidR="002C7794" w:rsidRPr="002B0FE8">
        <w:t xml:space="preserve"> antagonist WAY-100,635 </w:t>
      </w:r>
      <w:r w:rsidR="002C7794">
        <w:t>that HTR was present in the mice that were administered LSM-775.</w:t>
      </w:r>
      <w:r w:rsidR="002C7794" w:rsidRPr="002C7794">
        <w:t xml:space="preserve"> </w:t>
      </w:r>
      <w:r w:rsidR="002C7794">
        <w:t xml:space="preserve"> This antagonist is known to block </w:t>
      </w:r>
      <w:r w:rsidR="002C7794" w:rsidRPr="002B0FE8">
        <w:t>5-HT</w:t>
      </w:r>
      <w:r w:rsidR="002C7794" w:rsidRPr="00E07A91">
        <w:rPr>
          <w:vertAlign w:val="subscript"/>
        </w:rPr>
        <w:t>1A</w:t>
      </w:r>
      <w:r w:rsidR="002C7794" w:rsidRPr="002B0FE8">
        <w:t> receptors</w:t>
      </w:r>
      <w:r w:rsidR="002C7794">
        <w:t xml:space="preserve"> and so it suggests</w:t>
      </w:r>
      <w:r w:rsidR="00E07A91" w:rsidRPr="002B0FE8">
        <w:t xml:space="preserve"> that</w:t>
      </w:r>
      <w:r w:rsidR="002C7794">
        <w:t xml:space="preserve"> the LSM-775 activation of</w:t>
      </w:r>
      <w:r w:rsidR="00E07A91" w:rsidRPr="002B0FE8">
        <w:t xml:space="preserve"> 5-HT</w:t>
      </w:r>
      <w:r w:rsidR="00E07A91" w:rsidRPr="00E07A91">
        <w:rPr>
          <w:vertAlign w:val="subscript"/>
        </w:rPr>
        <w:t>1A</w:t>
      </w:r>
      <w:r w:rsidR="00E07A91" w:rsidRPr="002B0FE8">
        <w:t> </w:t>
      </w:r>
      <w:r w:rsidR="002C7794">
        <w:t xml:space="preserve">receptors is interfering with </w:t>
      </w:r>
      <w:r w:rsidR="00E07A91">
        <w:t>HTR</w:t>
      </w:r>
      <w:r w:rsidR="002C7794">
        <w:t xml:space="preserve">.  This aligns with the </w:t>
      </w:r>
      <w:r w:rsidR="00E07A91" w:rsidRPr="002B0FE8">
        <w:t>reports that LSM-775 produc</w:t>
      </w:r>
      <w:r w:rsidR="002C7794">
        <w:t>es a</w:t>
      </w:r>
      <w:r w:rsidR="00E07A91" w:rsidRPr="002B0FE8">
        <w:t xml:space="preserve"> weak LSD-like effects in humans.</w:t>
      </w:r>
      <w:r w:rsidR="00E07A91">
        <w:t xml:space="preserve"> </w:t>
      </w:r>
      <w:r w:rsidR="002C7794">
        <w:t xml:space="preserve">Brandt </w:t>
      </w:r>
      <w:r w:rsidR="002C7794" w:rsidRPr="00E832EC">
        <w:rPr>
          <w:i/>
          <w:iCs/>
        </w:rPr>
        <w:t>et a</w:t>
      </w:r>
      <w:r w:rsidR="002C7794">
        <w:rPr>
          <w:i/>
          <w:iCs/>
        </w:rPr>
        <w:t>l.</w:t>
      </w:r>
      <w:r w:rsidR="002C7794" w:rsidRPr="00E07A91">
        <w:t xml:space="preserve"> </w:t>
      </w:r>
      <w:r w:rsidR="002C7794">
        <w:t xml:space="preserve">did not include any </w:t>
      </w:r>
      <w:proofErr w:type="spellStart"/>
      <w:r w:rsidR="002C7794">
        <w:t>metabonomics</w:t>
      </w:r>
      <w:proofErr w:type="spellEnd"/>
      <w:r w:rsidR="002C7794">
        <w:t xml:space="preserve"> approach to analyse biofluids in their research</w:t>
      </w:r>
      <w:r w:rsidR="00317861">
        <w:t xml:space="preserve"> overall</w:t>
      </w:r>
      <w:r w:rsidR="002C7794">
        <w:t xml:space="preserve"> and so </w:t>
      </w:r>
      <w:proofErr w:type="gramStart"/>
      <w:r w:rsidR="002C7794">
        <w:t xml:space="preserve">it </w:t>
      </w:r>
      <w:r w:rsidR="00C267F0">
        <w:t xml:space="preserve">is </w:t>
      </w:r>
      <w:r w:rsidR="002C7794">
        <w:t xml:space="preserve">clear that </w:t>
      </w:r>
      <w:r w:rsidR="00E07A91">
        <w:t>NMR</w:t>
      </w:r>
      <w:proofErr w:type="gramEnd"/>
      <w:r w:rsidR="00E07A91">
        <w:t xml:space="preserve"> spectroscopy </w:t>
      </w:r>
      <w:r w:rsidR="002C7794">
        <w:t xml:space="preserve">was only used to </w:t>
      </w:r>
      <w:r w:rsidR="00E07A91">
        <w:t xml:space="preserve">produce an analytical profile for the LSD </w:t>
      </w:r>
      <w:r w:rsidR="002C7794">
        <w:t>analogues</w:t>
      </w:r>
      <w:r w:rsidR="006902F3">
        <w:t>.</w:t>
      </w:r>
    </w:p>
    <w:p w14:paraId="5E7572C7" w14:textId="77777777" w:rsidR="00367F32" w:rsidRDefault="00367F32" w:rsidP="00E50706"/>
    <w:p w14:paraId="340E64D5" w14:textId="52DBD074" w:rsidR="005C0654" w:rsidRDefault="002C7794" w:rsidP="00E50706">
      <w:r w:rsidRPr="00CE7615">
        <w:rPr>
          <w:color w:val="000000" w:themeColor="text1"/>
          <w:shd w:val="clear" w:color="auto" w:fill="FFFFFF"/>
          <w:vertAlign w:val="superscript"/>
        </w:rPr>
        <w:t>1</w:t>
      </w:r>
      <w:r w:rsidRPr="00CE7615">
        <w:rPr>
          <w:color w:val="000000" w:themeColor="text1"/>
          <w:shd w:val="clear" w:color="auto" w:fill="FFFFFF"/>
        </w:rPr>
        <w:t>H</w:t>
      </w:r>
      <w:r>
        <w:rPr>
          <w:color w:val="000000" w:themeColor="text1"/>
          <w:shd w:val="clear" w:color="auto" w:fill="FFFFFF"/>
        </w:rPr>
        <w:t xml:space="preserve"> NMR</w:t>
      </w:r>
      <w:r>
        <w:t xml:space="preserve"> spectroscopy was used </w:t>
      </w:r>
      <w:r w:rsidR="00A6181D">
        <w:t xml:space="preserve">in a study by </w:t>
      </w:r>
      <w:r w:rsidR="00F976E5">
        <w:t xml:space="preserve">Buchanan </w:t>
      </w:r>
      <w:r w:rsidR="00F976E5" w:rsidRPr="00BE799F">
        <w:rPr>
          <w:i/>
          <w:iCs/>
        </w:rPr>
        <w:t>et al</w:t>
      </w:r>
      <w:r w:rsidR="00F976E5">
        <w:t>.</w:t>
      </w:r>
      <w:r w:rsidR="001E3C8B">
        <w:fldChar w:fldCharType="begin" w:fldLock="1"/>
      </w:r>
      <w:r w:rsidR="001E3C8B">
        <w:instrText>ADDIN CSL_CITATION {"citationItems":[{"id":"ITEM-1","itemData":{"DOI":"10.1002/mrc.1959","ISSN":"07491581","PMID":"17310474","abstract":"A new chlorotryptamine alkaloid, N-chloromethyl-N,N-dimethyltryptamine, was isolated from a methanol extract of the Chinese shrub Acacia confusa Merr., together with its known hallucinogenic analogues, N-methyltryptamine, N,N-dimethyltryptamine and N,N-dimethyltryptamine-N-oxide. The new compound was an artefact of the isolation conditions. The complete 1H and 13C NMR assignments for these compounds were carried out using 1H, 13C, DEPT, gCOSY, gHSQC and gHMBC NMR experiments. Copyright © 2007 John Wiley &amp; Sons, Ltd.","author":[{"dropping-particle":"","family":"Buchanan","given":"Malcolm S.","non-dropping-particle":"","parse-names":false,"suffix":""},{"dropping-particle":"","family":"Carroll","given":"Anthony R.","non-dropping-particle":"","parse-names":false,"suffix":""},{"dropping-particle":"","family":"Pass","given":"David","non-dropping-particle":"","parse-names":false,"suffix":""},{"dropping-particle":"","family":"Quinn","given":"Ronald J.","non-dropping-particle":"","parse-names":false,"suffix":""}],"container-title":"Magnetic Resonance in Chemistry","id":"ITEM-1","issue":"4","issued":{"date-parts":[["2007","4"]]},"page":"359-361","publisher":"Magn Reson Chem","title":"NMR spectral assignments of a new chlorotryptamine alkaloid and its analogues from Acacia confusa","type":"article-journal","volume":"45"},"uris":["http://www.mendeley.com/documents/?uuid=6a5f155a-8170-3ac9-8859-70d3da8a8614"]}],"mendeley":{"formattedCitation":"(88)","plainTextFormattedCitation":"(88)","previouslyFormattedCitation":"(88)"},"properties":{"noteIndex":0},"schema":"https://github.com/citation-style-language/schema/raw/master/csl-citation.json"}</w:instrText>
      </w:r>
      <w:r w:rsidR="001E3C8B">
        <w:fldChar w:fldCharType="separate"/>
      </w:r>
      <w:r w:rsidR="001E3C8B" w:rsidRPr="001E3C8B">
        <w:rPr>
          <w:noProof/>
        </w:rPr>
        <w:t>(88)</w:t>
      </w:r>
      <w:r w:rsidR="001E3C8B">
        <w:fldChar w:fldCharType="end"/>
      </w:r>
      <w:r w:rsidR="00F976E5">
        <w:t xml:space="preserve"> (2007) </w:t>
      </w:r>
      <w:r w:rsidR="00A6181D">
        <w:t xml:space="preserve">that </w:t>
      </w:r>
      <w:r w:rsidR="00F976E5">
        <w:t xml:space="preserve">investigated the Chinese shrub </w:t>
      </w:r>
      <w:r w:rsidR="00F976E5" w:rsidRPr="00BE799F">
        <w:rPr>
          <w:i/>
          <w:iCs/>
        </w:rPr>
        <w:t xml:space="preserve">Acacia </w:t>
      </w:r>
      <w:proofErr w:type="spellStart"/>
      <w:r w:rsidR="00F976E5">
        <w:rPr>
          <w:i/>
          <w:iCs/>
        </w:rPr>
        <w:t>confusa</w:t>
      </w:r>
      <w:proofErr w:type="spellEnd"/>
      <w:r w:rsidR="006902F3">
        <w:t xml:space="preserve">. </w:t>
      </w:r>
      <w:r w:rsidR="005C0654">
        <w:t xml:space="preserve">Similarly, Alias </w:t>
      </w:r>
      <w:r w:rsidR="005C0654" w:rsidRPr="006902F3">
        <w:rPr>
          <w:i/>
          <w:iCs/>
        </w:rPr>
        <w:t>et al</w:t>
      </w:r>
      <w:r w:rsidR="005C0654">
        <w:t>.</w:t>
      </w:r>
      <w:r w:rsidR="001E3C8B">
        <w:fldChar w:fldCharType="begin" w:fldLock="1"/>
      </w:r>
      <w:r w:rsidR="001E3C8B">
        <w:instrText>ADDIN CSL_CITATION {"citationItems":[{"id":"ITEM-1","itemData":{"DOI":"10.3390/molecules15074583","ISSN":"14203049","PMID":"20657378","abstract":"A phytochemical study of the bark of Fissistigma latifolium (Annonaceae) yielded a new aporphine alkaloid, (-)-N-methylguattescidine (1), and eight known alkaloids: liriodenine (2), oxoxylopine (3), (-)-asimilobine (4), dimethyltryptamine (5), (-)- remerine (6), (-)-anonaine (7), columbamine (8) and lysicamine (9). The compounds were isolated using various chromatographic methods and structural elucidation was accomplished by means of spectroscopic methods, notably 1D-NMR ( 1H, 13C, DEPT), 2DNMR (COSY, HMQC, HMBC), UV, IR and MS. © 2010 by the authors; licensee MDPI, Basel, Switzerland.","author":[{"dropping-particle":"","family":"Alias","given":"Asmah","non-dropping-particle":"","parse-names":false,"suffix":""},{"dropping-particle":"","family":"Hazni","given":"Hazrina","non-dropping-particle":"","parse-names":false,"suffix":""},{"dropping-particle":"","family":"Jaafar","given":"Faridahanim Mohd","non-dropping-particle":"","parse-names":false,"suffix":""},{"dropping-particle":"","family":"Awang","given":"Khalijah","non-dropping-particle":"","parse-names":false,"suffix":""},{"dropping-particle":"","family":"Ismail","given":"Nor Hadiani","non-dropping-particle":"","parse-names":false,"suffix":""}],"container-title":"Molecules","id":"ITEM-1","issue":"7","issued":{"date-parts":[["2010","7"]]},"page":"4583-4588","publisher":"Molecules","title":"Alkaloids from fissistigma latifolium (Dunal) merr.","type":"article-journal","volume":"15"},"uris":["http://www.mendeley.com/documents/?uuid=e9c10f7f-2285-37d1-85f3-8728c062e116"]}],"mendeley":{"formattedCitation":"(89)","plainTextFormattedCitation":"(89)","previouslyFormattedCitation":"(89)"},"properties":{"noteIndex":0},"schema":"https://github.com/citation-style-language/schema/raw/master/csl-citation.json"}</w:instrText>
      </w:r>
      <w:r w:rsidR="001E3C8B">
        <w:fldChar w:fldCharType="separate"/>
      </w:r>
      <w:r w:rsidR="001E3C8B" w:rsidRPr="001E3C8B">
        <w:rPr>
          <w:noProof/>
        </w:rPr>
        <w:t>(89)</w:t>
      </w:r>
      <w:r w:rsidR="001E3C8B">
        <w:fldChar w:fldCharType="end"/>
      </w:r>
      <w:r w:rsidR="005C0654">
        <w:t xml:space="preserve"> (2010) investigated the bark of the </w:t>
      </w:r>
      <w:proofErr w:type="spellStart"/>
      <w:r w:rsidR="005C0654" w:rsidRPr="00034E4E">
        <w:rPr>
          <w:i/>
          <w:iCs/>
        </w:rPr>
        <w:t>Fissistigma</w:t>
      </w:r>
      <w:proofErr w:type="spellEnd"/>
      <w:r w:rsidR="005C0654" w:rsidRPr="00034E4E">
        <w:rPr>
          <w:i/>
          <w:iCs/>
        </w:rPr>
        <w:t xml:space="preserve"> </w:t>
      </w:r>
      <w:proofErr w:type="spellStart"/>
      <w:r w:rsidR="005C0654" w:rsidRPr="00034E4E">
        <w:rPr>
          <w:i/>
          <w:iCs/>
        </w:rPr>
        <w:t>latifolium</w:t>
      </w:r>
      <w:proofErr w:type="spellEnd"/>
      <w:r w:rsidR="005C0654">
        <w:t xml:space="preserve"> plant. </w:t>
      </w:r>
      <w:r w:rsidR="006902F3">
        <w:t xml:space="preserve">Once the molecules were isolated, </w:t>
      </w:r>
      <w:r w:rsidR="005C0654">
        <w:t>they underwent</w:t>
      </w:r>
      <w:r w:rsidR="006902F3">
        <w:t xml:space="preserve"> structural elucidation using </w:t>
      </w:r>
      <w:r w:rsidR="006902F3" w:rsidRPr="00CE7615">
        <w:rPr>
          <w:color w:val="000000" w:themeColor="text1"/>
          <w:shd w:val="clear" w:color="auto" w:fill="FFFFFF"/>
          <w:vertAlign w:val="superscript"/>
        </w:rPr>
        <w:t>1</w:t>
      </w:r>
      <w:r w:rsidR="006902F3" w:rsidRPr="00CE7615">
        <w:rPr>
          <w:color w:val="000000" w:themeColor="text1"/>
          <w:shd w:val="clear" w:color="auto" w:fill="FFFFFF"/>
        </w:rPr>
        <w:t>H</w:t>
      </w:r>
      <w:r w:rsidR="006902F3">
        <w:rPr>
          <w:color w:val="000000" w:themeColor="text1"/>
          <w:shd w:val="clear" w:color="auto" w:fill="FFFFFF"/>
        </w:rPr>
        <w:t xml:space="preserve"> NMR</w:t>
      </w:r>
      <w:r w:rsidR="006902F3">
        <w:t xml:space="preserve"> accompanied with additional spectroscopic tools like </w:t>
      </w:r>
      <w:r w:rsidR="006902F3" w:rsidRPr="006902F3">
        <w:rPr>
          <w:rStyle w:val="Emphasis"/>
          <w:i w:val="0"/>
          <w:iCs w:val="0"/>
          <w:color w:val="000000" w:themeColor="text1"/>
          <w:shd w:val="clear" w:color="auto" w:fill="FFFFFF"/>
          <w:vertAlign w:val="superscript"/>
        </w:rPr>
        <w:t>13</w:t>
      </w:r>
      <w:r w:rsidR="006902F3" w:rsidRPr="006902F3">
        <w:rPr>
          <w:rStyle w:val="Emphasis"/>
          <w:i w:val="0"/>
          <w:iCs w:val="0"/>
          <w:color w:val="000000" w:themeColor="text1"/>
          <w:shd w:val="clear" w:color="auto" w:fill="FFFFFF"/>
        </w:rPr>
        <w:t>C NMR</w:t>
      </w:r>
      <w:r w:rsidR="006902F3">
        <w:rPr>
          <w:rStyle w:val="Emphasis"/>
          <w:i w:val="0"/>
          <w:iCs w:val="0"/>
          <w:color w:val="000000" w:themeColor="text1"/>
          <w:shd w:val="clear" w:color="auto" w:fill="FFFFFF"/>
        </w:rPr>
        <w:t xml:space="preserve">, </w:t>
      </w:r>
      <w:proofErr w:type="gramStart"/>
      <w:r w:rsidR="006902F3">
        <w:t>MS</w:t>
      </w:r>
      <w:proofErr w:type="gramEnd"/>
      <w:r w:rsidR="006902F3">
        <w:t xml:space="preserve"> and infrared (IR) spectroscopy</w:t>
      </w:r>
      <w:r w:rsidR="006902F3">
        <w:rPr>
          <w:rStyle w:val="Emphasis"/>
          <w:i w:val="0"/>
          <w:iCs w:val="0"/>
          <w:color w:val="000000" w:themeColor="text1"/>
          <w:shd w:val="clear" w:color="auto" w:fill="FFFFFF"/>
        </w:rPr>
        <w:t xml:space="preserve">. </w:t>
      </w:r>
      <w:proofErr w:type="gramStart"/>
      <w:r w:rsidR="00F976E5">
        <w:t>Both of the plant</w:t>
      </w:r>
      <w:proofErr w:type="gramEnd"/>
      <w:r w:rsidR="00F976E5">
        <w:t xml:space="preserve"> materials contained </w:t>
      </w:r>
      <w:r w:rsidR="006902F3">
        <w:t xml:space="preserve">multiple molecules but interestingly in both of these plants the only molecule that was identified of relevance to this review was DMT. Zhi </w:t>
      </w:r>
      <w:r w:rsidR="006902F3" w:rsidRPr="006902F3">
        <w:rPr>
          <w:i/>
          <w:iCs/>
        </w:rPr>
        <w:t>et al.</w:t>
      </w:r>
      <w:r w:rsidR="001E3C8B">
        <w:rPr>
          <w:i/>
          <w:iCs/>
        </w:rPr>
        <w:fldChar w:fldCharType="begin" w:fldLock="1"/>
      </w:r>
      <w:r w:rsidR="001E3C8B">
        <w:rPr>
          <w:i/>
          <w:iCs/>
        </w:rPr>
        <w:instrText>ADDIN CSL_CITATION {"citationItems":[{"id":"ITEM-1","itemData":{"DOI":"10.1016/j.fitote.2014.07.022","ISSN":"18736971","PMID":"25102471","abstract":"Desmodeleganine (1), a new potential monoamine oxidase inhibitor, along with three known alkaloids, bufotenin (2), hydroxy-N, N-dimethyltryptamine N12-oxide (3), 2-(5-methoxy-1H-indol-3-yl)-N, and N-dimethylethylamine (4) were isolated from the leaves of Desmodium elegans. Their structures were elucidated by IR, MS, 1D and 2D NMR spectra. 1 showed strong monoamine oxidase inhibitory activity with IC50 value of 13.92 ± 1.5 μM, when the IC50 value of iproniazid as a standard was 6.5 ± 0.5 μM. The molecular modeling was also performed to explore the binding mode of compounds 1, 2 at the active site of MAO-A and MAO-B. © 2014 Elsevier B.V.","author":[{"dropping-particle":"","family":"Zhi","given":"Kang Kang","non-dropping-particle":"","parse-names":false,"suffix":""},{"dropping-particle":"","family":"Yang","given":"Zhong Duo","non-dropping-particle":"","parse-names":false,"suffix":""},{"dropping-particle":"","family":"Shi","given":"Dan Feng","non-dropping-particle":"","parse-names":false,"suffix":""},{"dropping-particle":"","family":"Yao","given":"Xiao Jun","non-dropping-particle":"","parse-names":false,"suffix":""},{"dropping-particle":"","family":"Wang","given":"Ming Gang","non-dropping-particle":"","parse-names":false,"suffix":""}],"container-title":"Fitoterapia","id":"ITEM-1","issued":{"date-parts":[["2014","8","19"]]},"page":"160-165","publisher":"Elsevier","title":"Desmodeleganine, a new alkaloid from the leaves of Desmodium elegans as a potential monoamine oxidase inhibitor","type":"article-journal","volume":"98"},"uris":["http://www.mendeley.com/documents/?uuid=da876b9a-3448-3976-8431-737f17c444fb"]}],"mendeley":{"formattedCitation":"(90)","plainTextFormattedCitation":"(90)","previouslyFormattedCitation":"(90)"},"properties":{"noteIndex":0},"schema":"https://github.com/citation-style-language/schema/raw/master/csl-citation.json"}</w:instrText>
      </w:r>
      <w:r w:rsidR="001E3C8B">
        <w:rPr>
          <w:i/>
          <w:iCs/>
        </w:rPr>
        <w:fldChar w:fldCharType="separate"/>
      </w:r>
      <w:r w:rsidR="001E3C8B" w:rsidRPr="001E3C8B">
        <w:rPr>
          <w:iCs/>
          <w:noProof/>
        </w:rPr>
        <w:t>(90)</w:t>
      </w:r>
      <w:r w:rsidR="001E3C8B">
        <w:rPr>
          <w:i/>
          <w:iCs/>
        </w:rPr>
        <w:fldChar w:fldCharType="end"/>
      </w:r>
      <w:r w:rsidR="006902F3">
        <w:t xml:space="preserve"> (2014) </w:t>
      </w:r>
      <w:r w:rsidR="005C0654">
        <w:t xml:space="preserve">also </w:t>
      </w:r>
      <w:r w:rsidR="006902F3">
        <w:t xml:space="preserve">studied the leaves of the </w:t>
      </w:r>
      <w:proofErr w:type="spellStart"/>
      <w:r w:rsidR="006902F3" w:rsidRPr="007F7CCC">
        <w:rPr>
          <w:i/>
          <w:iCs/>
        </w:rPr>
        <w:t>Desomodium</w:t>
      </w:r>
      <w:proofErr w:type="spellEnd"/>
      <w:r w:rsidR="006902F3" w:rsidRPr="007F7CCC">
        <w:rPr>
          <w:i/>
          <w:iCs/>
        </w:rPr>
        <w:t xml:space="preserve"> elegans</w:t>
      </w:r>
      <w:r w:rsidR="006902F3">
        <w:t xml:space="preserve"> </w:t>
      </w:r>
      <w:r w:rsidR="005C0654">
        <w:t>using the same spectroscopic tools. It</w:t>
      </w:r>
      <w:r w:rsidR="006902F3">
        <w:t xml:space="preserve"> found psilocin, DMT and </w:t>
      </w:r>
      <w:proofErr w:type="spellStart"/>
      <w:r w:rsidR="006902F3">
        <w:t>bufotenin</w:t>
      </w:r>
      <w:proofErr w:type="spellEnd"/>
      <w:r w:rsidR="006902F3">
        <w:t xml:space="preserve"> to be present, alongside an entirely novel molecule, named </w:t>
      </w:r>
      <w:proofErr w:type="spellStart"/>
      <w:r w:rsidR="006902F3">
        <w:t>desmodeleganine</w:t>
      </w:r>
      <w:proofErr w:type="spellEnd"/>
      <w:r w:rsidR="006902F3">
        <w:t xml:space="preserve">. This discovery was relevant to psychedelic research because this study discovered that </w:t>
      </w:r>
      <w:proofErr w:type="spellStart"/>
      <w:r w:rsidR="006902F3">
        <w:t>desmodeleganine</w:t>
      </w:r>
      <w:proofErr w:type="spellEnd"/>
      <w:r w:rsidR="006902F3">
        <w:t xml:space="preserve"> is a</w:t>
      </w:r>
      <w:r w:rsidR="006902F3" w:rsidRPr="00475D1B">
        <w:t xml:space="preserve"> monoamine oxidase inhibito</w:t>
      </w:r>
      <w:r w:rsidR="006902F3">
        <w:t>r (MAOI)</w:t>
      </w:r>
      <w:r w:rsidR="00C267F0">
        <w:t>.</w:t>
      </w:r>
      <w:r w:rsidR="006902F3">
        <w:t xml:space="preserve"> MAOIs allow the gastrointestinal absorption of psychedelic molecules like DMT. </w:t>
      </w:r>
      <w:r w:rsidR="005C0654">
        <w:t xml:space="preserve">Overall, each study successfully used </w:t>
      </w:r>
      <w:r w:rsidR="005C0654" w:rsidRPr="00CE7615">
        <w:rPr>
          <w:color w:val="000000" w:themeColor="text1"/>
          <w:shd w:val="clear" w:color="auto" w:fill="FFFFFF"/>
          <w:vertAlign w:val="superscript"/>
        </w:rPr>
        <w:t>1</w:t>
      </w:r>
      <w:r w:rsidR="005C0654" w:rsidRPr="00CE7615">
        <w:rPr>
          <w:color w:val="000000" w:themeColor="text1"/>
          <w:shd w:val="clear" w:color="auto" w:fill="FFFFFF"/>
        </w:rPr>
        <w:t>H</w:t>
      </w:r>
      <w:r w:rsidR="005C0654">
        <w:t xml:space="preserve"> NMR spectroscopy to determine the chemical composition of the plants in question, however it is evident that no</w:t>
      </w:r>
      <w:r w:rsidR="006508EA">
        <w:t>ne</w:t>
      </w:r>
      <w:r w:rsidR="005C0654">
        <w:t xml:space="preserve"> of these studies used </w:t>
      </w:r>
      <w:r w:rsidR="005C0654" w:rsidRPr="00CE7615">
        <w:rPr>
          <w:color w:val="000000" w:themeColor="text1"/>
          <w:shd w:val="clear" w:color="auto" w:fill="FFFFFF"/>
          <w:vertAlign w:val="superscript"/>
        </w:rPr>
        <w:t>1</w:t>
      </w:r>
      <w:r w:rsidR="005C0654" w:rsidRPr="00CE7615">
        <w:rPr>
          <w:color w:val="000000" w:themeColor="text1"/>
          <w:shd w:val="clear" w:color="auto" w:fill="FFFFFF"/>
        </w:rPr>
        <w:t>H</w:t>
      </w:r>
      <w:r w:rsidR="005C0654">
        <w:t xml:space="preserve"> NMR spectroscopy to retrieve metabonomic data. </w:t>
      </w:r>
    </w:p>
    <w:p w14:paraId="3F9D3BE7" w14:textId="77777777" w:rsidR="00F976E5" w:rsidRDefault="00F976E5" w:rsidP="00E50706"/>
    <w:p w14:paraId="261587D1" w14:textId="5C68AAB6" w:rsidR="00317861" w:rsidRDefault="006902F3" w:rsidP="00E50706">
      <w:r w:rsidRPr="00FF3386">
        <w:t xml:space="preserve">Amariz </w:t>
      </w:r>
      <w:r w:rsidRPr="006902F3">
        <w:rPr>
          <w:i/>
          <w:iCs/>
        </w:rPr>
        <w:t>et al.</w:t>
      </w:r>
      <w:r w:rsidR="001E3C8B">
        <w:rPr>
          <w:i/>
          <w:iCs/>
        </w:rPr>
        <w:fldChar w:fldCharType="begin" w:fldLock="1"/>
      </w:r>
      <w:r w:rsidR="00030235">
        <w:rPr>
          <w:i/>
          <w:iCs/>
        </w:rPr>
        <w:instrText>ADDIN CSL_CITATION {"citationItems":[{"id":"ITEM-1","itemData":{"DOI":"10.1080/14786419.2020.1813135","ISSN":"14786427","abstract":"Mimosa tenuiflora (Willd.) Poir., popularly known as “black jurema”, is a plant that is predominant in the Caatinga Biome. Drinks used in indigenous rituals use the barks of this plant that are rich in N,N-dimethyltryptamine (DMT), an indolic alkaloid responsible for hallucinogenic activity. The objective of this study was to evaluate the chemical and pharmacognostic characteristics of the Mimosa tenuiflora bark using nuclear magnetic resonance(NMR) analytical techniques and gas chromatography coupled to mass spectrometry(GC-MS) to identify and quantify the DMT present in the extract of Mimosa tenuiflora. The results showed that the plant material is within the recommended standards. Both NMR and GC-MS techniques were able to identify and quantify the DMT with NMR being the best option. In conclusion this study contributes significantly to the standardization of the studied plant material and assists in the use of these data for future development of products from on this forestry species.","author":[{"dropping-particle":"","family":"Amariz","given":"Isabela Araujo e.","non-dropping-particle":"","parse-names":false,"suffix":""},{"dropping-particle":"","family":"Pereira","given":"Emanuella Chiara Valença","non-dropping-particle":"","parse-names":false,"suffix":""},{"dropping-particle":"de","family":"Alencar Filho","given":"José Marcos Teixeira","non-dropping-particle":"","parse-names":false,"suffix":""},{"dropping-particle":"da","family":"Silva","given":"Jacyara Pereira","non-dropping-particle":"","parse-names":false,"suffix":""},{"dropping-particle":"de","family":"Souza","given":"Nathália Andrezza Carvalho","non-dropping-particle":"","parse-names":false,"suffix":""},{"dropping-particle":"","family":"Oliveira","given":"Ana Paula","non-dropping-particle":"de","parse-names":false,"suffix":""},{"dropping-particle":"","family":"Rolim","given":"Larissa Araújo","non-dropping-particle":"","parse-names":false,"suffix":""},{"dropping-particle":"","family":"Pereira","given":"Renan Nunes","non-dropping-particle":"","parse-names":false,"suffix":""}],"container-title":"Natural Product Research","id":"ITEM-1","issued":{"date-parts":[["2020"]]},"publisher":"Taylor and Francis Ltd.","title":"Chemical study of Mimosa tenuiflora barks","type":"article-journal"},"uris":["http://www.mendeley.com/documents/?uuid=c1199db7-bfb2-3264-aad4-cddd926c2acf"]}],"mendeley":{"formattedCitation":"(91)","plainTextFormattedCitation":"(91)","previouslyFormattedCitation":"(91)"},"properties":{"noteIndex":0},"schema":"https://github.com/citation-style-language/schema/raw/master/csl-citation.json"}</w:instrText>
      </w:r>
      <w:r w:rsidR="001E3C8B">
        <w:rPr>
          <w:i/>
          <w:iCs/>
        </w:rPr>
        <w:fldChar w:fldCharType="separate"/>
      </w:r>
      <w:r w:rsidR="001E3C8B" w:rsidRPr="001E3C8B">
        <w:rPr>
          <w:iCs/>
          <w:noProof/>
        </w:rPr>
        <w:t>(91)</w:t>
      </w:r>
      <w:r w:rsidR="001E3C8B">
        <w:rPr>
          <w:i/>
          <w:iCs/>
        </w:rPr>
        <w:fldChar w:fldCharType="end"/>
      </w:r>
      <w:r>
        <w:rPr>
          <w:i/>
          <w:iCs/>
        </w:rPr>
        <w:t xml:space="preserve"> </w:t>
      </w:r>
      <w:r w:rsidRPr="006902F3">
        <w:t>(2020)</w:t>
      </w:r>
      <w:r w:rsidRPr="00FF3386">
        <w:t xml:space="preserve"> </w:t>
      </w:r>
      <w:r w:rsidR="006508EA">
        <w:t>published</w:t>
      </w:r>
      <w:r w:rsidR="005C0654">
        <w:t xml:space="preserve"> a</w:t>
      </w:r>
      <w:r w:rsidR="006508EA">
        <w:t xml:space="preserve"> similar</w:t>
      </w:r>
      <w:r w:rsidR="005C0654">
        <w:t xml:space="preserve"> paper to </w:t>
      </w:r>
      <w:r w:rsidRPr="00FF3386">
        <w:t>stud</w:t>
      </w:r>
      <w:r w:rsidR="005C0654">
        <w:t>y</w:t>
      </w:r>
      <w:r w:rsidRPr="00FF3386">
        <w:t xml:space="preserve"> the molecules present in </w:t>
      </w:r>
      <w:r w:rsidR="005C0654">
        <w:t xml:space="preserve">a plant material. </w:t>
      </w:r>
      <w:r w:rsidR="00AD4377">
        <w:t xml:space="preserve">The research </w:t>
      </w:r>
      <w:r w:rsidR="005C0654">
        <w:t xml:space="preserve">specifically investigated the </w:t>
      </w:r>
      <w:r w:rsidRPr="00491006">
        <w:rPr>
          <w:i/>
          <w:iCs/>
        </w:rPr>
        <w:t xml:space="preserve">Mimosa </w:t>
      </w:r>
      <w:proofErr w:type="spellStart"/>
      <w:r w:rsidRPr="00491006">
        <w:rPr>
          <w:i/>
          <w:iCs/>
        </w:rPr>
        <w:t>tenuiflora</w:t>
      </w:r>
      <w:proofErr w:type="spellEnd"/>
      <w:r w:rsidRPr="00FF3386">
        <w:t xml:space="preserve">, also referred to as “black </w:t>
      </w:r>
      <w:proofErr w:type="spellStart"/>
      <w:r w:rsidRPr="00FF3386">
        <w:t>jurema</w:t>
      </w:r>
      <w:proofErr w:type="spellEnd"/>
      <w:r w:rsidRPr="00FF3386">
        <w:t>”.</w:t>
      </w:r>
      <w:r>
        <w:t xml:space="preserve"> On this occasion only </w:t>
      </w:r>
      <w:r w:rsidR="00C267F0" w:rsidRPr="006902F3">
        <w:rPr>
          <w:color w:val="000000" w:themeColor="text1"/>
          <w:shd w:val="clear" w:color="auto" w:fill="FFFFFF"/>
          <w:vertAlign w:val="superscript"/>
        </w:rPr>
        <w:t>1</w:t>
      </w:r>
      <w:r w:rsidR="00C267F0" w:rsidRPr="006902F3">
        <w:rPr>
          <w:color w:val="000000" w:themeColor="text1"/>
          <w:shd w:val="clear" w:color="auto" w:fill="FFFFFF"/>
        </w:rPr>
        <w:t>H</w:t>
      </w:r>
      <w:r w:rsidR="00C267F0" w:rsidRPr="006902F3">
        <w:t xml:space="preserve"> </w:t>
      </w:r>
      <w:r w:rsidRPr="006902F3">
        <w:t xml:space="preserve">NMR </w:t>
      </w:r>
      <w:r w:rsidR="005F497D">
        <w:t xml:space="preserve">(1D and 2D) </w:t>
      </w:r>
      <w:r w:rsidRPr="006902F3">
        <w:t>spectroscopy and GC-MS were used</w:t>
      </w:r>
      <w:r>
        <w:t xml:space="preserve"> for analysis</w:t>
      </w:r>
      <w:r w:rsidRPr="006902F3">
        <w:t>.</w:t>
      </w:r>
      <w:r>
        <w:t xml:space="preserve"> DMT was identified and quantified</w:t>
      </w:r>
      <w:r w:rsidR="00B67A0C">
        <w:t xml:space="preserve"> </w:t>
      </w:r>
      <w:r>
        <w:t xml:space="preserve">but interestingly this study compared both analytical techniques to each other and claimed </w:t>
      </w:r>
      <w:r w:rsidRPr="00FF3386">
        <w:t xml:space="preserve">NMR </w:t>
      </w:r>
      <w:r>
        <w:t xml:space="preserve">was the </w:t>
      </w:r>
      <w:r w:rsidR="00B67A0C">
        <w:t>best</w:t>
      </w:r>
      <w:r w:rsidRPr="00FF3386">
        <w:t xml:space="preserve"> option</w:t>
      </w:r>
      <w:r>
        <w:t xml:space="preserve"> </w:t>
      </w:r>
      <w:r w:rsidR="00B67A0C">
        <w:t>to quantify the absolute mass of the plant extract</w:t>
      </w:r>
      <w:r w:rsidR="005F497D">
        <w:t xml:space="preserve">. The preference for </w:t>
      </w:r>
      <w:r w:rsidR="005F497D" w:rsidRPr="006902F3">
        <w:rPr>
          <w:color w:val="000000" w:themeColor="text1"/>
          <w:shd w:val="clear" w:color="auto" w:fill="FFFFFF"/>
          <w:vertAlign w:val="superscript"/>
        </w:rPr>
        <w:t>1</w:t>
      </w:r>
      <w:r w:rsidR="005F497D" w:rsidRPr="006902F3">
        <w:rPr>
          <w:color w:val="000000" w:themeColor="text1"/>
          <w:shd w:val="clear" w:color="auto" w:fill="FFFFFF"/>
        </w:rPr>
        <w:t>H</w:t>
      </w:r>
      <w:r w:rsidR="005F497D" w:rsidRPr="006902F3">
        <w:t xml:space="preserve"> NMR spectroscopy</w:t>
      </w:r>
      <w:r w:rsidR="005F497D">
        <w:t xml:space="preserve"> stemmed from the fast analytical processing </w:t>
      </w:r>
      <w:r w:rsidR="006508EA">
        <w:t xml:space="preserve">of this tool </w:t>
      </w:r>
      <w:r w:rsidR="005F497D">
        <w:t xml:space="preserve">and </w:t>
      </w:r>
      <w:r w:rsidR="001F3485">
        <w:t xml:space="preserve">the fact </w:t>
      </w:r>
      <w:r w:rsidR="005F497D">
        <w:t>the analytes did not have to be isolated befor</w:t>
      </w:r>
      <w:r w:rsidR="001F3485">
        <w:t xml:space="preserve">e analysis unlike the preparation for </w:t>
      </w:r>
      <w:r w:rsidR="001F3485" w:rsidRPr="006902F3">
        <w:t>GC-MS</w:t>
      </w:r>
      <w:r w:rsidR="005F497D">
        <w:t>. This evaluation of the analytical techniques provides useful information for future studies involved in natural products chemistry.</w:t>
      </w:r>
      <w:r w:rsidR="00AD4377">
        <w:t xml:space="preserve"> </w:t>
      </w:r>
      <w:r w:rsidR="005F497D">
        <w:t xml:space="preserve">Despite </w:t>
      </w:r>
      <w:r w:rsidR="005C0654" w:rsidRPr="00CE7615">
        <w:rPr>
          <w:color w:val="000000" w:themeColor="text1"/>
          <w:shd w:val="clear" w:color="auto" w:fill="FFFFFF"/>
          <w:vertAlign w:val="superscript"/>
        </w:rPr>
        <w:t>1</w:t>
      </w:r>
      <w:r w:rsidR="005C0654" w:rsidRPr="00CE7615">
        <w:rPr>
          <w:color w:val="000000" w:themeColor="text1"/>
          <w:shd w:val="clear" w:color="auto" w:fill="FFFFFF"/>
        </w:rPr>
        <w:t>H</w:t>
      </w:r>
      <w:r w:rsidR="005C0654">
        <w:t xml:space="preserve"> NMR spectroscopy </w:t>
      </w:r>
      <w:r w:rsidR="00AD4377">
        <w:t xml:space="preserve">successfully </w:t>
      </w:r>
      <w:r w:rsidR="005F497D">
        <w:t>identified</w:t>
      </w:r>
      <w:r w:rsidR="00AD4377">
        <w:t xml:space="preserve"> the molecular</w:t>
      </w:r>
      <w:r w:rsidR="005C0654">
        <w:t xml:space="preserve"> composition of the</w:t>
      </w:r>
      <w:r w:rsidR="005F497D" w:rsidRPr="005F497D">
        <w:rPr>
          <w:i/>
          <w:iCs/>
        </w:rPr>
        <w:t xml:space="preserve"> </w:t>
      </w:r>
      <w:r w:rsidR="005F497D" w:rsidRPr="00491006">
        <w:rPr>
          <w:i/>
          <w:iCs/>
        </w:rPr>
        <w:t xml:space="preserve">Mimosa </w:t>
      </w:r>
      <w:proofErr w:type="spellStart"/>
      <w:r w:rsidR="005F497D" w:rsidRPr="00491006">
        <w:rPr>
          <w:i/>
          <w:iCs/>
        </w:rPr>
        <w:t>tenuiflora</w:t>
      </w:r>
      <w:proofErr w:type="spellEnd"/>
      <w:r w:rsidR="005C0654">
        <w:t xml:space="preserve"> </w:t>
      </w:r>
      <w:r w:rsidR="005F497D">
        <w:t>plant;</w:t>
      </w:r>
      <w:r w:rsidR="005C0654">
        <w:t xml:space="preserve"> </w:t>
      </w:r>
      <w:r w:rsidR="005F497D">
        <w:t>it</w:t>
      </w:r>
      <w:r w:rsidR="00AD4377">
        <w:t xml:space="preserve"> was not used for </w:t>
      </w:r>
      <w:r w:rsidR="005F497D">
        <w:t>to analyse molecules present in any biofluids.</w:t>
      </w:r>
    </w:p>
    <w:p w14:paraId="07787072" w14:textId="77777777" w:rsidR="00317861" w:rsidRDefault="00317861" w:rsidP="00E50706"/>
    <w:p w14:paraId="3B8896A0" w14:textId="275BB75C" w:rsidR="00317861" w:rsidRPr="00B42EEA" w:rsidRDefault="006902F3" w:rsidP="00E50706">
      <w:r w:rsidRPr="00CA61AB">
        <w:rPr>
          <w:lang w:val="nb-NO"/>
        </w:rPr>
        <w:t xml:space="preserve">Pereira </w:t>
      </w:r>
      <w:r w:rsidRPr="00CA61AB">
        <w:rPr>
          <w:i/>
          <w:iCs/>
          <w:lang w:val="nb-NO"/>
        </w:rPr>
        <w:t>et al.</w:t>
      </w:r>
      <w:r w:rsidR="00B42EEA" w:rsidRPr="00B42EEA">
        <w:fldChar w:fldCharType="begin" w:fldLock="1"/>
      </w:r>
      <w:r w:rsidR="00112529" w:rsidRPr="00CA61AB">
        <w:rPr>
          <w:caps/>
          <w:lang w:val="nb-NO"/>
        </w:rPr>
        <w:instrText>ADDIN CSL_CITATION {"citationItems":[{"id":"ITEM-1","itemData":{"DOI":"10.1016/j.phytochem.2018.07.003","ISSN":"00319422","PMID":"30056276","abstract":"Stem bark, root bark, and leaf extracts of Erythroxylum pungens were subjected to phytochemical analysis. N,N-dimethyltryptamine (DMT) was isolated and characterized from E. pungens roots. This unprecedented result is remarkable since no indole alkaloid has been previously reported from Erythroxylaceae so far. Eleven known tropane alkaloids were identified by their mass spectra and 3-(2-methylbutyryloxy)tropan-6,7-diol as well as 3-(2-methylbutyryloxy)nortropan-6,7-diol were isolated and characterized based on mass spectrometry, 1H, 13C, COSY, and NOESY NMR analysis. The complete NMR data are reported for the first time. Inverse Structure-based and Ligand-Based virtual screening were carried out to identify possible targets for 3-(2-methylbutyryloxy)tropan-6,7-diol. The level of cytotoxicity of this tropane alkaloid aliphatic ester was discrete with potencies on the order of 0.3–1.0 mg/mL and better results against HeLa (50% cell viability reduction). Otherwise, atropine (0.3 mg/mL), a Solanaceae tropane alkaloid, and DMT (0.5 mg/mL) from E. pungens roots impaired at 50% the cell viability against HeLa, SiHa, PC3, and 786-0. This study stimulates scientific investigation of the impact of edaphoclimatic features in a semi-arid environment on tropane alkaloid biosynthesis.","author":[{"dropping-particle":"","family":"Pereira","given":"Gabrielle Macedo","non-dropping-particle":"","parse-names":false,"suffix":""},{"dropping-particle":"","family":"Moreira","given":"Letícia Gondim Lambert","non-dropping-particle":"","parse-names":false,"suffix":""},{"dropping-particle":"","family":"Neto","given":"Themístocles da Silva Negreiros","non-dropping-particle":"","parse-names":false,"suffix":""},{"dropping-particle":"","family":"Moreira de Almeida","given":"Wamberto Alristenio","non-dropping-particle":"","parse-names":false,"suffix":""},{"dropping-particle":"","family":"Almeida-Lima","given":"Jailma","non-dropping-particle":"","parse-names":false,"suffix":""},{"dropping-particle":"","family":"Rocha","given":"Hugo Alexandre Oliveira","non-dropping-particle":"","parse-names":false,"suffix":""},{"dropping-particle":"","family":"Barbosa","given":"Euzébio Guimarães","non-dropping-particle":"","parse-names":false,"suffix":""},{"dropping-particle":"","family":"Zuanazzi","given":"José Angelo S.","non-dropping-particle":"","parse-names":false,"suffix":""},{"dropping-particle":"","family":"Almeida","given":"Mauro Vieira","non-dropping-particle":"de","parse-names":false,"suffix":""},{"dropping-particle":"","family":"Grazul","given":"Richard Michael","non-dropping-particle":"","parse-names":false,"suffix":""},{"dropping-particle":"","family":"Navarro-Vázquez","given":"Armando","non-dropping-particle":"","parse-names":false,"suffix":""},{"dropping-particle":"","family":"Hallwass","given":"Fernando","non-dropping-particle":"","parse-names":false,"suffix":""},{"dropping-particle":"","family":"Ferreira","given":"Leandro de Santis","non-dropping-particle":"","parse-names":false,"suffix":""},{"dropping-particle":"","family":"Fernandes-Pedrosa","given":"Matheus de Freitas","non-dropping-particle":"","parse-names":false,"suffix":""},{"dropping-particle":"","family":"Giordani","given":"Raquel Brandt","non-dropping-particle":"","parse-names":false,"suffix":""}],"container-title":"Phytochemistry","id":"ITEM-1","issued":{"date-parts":[["2018","11","1"]]},"page":"12-18","publisher":"Elsevier Ltd","title":"Isolation, spectral characterization, molecular docking, and cytotoxic activity of alkaloids from Erythroxylum pungens O. E. Shulz","type":"article-journal","volume":"155"},"uris":["http://www.mendeley.com/documents/?uuid=2f75e9dc-b034-31f7-b096-7b34eb8f9bdb"]}],"mendeley":{"formattedCitation":"(92)","plainTextFormattedCitation":"(92)","previouslyFormattedCitation":"(92)"},"properties":{"noteIndex":0},"schema":"https://github.com/citation-style-language/schema/raw/master/csl-citation.json"}</w:instrText>
      </w:r>
      <w:r w:rsidR="00B42EEA" w:rsidRPr="00B42EEA">
        <w:fldChar w:fldCharType="separate"/>
      </w:r>
      <w:r w:rsidR="001E3C8B" w:rsidRPr="00CA61AB">
        <w:rPr>
          <w:caps/>
          <w:noProof/>
          <w:lang w:val="nb-NO"/>
        </w:rPr>
        <w:t>(92)</w:t>
      </w:r>
      <w:r w:rsidR="00B42EEA" w:rsidRPr="00B42EEA">
        <w:fldChar w:fldCharType="end"/>
      </w:r>
      <w:r w:rsidRPr="00CA61AB">
        <w:rPr>
          <w:lang w:val="nb-NO"/>
        </w:rPr>
        <w:t xml:space="preserve"> (2018)</w:t>
      </w:r>
      <w:r w:rsidR="001F065E" w:rsidRPr="00CA61AB">
        <w:rPr>
          <w:lang w:val="nb-NO"/>
        </w:rPr>
        <w:t xml:space="preserve"> studied the </w:t>
      </w:r>
      <w:r w:rsidR="001F065E" w:rsidRPr="00CA61AB">
        <w:rPr>
          <w:i/>
          <w:iCs/>
          <w:lang w:val="nb-NO"/>
        </w:rPr>
        <w:t>Erythoxylum pungens</w:t>
      </w:r>
      <w:r w:rsidR="001F065E" w:rsidRPr="00CA61AB">
        <w:rPr>
          <w:lang w:val="nb-NO"/>
        </w:rPr>
        <w:t xml:space="preserve"> plant and were able to identify 12 different molecules, one of them being </w:t>
      </w:r>
      <w:r w:rsidRPr="00CA61AB">
        <w:rPr>
          <w:lang w:val="nb-NO"/>
        </w:rPr>
        <w:t xml:space="preserve">DMT </w:t>
      </w:r>
      <w:r w:rsidR="001F065E" w:rsidRPr="00CA61AB">
        <w:rPr>
          <w:lang w:val="nb-NO"/>
        </w:rPr>
        <w:t>found in</w:t>
      </w:r>
      <w:r w:rsidRPr="00CA61AB">
        <w:rPr>
          <w:lang w:val="nb-NO"/>
        </w:rPr>
        <w:t xml:space="preserve"> the root of the plant</w:t>
      </w:r>
      <w:r w:rsidR="001F065E" w:rsidRPr="00CA61AB">
        <w:rPr>
          <w:lang w:val="nb-NO"/>
        </w:rPr>
        <w:t xml:space="preserve">. </w:t>
      </w:r>
      <w:r w:rsidR="001F065E">
        <w:t xml:space="preserve">The molecules were isolated and </w:t>
      </w:r>
      <w:r w:rsidR="00B42EEA">
        <w:t xml:space="preserve">characterised using </w:t>
      </w:r>
      <w:r w:rsidR="00B42EEA" w:rsidRPr="006902F3">
        <w:rPr>
          <w:color w:val="000000" w:themeColor="text1"/>
          <w:shd w:val="clear" w:color="auto" w:fill="FFFFFF"/>
          <w:vertAlign w:val="superscript"/>
        </w:rPr>
        <w:t>1</w:t>
      </w:r>
      <w:r w:rsidR="00B42EEA" w:rsidRPr="006902F3">
        <w:rPr>
          <w:color w:val="000000" w:themeColor="text1"/>
          <w:shd w:val="clear" w:color="auto" w:fill="FFFFFF"/>
        </w:rPr>
        <w:t>H NMR</w:t>
      </w:r>
      <w:r w:rsidR="00B42EEA">
        <w:rPr>
          <w:color w:val="000000" w:themeColor="text1"/>
          <w:shd w:val="clear" w:color="auto" w:fill="FFFFFF"/>
        </w:rPr>
        <w:t xml:space="preserve"> (1D and 2D) spectroscop</w:t>
      </w:r>
      <w:r w:rsidR="00B42EEA">
        <w:t>y</w:t>
      </w:r>
      <w:r w:rsidR="00B42EEA">
        <w:rPr>
          <w:color w:val="000000" w:themeColor="text1"/>
          <w:shd w:val="clear" w:color="auto" w:fill="FFFFFF"/>
        </w:rPr>
        <w:t xml:space="preserve"> and</w:t>
      </w:r>
      <w:r w:rsidR="00B42EEA" w:rsidRPr="006902F3">
        <w:rPr>
          <w:color w:val="000000" w:themeColor="text1"/>
          <w:shd w:val="clear" w:color="auto" w:fill="FFFFFF"/>
        </w:rPr>
        <w:t xml:space="preserve"> </w:t>
      </w:r>
      <w:r w:rsidR="00B42EEA" w:rsidRPr="006902F3">
        <w:rPr>
          <w:rStyle w:val="Emphasis"/>
          <w:i w:val="0"/>
          <w:iCs w:val="0"/>
          <w:color w:val="000000" w:themeColor="text1"/>
          <w:shd w:val="clear" w:color="auto" w:fill="FFFFFF"/>
          <w:vertAlign w:val="superscript"/>
        </w:rPr>
        <w:t>13</w:t>
      </w:r>
      <w:r w:rsidR="00B42EEA" w:rsidRPr="006902F3">
        <w:rPr>
          <w:rStyle w:val="Emphasis"/>
          <w:i w:val="0"/>
          <w:iCs w:val="0"/>
          <w:color w:val="000000" w:themeColor="text1"/>
          <w:shd w:val="clear" w:color="auto" w:fill="FFFFFF"/>
        </w:rPr>
        <w:t>C NMR</w:t>
      </w:r>
      <w:r w:rsidR="00B42EEA" w:rsidRPr="006902F3">
        <w:rPr>
          <w:color w:val="000000" w:themeColor="text1"/>
          <w:shd w:val="clear" w:color="auto" w:fill="FFFFFF"/>
        </w:rPr>
        <w:t xml:space="preserve"> </w:t>
      </w:r>
      <w:r w:rsidR="00B42EEA">
        <w:rPr>
          <w:color w:val="000000" w:themeColor="text1"/>
          <w:shd w:val="clear" w:color="auto" w:fill="FFFFFF"/>
        </w:rPr>
        <w:t>spectroscop</w:t>
      </w:r>
      <w:r w:rsidR="00B42EEA">
        <w:t>y and MS. Once that was achieved, this research group</w:t>
      </w:r>
      <w:r>
        <w:t xml:space="preserve"> evaluated the </w:t>
      </w:r>
      <w:r>
        <w:rPr>
          <w:color w:val="000000" w:themeColor="text1"/>
          <w:shd w:val="clear" w:color="auto" w:fill="FFFFFF"/>
        </w:rPr>
        <w:t>cytotoxic activity</w:t>
      </w:r>
      <w:r w:rsidR="001F065E">
        <w:rPr>
          <w:color w:val="000000" w:themeColor="text1"/>
          <w:shd w:val="clear" w:color="auto" w:fill="FFFFFF"/>
        </w:rPr>
        <w:t xml:space="preserve"> of the molecules</w:t>
      </w:r>
      <w:r>
        <w:rPr>
          <w:color w:val="000000" w:themeColor="text1"/>
          <w:shd w:val="clear" w:color="auto" w:fill="FFFFFF"/>
        </w:rPr>
        <w:t xml:space="preserve"> using </w:t>
      </w:r>
      <w:r>
        <w:t>s</w:t>
      </w:r>
      <w:r w:rsidRPr="000145C7">
        <w:t>tructure-based and</w:t>
      </w:r>
      <w:r>
        <w:t xml:space="preserve"> l</w:t>
      </w:r>
      <w:r w:rsidRPr="000145C7">
        <w:t>igand-</w:t>
      </w:r>
      <w:r>
        <w:t>ba</w:t>
      </w:r>
      <w:r w:rsidRPr="000145C7">
        <w:t>sed virtual screening</w:t>
      </w:r>
      <w:r>
        <w:t xml:space="preserve">. They found DMT impaired at 50% the cell viability for </w:t>
      </w:r>
      <w:r w:rsidRPr="000145C7">
        <w:t xml:space="preserve">HeLa, </w:t>
      </w:r>
      <w:proofErr w:type="spellStart"/>
      <w:r w:rsidRPr="000145C7">
        <w:t>SiHa</w:t>
      </w:r>
      <w:proofErr w:type="spellEnd"/>
      <w:r w:rsidRPr="000145C7">
        <w:t>, PC3, and 786-0</w:t>
      </w:r>
      <w:r>
        <w:t xml:space="preserve"> cell lines</w:t>
      </w:r>
      <w:r w:rsidR="00DF4ACE">
        <w:t>;</w:t>
      </w:r>
      <w:r w:rsidR="001F065E">
        <w:t xml:space="preserve"> </w:t>
      </w:r>
      <w:r w:rsidR="00DF4ACE">
        <w:t xml:space="preserve">these </w:t>
      </w:r>
      <w:r w:rsidR="001F065E">
        <w:t xml:space="preserve">are human cell lines that are </w:t>
      </w:r>
      <w:r w:rsidR="00DF4ACE">
        <w:t>established from cancerous tissue</w:t>
      </w:r>
      <w:r>
        <w:t xml:space="preserve">. </w:t>
      </w:r>
      <w:r w:rsidR="00B42EEA">
        <w:t xml:space="preserve">Despite </w:t>
      </w:r>
      <w:r w:rsidR="00B42EEA" w:rsidRPr="00CE7615">
        <w:rPr>
          <w:color w:val="000000" w:themeColor="text1"/>
          <w:shd w:val="clear" w:color="auto" w:fill="FFFFFF"/>
          <w:vertAlign w:val="superscript"/>
        </w:rPr>
        <w:t>1</w:t>
      </w:r>
      <w:r w:rsidR="00B42EEA" w:rsidRPr="00CE7615">
        <w:rPr>
          <w:color w:val="000000" w:themeColor="text1"/>
          <w:shd w:val="clear" w:color="auto" w:fill="FFFFFF"/>
        </w:rPr>
        <w:t>H</w:t>
      </w:r>
      <w:r w:rsidR="00B42EEA">
        <w:t xml:space="preserve"> NMR spectroscopy was not used for </w:t>
      </w:r>
      <w:proofErr w:type="spellStart"/>
      <w:r w:rsidR="00B42EEA">
        <w:t>metabonomics</w:t>
      </w:r>
      <w:proofErr w:type="spellEnd"/>
      <w:r w:rsidR="006508EA">
        <w:t>. T</w:t>
      </w:r>
      <w:r>
        <w:t xml:space="preserve">his is an important publication because </w:t>
      </w:r>
      <w:r w:rsidR="00B42EEA">
        <w:t>it</w:t>
      </w:r>
      <w:r>
        <w:t xml:space="preserve"> was the first time any psychedelic molecule has been reported in the </w:t>
      </w:r>
      <w:proofErr w:type="spellStart"/>
      <w:r w:rsidRPr="003B11E9">
        <w:rPr>
          <w:i/>
          <w:iCs/>
        </w:rPr>
        <w:t>Erythoxylum</w:t>
      </w:r>
      <w:proofErr w:type="spellEnd"/>
      <w:r w:rsidRPr="003B11E9">
        <w:rPr>
          <w:i/>
          <w:iCs/>
        </w:rPr>
        <w:t xml:space="preserve"> </w:t>
      </w:r>
      <w:proofErr w:type="spellStart"/>
      <w:r w:rsidRPr="003B11E9">
        <w:rPr>
          <w:i/>
          <w:iCs/>
        </w:rPr>
        <w:t>pungens</w:t>
      </w:r>
      <w:proofErr w:type="spellEnd"/>
      <w:r>
        <w:rPr>
          <w:i/>
          <w:iCs/>
        </w:rPr>
        <w:t xml:space="preserve"> </w:t>
      </w:r>
      <w:r w:rsidRPr="006902F3">
        <w:t>plant</w:t>
      </w:r>
      <w:r w:rsidR="00B42EEA">
        <w:t xml:space="preserve">; </w:t>
      </w:r>
      <w:r w:rsidR="001F065E">
        <w:t>therefore,</w:t>
      </w:r>
      <w:r w:rsidR="00B42EEA">
        <w:t xml:space="preserve"> </w:t>
      </w:r>
      <w:r w:rsidR="001F065E">
        <w:t xml:space="preserve">this </w:t>
      </w:r>
      <w:r w:rsidR="006508EA">
        <w:t>re</w:t>
      </w:r>
      <w:r w:rsidR="001F065E">
        <w:t xml:space="preserve">presents the </w:t>
      </w:r>
      <w:r w:rsidR="00B42EEA">
        <w:t xml:space="preserve">discovery </w:t>
      </w:r>
      <w:r w:rsidR="001F065E">
        <w:t xml:space="preserve">of </w:t>
      </w:r>
      <w:r w:rsidR="00B42EEA">
        <w:t>a new source of DMT. Additionally</w:t>
      </w:r>
      <w:r w:rsidR="001F065E">
        <w:t>,</w:t>
      </w:r>
      <w:r w:rsidR="00B42EEA">
        <w:t xml:space="preserve"> </w:t>
      </w:r>
      <w:r>
        <w:t xml:space="preserve">this was the </w:t>
      </w:r>
      <w:r w:rsidR="00502CC7">
        <w:t>first-time</w:t>
      </w:r>
      <w:r>
        <w:t xml:space="preserve"> </w:t>
      </w:r>
      <w:r w:rsidR="00C267F0">
        <w:t xml:space="preserve">that </w:t>
      </w:r>
      <w:r>
        <w:t xml:space="preserve">complete NMR data </w:t>
      </w:r>
      <w:r w:rsidR="00502CC7">
        <w:t xml:space="preserve">was </w:t>
      </w:r>
      <w:r>
        <w:t>collected for this plant.</w:t>
      </w:r>
      <w:r w:rsidRPr="006902F3">
        <w:t xml:space="preserve"> </w:t>
      </w:r>
    </w:p>
    <w:p w14:paraId="6EE016E4" w14:textId="77777777" w:rsidR="00317861" w:rsidRDefault="00317861" w:rsidP="00E50706"/>
    <w:p w14:paraId="4B0E5055" w14:textId="78C823A1" w:rsidR="00A6181D" w:rsidRDefault="00A6181D" w:rsidP="00E50706">
      <w:r>
        <w:t xml:space="preserve">Additionally, </w:t>
      </w:r>
      <w:r w:rsidR="006902F3">
        <w:t xml:space="preserve">Soares </w:t>
      </w:r>
      <w:r w:rsidR="006902F3" w:rsidRPr="0007093A">
        <w:rPr>
          <w:i/>
          <w:iCs/>
        </w:rPr>
        <w:t>et al.</w:t>
      </w:r>
      <w:r w:rsidR="006902F3">
        <w:t xml:space="preserve"> (2017) investigated the molecules present in the leaves of </w:t>
      </w:r>
      <w:proofErr w:type="spellStart"/>
      <w:r w:rsidR="006902F3" w:rsidRPr="0007093A">
        <w:rPr>
          <w:i/>
          <w:iCs/>
        </w:rPr>
        <w:t>Psychotria</w:t>
      </w:r>
      <w:proofErr w:type="spellEnd"/>
      <w:r w:rsidR="006902F3" w:rsidRPr="0007093A">
        <w:rPr>
          <w:i/>
          <w:iCs/>
        </w:rPr>
        <w:t xml:space="preserve"> </w:t>
      </w:r>
      <w:proofErr w:type="spellStart"/>
      <w:r w:rsidR="006902F3" w:rsidRPr="0007093A">
        <w:rPr>
          <w:i/>
          <w:iCs/>
        </w:rPr>
        <w:t>vivirdis</w:t>
      </w:r>
      <w:proofErr w:type="spellEnd"/>
      <w:r w:rsidR="006902F3">
        <w:t xml:space="preserve">. Many different molecules were identified from extracts taken but the </w:t>
      </w:r>
      <w:r w:rsidR="006902F3">
        <w:lastRenderedPageBreak/>
        <w:t xml:space="preserve">only molecule that was relevant for this review was DMT. Structural elucidation was conducted using the standard </w:t>
      </w:r>
      <w:r w:rsidR="006902F3" w:rsidRPr="006902F3">
        <w:rPr>
          <w:color w:val="000000" w:themeColor="text1"/>
          <w:shd w:val="clear" w:color="auto" w:fill="FFFFFF"/>
          <w:vertAlign w:val="superscript"/>
        </w:rPr>
        <w:t>1</w:t>
      </w:r>
      <w:r w:rsidR="006902F3" w:rsidRPr="006902F3">
        <w:rPr>
          <w:color w:val="000000" w:themeColor="text1"/>
          <w:shd w:val="clear" w:color="auto" w:fill="FFFFFF"/>
        </w:rPr>
        <w:t xml:space="preserve">H NMR, </w:t>
      </w:r>
      <w:r w:rsidR="006902F3" w:rsidRPr="006902F3">
        <w:rPr>
          <w:rStyle w:val="Emphasis"/>
          <w:i w:val="0"/>
          <w:iCs w:val="0"/>
          <w:color w:val="000000" w:themeColor="text1"/>
          <w:shd w:val="clear" w:color="auto" w:fill="FFFFFF"/>
          <w:vertAlign w:val="superscript"/>
        </w:rPr>
        <w:t>13</w:t>
      </w:r>
      <w:r w:rsidR="006902F3" w:rsidRPr="006902F3">
        <w:rPr>
          <w:rStyle w:val="Emphasis"/>
          <w:i w:val="0"/>
          <w:iCs w:val="0"/>
          <w:color w:val="000000" w:themeColor="text1"/>
          <w:shd w:val="clear" w:color="auto" w:fill="FFFFFF"/>
        </w:rPr>
        <w:t>C NMR</w:t>
      </w:r>
      <w:r w:rsidR="006902F3" w:rsidRPr="006902F3">
        <w:rPr>
          <w:color w:val="000000" w:themeColor="text1"/>
          <w:shd w:val="clear" w:color="auto" w:fill="FFFFFF"/>
        </w:rPr>
        <w:t xml:space="preserve"> and IR</w:t>
      </w:r>
      <w:r w:rsidR="006902F3" w:rsidRPr="006902F3">
        <w:t>,</w:t>
      </w:r>
      <w:r w:rsidR="006902F3">
        <w:t xml:space="preserve"> but they also chose to include </w:t>
      </w:r>
      <w:r w:rsidR="006902F3" w:rsidRPr="006902F3">
        <w:t>GC-MS and LC-MS.</w:t>
      </w:r>
      <w:r w:rsidR="006902F3">
        <w:t xml:space="preserve"> For the evaluation of acetylcholinesterase inhibition and cytotoxic activity, this study found that DMT had cholinesterase inhibiting activity </w:t>
      </w:r>
      <w:proofErr w:type="gramStart"/>
      <w:r w:rsidR="006902F3">
        <w:t>and also</w:t>
      </w:r>
      <w:proofErr w:type="gramEnd"/>
      <w:r w:rsidR="006902F3" w:rsidRPr="00171BD2">
        <w:t xml:space="preserve"> demonstrated a marked activity against tumo</w:t>
      </w:r>
      <w:r w:rsidR="006902F3">
        <w:t>u</w:t>
      </w:r>
      <w:r w:rsidR="006902F3" w:rsidRPr="00171BD2">
        <w:t>r cell strains B16F10 and 4T1.</w:t>
      </w:r>
      <w:r w:rsidR="00502CC7">
        <w:t xml:space="preserve"> The inclusion of experiments that analysed the biological properties of DMT was useful in producing a better understanding of how the molecule interact</w:t>
      </w:r>
      <w:r w:rsidR="00F46C14">
        <w:t>s</w:t>
      </w:r>
      <w:r w:rsidR="00502CC7">
        <w:t xml:space="preserve"> with the rest of the body and not just the neurological effects. </w:t>
      </w:r>
      <w:r w:rsidR="00AD4377">
        <w:t xml:space="preserve">However, the use of </w:t>
      </w:r>
      <w:r w:rsidR="00AD4377" w:rsidRPr="006902F3">
        <w:rPr>
          <w:color w:val="000000" w:themeColor="text1"/>
          <w:shd w:val="clear" w:color="auto" w:fill="FFFFFF"/>
          <w:vertAlign w:val="superscript"/>
        </w:rPr>
        <w:t>1</w:t>
      </w:r>
      <w:r w:rsidR="00AD4377" w:rsidRPr="006902F3">
        <w:rPr>
          <w:color w:val="000000" w:themeColor="text1"/>
          <w:shd w:val="clear" w:color="auto" w:fill="FFFFFF"/>
        </w:rPr>
        <w:t>H NMR</w:t>
      </w:r>
      <w:r w:rsidR="00AD4377">
        <w:rPr>
          <w:color w:val="000000" w:themeColor="text1"/>
          <w:shd w:val="clear" w:color="auto" w:fill="FFFFFF"/>
        </w:rPr>
        <w:t xml:space="preserve"> was not to acquire metabonomic data. </w:t>
      </w:r>
    </w:p>
    <w:p w14:paraId="22C7663B" w14:textId="294A5D3D" w:rsidR="000045A8" w:rsidRDefault="000045A8" w:rsidP="00E50706"/>
    <w:p w14:paraId="24E7A98E" w14:textId="6F851924" w:rsidR="000045A8" w:rsidRDefault="00667900" w:rsidP="00E50706">
      <w:r w:rsidRPr="00E213C2">
        <w:t>I</w:t>
      </w:r>
      <w:r w:rsidR="00733625" w:rsidRPr="00E213C2">
        <w:t xml:space="preserve">t was the research conducted by </w:t>
      </w:r>
      <w:proofErr w:type="spellStart"/>
      <w:r w:rsidR="00430E66" w:rsidRPr="00E213C2">
        <w:t>Tso</w:t>
      </w:r>
      <w:r w:rsidR="00430E66" w:rsidRPr="00926770">
        <w:t>chatzis</w:t>
      </w:r>
      <w:proofErr w:type="spellEnd"/>
      <w:r w:rsidR="00430E66" w:rsidRPr="00926770">
        <w:t xml:space="preserve"> </w:t>
      </w:r>
      <w:r w:rsidR="00430E66" w:rsidRPr="00072F2F">
        <w:rPr>
          <w:i/>
          <w:iCs/>
        </w:rPr>
        <w:t>et al</w:t>
      </w:r>
      <w:r w:rsidR="00430E66" w:rsidRPr="00883112">
        <w:rPr>
          <w:i/>
          <w:iCs/>
        </w:rPr>
        <w:t>.</w:t>
      </w:r>
      <w:r w:rsidR="00430E66" w:rsidRPr="00E213C2">
        <w:rPr>
          <w:i/>
          <w:iCs/>
        </w:rPr>
        <w:fldChar w:fldCharType="begin" w:fldLock="1"/>
      </w:r>
      <w:r w:rsidR="00030235" w:rsidRPr="00E213C2">
        <w:rPr>
          <w:i/>
          <w:iCs/>
        </w:rPr>
        <w:instrText>ADDIN CSL_CITATION {"citationItems":[{"id":"ITEM-1","itemData":{"DOI":"10.3390/molecules25030712","ISSN":"14203049","PMID":"32045999","abstract":"The rapid dispersion of new psychoactive substances (NPS) presents challenges to customs services and analytical laboratories, which are involved in their detection and characterization. When the seized material is limited in quantity or of a complex nature, or when the target substance is present in very small amounts, the need to use advanced analytical techniques, efficient workflows and chemo-informatics tools is essential for the complete identification and elucidation of these substances. The current work describes the application of such a workflow in the analysis of a single blotter paper, seized by Swedish customs, that led to the identification of a lysergic acid diethylamide (LSD) derivative, 1-butyl-lysergic acid diethylamide (1B-LSD). Such blotter paper generally contains an amount in the range of 30–100 ug. This substance, which is closely related to 1-propionyl-lysergic acid diethylamide (1P-LSD), seems to have only recently reached the drug street market. Its identification was made possible by comprehensively combining gas chromatography with mass spectrometry detection (GC–MS), liquid chromatography coupled with high-resolution tandem MS (LC–HR-MS/MS), Orbitrap-MS and both 1D and 2D nuclear-magnetic-resonance (NMR) spectroscopy. All the obtained data have been managed, assessed, processed and evaluated using a chemo-informatics platform to produce the effective chemical and structural identification of 1B-LSD in the seized material.","author":[{"dropping-particle":"","family":"Tsochatzis","given":"Emmanouil","non-dropping-particle":"","parse-names":false,"suffix":""},{"dropping-particle":"","family":"Lopes","given":"Joao Alberto","non-dropping-particle":"","parse-names":false,"suffix":""},{"dropping-particle":"","family":"Reniero","given":"Fabiano","non-dropping-particle":"","parse-names":false,"suffix":""},{"dropping-particle":"","family":"Holland","given":"Margaret","non-dropping-particle":"","parse-names":false,"suffix":""},{"dropping-particle":"","family":"Åberg","given":"Jenny","non-dropping-particle":"","parse-names":false,"suffix":""},{"dropping-particle":"","family":"Guillou","given":"Claude","non-dropping-particle":"","parse-names":false,"suffix":""}],"container-title":"Molecules","id":"ITEM-1","issue":"3","issued":{"date-parts":[["2020","2","7"]]},"publisher":"MDPI AG","title":"Identification of 1-butyl-lysergic acid diethylamide (1B-LSD) in seized blotter paper using an integrated workflow of analytical techniques and chemo-informatics","type":"article-journal","volume":"25"},"uris":["http://www.mendeley.com/documents/?uuid=09705a99-26be-3ce5-944b-b778b915c826"]}],"mendeley":{"formattedCitation":"(93)","plainTextFormattedCitation":"(93)","previouslyFormattedCitation":"(93)"},"properties":{"noteIndex":0},"schema":"https://github.com/citation-style-language/schema/raw/master/csl-citation.json"}</w:instrText>
      </w:r>
      <w:r w:rsidR="00430E66" w:rsidRPr="00CA61AB">
        <w:rPr>
          <w:i/>
          <w:iCs/>
        </w:rPr>
        <w:fldChar w:fldCharType="separate"/>
      </w:r>
      <w:r w:rsidR="001E3C8B" w:rsidRPr="00E213C2">
        <w:rPr>
          <w:iCs/>
          <w:noProof/>
        </w:rPr>
        <w:t>(93)</w:t>
      </w:r>
      <w:r w:rsidR="00430E66" w:rsidRPr="00E213C2">
        <w:rPr>
          <w:i/>
          <w:iCs/>
        </w:rPr>
        <w:fldChar w:fldCharType="end"/>
      </w:r>
      <w:r w:rsidR="00430E66" w:rsidRPr="00E213C2">
        <w:t xml:space="preserve"> </w:t>
      </w:r>
      <w:r w:rsidR="00733625" w:rsidRPr="00E213C2">
        <w:t xml:space="preserve">in 2020 that </w:t>
      </w:r>
      <w:r w:rsidR="00430E66" w:rsidRPr="00E213C2">
        <w:t xml:space="preserve">identified 1B-LSD </w:t>
      </w:r>
      <w:r w:rsidR="0015084A" w:rsidRPr="00E213C2">
        <w:t xml:space="preserve">using </w:t>
      </w:r>
      <w:r w:rsidR="00430E66" w:rsidRPr="00133B53">
        <w:rPr>
          <w:color w:val="000000" w:themeColor="text1"/>
          <w:shd w:val="clear" w:color="auto" w:fill="FFFFFF"/>
          <w:vertAlign w:val="superscript"/>
        </w:rPr>
        <w:t>1</w:t>
      </w:r>
      <w:r w:rsidR="00430E66" w:rsidRPr="00112529">
        <w:rPr>
          <w:color w:val="000000" w:themeColor="text1"/>
          <w:shd w:val="clear" w:color="auto" w:fill="FFFFFF"/>
        </w:rPr>
        <w:t>H</w:t>
      </w:r>
      <w:r w:rsidR="00430E66" w:rsidRPr="00112529">
        <w:t xml:space="preserve"> </w:t>
      </w:r>
      <w:r w:rsidR="0015084A" w:rsidRPr="00112529">
        <w:t>NMR spectroscopy</w:t>
      </w:r>
      <w:r w:rsidR="00430E66" w:rsidRPr="00112529">
        <w:t xml:space="preserve">. The drug samples were obtained </w:t>
      </w:r>
      <w:r w:rsidR="00721774" w:rsidRPr="00BA4150">
        <w:t>from seized blotter paper at Swedish airport customs</w:t>
      </w:r>
      <w:r w:rsidR="00430E66" w:rsidRPr="00E213C2">
        <w:t>, this being the first time this substance was found circulating the street drug market.</w:t>
      </w:r>
      <w:r w:rsidR="00721774" w:rsidRPr="00E213C2">
        <w:t xml:space="preserve"> </w:t>
      </w:r>
      <w:r w:rsidR="00B9054E" w:rsidRPr="00E213C2">
        <w:t>The seized substance</w:t>
      </w:r>
      <w:r w:rsidR="005117AA" w:rsidRPr="00E213C2">
        <w:t>s</w:t>
      </w:r>
      <w:r w:rsidR="00B9054E" w:rsidRPr="00E213C2">
        <w:t xml:space="preserve"> w</w:t>
      </w:r>
      <w:r w:rsidR="005117AA" w:rsidRPr="00E213C2">
        <w:t>ere</w:t>
      </w:r>
      <w:r w:rsidR="00B9054E" w:rsidRPr="00E213C2">
        <w:t xml:space="preserve"> completely unknown prior to </w:t>
      </w:r>
      <w:r w:rsidR="00C267F0" w:rsidRPr="00E213C2">
        <w:t xml:space="preserve">this </w:t>
      </w:r>
      <w:r w:rsidR="004C16A9" w:rsidRPr="00E213C2">
        <w:t>experiment and</w:t>
      </w:r>
      <w:r w:rsidR="0098766F" w:rsidRPr="00E213C2">
        <w:t xml:space="preserve"> were </w:t>
      </w:r>
      <w:r w:rsidR="00EC7EE0" w:rsidRPr="00E213C2">
        <w:t>present in small amount, between 30-100</w:t>
      </w:r>
      <w:r w:rsidR="00E02A51" w:rsidRPr="00E213C2">
        <w:t xml:space="preserve">ug. The </w:t>
      </w:r>
      <w:r w:rsidR="004C16A9" w:rsidRPr="00E213C2">
        <w:t xml:space="preserve">identification and </w:t>
      </w:r>
      <w:r w:rsidR="00430E66" w:rsidRPr="00E213C2">
        <w:t xml:space="preserve">structural </w:t>
      </w:r>
      <w:r w:rsidR="004C16A9" w:rsidRPr="00E213C2">
        <w:t>elucidation</w:t>
      </w:r>
      <w:r w:rsidR="00955E7D" w:rsidRPr="00E213C2">
        <w:t xml:space="preserve"> </w:t>
      </w:r>
      <w:r w:rsidR="00430E66" w:rsidRPr="00E213C2">
        <w:t>w</w:t>
      </w:r>
      <w:r w:rsidR="00955E7D" w:rsidRPr="00E213C2">
        <w:t>ere</w:t>
      </w:r>
      <w:r w:rsidR="00367F32" w:rsidRPr="00E213C2">
        <w:t xml:space="preserve"> </w:t>
      </w:r>
      <w:r w:rsidR="00E02A51" w:rsidRPr="00E213C2">
        <w:t>achieved by</w:t>
      </w:r>
      <w:r w:rsidR="00430E66" w:rsidRPr="00E213C2">
        <w:t xml:space="preserve"> using </w:t>
      </w:r>
      <w:r w:rsidR="00430E66" w:rsidRPr="00E213C2">
        <w:rPr>
          <w:color w:val="000000" w:themeColor="text1"/>
          <w:shd w:val="clear" w:color="auto" w:fill="FFFFFF"/>
          <w:vertAlign w:val="superscript"/>
        </w:rPr>
        <w:t>1</w:t>
      </w:r>
      <w:r w:rsidR="00430E66" w:rsidRPr="00E213C2">
        <w:rPr>
          <w:color w:val="000000" w:themeColor="text1"/>
          <w:shd w:val="clear" w:color="auto" w:fill="FFFFFF"/>
        </w:rPr>
        <w:t xml:space="preserve">H NMR and </w:t>
      </w:r>
      <w:r w:rsidR="00430E66" w:rsidRPr="00E213C2">
        <w:rPr>
          <w:rStyle w:val="Emphasis"/>
          <w:i w:val="0"/>
          <w:iCs w:val="0"/>
          <w:color w:val="000000" w:themeColor="text1"/>
          <w:shd w:val="clear" w:color="auto" w:fill="FFFFFF"/>
          <w:vertAlign w:val="superscript"/>
        </w:rPr>
        <w:t>13</w:t>
      </w:r>
      <w:r w:rsidR="00430E66" w:rsidRPr="00E213C2">
        <w:rPr>
          <w:rStyle w:val="Emphasis"/>
          <w:i w:val="0"/>
          <w:iCs w:val="0"/>
          <w:color w:val="000000" w:themeColor="text1"/>
          <w:shd w:val="clear" w:color="auto" w:fill="FFFFFF"/>
        </w:rPr>
        <w:t>C NMR (both 1D and 2D),</w:t>
      </w:r>
      <w:r w:rsidR="00E02A51" w:rsidRPr="00E213C2">
        <w:t xml:space="preserve"> GC-MS</w:t>
      </w:r>
      <w:r w:rsidR="00430E66" w:rsidRPr="00E213C2">
        <w:t xml:space="preserve"> and</w:t>
      </w:r>
      <w:r w:rsidR="00E02A51" w:rsidRPr="00E213C2">
        <w:t xml:space="preserve"> </w:t>
      </w:r>
      <w:r w:rsidR="004059F8" w:rsidRPr="00E213C2">
        <w:t>LC</w:t>
      </w:r>
      <w:r w:rsidR="00367F32" w:rsidRPr="00E213C2">
        <w:t>-</w:t>
      </w:r>
      <w:r w:rsidR="009D74E6" w:rsidRPr="00E213C2">
        <w:t>MS</w:t>
      </w:r>
      <w:r w:rsidR="00430E66" w:rsidRPr="00E213C2">
        <w:t>. Despite only a small amount of the substance being obtained for analysis</w:t>
      </w:r>
      <w:r w:rsidR="00955E7D" w:rsidRPr="00E213C2">
        <w:t>,</w:t>
      </w:r>
      <w:r w:rsidR="00430E66" w:rsidRPr="00E213C2">
        <w:rPr>
          <w:color w:val="000000" w:themeColor="text1"/>
          <w:shd w:val="clear" w:color="auto" w:fill="FFFFFF"/>
        </w:rPr>
        <w:t xml:space="preserve"> NMR was still capable of identifying </w:t>
      </w:r>
      <w:r w:rsidR="00955E7D" w:rsidRPr="00E213C2">
        <w:rPr>
          <w:color w:val="000000" w:themeColor="text1"/>
          <w:shd w:val="clear" w:color="auto" w:fill="FFFFFF"/>
        </w:rPr>
        <w:t>1B-LSD;</w:t>
      </w:r>
      <w:r w:rsidR="00430E66" w:rsidRPr="00E213C2">
        <w:rPr>
          <w:color w:val="000000" w:themeColor="text1"/>
          <w:shd w:val="clear" w:color="auto" w:fill="FFFFFF"/>
        </w:rPr>
        <w:t xml:space="preserve"> </w:t>
      </w:r>
      <w:r w:rsidR="00430E66" w:rsidRPr="00E213C2">
        <w:t xml:space="preserve">the analytical profile that was produced in this paper consistent with the work conducted by Brandt </w:t>
      </w:r>
      <w:r w:rsidR="00430E66" w:rsidRPr="00E213C2">
        <w:rPr>
          <w:i/>
          <w:iCs/>
        </w:rPr>
        <w:t>et al.</w:t>
      </w:r>
      <w:r w:rsidR="00430E66" w:rsidRPr="00E213C2">
        <w:rPr>
          <w:i/>
          <w:iCs/>
        </w:rPr>
        <w:fldChar w:fldCharType="begin" w:fldLock="1"/>
      </w:r>
      <w:r w:rsidR="001E3C8B" w:rsidRPr="00E213C2">
        <w:rPr>
          <w:i/>
          <w:iCs/>
        </w:rPr>
        <w:instrText>ADDIN CSL_CITATION {"citationItems":[{"id":"ITEM-1","itemData":{"DOI":"10.1002/dta.2613","ISSN":"19427611","PMID":"31083768","abstract":"The psychedelic properties of lysergic acid diethylamide (LSD) have captured the imagination of researchers for many years and its rediscovery as an important research tool is evidenced by its clinical use within neuroscientific and therapeutic settings. At the same time, a number of novel LSD analogs have recently emerged as recreational drugs, which makes it necessary to study their analytical and pharmacological properties. One recent addition to this series of LSD analogs is 1-butanoyl-LSD (1B-LSD), a constitutional isomer of 1-propanoyl-6-ethyl-6-nor-lysergic acid diethylamide (1P-ETH-LAD), another LSD analog that was described previously. This study presents a comprehensive analytical characterization of 1B-LSD employing nuclear magnetic resonance spectroscopy (NMR), low- and high-resolution mass spectrometry platforms, gas- and liquid chromatography (GC and LC), and GC-condensed phase and attenuated total reflection infrared spectroscopy analyses. Analytical differentiation of 1B-LSD from 1P-ETH-LAD was straightforward. LSD and other serotonergic hallucinogens induce the head-twitch response (HTR) in rats and mice, which is believed to be mediated largely by 5-HT2A receptor activation. HTR studies were conducted in C57BL/6J mice to assess whether 1B-LSD has LSD-like behavioral effects. 1B-LSD produced a dose-dependent increase in HTR counts, acting with ~14% (ED50 = 976.7 nmol/kg) of the potency of LSD (ED50 = 132.8 nmol/kg). This finding suggests that the behavioral effects of 1B-LSD are reminiscent of LSD and other serotonergic hallucinogens. The possibility exists that 1B-LSD serves as a pro-drug for LSD. Further investigations are warranted to confirm whether 1B-LSD produces LSD-like psychoactive effects in humans.","author":[{"dropping-particle":"","family":"Brandt","given":"Simon D.","non-dropping-particle":"","parse-names":false,"suffix":""},{"dropping-particle":"V.","family":"Kavanagh","given":"Pierce","non-dropping-particle":"","parse-names":false,"suffix":""},{"dropping-particle":"","family":"Westphal","given":"Folker","non-dropping-particle":"","parse-names":false,"suffix":""},{"dropping-particle":"","family":"Stratford","given":"Alexander","non-dropping-particle":"","parse-names":false,"suffix":""},{"dropping-particle":"","family":"Elliott","given":"Simon P.","non-dropping-particle":"","parse-names":false,"suffix":""},{"dropping-particle":"","family":"Dowling","given":"Geraldine","non-dropping-particle":"","parse-names":false,"suffix":""},{"dropping-particle":"","family":"Wallach","given":"Jason","non-dropping-particle":"","parse-names":false,"suffix":""},{"dropping-particle":"","family":"Halberstadt","given":"Adam L.","non-dropping-particle":"","parse-names":false,"suffix":""}],"container-title":"Drug Testing and Analysis","id":"ITEM-1","issue":"8","issued":{"date-parts":[["2019","8","1"]]},"page":"1122-1133","publisher":"John Wiley and Sons Ltd","title":"Return of the lysergamides. Part V: Analytical and behavioural characterization of 1-butanoyl-d-lysergic acid diethylamide (1B-LSD)","type":"article-journal","volume":"11"},"uris":["http://www.mendeley.com/documents/?uuid=342ceee6-7e4a-3279-b7ae-13bb2a9f0811"]}],"mendeley":{"formattedCitation":"(85)","plainTextFormattedCitation":"(85)","previouslyFormattedCitation":"(85)"},"properties":{"noteIndex":0},"schema":"https://github.com/citation-style-language/schema/raw/master/csl-citation.json"}</w:instrText>
      </w:r>
      <w:r w:rsidR="00430E66" w:rsidRPr="00CA61AB">
        <w:rPr>
          <w:i/>
          <w:iCs/>
        </w:rPr>
        <w:fldChar w:fldCharType="separate"/>
      </w:r>
      <w:r w:rsidR="001E3C8B" w:rsidRPr="00E213C2">
        <w:rPr>
          <w:iCs/>
          <w:noProof/>
        </w:rPr>
        <w:t>(85)</w:t>
      </w:r>
      <w:r w:rsidR="00430E66" w:rsidRPr="00E213C2">
        <w:rPr>
          <w:i/>
          <w:iCs/>
        </w:rPr>
        <w:fldChar w:fldCharType="end"/>
      </w:r>
      <w:r w:rsidR="00430E66" w:rsidRPr="00E213C2">
        <w:rPr>
          <w:i/>
          <w:iCs/>
        </w:rPr>
        <w:t>.</w:t>
      </w:r>
      <w:r w:rsidR="00430E66" w:rsidRPr="00E213C2">
        <w:t xml:space="preserve"> </w:t>
      </w:r>
      <w:r w:rsidR="00A16EA0" w:rsidRPr="00E213C2">
        <w:t>It</w:t>
      </w:r>
      <w:r w:rsidR="00A16EA0" w:rsidRPr="00926770">
        <w:t xml:space="preserve"> </w:t>
      </w:r>
      <w:r w:rsidR="00A16EA0" w:rsidRPr="00072F2F">
        <w:t>i</w:t>
      </w:r>
      <w:r w:rsidR="00A16EA0" w:rsidRPr="00883112">
        <w:t>s</w:t>
      </w:r>
      <w:r w:rsidR="00A16EA0" w:rsidRPr="00264D28">
        <w:t xml:space="preserve"> a</w:t>
      </w:r>
      <w:r w:rsidR="00A16EA0" w:rsidRPr="00133B53">
        <w:t>p</w:t>
      </w:r>
      <w:r w:rsidR="00A16EA0" w:rsidRPr="00112529">
        <w:t>paren</w:t>
      </w:r>
      <w:r w:rsidR="00A16EA0" w:rsidRPr="00BA4150">
        <w:t xml:space="preserve">t </w:t>
      </w:r>
      <w:r w:rsidR="00430E66" w:rsidRPr="00E213C2">
        <w:t>that</w:t>
      </w:r>
      <w:r w:rsidR="00C971AC" w:rsidRPr="00E213C2">
        <w:t xml:space="preserve"> </w:t>
      </w:r>
      <w:r w:rsidR="00430E66" w:rsidRPr="00E213C2">
        <w:rPr>
          <w:color w:val="000000" w:themeColor="text1"/>
          <w:shd w:val="clear" w:color="auto" w:fill="FFFFFF"/>
          <w:vertAlign w:val="superscript"/>
        </w:rPr>
        <w:t>1</w:t>
      </w:r>
      <w:r w:rsidR="00430E66" w:rsidRPr="00E213C2">
        <w:rPr>
          <w:color w:val="000000" w:themeColor="text1"/>
          <w:shd w:val="clear" w:color="auto" w:fill="FFFFFF"/>
        </w:rPr>
        <w:t>H</w:t>
      </w:r>
      <w:r w:rsidR="00430E66" w:rsidRPr="00E213C2">
        <w:t xml:space="preserve"> </w:t>
      </w:r>
      <w:r w:rsidR="00995FDF" w:rsidRPr="00E213C2">
        <w:t>NMR</w:t>
      </w:r>
      <w:r w:rsidR="00430E66" w:rsidRPr="00E213C2">
        <w:t xml:space="preserve"> </w:t>
      </w:r>
      <w:r w:rsidR="00CA79D1" w:rsidRPr="00E213C2">
        <w:t xml:space="preserve">spectroscopy </w:t>
      </w:r>
      <w:proofErr w:type="gramStart"/>
      <w:r w:rsidR="00430E66" w:rsidRPr="00E213C2">
        <w:t>was capable of replicating</w:t>
      </w:r>
      <w:proofErr w:type="gramEnd"/>
      <w:r w:rsidR="00430E66" w:rsidRPr="00E213C2">
        <w:t xml:space="preserve"> the data for the </w:t>
      </w:r>
      <w:r w:rsidR="00995FDF" w:rsidRPr="00E213C2">
        <w:t>structural identif</w:t>
      </w:r>
      <w:r w:rsidR="00430E66" w:rsidRPr="00E213C2">
        <w:t xml:space="preserve">ication of </w:t>
      </w:r>
      <w:r w:rsidR="00995FDF" w:rsidRPr="00E213C2">
        <w:t>1B-LSD</w:t>
      </w:r>
      <w:r w:rsidR="00430E66" w:rsidRPr="00E213C2">
        <w:t xml:space="preserve"> and thus, potentially other NPSs. </w:t>
      </w:r>
      <w:r w:rsidR="00A6309D" w:rsidRPr="00E213C2">
        <w:t>However, t</w:t>
      </w:r>
      <w:r w:rsidR="00430E66" w:rsidRPr="00E213C2">
        <w:t xml:space="preserve">here was no </w:t>
      </w:r>
      <w:proofErr w:type="spellStart"/>
      <w:r w:rsidR="00430E66" w:rsidRPr="00E213C2">
        <w:t>metabonomics</w:t>
      </w:r>
      <w:proofErr w:type="spellEnd"/>
      <w:r w:rsidR="00430E66" w:rsidRPr="00E213C2">
        <w:t xml:space="preserve"> approach </w:t>
      </w:r>
      <w:r w:rsidR="00A6309D" w:rsidRPr="00E213C2">
        <w:t xml:space="preserve">applied </w:t>
      </w:r>
      <w:r w:rsidR="00430E66" w:rsidRPr="00E213C2">
        <w:t xml:space="preserve">to this </w:t>
      </w:r>
      <w:proofErr w:type="gramStart"/>
      <w:r w:rsidR="00430E66" w:rsidRPr="00E213C2">
        <w:t>particular study</w:t>
      </w:r>
      <w:proofErr w:type="gramEnd"/>
      <w:r w:rsidR="00430E66" w:rsidRPr="00E213C2">
        <w:t xml:space="preserve">, and as such </w:t>
      </w:r>
      <w:r w:rsidR="00430E66" w:rsidRPr="00E213C2">
        <w:rPr>
          <w:color w:val="000000" w:themeColor="text1"/>
          <w:shd w:val="clear" w:color="auto" w:fill="FFFFFF"/>
          <w:vertAlign w:val="superscript"/>
        </w:rPr>
        <w:t>1</w:t>
      </w:r>
      <w:r w:rsidR="00430E66" w:rsidRPr="00E213C2">
        <w:rPr>
          <w:color w:val="000000" w:themeColor="text1"/>
          <w:shd w:val="clear" w:color="auto" w:fill="FFFFFF"/>
        </w:rPr>
        <w:t>H</w:t>
      </w:r>
      <w:r w:rsidR="00430E66" w:rsidRPr="00E213C2">
        <w:t xml:space="preserve"> NMR </w:t>
      </w:r>
      <w:r w:rsidR="006508EA" w:rsidRPr="00E213C2">
        <w:t>was</w:t>
      </w:r>
      <w:r w:rsidR="00430E66" w:rsidRPr="00E213C2">
        <w:t xml:space="preserve"> </w:t>
      </w:r>
      <w:r w:rsidR="006508EA" w:rsidRPr="00E213C2">
        <w:t xml:space="preserve">not </w:t>
      </w:r>
      <w:r w:rsidR="00430E66" w:rsidRPr="00E213C2">
        <w:t>used for this purpose.</w:t>
      </w:r>
      <w:r w:rsidR="00430E66">
        <w:t xml:space="preserve"> </w:t>
      </w:r>
    </w:p>
    <w:p w14:paraId="7CDA8F80" w14:textId="60E128E4" w:rsidR="00E01FA0" w:rsidRDefault="00E01FA0" w:rsidP="00E50706"/>
    <w:p w14:paraId="38A8B642" w14:textId="69DD5BCE" w:rsidR="00C93AF1" w:rsidRDefault="008402D2" w:rsidP="00E50706">
      <w:r w:rsidRPr="006902F3">
        <w:t xml:space="preserve">Lenz </w:t>
      </w:r>
      <w:r w:rsidRPr="006902F3">
        <w:rPr>
          <w:i/>
          <w:iCs/>
        </w:rPr>
        <w:t>et al</w:t>
      </w:r>
      <w:r w:rsidR="00A926C0" w:rsidRPr="006902F3">
        <w:rPr>
          <w:i/>
          <w:iCs/>
        </w:rPr>
        <w:t>.</w:t>
      </w:r>
      <w:r w:rsidR="00030235">
        <w:rPr>
          <w:i/>
          <w:iCs/>
        </w:rPr>
        <w:fldChar w:fldCharType="begin" w:fldLock="1"/>
      </w:r>
      <w:r w:rsidR="00030235">
        <w:rPr>
          <w:i/>
          <w:iCs/>
        </w:rPr>
        <w:instrText>ADDIN CSL_CITATION {"citationItems":[{"id":"ITEM-1","itemData":{"DOI":"10.1002/anie.201910175","ISSN":"15213773","PMID":"31725937","abstract":"Upon injury, psychotropic psilocybin-producing mushrooms instantly develop an intense blue color, the chemical basis and mode of formation of which has remained elusive. We report two enzymes from Psilocybe cubensis that carry out a two-step cascade to prepare psilocybin for oxidative oligomerization that leads to blue products. The phosphatase PsiP removes the 4-O-phosphate group to yield psilocin, while PsiL oxidizes its 4-hydroxy group. The PsiL reaction was monitored by in situ 13C NMR spectroscopy, which indicated that oxidative coupling of psilocyl residues occurs primarily via C-5. MS and IR spectroscopy indicated the formation of a heterogeneous mixture of preferentially psilocyl 3- to 13-mers and suggest multiple oligomerization routes, depending on oxidative power and substrate concentration. The results also imply that phosphate ester of psilocybin serves a reversible protective function.","author":[{"dropping-particle":"","family":"Lenz","given":"Claudius","non-dropping-particle":"","parse-names":false,"suffix":""},{"dropping-particle":"","family":"Wick","given":"Jonas","non-dropping-particle":"","parse-names":false,"suffix":""},{"dropping-particle":"","family":"Braga","given":"Daniel","non-dropping-particle":"","parse-names":false,"suffix":""},{"dropping-particle":"","family":"García-Altares","given":"María","non-dropping-particle":"","parse-names":false,"suffix":""},{"dropping-particle":"","family":"Lackner","given":"Gerald","non-dropping-particle":"","parse-names":false,"suffix":""},{"dropping-particle":"","family":"Hertweck","given":"Christian","non-dropping-particle":"","parse-names":false,"suffix":""},{"dropping-particle":"","family":"Gressler","given":"Markus","non-dropping-particle":"","parse-names":false,"suffix":""},{"dropping-particle":"","family":"Hoffmeister","given":"Dirk","non-dropping-particle":"","parse-names":false,"suffix":""}],"container-title":"Angewandte Chemie - International Edition","id":"ITEM-1","issue":"4","issued":{"date-parts":[["2020","1","20"]]},"page":"1450-1454","publisher":"Wiley-VCH Verlag","title":"Injury-Triggered Blueing Reactions of Psilocybe “Magic” Mushrooms","type":"article-journal","volume":"59"},"uris":["http://www.mendeley.com/documents/?uuid=d848bad5-e74b-3958-85eb-3b37db2918d2"]}],"mendeley":{"formattedCitation":"(94)","plainTextFormattedCitation":"(94)","previouslyFormattedCitation":"(94)"},"properties":{"noteIndex":0},"schema":"https://github.com/citation-style-language/schema/raw/master/csl-citation.json"}</w:instrText>
      </w:r>
      <w:r w:rsidR="00030235">
        <w:rPr>
          <w:i/>
          <w:iCs/>
        </w:rPr>
        <w:fldChar w:fldCharType="separate"/>
      </w:r>
      <w:r w:rsidR="00030235" w:rsidRPr="00030235">
        <w:rPr>
          <w:iCs/>
          <w:noProof/>
        </w:rPr>
        <w:t>(94)</w:t>
      </w:r>
      <w:r w:rsidR="00030235">
        <w:rPr>
          <w:i/>
          <w:iCs/>
        </w:rPr>
        <w:fldChar w:fldCharType="end"/>
      </w:r>
      <w:r w:rsidRPr="006902F3">
        <w:t xml:space="preserve"> (2020)</w:t>
      </w:r>
      <w:r w:rsidR="00733625">
        <w:t xml:space="preserve"> used </w:t>
      </w:r>
      <w:r w:rsidR="00B30DD6" w:rsidRPr="00CE7615">
        <w:rPr>
          <w:color w:val="000000" w:themeColor="text1"/>
          <w:shd w:val="clear" w:color="auto" w:fill="FFFFFF"/>
          <w:vertAlign w:val="superscript"/>
        </w:rPr>
        <w:t>1</w:t>
      </w:r>
      <w:r w:rsidR="00B30DD6" w:rsidRPr="00CE7615">
        <w:rPr>
          <w:color w:val="000000" w:themeColor="text1"/>
          <w:shd w:val="clear" w:color="auto" w:fill="FFFFFF"/>
        </w:rPr>
        <w:t>H</w:t>
      </w:r>
      <w:r w:rsidR="00B30DD6">
        <w:rPr>
          <w:color w:val="000000" w:themeColor="text1"/>
          <w:shd w:val="clear" w:color="auto" w:fill="FFFFFF"/>
        </w:rPr>
        <w:t xml:space="preserve"> NMR</w:t>
      </w:r>
      <w:r w:rsidR="004D6770">
        <w:rPr>
          <w:color w:val="000000" w:themeColor="text1"/>
          <w:shd w:val="clear" w:color="auto" w:fill="FFFFFF"/>
        </w:rPr>
        <w:t xml:space="preserve"> </w:t>
      </w:r>
      <w:r w:rsidR="0023735F">
        <w:rPr>
          <w:color w:val="000000" w:themeColor="text1"/>
          <w:shd w:val="clear" w:color="auto" w:fill="FFFFFF"/>
        </w:rPr>
        <w:t xml:space="preserve">to </w:t>
      </w:r>
      <w:r w:rsidR="00777027">
        <w:rPr>
          <w:color w:val="000000" w:themeColor="text1"/>
          <w:shd w:val="clear" w:color="auto" w:fill="FFFFFF"/>
        </w:rPr>
        <w:t>analytically</w:t>
      </w:r>
      <w:r w:rsidR="0023735F">
        <w:rPr>
          <w:color w:val="000000" w:themeColor="text1"/>
          <w:shd w:val="clear" w:color="auto" w:fill="FFFFFF"/>
        </w:rPr>
        <w:t xml:space="preserve"> characterise </w:t>
      </w:r>
      <w:r w:rsidR="002C03F9">
        <w:rPr>
          <w:color w:val="000000" w:themeColor="text1"/>
          <w:shd w:val="clear" w:color="auto" w:fill="FFFFFF"/>
        </w:rPr>
        <w:t xml:space="preserve">the two </w:t>
      </w:r>
      <w:r w:rsidR="0023735F">
        <w:rPr>
          <w:color w:val="000000" w:themeColor="text1"/>
          <w:shd w:val="clear" w:color="auto" w:fill="FFFFFF"/>
        </w:rPr>
        <w:t>enzymes</w:t>
      </w:r>
      <w:r w:rsidR="0081577C">
        <w:rPr>
          <w:color w:val="000000" w:themeColor="text1"/>
          <w:shd w:val="clear" w:color="auto" w:fill="FFFFFF"/>
        </w:rPr>
        <w:t xml:space="preserve"> </w:t>
      </w:r>
      <w:r w:rsidR="00A6309D">
        <w:rPr>
          <w:color w:val="000000" w:themeColor="text1"/>
          <w:shd w:val="clear" w:color="auto" w:fill="FFFFFF"/>
        </w:rPr>
        <w:t xml:space="preserve">a </w:t>
      </w:r>
      <w:r w:rsidR="0081577C">
        <w:rPr>
          <w:rStyle w:val="Emphasis"/>
          <w:i w:val="0"/>
          <w:iCs w:val="0"/>
          <w:color w:val="000000" w:themeColor="text1"/>
          <w:shd w:val="clear" w:color="auto" w:fill="FFFFFF"/>
        </w:rPr>
        <w:t>phosphatase (</w:t>
      </w:r>
      <w:proofErr w:type="spellStart"/>
      <w:r w:rsidR="0081577C">
        <w:rPr>
          <w:rStyle w:val="Emphasis"/>
          <w:i w:val="0"/>
          <w:iCs w:val="0"/>
          <w:color w:val="000000" w:themeColor="text1"/>
          <w:shd w:val="clear" w:color="auto" w:fill="FFFFFF"/>
        </w:rPr>
        <w:t>PsiP</w:t>
      </w:r>
      <w:proofErr w:type="spellEnd"/>
      <w:r w:rsidR="0081577C">
        <w:rPr>
          <w:rStyle w:val="Emphasis"/>
          <w:i w:val="0"/>
          <w:iCs w:val="0"/>
          <w:color w:val="000000" w:themeColor="text1"/>
          <w:shd w:val="clear" w:color="auto" w:fill="FFFFFF"/>
        </w:rPr>
        <w:t xml:space="preserve">) and </w:t>
      </w:r>
      <w:r w:rsidR="00A6309D">
        <w:rPr>
          <w:rStyle w:val="Emphasis"/>
          <w:i w:val="0"/>
          <w:iCs w:val="0"/>
          <w:color w:val="000000" w:themeColor="text1"/>
          <w:shd w:val="clear" w:color="auto" w:fill="FFFFFF"/>
        </w:rPr>
        <w:t xml:space="preserve">a </w:t>
      </w:r>
      <w:proofErr w:type="spellStart"/>
      <w:r w:rsidR="0081577C">
        <w:rPr>
          <w:rStyle w:val="Emphasis"/>
          <w:i w:val="0"/>
          <w:iCs w:val="0"/>
          <w:color w:val="000000" w:themeColor="text1"/>
          <w:shd w:val="clear" w:color="auto" w:fill="FFFFFF"/>
        </w:rPr>
        <w:t>laccatase</w:t>
      </w:r>
      <w:proofErr w:type="spellEnd"/>
      <w:r w:rsidR="0081577C">
        <w:rPr>
          <w:rStyle w:val="Emphasis"/>
          <w:i w:val="0"/>
          <w:iCs w:val="0"/>
          <w:color w:val="000000" w:themeColor="text1"/>
          <w:shd w:val="clear" w:color="auto" w:fill="FFFFFF"/>
        </w:rPr>
        <w:t xml:space="preserve"> (</w:t>
      </w:r>
      <w:proofErr w:type="spellStart"/>
      <w:r w:rsidR="0081577C">
        <w:rPr>
          <w:rStyle w:val="Emphasis"/>
          <w:i w:val="0"/>
          <w:iCs w:val="0"/>
          <w:color w:val="000000" w:themeColor="text1"/>
          <w:shd w:val="clear" w:color="auto" w:fill="FFFFFF"/>
        </w:rPr>
        <w:t>PsiL</w:t>
      </w:r>
      <w:proofErr w:type="spellEnd"/>
      <w:r w:rsidR="0081577C">
        <w:rPr>
          <w:rStyle w:val="Emphasis"/>
          <w:i w:val="0"/>
          <w:iCs w:val="0"/>
          <w:color w:val="000000" w:themeColor="text1"/>
          <w:shd w:val="clear" w:color="auto" w:fill="FFFFFF"/>
        </w:rPr>
        <w:t xml:space="preserve">) </w:t>
      </w:r>
      <w:r w:rsidR="0023735F">
        <w:rPr>
          <w:color w:val="000000" w:themeColor="text1"/>
          <w:shd w:val="clear" w:color="auto" w:fill="FFFFFF"/>
        </w:rPr>
        <w:t>present</w:t>
      </w:r>
      <w:r w:rsidR="00A926C0">
        <w:rPr>
          <w:color w:val="000000" w:themeColor="text1"/>
          <w:shd w:val="clear" w:color="auto" w:fill="FFFFFF"/>
        </w:rPr>
        <w:t xml:space="preserve"> in </w:t>
      </w:r>
      <w:proofErr w:type="spellStart"/>
      <w:r w:rsidR="00A926C0" w:rsidRPr="00A926C0">
        <w:rPr>
          <w:i/>
          <w:iCs/>
          <w:color w:val="000000" w:themeColor="text1"/>
          <w:shd w:val="clear" w:color="auto" w:fill="FFFFFF"/>
        </w:rPr>
        <w:t>Psilocybe</w:t>
      </w:r>
      <w:proofErr w:type="spellEnd"/>
      <w:r w:rsidR="00A926C0" w:rsidRPr="00A926C0">
        <w:rPr>
          <w:i/>
          <w:iCs/>
          <w:color w:val="000000" w:themeColor="text1"/>
          <w:shd w:val="clear" w:color="auto" w:fill="FFFFFF"/>
        </w:rPr>
        <w:t xml:space="preserve"> </w:t>
      </w:r>
      <w:proofErr w:type="spellStart"/>
      <w:r w:rsidR="00A926C0" w:rsidRPr="00A926C0">
        <w:rPr>
          <w:i/>
          <w:iCs/>
          <w:color w:val="000000" w:themeColor="text1"/>
          <w:shd w:val="clear" w:color="auto" w:fill="FFFFFF"/>
        </w:rPr>
        <w:t>cubensis</w:t>
      </w:r>
      <w:proofErr w:type="spellEnd"/>
      <w:r w:rsidR="00A926C0">
        <w:rPr>
          <w:color w:val="000000" w:themeColor="text1"/>
          <w:shd w:val="clear" w:color="auto" w:fill="FFFFFF"/>
        </w:rPr>
        <w:t xml:space="preserve"> mushroom</w:t>
      </w:r>
      <w:r w:rsidR="00D56444">
        <w:rPr>
          <w:color w:val="000000" w:themeColor="text1"/>
          <w:shd w:val="clear" w:color="auto" w:fill="FFFFFF"/>
        </w:rPr>
        <w:t>s</w:t>
      </w:r>
      <w:r w:rsidR="00A926C0">
        <w:rPr>
          <w:color w:val="000000" w:themeColor="text1"/>
          <w:shd w:val="clear" w:color="auto" w:fill="FFFFFF"/>
        </w:rPr>
        <w:t xml:space="preserve">. </w:t>
      </w:r>
      <w:r w:rsidR="00E06538">
        <w:rPr>
          <w:color w:val="000000" w:themeColor="text1"/>
          <w:shd w:val="clear" w:color="auto" w:fill="FFFFFF"/>
        </w:rPr>
        <w:t>When t</w:t>
      </w:r>
      <w:r w:rsidR="00D56444">
        <w:rPr>
          <w:color w:val="000000" w:themeColor="text1"/>
          <w:shd w:val="clear" w:color="auto" w:fill="FFFFFF"/>
        </w:rPr>
        <w:t>his</w:t>
      </w:r>
      <w:r w:rsidR="00E06538">
        <w:rPr>
          <w:color w:val="000000" w:themeColor="text1"/>
          <w:shd w:val="clear" w:color="auto" w:fill="FFFFFF"/>
        </w:rPr>
        <w:t xml:space="preserve"> mushroom is injured</w:t>
      </w:r>
      <w:r w:rsidR="00CB5AA6">
        <w:rPr>
          <w:color w:val="000000" w:themeColor="text1"/>
          <w:shd w:val="clear" w:color="auto" w:fill="FFFFFF"/>
        </w:rPr>
        <w:t xml:space="preserve">, it will </w:t>
      </w:r>
      <w:r w:rsidR="006A1F92">
        <w:rPr>
          <w:color w:val="000000" w:themeColor="text1"/>
          <w:shd w:val="clear" w:color="auto" w:fill="FFFFFF"/>
        </w:rPr>
        <w:t xml:space="preserve">typically turn blue in colour </w:t>
      </w:r>
      <w:r w:rsidR="00D56444">
        <w:rPr>
          <w:color w:val="000000" w:themeColor="text1"/>
          <w:shd w:val="clear" w:color="auto" w:fill="FFFFFF"/>
        </w:rPr>
        <w:t>due to</w:t>
      </w:r>
      <w:r w:rsidR="00717EA1">
        <w:rPr>
          <w:color w:val="000000" w:themeColor="text1"/>
          <w:shd w:val="clear" w:color="auto" w:fill="FFFFFF"/>
        </w:rPr>
        <w:t xml:space="preserve"> the injury</w:t>
      </w:r>
      <w:r w:rsidR="00367F32">
        <w:rPr>
          <w:color w:val="000000" w:themeColor="text1"/>
          <w:shd w:val="clear" w:color="auto" w:fill="FFFFFF"/>
        </w:rPr>
        <w:t>. T</w:t>
      </w:r>
      <w:r w:rsidR="00717EA1">
        <w:rPr>
          <w:color w:val="000000" w:themeColor="text1"/>
          <w:shd w:val="clear" w:color="auto" w:fill="FFFFFF"/>
        </w:rPr>
        <w:t xml:space="preserve">he </w:t>
      </w:r>
      <w:r w:rsidR="003A0B64">
        <w:rPr>
          <w:color w:val="000000" w:themeColor="text1"/>
          <w:shd w:val="clear" w:color="auto" w:fill="FFFFFF"/>
        </w:rPr>
        <w:t>mechanism that causes the</w:t>
      </w:r>
      <w:r w:rsidR="00717EA1">
        <w:rPr>
          <w:color w:val="000000" w:themeColor="text1"/>
          <w:shd w:val="clear" w:color="auto" w:fill="FFFFFF"/>
        </w:rPr>
        <w:t xml:space="preserve"> colour change is </w:t>
      </w:r>
      <w:r w:rsidR="003A0B64">
        <w:rPr>
          <w:color w:val="000000" w:themeColor="text1"/>
          <w:shd w:val="clear" w:color="auto" w:fill="FFFFFF"/>
        </w:rPr>
        <w:t>poorly understood and it was investigated in this paper</w:t>
      </w:r>
      <w:r w:rsidR="00EE24BA">
        <w:rPr>
          <w:color w:val="000000" w:themeColor="text1"/>
          <w:shd w:val="clear" w:color="auto" w:fill="FFFFFF"/>
        </w:rPr>
        <w:t xml:space="preserve">. </w:t>
      </w:r>
      <w:r w:rsidR="003A0B64">
        <w:rPr>
          <w:color w:val="000000" w:themeColor="text1"/>
          <w:shd w:val="clear" w:color="auto" w:fill="FFFFFF"/>
        </w:rPr>
        <w:t>They found that a</w:t>
      </w:r>
      <w:r w:rsidR="00BA6513">
        <w:rPr>
          <w:color w:val="000000" w:themeColor="text1"/>
          <w:shd w:val="clear" w:color="auto" w:fill="FFFFFF"/>
        </w:rPr>
        <w:t xml:space="preserve"> two-step enzyme cascade </w:t>
      </w:r>
      <w:r w:rsidR="003A0B64">
        <w:rPr>
          <w:color w:val="000000" w:themeColor="text1"/>
          <w:shd w:val="clear" w:color="auto" w:fill="FFFFFF"/>
        </w:rPr>
        <w:t>occurred</w:t>
      </w:r>
      <w:r w:rsidR="00BA6513">
        <w:rPr>
          <w:color w:val="000000" w:themeColor="text1"/>
          <w:shd w:val="clear" w:color="auto" w:fill="FFFFFF"/>
        </w:rPr>
        <w:t xml:space="preserve"> in the </w:t>
      </w:r>
      <w:r w:rsidR="00624D25">
        <w:rPr>
          <w:color w:val="000000" w:themeColor="text1"/>
          <w:shd w:val="clear" w:color="auto" w:fill="FFFFFF"/>
        </w:rPr>
        <w:t>mushroom</w:t>
      </w:r>
      <w:r w:rsidR="003A0B64">
        <w:rPr>
          <w:color w:val="000000" w:themeColor="text1"/>
          <w:shd w:val="clear" w:color="auto" w:fill="FFFFFF"/>
        </w:rPr>
        <w:t xml:space="preserve"> to prepare </w:t>
      </w:r>
      <w:r w:rsidR="0009301B">
        <w:rPr>
          <w:color w:val="000000" w:themeColor="text1"/>
          <w:shd w:val="clear" w:color="auto" w:fill="FFFFFF"/>
        </w:rPr>
        <w:t xml:space="preserve">for oxidative </w:t>
      </w:r>
      <w:r w:rsidR="005C66D1">
        <w:rPr>
          <w:color w:val="000000" w:themeColor="text1"/>
          <w:shd w:val="clear" w:color="auto" w:fill="FFFFFF"/>
        </w:rPr>
        <w:t xml:space="preserve">oligomerisation of psilocybin which leads to the blue colour. </w:t>
      </w:r>
      <w:r w:rsidR="00DD7331" w:rsidRPr="00C915BA">
        <w:t xml:space="preserve">The phosphatase </w:t>
      </w:r>
      <w:proofErr w:type="spellStart"/>
      <w:r w:rsidR="00DD7331" w:rsidRPr="00C915BA">
        <w:t>PsiP</w:t>
      </w:r>
      <w:proofErr w:type="spellEnd"/>
      <w:r w:rsidR="00DD7331" w:rsidRPr="00C915BA">
        <w:t xml:space="preserve"> removes the </w:t>
      </w:r>
      <w:r w:rsidR="00FD13D8">
        <w:t>4-phosphoryloxy</w:t>
      </w:r>
      <w:r w:rsidR="00DD7331" w:rsidRPr="00C915BA">
        <w:t xml:space="preserve"> group </w:t>
      </w:r>
      <w:r w:rsidR="003A0B64">
        <w:t>from psilocybin to produce</w:t>
      </w:r>
      <w:r w:rsidR="00DD7331" w:rsidRPr="00C915BA">
        <w:t xml:space="preserve"> psilocin, while </w:t>
      </w:r>
      <w:proofErr w:type="spellStart"/>
      <w:r w:rsidR="00DD7331" w:rsidRPr="00C915BA">
        <w:t>PsiL</w:t>
      </w:r>
      <w:proofErr w:type="spellEnd"/>
      <w:r w:rsidR="00BE3964">
        <w:t xml:space="preserve"> </w:t>
      </w:r>
      <w:r w:rsidR="00DD7331" w:rsidRPr="00C915BA">
        <w:t xml:space="preserve">oxidizes </w:t>
      </w:r>
      <w:r w:rsidR="00A6309D">
        <w:t>the</w:t>
      </w:r>
      <w:r w:rsidR="00DD7331" w:rsidRPr="00C915BA">
        <w:t xml:space="preserve"> 4-hydroxy group.</w:t>
      </w:r>
      <w:r w:rsidR="00C93AF1">
        <w:t xml:space="preserve"> </w:t>
      </w:r>
      <w:r w:rsidR="00C93AF1" w:rsidRPr="00C915BA">
        <w:t xml:space="preserve">The </w:t>
      </w:r>
      <w:proofErr w:type="spellStart"/>
      <w:r w:rsidR="00C93AF1" w:rsidRPr="00C915BA">
        <w:t>PsiL</w:t>
      </w:r>
      <w:proofErr w:type="spellEnd"/>
      <w:r w:rsidR="00C93AF1" w:rsidRPr="00C915BA">
        <w:t xml:space="preserve"> reaction was monitored </w:t>
      </w:r>
      <w:r w:rsidR="00367F32" w:rsidRPr="00367F32">
        <w:rPr>
          <w:i/>
          <w:iCs/>
        </w:rPr>
        <w:t>i</w:t>
      </w:r>
      <w:r w:rsidR="00C93AF1" w:rsidRPr="00367F32">
        <w:rPr>
          <w:i/>
          <w:iCs/>
        </w:rPr>
        <w:t>n situ</w:t>
      </w:r>
      <w:r w:rsidR="00C93AF1" w:rsidRPr="00C915BA">
        <w:t> </w:t>
      </w:r>
      <w:r w:rsidR="00367F32">
        <w:t>by</w:t>
      </w:r>
      <w:r w:rsidR="003A0B64">
        <w:t xml:space="preserve"> </w:t>
      </w:r>
      <w:r w:rsidR="003A0B64" w:rsidRPr="00CE7615">
        <w:rPr>
          <w:color w:val="000000" w:themeColor="text1"/>
          <w:shd w:val="clear" w:color="auto" w:fill="FFFFFF"/>
          <w:vertAlign w:val="superscript"/>
        </w:rPr>
        <w:t>1</w:t>
      </w:r>
      <w:r w:rsidR="003A0B64" w:rsidRPr="00CE7615">
        <w:rPr>
          <w:color w:val="000000" w:themeColor="text1"/>
          <w:shd w:val="clear" w:color="auto" w:fill="FFFFFF"/>
        </w:rPr>
        <w:t>H</w:t>
      </w:r>
      <w:r w:rsidR="003A0B64">
        <w:rPr>
          <w:color w:val="000000" w:themeColor="text1"/>
          <w:shd w:val="clear" w:color="auto" w:fill="FFFFFF"/>
        </w:rPr>
        <w:t xml:space="preserve"> NMR and</w:t>
      </w:r>
      <w:r w:rsidR="00367F32">
        <w:t xml:space="preserve"> </w:t>
      </w:r>
      <w:r w:rsidR="003A0B64" w:rsidRPr="006902F3">
        <w:rPr>
          <w:rStyle w:val="Emphasis"/>
          <w:i w:val="0"/>
          <w:iCs w:val="0"/>
          <w:color w:val="000000" w:themeColor="text1"/>
          <w:shd w:val="clear" w:color="auto" w:fill="FFFFFF"/>
          <w:vertAlign w:val="superscript"/>
        </w:rPr>
        <w:t>13</w:t>
      </w:r>
      <w:r w:rsidR="003A0B64" w:rsidRPr="006902F3">
        <w:rPr>
          <w:rStyle w:val="Emphasis"/>
          <w:i w:val="0"/>
          <w:iCs w:val="0"/>
          <w:color w:val="000000" w:themeColor="text1"/>
          <w:shd w:val="clear" w:color="auto" w:fill="FFFFFF"/>
        </w:rPr>
        <w:t>C NMR</w:t>
      </w:r>
      <w:r w:rsidR="003A0B64">
        <w:rPr>
          <w:rStyle w:val="Emphasis"/>
          <w:i w:val="0"/>
          <w:iCs w:val="0"/>
          <w:color w:val="000000" w:themeColor="text1"/>
          <w:shd w:val="clear" w:color="auto" w:fill="FFFFFF"/>
        </w:rPr>
        <w:t xml:space="preserve"> </w:t>
      </w:r>
      <w:r w:rsidR="00C93AF1" w:rsidRPr="00C915BA">
        <w:t>spectroscopy.</w:t>
      </w:r>
      <w:r w:rsidR="003A0B64">
        <w:t xml:space="preserve"> </w:t>
      </w:r>
      <w:r w:rsidR="00C93AF1" w:rsidRPr="00C915BA">
        <w:t>T</w:t>
      </w:r>
      <w:r w:rsidR="003A0B64">
        <w:t>his study managed to associate two enzymes with the blue colour chang</w:t>
      </w:r>
      <w:r w:rsidR="00C267F0">
        <w:t xml:space="preserve">e </w:t>
      </w:r>
      <w:r w:rsidR="003A0B64">
        <w:t xml:space="preserve">apparent in </w:t>
      </w:r>
      <w:proofErr w:type="spellStart"/>
      <w:r w:rsidR="003A0B64">
        <w:t>psilocybe</w:t>
      </w:r>
      <w:proofErr w:type="spellEnd"/>
      <w:r w:rsidR="003A0B64">
        <w:t xml:space="preserve"> mushrooms, demonstrating that </w:t>
      </w:r>
      <w:r w:rsidR="003A0B64" w:rsidRPr="00CE7615">
        <w:rPr>
          <w:color w:val="000000" w:themeColor="text1"/>
          <w:shd w:val="clear" w:color="auto" w:fill="FFFFFF"/>
          <w:vertAlign w:val="superscript"/>
        </w:rPr>
        <w:t>1</w:t>
      </w:r>
      <w:r w:rsidR="003A0B64" w:rsidRPr="00CE7615">
        <w:rPr>
          <w:color w:val="000000" w:themeColor="text1"/>
          <w:shd w:val="clear" w:color="auto" w:fill="FFFFFF"/>
        </w:rPr>
        <w:t>H</w:t>
      </w:r>
      <w:r w:rsidR="003A0B64">
        <w:rPr>
          <w:color w:val="000000" w:themeColor="text1"/>
          <w:shd w:val="clear" w:color="auto" w:fill="FFFFFF"/>
        </w:rPr>
        <w:t xml:space="preserve"> NMR can be utilised in molecular chemistry experiments on psychedelic natural products. Despite there not being a </w:t>
      </w:r>
      <w:proofErr w:type="spellStart"/>
      <w:r w:rsidR="003A0B64">
        <w:rPr>
          <w:color w:val="000000" w:themeColor="text1"/>
          <w:shd w:val="clear" w:color="auto" w:fill="FFFFFF"/>
        </w:rPr>
        <w:t>metabonomics</w:t>
      </w:r>
      <w:proofErr w:type="spellEnd"/>
      <w:r w:rsidR="003A0B64">
        <w:rPr>
          <w:color w:val="000000" w:themeColor="text1"/>
          <w:shd w:val="clear" w:color="auto" w:fill="FFFFFF"/>
        </w:rPr>
        <w:t xml:space="preserve"> application for </w:t>
      </w:r>
      <w:r w:rsidR="003A0B64" w:rsidRPr="00CE7615">
        <w:rPr>
          <w:color w:val="000000" w:themeColor="text1"/>
          <w:shd w:val="clear" w:color="auto" w:fill="FFFFFF"/>
          <w:vertAlign w:val="superscript"/>
        </w:rPr>
        <w:t>1</w:t>
      </w:r>
      <w:r w:rsidR="003A0B64" w:rsidRPr="00CE7615">
        <w:rPr>
          <w:color w:val="000000" w:themeColor="text1"/>
          <w:shd w:val="clear" w:color="auto" w:fill="FFFFFF"/>
        </w:rPr>
        <w:t>H</w:t>
      </w:r>
      <w:r w:rsidR="003A0B64">
        <w:rPr>
          <w:color w:val="000000" w:themeColor="text1"/>
          <w:shd w:val="clear" w:color="auto" w:fill="FFFFFF"/>
        </w:rPr>
        <w:t xml:space="preserve"> NMR in this study, the data produced from these enzymes </w:t>
      </w:r>
      <w:r w:rsidR="00A6309D">
        <w:rPr>
          <w:color w:val="000000" w:themeColor="text1"/>
          <w:shd w:val="clear" w:color="auto" w:fill="FFFFFF"/>
        </w:rPr>
        <w:t>wa</w:t>
      </w:r>
      <w:r w:rsidR="003A0B64">
        <w:rPr>
          <w:color w:val="000000" w:themeColor="text1"/>
          <w:shd w:val="clear" w:color="auto" w:fill="FFFFFF"/>
        </w:rPr>
        <w:t xml:space="preserve">s useful for future </w:t>
      </w:r>
      <w:r w:rsidR="003A0B64" w:rsidRPr="00CE7615">
        <w:rPr>
          <w:color w:val="000000" w:themeColor="text1"/>
          <w:shd w:val="clear" w:color="auto" w:fill="FFFFFF"/>
          <w:vertAlign w:val="superscript"/>
        </w:rPr>
        <w:t>1</w:t>
      </w:r>
      <w:r w:rsidR="003A0B64" w:rsidRPr="00CE7615">
        <w:rPr>
          <w:color w:val="000000" w:themeColor="text1"/>
          <w:shd w:val="clear" w:color="auto" w:fill="FFFFFF"/>
        </w:rPr>
        <w:t>H</w:t>
      </w:r>
      <w:r w:rsidR="003A0B64">
        <w:rPr>
          <w:color w:val="000000" w:themeColor="text1"/>
          <w:shd w:val="clear" w:color="auto" w:fill="FFFFFF"/>
        </w:rPr>
        <w:t xml:space="preserve"> NMR studies investigating psilocybin. </w:t>
      </w:r>
    </w:p>
    <w:p w14:paraId="2EFEC9FA" w14:textId="21C422BB" w:rsidR="00D62672" w:rsidRDefault="00D62672" w:rsidP="00E50706"/>
    <w:p w14:paraId="16D5B754" w14:textId="0996ED17" w:rsidR="00632BF2" w:rsidRDefault="003E18CA" w:rsidP="00E50706">
      <w:r>
        <w:t xml:space="preserve">Another paper investigating </w:t>
      </w:r>
      <w:proofErr w:type="spellStart"/>
      <w:r>
        <w:t>psil</w:t>
      </w:r>
      <w:r w:rsidR="00405B1D">
        <w:t>ocybe</w:t>
      </w:r>
      <w:proofErr w:type="spellEnd"/>
      <w:r w:rsidR="00405B1D">
        <w:t xml:space="preserve"> mushrooms </w:t>
      </w:r>
      <w:r w:rsidR="0086685C">
        <w:t xml:space="preserve">with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E24597">
        <w:rPr>
          <w:color w:val="000000" w:themeColor="text1"/>
          <w:shd w:val="clear" w:color="auto" w:fill="FFFFFF"/>
        </w:rPr>
        <w:t xml:space="preserve"> </w:t>
      </w:r>
      <w:r w:rsidR="0086685C">
        <w:t xml:space="preserve">NMR </w:t>
      </w:r>
      <w:r w:rsidR="00405B1D">
        <w:t xml:space="preserve">was conducted by </w:t>
      </w:r>
      <w:r w:rsidR="0086685C">
        <w:t xml:space="preserve">Blei </w:t>
      </w:r>
      <w:r w:rsidR="0086685C" w:rsidRPr="0086685C">
        <w:rPr>
          <w:i/>
          <w:iCs/>
        </w:rPr>
        <w:t>et al</w:t>
      </w:r>
      <w:r w:rsidR="0086685C">
        <w:t>.</w:t>
      </w:r>
      <w:r w:rsidR="00030235">
        <w:fldChar w:fldCharType="begin" w:fldLock="1"/>
      </w:r>
      <w:r w:rsidR="00030235">
        <w:instrText>ADDIN CSL_CITATION {"citationItems":[{"id":"ITEM-1","itemData":{"DOI":"10.1002/chem.201904363","ISSN":"15213765","PMID":"31729089","abstract":"The psychotropic effects of Psilocybe “magic” mushrooms are caused by the l-tryptophan-derived alkaloid psilocybin. Despite their significance, the secondary metabolome of these fungi is poorly understood in general. Our analysis of four Psilocybe species identified harmane, harmine, and a range of other l-tryptophan-derived β-carbolines as their natural products, which was confirmed by 1D and 2D NMR spectroscopy. Stable-isotope labeling with 13C11-l-tryptophan verified the β-carbolines as biosynthetic products of these fungi. In addition, MALDI-MS imaging showed that β-carbolines accumulate toward the hyphal apices. As potent inhibitors of monoamine oxidases, β-carbolines are neuroactive compounds and interfere with psilocybin degradation. Therefore, our findings represent an unprecedented scenario of natural product pathways that diverge from the same building block and produce dissimilar compounds, yet contribute directly or indirectly to the same pharmacological effects.","author":[{"dropping-particle":"","family":"Blei","given":"Felix","non-dropping-particle":"","parse-names":false,"suffix":""},{"dropping-particle":"","family":"Dörner","given":"Sebastian","non-dropping-particle":"","parse-names":false,"suffix":""},{"dropping-particle":"","family":"Fricke","given":"Janis","non-dropping-particle":"","parse-names":false,"suffix":""},{"dropping-particle":"","family":"Baldeweg","given":"Florian","non-dropping-particle":"","parse-names":false,"suffix":""},{"dropping-particle":"","family":"Trottmann","given":"Felix","non-dropping-particle":"","parse-names":false,"suffix":""},{"dropping-particle":"","family":"Komor","given":"Anna","non-dropping-particle":"","parse-names":false,"suffix":""},{"dropping-particle":"","family":"Meyer","given":"Florian","non-dropping-particle":"","parse-names":false,"suffix":""},{"dropping-particle":"","family":"Hertweck","given":"Christian","non-dropping-particle":"","parse-names":false,"suffix":""},{"dropping-particle":"","family":"Hoffmeister","given":"Dirk","non-dropping-particle":"","parse-names":false,"suffix":""}],"container-title":"Chemistry - A European Journal","id":"ITEM-1","issue":"3","issued":{"date-parts":[["2020","1","13"]]},"page":"729-734","publisher":"Wiley-VCH Verlag","title":"Simultaneous Production of Psilocybin and a Cocktail of β-Carboline Monoamine Oxidase Inhibitors in “Magic” Mushrooms","type":"article-journal","volume":"26"},"uris":["http://www.mendeley.com/documents/?uuid=80e292a2-9ebd-3f2f-82bc-171c3365ba23"]}],"mendeley":{"formattedCitation":"(95)","plainTextFormattedCitation":"(95)","previouslyFormattedCitation":"(95)"},"properties":{"noteIndex":0},"schema":"https://github.com/citation-style-language/schema/raw/master/csl-citation.json"}</w:instrText>
      </w:r>
      <w:r w:rsidR="00030235">
        <w:fldChar w:fldCharType="separate"/>
      </w:r>
      <w:r w:rsidR="00030235" w:rsidRPr="00030235">
        <w:rPr>
          <w:noProof/>
        </w:rPr>
        <w:t>(95)</w:t>
      </w:r>
      <w:r w:rsidR="00030235">
        <w:fldChar w:fldCharType="end"/>
      </w:r>
      <w:r w:rsidR="003D6BC1">
        <w:t xml:space="preserve"> in 2020. </w:t>
      </w:r>
      <w:r w:rsidR="0086685C">
        <w:t xml:space="preserve">They </w:t>
      </w:r>
      <w:r w:rsidR="00A87638">
        <w:t xml:space="preserve">analysed </w:t>
      </w:r>
      <w:r w:rsidR="00246762">
        <w:t xml:space="preserve">different </w:t>
      </w:r>
      <w:r w:rsidR="00A87638">
        <w:t xml:space="preserve">types of </w:t>
      </w:r>
      <w:proofErr w:type="spellStart"/>
      <w:r w:rsidR="00A87638">
        <w:t>psilocybe</w:t>
      </w:r>
      <w:proofErr w:type="spellEnd"/>
      <w:r w:rsidR="00A87638">
        <w:t xml:space="preserve"> s</w:t>
      </w:r>
      <w:r w:rsidR="003C1FC6">
        <w:t>pecies</w:t>
      </w:r>
      <w:r w:rsidR="00084FE1">
        <w:t xml:space="preserve"> (</w:t>
      </w:r>
      <w:r w:rsidR="005E7DEE" w:rsidRPr="00F67A11">
        <w:rPr>
          <w:i/>
          <w:iCs/>
        </w:rPr>
        <w:t xml:space="preserve">P. </w:t>
      </w:r>
      <w:proofErr w:type="spellStart"/>
      <w:r w:rsidR="00084FE1" w:rsidRPr="00F67A11">
        <w:rPr>
          <w:i/>
          <w:iCs/>
        </w:rPr>
        <w:t>cubensis</w:t>
      </w:r>
      <w:proofErr w:type="spellEnd"/>
      <w:r w:rsidR="00084FE1" w:rsidRPr="00F67A11">
        <w:rPr>
          <w:i/>
          <w:iCs/>
        </w:rPr>
        <w:t xml:space="preserve">, </w:t>
      </w:r>
      <w:r w:rsidR="005E7DEE" w:rsidRPr="00F67A11">
        <w:rPr>
          <w:i/>
          <w:iCs/>
        </w:rPr>
        <w:t xml:space="preserve">P. </w:t>
      </w:r>
      <w:proofErr w:type="spellStart"/>
      <w:r w:rsidR="005E7DEE" w:rsidRPr="00F67A11">
        <w:rPr>
          <w:i/>
          <w:iCs/>
        </w:rPr>
        <w:t>cyanescens</w:t>
      </w:r>
      <w:proofErr w:type="spellEnd"/>
      <w:r w:rsidR="005E7DEE" w:rsidRPr="00F67A11">
        <w:rPr>
          <w:i/>
          <w:iCs/>
        </w:rPr>
        <w:t xml:space="preserve">, P. </w:t>
      </w:r>
      <w:proofErr w:type="spellStart"/>
      <w:r w:rsidR="00F67A11" w:rsidRPr="00F67A11">
        <w:rPr>
          <w:i/>
          <w:iCs/>
        </w:rPr>
        <w:t>semilanceata</w:t>
      </w:r>
      <w:proofErr w:type="spellEnd"/>
      <w:r w:rsidR="00F67A11" w:rsidRPr="00F67A11">
        <w:rPr>
          <w:i/>
          <w:iCs/>
        </w:rPr>
        <w:t xml:space="preserve">, </w:t>
      </w:r>
      <w:proofErr w:type="spellStart"/>
      <w:proofErr w:type="gramStart"/>
      <w:r w:rsidR="00F67A11" w:rsidRPr="00F67A11">
        <w:rPr>
          <w:i/>
          <w:iCs/>
        </w:rPr>
        <w:t>P.mexicana</w:t>
      </w:r>
      <w:proofErr w:type="spellEnd"/>
      <w:proofErr w:type="gramEnd"/>
      <w:r w:rsidR="00F67A11" w:rsidRPr="00F67A11">
        <w:rPr>
          <w:i/>
          <w:iCs/>
        </w:rPr>
        <w:t>)</w:t>
      </w:r>
      <w:r w:rsidR="002C0718">
        <w:rPr>
          <w:i/>
          <w:iCs/>
        </w:rPr>
        <w:t xml:space="preserve"> </w:t>
      </w:r>
      <w:r w:rsidR="00246762">
        <w:t>and</w:t>
      </w:r>
      <w:r w:rsidR="002C0718">
        <w:t xml:space="preserve"> found a range of molecules in the mushrooms</w:t>
      </w:r>
      <w:r w:rsidR="00246762">
        <w:t xml:space="preserve"> by using LC-MS and stable isotope labelling. They</w:t>
      </w:r>
      <w:r w:rsidR="00684A49">
        <w:t xml:space="preserve"> identified</w:t>
      </w:r>
      <w:r w:rsidR="00246762">
        <w:t xml:space="preserve"> </w:t>
      </w:r>
      <w:r w:rsidR="00684A49">
        <w:t xml:space="preserve">harmane, </w:t>
      </w:r>
      <w:proofErr w:type="spellStart"/>
      <w:r w:rsidR="00684A49">
        <w:t>harmine</w:t>
      </w:r>
      <w:proofErr w:type="spellEnd"/>
      <w:r w:rsidR="00684A49">
        <w:t xml:space="preserve"> </w:t>
      </w:r>
      <w:proofErr w:type="gramStart"/>
      <w:r w:rsidR="00684A49">
        <w:t xml:space="preserve">and </w:t>
      </w:r>
      <w:r w:rsidR="00246762">
        <w:t>also</w:t>
      </w:r>
      <w:proofErr w:type="gramEnd"/>
      <w:r w:rsidR="00246762">
        <w:t xml:space="preserve"> </w:t>
      </w:r>
      <w:r w:rsidR="00684A49">
        <w:t xml:space="preserve">a range of </w:t>
      </w:r>
      <w:r w:rsidR="00391E74" w:rsidRPr="00900134">
        <w:t>β‐carbolines</w:t>
      </w:r>
      <w:r w:rsidR="001D42FE">
        <w:t xml:space="preserve"> as </w:t>
      </w:r>
      <w:r w:rsidR="00853F7D">
        <w:t xml:space="preserve">their </w:t>
      </w:r>
      <w:r w:rsidR="0028059E">
        <w:t>natural produc</w:t>
      </w:r>
      <w:r w:rsidR="00853F7D">
        <w:t>ts</w:t>
      </w:r>
      <w:r w:rsidR="00246762">
        <w:t>;</w:t>
      </w:r>
      <w:r w:rsidR="00853F7D">
        <w:t xml:space="preserve"> </w:t>
      </w:r>
      <w:r w:rsidR="00853F7D" w:rsidRPr="00900134">
        <w:t>β‐carbolines</w:t>
      </w:r>
      <w:r w:rsidR="00853F7D">
        <w:t xml:space="preserve"> </w:t>
      </w:r>
      <w:r w:rsidR="00246762">
        <w:t>are known to be</w:t>
      </w:r>
      <w:r w:rsidR="00515BC4">
        <w:t xml:space="preserve"> MAOIs</w:t>
      </w:r>
      <w:r w:rsidR="00246762">
        <w:t xml:space="preserve">. For final </w:t>
      </w:r>
      <w:r w:rsidR="00853F7D">
        <w:t>confirm</w:t>
      </w:r>
      <w:r w:rsidR="00246762">
        <w:t xml:space="preserve">ation of their results, they purified the two major compounds from </w:t>
      </w:r>
      <w:r w:rsidR="00246762" w:rsidRPr="00F67A11">
        <w:rPr>
          <w:i/>
          <w:iCs/>
        </w:rPr>
        <w:t xml:space="preserve">P. </w:t>
      </w:r>
      <w:proofErr w:type="spellStart"/>
      <w:r w:rsidR="00246762" w:rsidRPr="00F67A11">
        <w:rPr>
          <w:i/>
          <w:iCs/>
        </w:rPr>
        <w:t>cubensis</w:t>
      </w:r>
      <w:proofErr w:type="spellEnd"/>
      <w:r w:rsidR="00246762">
        <w:rPr>
          <w:i/>
          <w:iCs/>
        </w:rPr>
        <w:t xml:space="preserve"> </w:t>
      </w:r>
      <w:r w:rsidR="00246762">
        <w:t xml:space="preserve">and did another analysis using </w:t>
      </w:r>
      <w:r w:rsidR="00246762" w:rsidRPr="00CE7615">
        <w:rPr>
          <w:color w:val="000000" w:themeColor="text1"/>
          <w:shd w:val="clear" w:color="auto" w:fill="FFFFFF"/>
          <w:vertAlign w:val="superscript"/>
        </w:rPr>
        <w:t>1</w:t>
      </w:r>
      <w:r w:rsidR="00246762" w:rsidRPr="00CE7615">
        <w:rPr>
          <w:color w:val="000000" w:themeColor="text1"/>
          <w:shd w:val="clear" w:color="auto" w:fill="FFFFFF"/>
        </w:rPr>
        <w:t>H</w:t>
      </w:r>
      <w:r w:rsidR="00246762">
        <w:rPr>
          <w:color w:val="000000" w:themeColor="text1"/>
          <w:shd w:val="clear" w:color="auto" w:fill="FFFFFF"/>
        </w:rPr>
        <w:t xml:space="preserve"> NMR and</w:t>
      </w:r>
      <w:r w:rsidR="00246762">
        <w:t xml:space="preserve"> </w:t>
      </w:r>
      <w:r w:rsidR="00246762" w:rsidRPr="006902F3">
        <w:rPr>
          <w:rStyle w:val="Emphasis"/>
          <w:i w:val="0"/>
          <w:iCs w:val="0"/>
          <w:color w:val="000000" w:themeColor="text1"/>
          <w:shd w:val="clear" w:color="auto" w:fill="FFFFFF"/>
          <w:vertAlign w:val="superscript"/>
        </w:rPr>
        <w:t>13</w:t>
      </w:r>
      <w:r w:rsidR="00246762" w:rsidRPr="006902F3">
        <w:rPr>
          <w:rStyle w:val="Emphasis"/>
          <w:i w:val="0"/>
          <w:iCs w:val="0"/>
          <w:color w:val="000000" w:themeColor="text1"/>
          <w:shd w:val="clear" w:color="auto" w:fill="FFFFFF"/>
        </w:rPr>
        <w:t>C NMR</w:t>
      </w:r>
      <w:r w:rsidR="00246762">
        <w:rPr>
          <w:rStyle w:val="Emphasis"/>
          <w:i w:val="0"/>
          <w:iCs w:val="0"/>
          <w:color w:val="000000" w:themeColor="text1"/>
          <w:shd w:val="clear" w:color="auto" w:fill="FFFFFF"/>
        </w:rPr>
        <w:t xml:space="preserve"> </w:t>
      </w:r>
      <w:r w:rsidR="00246762" w:rsidRPr="00C915BA">
        <w:t>spectroscopy</w:t>
      </w:r>
      <w:r w:rsidR="00246762">
        <w:t xml:space="preserve"> (1D and 2D); the spectra confirmed the presence of </w:t>
      </w:r>
      <w:r w:rsidR="00246762" w:rsidRPr="00900134">
        <w:t>β‐carbolines</w:t>
      </w:r>
      <w:r w:rsidR="00246762">
        <w:t xml:space="preserve">. </w:t>
      </w:r>
      <w:r w:rsidR="00304934" w:rsidRPr="00EF3E06">
        <w:t>Their</w:t>
      </w:r>
      <w:r w:rsidR="00632BF2" w:rsidRPr="00EF3E06">
        <w:t xml:space="preserve"> findings </w:t>
      </w:r>
      <w:r w:rsidR="00246762">
        <w:t xml:space="preserve">clarified the molecules present in the </w:t>
      </w:r>
      <w:proofErr w:type="spellStart"/>
      <w:r w:rsidR="00246762">
        <w:t>psilocybe</w:t>
      </w:r>
      <w:proofErr w:type="spellEnd"/>
      <w:r w:rsidR="00246762">
        <w:t xml:space="preserve"> mushroom and gave insight into the possible molecular interactions.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E24597">
        <w:t xml:space="preserve"> </w:t>
      </w:r>
      <w:r w:rsidR="00C11FF0">
        <w:t xml:space="preserve">NMR spectroscopy was not used for </w:t>
      </w:r>
      <w:proofErr w:type="spellStart"/>
      <w:r w:rsidR="00C11FF0">
        <w:t>metabonomics</w:t>
      </w:r>
      <w:proofErr w:type="spellEnd"/>
      <w:r w:rsidR="00C11FF0">
        <w:t xml:space="preserve"> in this paper, but it was used </w:t>
      </w:r>
      <w:r w:rsidR="00C3637B">
        <w:t xml:space="preserve">to confirm the structure </w:t>
      </w:r>
      <w:r w:rsidR="00B67A0C">
        <w:t xml:space="preserve">of </w:t>
      </w:r>
      <w:r w:rsidR="00C3637B">
        <w:t xml:space="preserve">molecules in a </w:t>
      </w:r>
      <w:r w:rsidR="007B5210">
        <w:t xml:space="preserve">natural substance. </w:t>
      </w:r>
    </w:p>
    <w:p w14:paraId="6F8FAA11" w14:textId="404854B0" w:rsidR="00A213C6" w:rsidRDefault="00A213C6" w:rsidP="00E50706"/>
    <w:p w14:paraId="483DBFA5" w14:textId="1FD88B62" w:rsidR="00200F03" w:rsidRDefault="00733625" w:rsidP="00E50706">
      <w:r>
        <w:t xml:space="preserve">A </w:t>
      </w:r>
      <w:r w:rsidR="00415227">
        <w:t xml:space="preserve">metabolite </w:t>
      </w:r>
      <w:r>
        <w:t xml:space="preserve">called </w:t>
      </w:r>
      <w:r w:rsidR="00415227" w:rsidRPr="00475D1B">
        <w:t>psilocin glucuronide (PCG)</w:t>
      </w:r>
      <w:r w:rsidR="00415227">
        <w:t xml:space="preserve"> was analytically characterised using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E24597">
        <w:t xml:space="preserve"> </w:t>
      </w:r>
      <w:r w:rsidR="00415227">
        <w:t>NMR spectroscopy</w:t>
      </w:r>
      <w:r>
        <w:t xml:space="preserve"> in a study conducted by </w:t>
      </w:r>
      <w:r w:rsidRPr="00430E66">
        <w:t xml:space="preserve">Shoda </w:t>
      </w:r>
      <w:r w:rsidRPr="00430E66">
        <w:rPr>
          <w:i/>
          <w:iCs/>
        </w:rPr>
        <w:t>et al.</w:t>
      </w:r>
      <w:r>
        <w:rPr>
          <w:i/>
          <w:iCs/>
        </w:rPr>
        <w:fldChar w:fldCharType="begin" w:fldLock="1"/>
      </w:r>
      <w:r w:rsidR="00030235">
        <w:rPr>
          <w:i/>
          <w:iCs/>
        </w:rPr>
        <w:instrText>ADDIN CSL_CITATION {"citationItems":[{"id":"ITEM-1","itemData":{"DOI":"10.1002/dta.244","ISSN":"19427603","PMID":"21960543","abstract":"An enzyme-assisted synthesis of psilocin glucuronide (PCG), a metabolite excreted in the urine of magic mushroom (MM) users, is described. In the presence of Aroclor 1254 pretreated rat liver microsomes, psilocin and the cofactor UDPGA were incubated for 20 h. Purification by HPLC gave PCG in 19% yield (3.6 mg). The compound structure was characterized by MS and NMR. The milligram amounts of PCG produced by this method will allow the direct identification and quantification of PCG in the urine of MM users. © 2011 John Wiley &amp; Sons, Ltd.","author":[{"dropping-particle":"","family":"Shoda","given":"Takuji","non-dropping-particle":"","parse-names":false,"suffix":""},{"dropping-particle":"","family":"Fukuhara","given":"Kiyoshi","non-dropping-particle":"","parse-names":false,"suffix":""},{"dropping-particle":"","family":"Goda","given":"Yukihiro","non-dropping-particle":"","parse-names":false,"suffix":""},{"dropping-particle":"","family":"Okuda","given":"Haruhiro","non-dropping-particle":"","parse-names":false,"suffix":""}],"container-title":"Drug Testing and Analysis","id":"ITEM-1","issue":"9","issued":{"date-parts":[["2011","9"]]},"page":"594-596","publisher":"Drug Test Anal","title":"Enzyme-assisted synthesis of the glucuronide conjugate of psilocin, an hallucinogenic component of magic mushrooms","type":"article-journal","volume":"3"},"uris":["http://www.mendeley.com/documents/?uuid=7efabf22-9608-34e6-bd25-a69882b60ee2"]}],"mendeley":{"formattedCitation":"(96)","plainTextFormattedCitation":"(96)","previouslyFormattedCitation":"(96)"},"properties":{"noteIndex":0},"schema":"https://github.com/citation-style-language/schema/raw/master/csl-citation.json"}</w:instrText>
      </w:r>
      <w:r>
        <w:rPr>
          <w:i/>
          <w:iCs/>
        </w:rPr>
        <w:fldChar w:fldCharType="separate"/>
      </w:r>
      <w:r w:rsidR="00030235" w:rsidRPr="00030235">
        <w:rPr>
          <w:iCs/>
          <w:noProof/>
        </w:rPr>
        <w:t>(96)</w:t>
      </w:r>
      <w:r>
        <w:rPr>
          <w:i/>
          <w:iCs/>
        </w:rPr>
        <w:fldChar w:fldCharType="end"/>
      </w:r>
      <w:r>
        <w:t xml:space="preserve"> (2011)</w:t>
      </w:r>
      <w:r w:rsidR="00415227">
        <w:t xml:space="preserve">. </w:t>
      </w:r>
      <w:r w:rsidR="00B67A0C">
        <w:t xml:space="preserve">When the </w:t>
      </w:r>
      <w:proofErr w:type="spellStart"/>
      <w:r w:rsidR="00B67A0C">
        <w:t>psilocybe</w:t>
      </w:r>
      <w:proofErr w:type="spellEnd"/>
      <w:r w:rsidR="00B67A0C">
        <w:t xml:space="preserve"> </w:t>
      </w:r>
      <w:r w:rsidR="00B67A0C">
        <w:lastRenderedPageBreak/>
        <w:t>mushroom is consumed, the psilocin molecule is metabolised by conjugation with glucuronic acid to produce PCG. This</w:t>
      </w:r>
      <w:r w:rsidR="00415227">
        <w:t xml:space="preserve"> </w:t>
      </w:r>
      <w:r w:rsidR="00B67A0C">
        <w:t xml:space="preserve">metabolite </w:t>
      </w:r>
      <w:r w:rsidR="00415227">
        <w:t xml:space="preserve">is </w:t>
      </w:r>
      <w:r w:rsidR="00415227" w:rsidRPr="00475D1B">
        <w:t>excreted in the urine of</w:t>
      </w:r>
      <w:r w:rsidR="00415227">
        <w:t xml:space="preserve"> </w:t>
      </w:r>
      <w:proofErr w:type="spellStart"/>
      <w:r w:rsidR="00415227">
        <w:t>psilocybe</w:t>
      </w:r>
      <w:proofErr w:type="spellEnd"/>
      <w:r w:rsidR="00415227" w:rsidRPr="00475D1B">
        <w:t xml:space="preserve"> mushroom</w:t>
      </w:r>
      <w:r w:rsidR="00415227">
        <w:t xml:space="preserve"> </w:t>
      </w:r>
      <w:r w:rsidR="00415227" w:rsidRPr="00475D1B">
        <w:t>users</w:t>
      </w:r>
      <w:r w:rsidR="00B67A0C">
        <w:t xml:space="preserve"> which has been detected with HPLC previously</w:t>
      </w:r>
      <w:r w:rsidR="00B67A0C">
        <w:fldChar w:fldCharType="begin" w:fldLock="1"/>
      </w:r>
      <w:r w:rsidR="00030235">
        <w:instrText>ADDIN CSL_CITATION {"citationItems":[{"id":"ITEM-1","itemData":{"DOI":"10.1016/j.jchromb.2003.08.030","ISSN":"15700232","PMID":"14581081","abstract":"In order to develop a sensitive and reliable analytical method for psilocin (PC) in urine samples, the hydrolysis conditions including the acid, alkaline and enzymatic hydrolyses have been investigated by monitoring not only PC but also psilocin glucuronide (PCG) by liquid chromatography tandem mass spectrometry (LC-MS-MS); PCG was initially identified in a \"magic mushroom (MM)\" user's urine by liquid chromatography mass spectrometry (LC-MS) and LC-MS-MS. The proposed conditions optimized for the hydrolysis are as follows: hydrolysis, enzymatic hydrolysis; enzyme, Escherichia coli β-glucuronidase (5000units/ml urine); incubation, pH 6 at 37°C for 2h. The complete hydrolysis of PCG in urine was obtained under these conditions, while the enzymatic hydrolyses with three types of β-glucuronidases originated from bovine liver (Type B-1), Helix pomatia (Type H-1) and Ampullaria provided uncompleted hydrolysis of PCG. Also, neither the acid nor alkaline hydrolysis was found to be applicable. According to the present method, 3.55μg/ml of psilocin was detected in the \"magic mushroom\" user's urine after the enzymatic hydrolysis, though psilocin was not detected without hydrolysis. © 2003 Elsevier B.V. All rights reserved.","author":[{"dropping-particle":"","family":"Kamata","given":"Tooru","non-dropping-particle":"","parse-names":false,"suffix":""},{"dropping-particle":"","family":"Nishikawa","given":"Mayumi","non-dropping-particle":"","parse-names":false,"suffix":""},{"dropping-particle":"","family":"Katagi","given":"Munehiro","non-dropping-particle":"","parse-names":false,"suffix":""},{"dropping-particle":"","family":"Tsuchihashi","given":"Hitoshi","non-dropping-particle":"","parse-names":false,"suffix":""}],"container-title":"Journal of Chromatography B: Analytical Technologies in the Biomedical and Life Sciences","id":"ITEM-1","issue":"2","issued":{"date-parts":[["2003","11","5"]]},"page":"421-427","publisher":"Elsevier","title":"Optimized glucuronide hydrolysis for the detection of psilocin in human urine samples","type":"article-journal","volume":"796"},"uris":["http://www.mendeley.com/documents/?uuid=65e4d953-58de-35c5-9d6d-4bd0c679958d"]}],"mendeley":{"formattedCitation":"(97)","plainTextFormattedCitation":"(97)","previouslyFormattedCitation":"(97)"},"properties":{"noteIndex":0},"schema":"https://github.com/citation-style-language/schema/raw/master/csl-citation.json"}</w:instrText>
      </w:r>
      <w:r w:rsidR="00B67A0C">
        <w:fldChar w:fldCharType="separate"/>
      </w:r>
      <w:r w:rsidR="00030235" w:rsidRPr="00030235">
        <w:rPr>
          <w:noProof/>
        </w:rPr>
        <w:t>(97)</w:t>
      </w:r>
      <w:r w:rsidR="00B67A0C">
        <w:fldChar w:fldCharType="end"/>
      </w:r>
      <w:r w:rsidR="00200F03" w:rsidRPr="00475D1B">
        <w:t>.</w:t>
      </w:r>
      <w:r w:rsidR="00B67A0C">
        <w:t xml:space="preserve"> In this study a synthetic version of PCG was produced by incubating </w:t>
      </w:r>
      <w:proofErr w:type="spellStart"/>
      <w:r w:rsidR="00200F03" w:rsidRPr="00475D1B">
        <w:t>Aroclor</w:t>
      </w:r>
      <w:proofErr w:type="spellEnd"/>
      <w:r w:rsidR="00200F03" w:rsidRPr="00475D1B">
        <w:t xml:space="preserve"> 1254 </w:t>
      </w:r>
      <w:proofErr w:type="spellStart"/>
      <w:r w:rsidR="00200F03" w:rsidRPr="00475D1B">
        <w:t>pretreated</w:t>
      </w:r>
      <w:proofErr w:type="spellEnd"/>
      <w:r w:rsidR="00200F03" w:rsidRPr="00475D1B">
        <w:t xml:space="preserve"> rat liver microsomes, psilocin and </w:t>
      </w:r>
      <w:r w:rsidR="00B67A0C">
        <w:t xml:space="preserve">additional cofactors and peptides together </w:t>
      </w:r>
      <w:r w:rsidR="00200F03" w:rsidRPr="00475D1B">
        <w:t>for 20 h</w:t>
      </w:r>
      <w:r w:rsidR="00B67A0C">
        <w:t>ours</w:t>
      </w:r>
      <w:r w:rsidR="00200F03" w:rsidRPr="00475D1B">
        <w:t xml:space="preserve">. The compound structure was </w:t>
      </w:r>
      <w:r w:rsidR="00975F20">
        <w:t>then c</w:t>
      </w:r>
      <w:r w:rsidR="00200F03" w:rsidRPr="00475D1B">
        <w:t>haracteri</w:t>
      </w:r>
      <w:r w:rsidR="00975F20">
        <w:t>s</w:t>
      </w:r>
      <w:r w:rsidR="00200F03" w:rsidRPr="00475D1B">
        <w:t xml:space="preserve">ed </w:t>
      </w:r>
      <w:r w:rsidR="00B67A0C">
        <w:t>using</w:t>
      </w:r>
      <w:r w:rsidR="00200F03" w:rsidRPr="00475D1B">
        <w:t xml:space="preserve"> MS</w:t>
      </w:r>
      <w:r w:rsidR="00B67A0C">
        <w:t xml:space="preserve">, </w:t>
      </w:r>
      <w:r w:rsidR="00B67A0C" w:rsidRPr="00CE7615">
        <w:rPr>
          <w:color w:val="000000" w:themeColor="text1"/>
          <w:shd w:val="clear" w:color="auto" w:fill="FFFFFF"/>
          <w:vertAlign w:val="superscript"/>
        </w:rPr>
        <w:t>1</w:t>
      </w:r>
      <w:r w:rsidR="00B67A0C" w:rsidRPr="00CE7615">
        <w:rPr>
          <w:color w:val="000000" w:themeColor="text1"/>
          <w:shd w:val="clear" w:color="auto" w:fill="FFFFFF"/>
        </w:rPr>
        <w:t>H</w:t>
      </w:r>
      <w:r w:rsidR="00B67A0C">
        <w:rPr>
          <w:color w:val="000000" w:themeColor="text1"/>
          <w:shd w:val="clear" w:color="auto" w:fill="FFFFFF"/>
        </w:rPr>
        <w:t xml:space="preserve"> NMR and </w:t>
      </w:r>
      <w:r w:rsidR="00B67A0C" w:rsidRPr="004465EE">
        <w:rPr>
          <w:rStyle w:val="Emphasis"/>
          <w:i w:val="0"/>
          <w:iCs w:val="0"/>
          <w:color w:val="000000" w:themeColor="text1"/>
          <w:shd w:val="clear" w:color="auto" w:fill="FFFFFF"/>
          <w:vertAlign w:val="superscript"/>
        </w:rPr>
        <w:t>13</w:t>
      </w:r>
      <w:r w:rsidR="00B67A0C" w:rsidRPr="004465EE">
        <w:rPr>
          <w:rStyle w:val="Emphasis"/>
          <w:i w:val="0"/>
          <w:iCs w:val="0"/>
          <w:color w:val="000000" w:themeColor="text1"/>
          <w:shd w:val="clear" w:color="auto" w:fill="FFFFFF"/>
        </w:rPr>
        <w:t>C</w:t>
      </w:r>
      <w:r w:rsidR="00B67A0C">
        <w:rPr>
          <w:rStyle w:val="Emphasis"/>
          <w:i w:val="0"/>
          <w:iCs w:val="0"/>
          <w:color w:val="000000" w:themeColor="text1"/>
          <w:shd w:val="clear" w:color="auto" w:fill="FFFFFF"/>
        </w:rPr>
        <w:t xml:space="preserve"> NMR spectroscopy (1D and 2D)</w:t>
      </w:r>
      <w:r w:rsidR="00200F03" w:rsidRPr="00475D1B">
        <w:t>. The</w:t>
      </w:r>
      <w:r w:rsidR="00B67A0C">
        <w:t xml:space="preserve"> enzymatic synthesis and analysis of PCG in this study could improve </w:t>
      </w:r>
      <w:r w:rsidR="00200F03" w:rsidRPr="00475D1B">
        <w:t xml:space="preserve">identification and quantification of PCG in the urine of </w:t>
      </w:r>
      <w:proofErr w:type="spellStart"/>
      <w:r w:rsidR="00975F20">
        <w:t>psilocybe</w:t>
      </w:r>
      <w:proofErr w:type="spellEnd"/>
      <w:r w:rsidR="00975F20">
        <w:t xml:space="preserve"> mushrooms users in future clinical trials. </w:t>
      </w:r>
      <w:r w:rsidR="008A3EB6">
        <w:t xml:space="preserve">It is evident </w:t>
      </w:r>
      <w:r w:rsidR="00F9741F">
        <w:t>in this study</w:t>
      </w:r>
      <w:r w:rsidR="008A3EB6">
        <w:t xml:space="preserve"> </w:t>
      </w:r>
      <w:r w:rsidR="000554BD">
        <w:t xml:space="preserve">that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975F20">
        <w:t xml:space="preserve"> NMR spectroscopy </w:t>
      </w:r>
      <w:r w:rsidR="00B67A0C">
        <w:t xml:space="preserve">was not used </w:t>
      </w:r>
      <w:r w:rsidR="008A3EB6">
        <w:t xml:space="preserve">to </w:t>
      </w:r>
      <w:r w:rsidR="00975F20">
        <w:t>metabolic</w:t>
      </w:r>
      <w:r w:rsidR="008A3EB6">
        <w:t>ally analyse the</w:t>
      </w:r>
      <w:r w:rsidR="00BD3115">
        <w:t xml:space="preserve"> human</w:t>
      </w:r>
      <w:r w:rsidR="008A3EB6">
        <w:t xml:space="preserve"> urine directly</w:t>
      </w:r>
      <w:r w:rsidR="008F77F7">
        <w:t>;</w:t>
      </w:r>
      <w:r w:rsidR="00FF1853">
        <w:t xml:space="preserve"> </w:t>
      </w:r>
      <w:r w:rsidR="00C463BC">
        <w:t>only HPLC was used for this purpose</w:t>
      </w:r>
      <w:r w:rsidR="008F77F7">
        <w:t>.</w:t>
      </w:r>
    </w:p>
    <w:p w14:paraId="1B7D0B26" w14:textId="770BB395" w:rsidR="009622FD" w:rsidRDefault="009622FD" w:rsidP="00E50706"/>
    <w:p w14:paraId="6B91384C" w14:textId="53C221B2" w:rsidR="00F80441" w:rsidRPr="00873C8C" w:rsidRDefault="008F0835" w:rsidP="00E50706">
      <w:r w:rsidRPr="00CE7615">
        <w:rPr>
          <w:color w:val="000000" w:themeColor="text1"/>
          <w:shd w:val="clear" w:color="auto" w:fill="FFFFFF"/>
          <w:vertAlign w:val="superscript"/>
        </w:rPr>
        <w:t>1</w:t>
      </w:r>
      <w:r w:rsidRPr="00CE7615">
        <w:rPr>
          <w:color w:val="000000" w:themeColor="text1"/>
          <w:shd w:val="clear" w:color="auto" w:fill="FFFFFF"/>
        </w:rPr>
        <w:t>H</w:t>
      </w:r>
      <w:r>
        <w:t xml:space="preserve"> NMR spectroscopy was use</w:t>
      </w:r>
      <w:r w:rsidR="00F80441">
        <w:t xml:space="preserve"> by Costa</w:t>
      </w:r>
      <w:r w:rsidR="00F80441" w:rsidRPr="00F80441">
        <w:rPr>
          <w:i/>
          <w:iCs/>
        </w:rPr>
        <w:t xml:space="preserve"> et al.</w:t>
      </w:r>
      <w:r w:rsidR="00B067E0">
        <w:rPr>
          <w:i/>
          <w:iCs/>
        </w:rPr>
        <w:fldChar w:fldCharType="begin" w:fldLock="1"/>
      </w:r>
      <w:r w:rsidR="00030235">
        <w:rPr>
          <w:i/>
          <w:iCs/>
        </w:rPr>
        <w:instrText>ADDIN CSL_CITATION {"citationItems":[{"id":"ITEM-1","itemData":{"DOI":"10.1016/j.toxicon.2005.02.006","ISSN":"00410101","PMID":"16054186","abstract":"Bufotenin (5-hydroxy-N,N-dimetyltryptamine) is a tryptamine alkaloid widely spread among anuran families as a component of their chemical defense system, acting as a potent hallucinogenic factor, showing similar activity to LSD upon interaction with the 5HT2 human receptor. This work demonstrates the presence of bufotenin in the skin secretion of three arboreal amphibian species of the Osteocephalus genus (Osteocephalus taurinus, Osteocephalus oophagus and Osteocephalus langsdorffii) from the Amazon and the Atlantic rain forests using RP-HPLC, ESI-MS/MS, UV, IR and multidimensional NMR techniques. To our knowledge, this is the first description of bufotenin in the Osteocephalus genus, so far. © 2005 Elsevier Ltd. All rights reserved.","author":[{"dropping-particle":"","family":"Costa","given":"T. O.G.","non-dropping-particle":"","parse-names":false,"suffix":""},{"dropping-particle":"","family":"Morales","given":"R. A.V.","non-dropping-particle":"","parse-names":false,"suffix":""},{"dropping-particle":"","family":"Brito","given":"J. P.","non-dropping-particle":"","parse-names":false,"suffix":""},{"dropping-particle":"","family":"Gordo","given":"M.","non-dropping-particle":"","parse-names":false,"suffix":""},{"dropping-particle":"","family":"Pinto","given":"A. C.","non-dropping-particle":"","parse-names":false,"suffix":""},{"dropping-particle":"","family":"Bloch","given":"C.","non-dropping-particle":"","parse-names":false,"suffix":""}],"container-title":"Toxicon","id":"ITEM-1","issue":"4","issued":{"date-parts":[["2005","9","15"]]},"page":"371-375","publisher":"Elsevier Ltd","title":"Occurrence of bufotenin in the Osteocephalus genus (Anura: Hylidae)","type":"article-journal","volume":"46"},"uris":["http://www.mendeley.com/documents/?uuid=7dc333b2-e359-3899-89c5-0a0781e2f664"]}],"mendeley":{"formattedCitation":"(98)","plainTextFormattedCitation":"(98)","previouslyFormattedCitation":"(98)"},"properties":{"noteIndex":0},"schema":"https://github.com/citation-style-language/schema/raw/master/csl-citation.json"}</w:instrText>
      </w:r>
      <w:r w:rsidR="00B067E0">
        <w:rPr>
          <w:i/>
          <w:iCs/>
        </w:rPr>
        <w:fldChar w:fldCharType="separate"/>
      </w:r>
      <w:r w:rsidR="00030235" w:rsidRPr="00030235">
        <w:rPr>
          <w:iCs/>
          <w:noProof/>
        </w:rPr>
        <w:t>(98)</w:t>
      </w:r>
      <w:r w:rsidR="00B067E0">
        <w:rPr>
          <w:i/>
          <w:iCs/>
        </w:rPr>
        <w:fldChar w:fldCharType="end"/>
      </w:r>
      <w:r w:rsidR="00F80441" w:rsidRPr="00F80441">
        <w:rPr>
          <w:i/>
          <w:iCs/>
        </w:rPr>
        <w:t xml:space="preserve"> </w:t>
      </w:r>
      <w:r w:rsidR="00F80441">
        <w:t>(2005)</w:t>
      </w:r>
      <w:r>
        <w:t xml:space="preserve"> to identify </w:t>
      </w:r>
      <w:r w:rsidR="00B067E0">
        <w:t xml:space="preserve">DMT, 5-HT and </w:t>
      </w:r>
      <w:r w:rsidR="00F80441">
        <w:t>the psychedelic molecule called bufotenin</w:t>
      </w:r>
      <w:r w:rsidR="00B067E0">
        <w:t>e</w:t>
      </w:r>
      <w:r w:rsidR="00F80441">
        <w:t xml:space="preserve"> (</w:t>
      </w:r>
      <w:r w:rsidR="00F80441" w:rsidRPr="00873C8C">
        <w:t>5-hydroxy-N,N-dimetyltryptamine</w:t>
      </w:r>
      <w:r>
        <w:t xml:space="preserve">) </w:t>
      </w:r>
      <w:r w:rsidR="00F80441">
        <w:t xml:space="preserve">in the skin </w:t>
      </w:r>
      <w:r w:rsidR="002007F2">
        <w:t xml:space="preserve">secretion of </w:t>
      </w:r>
      <w:r w:rsidR="00F80441" w:rsidRPr="00873C8C">
        <w:t>three arboreal amphibian species</w:t>
      </w:r>
      <w:r w:rsidR="00F80441">
        <w:t xml:space="preserve"> </w:t>
      </w:r>
      <w:r w:rsidR="00F80441" w:rsidRPr="00873C8C">
        <w:t xml:space="preserve">of the </w:t>
      </w:r>
      <w:proofErr w:type="spellStart"/>
      <w:r w:rsidR="00F80441" w:rsidRPr="00873C8C">
        <w:t>Osteocephalus</w:t>
      </w:r>
      <w:proofErr w:type="spellEnd"/>
      <w:r w:rsidR="00F80441" w:rsidRPr="00873C8C">
        <w:t xml:space="preserve"> genus (</w:t>
      </w:r>
      <w:proofErr w:type="spellStart"/>
      <w:r w:rsidR="00F80441" w:rsidRPr="00873C8C">
        <w:t>Osteocephalus</w:t>
      </w:r>
      <w:proofErr w:type="spellEnd"/>
      <w:r w:rsidR="00F80441" w:rsidRPr="00873C8C">
        <w:t xml:space="preserve"> </w:t>
      </w:r>
      <w:proofErr w:type="spellStart"/>
      <w:r w:rsidR="00F80441" w:rsidRPr="00873C8C">
        <w:t>taurinus</w:t>
      </w:r>
      <w:proofErr w:type="spellEnd"/>
      <w:r w:rsidR="00F80441" w:rsidRPr="00873C8C">
        <w:t xml:space="preserve">, </w:t>
      </w:r>
      <w:proofErr w:type="spellStart"/>
      <w:r w:rsidR="00F80441" w:rsidRPr="00873C8C">
        <w:t>Osteocephalus</w:t>
      </w:r>
      <w:proofErr w:type="spellEnd"/>
      <w:r w:rsidR="00F80441" w:rsidRPr="00873C8C">
        <w:t xml:space="preserve"> </w:t>
      </w:r>
      <w:proofErr w:type="spellStart"/>
      <w:r w:rsidR="00F80441" w:rsidRPr="00873C8C">
        <w:t>oophagus</w:t>
      </w:r>
      <w:proofErr w:type="spellEnd"/>
      <w:r w:rsidR="00F80441" w:rsidRPr="00873C8C">
        <w:t xml:space="preserve"> and </w:t>
      </w:r>
      <w:proofErr w:type="spellStart"/>
      <w:r w:rsidR="00F80441" w:rsidRPr="00873C8C">
        <w:t>Osteocephalus</w:t>
      </w:r>
      <w:proofErr w:type="spellEnd"/>
      <w:r w:rsidR="00F80441" w:rsidRPr="00873C8C">
        <w:t xml:space="preserve"> </w:t>
      </w:r>
      <w:proofErr w:type="spellStart"/>
      <w:r w:rsidR="00F80441" w:rsidRPr="00873C8C">
        <w:t>langsdorffii</w:t>
      </w:r>
      <w:proofErr w:type="spellEnd"/>
      <w:r w:rsidR="00F80441" w:rsidRPr="00873C8C">
        <w:t>) from the Amazon and the Atlantic rain forests</w:t>
      </w:r>
      <w:r w:rsidR="00F80441">
        <w:t>.</w:t>
      </w:r>
      <w:r w:rsidR="00B067E0">
        <w:t xml:space="preserve"> </w:t>
      </w:r>
      <w:proofErr w:type="spellStart"/>
      <w:r w:rsidR="00B067E0">
        <w:t>Bufotenin</w:t>
      </w:r>
      <w:proofErr w:type="spellEnd"/>
      <w:r w:rsidR="00B067E0">
        <w:t xml:space="preserve"> also interacts</w:t>
      </w:r>
      <w:r w:rsidR="00B067E0" w:rsidRPr="00873C8C">
        <w:t xml:space="preserve"> with the 5</w:t>
      </w:r>
      <w:r w:rsidR="00B067E0">
        <w:t>-</w:t>
      </w:r>
      <w:r w:rsidR="00B067E0" w:rsidRPr="00873C8C">
        <w:t>HT</w:t>
      </w:r>
      <w:r w:rsidR="00B067E0" w:rsidRPr="00F80441">
        <w:rPr>
          <w:vertAlign w:val="subscript"/>
        </w:rPr>
        <w:t>2A</w:t>
      </w:r>
      <w:r w:rsidR="00B067E0">
        <w:t xml:space="preserve"> </w:t>
      </w:r>
      <w:r w:rsidR="00B067E0" w:rsidRPr="00873C8C">
        <w:t>receptor</w:t>
      </w:r>
      <w:r w:rsidR="00B067E0">
        <w:t xml:space="preserve"> like DMT</w:t>
      </w:r>
      <w:r w:rsidR="00B067E0" w:rsidRPr="00873C8C">
        <w:t>.</w:t>
      </w:r>
      <w:r w:rsidR="00F80441">
        <w:t xml:space="preserve"> </w:t>
      </w:r>
      <w:r w:rsidR="00B067E0">
        <w:t>The presence of these psychedelics in the skin secretion of these</w:t>
      </w:r>
      <w:r w:rsidR="00695890">
        <w:t xml:space="preserve"> amphibians </w:t>
      </w:r>
      <w:r w:rsidR="00B067E0">
        <w:t>is speculated to be a</w:t>
      </w:r>
      <w:r w:rsidR="00695890">
        <w:t xml:space="preserve"> </w:t>
      </w:r>
      <w:r w:rsidR="00F80441" w:rsidRPr="00873C8C">
        <w:t xml:space="preserve">chemical defence </w:t>
      </w:r>
      <w:r w:rsidR="00695890">
        <w:t xml:space="preserve">against predators. </w:t>
      </w:r>
      <w:r w:rsidR="00F80441">
        <w:t xml:space="preserve">The identification was achieved with the use of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E24597">
        <w:t xml:space="preserve"> </w:t>
      </w:r>
      <w:r w:rsidR="00F80441">
        <w:t xml:space="preserve">NMR </w:t>
      </w:r>
      <w:r w:rsidR="00695890">
        <w:t xml:space="preserve">and </w:t>
      </w:r>
      <w:r w:rsidR="00695890" w:rsidRPr="004465EE">
        <w:rPr>
          <w:rStyle w:val="Emphasis"/>
          <w:i w:val="0"/>
          <w:iCs w:val="0"/>
          <w:color w:val="000000" w:themeColor="text1"/>
          <w:shd w:val="clear" w:color="auto" w:fill="FFFFFF"/>
          <w:vertAlign w:val="superscript"/>
        </w:rPr>
        <w:t>13</w:t>
      </w:r>
      <w:r w:rsidR="00695890" w:rsidRPr="004465EE">
        <w:rPr>
          <w:rStyle w:val="Emphasis"/>
          <w:i w:val="0"/>
          <w:iCs w:val="0"/>
          <w:color w:val="000000" w:themeColor="text1"/>
          <w:shd w:val="clear" w:color="auto" w:fill="FFFFFF"/>
        </w:rPr>
        <w:t>C</w:t>
      </w:r>
      <w:r w:rsidR="00695890">
        <w:rPr>
          <w:rStyle w:val="Emphasis"/>
          <w:i w:val="0"/>
          <w:iCs w:val="0"/>
          <w:color w:val="000000" w:themeColor="text1"/>
          <w:shd w:val="clear" w:color="auto" w:fill="FFFFFF"/>
        </w:rPr>
        <w:t xml:space="preserve"> NMR </w:t>
      </w:r>
      <w:r w:rsidR="00F80441">
        <w:t>spectroscopy</w:t>
      </w:r>
      <w:r w:rsidR="00695890">
        <w:t xml:space="preserve"> (1D and 2D)</w:t>
      </w:r>
      <w:r w:rsidR="00F80441">
        <w:t xml:space="preserve">, </w:t>
      </w:r>
      <w:r w:rsidR="00F80441" w:rsidRPr="00873C8C">
        <w:t>HPLC, MS</w:t>
      </w:r>
      <w:r w:rsidR="00F80441">
        <w:t xml:space="preserve"> and </w:t>
      </w:r>
      <w:r w:rsidR="00B067E0">
        <w:t>IR</w:t>
      </w:r>
      <w:r w:rsidR="00F80441">
        <w:t xml:space="preserve">. </w:t>
      </w:r>
      <w:proofErr w:type="gramStart"/>
      <w:r w:rsidR="00215F4E">
        <w:t>Through the use of</w:t>
      </w:r>
      <w:proofErr w:type="gramEnd"/>
      <w:r w:rsidR="00215F4E">
        <w:t xml:space="preserve"> these tools</w:t>
      </w:r>
      <w:r w:rsidR="00774E7E">
        <w:t xml:space="preserve">, </w:t>
      </w:r>
      <w:r w:rsidR="00215F4E">
        <w:t>this study was a</w:t>
      </w:r>
      <w:r w:rsidR="00C30537">
        <w:t xml:space="preserve">ble to </w:t>
      </w:r>
      <w:r w:rsidR="001C6725">
        <w:t>describe</w:t>
      </w:r>
      <w:r w:rsidR="00C30537">
        <w:t xml:space="preserve"> </w:t>
      </w:r>
      <w:proofErr w:type="spellStart"/>
      <w:r w:rsidR="00F80441" w:rsidRPr="00873C8C">
        <w:t>bufotenin</w:t>
      </w:r>
      <w:proofErr w:type="spellEnd"/>
      <w:r w:rsidR="00F80441" w:rsidRPr="00873C8C">
        <w:t xml:space="preserve"> in the </w:t>
      </w:r>
      <w:proofErr w:type="spellStart"/>
      <w:r w:rsidR="00F80441" w:rsidRPr="00873C8C">
        <w:t>Osteocephalus</w:t>
      </w:r>
      <w:proofErr w:type="spellEnd"/>
      <w:r w:rsidR="00F80441" w:rsidRPr="00873C8C">
        <w:t xml:space="preserve"> </w:t>
      </w:r>
      <w:r w:rsidR="00F80441">
        <w:t>genus</w:t>
      </w:r>
      <w:r w:rsidR="001C6725">
        <w:t xml:space="preserve"> amphibians for the fir</w:t>
      </w:r>
      <w:r w:rsidR="00614EE5">
        <w:t>st time.</w:t>
      </w:r>
      <w:r w:rsidR="00774E7E">
        <w:t xml:space="preserve"> </w:t>
      </w:r>
      <w:r w:rsidR="00614EE5">
        <w:t>This</w:t>
      </w:r>
      <w:r w:rsidR="00F80441">
        <w:t xml:space="preserve"> study did not include the analysis of any human biofluids therefore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E24597">
        <w:t xml:space="preserve"> </w:t>
      </w:r>
      <w:r w:rsidR="00F80441">
        <w:t xml:space="preserve">NMR was not used as a metabonomic tool. </w:t>
      </w:r>
    </w:p>
    <w:p w14:paraId="3D299FF0" w14:textId="63BB7742" w:rsidR="00F80441" w:rsidRDefault="00F80441" w:rsidP="00E50706"/>
    <w:p w14:paraId="486ADA06" w14:textId="5726E998" w:rsidR="00D451D0" w:rsidRPr="00561467" w:rsidRDefault="003947FA" w:rsidP="00E50706">
      <w:r>
        <w:rPr>
          <w:color w:val="212121"/>
          <w:shd w:val="clear" w:color="auto" w:fill="FFFFFF"/>
        </w:rPr>
        <w:t xml:space="preserve">A </w:t>
      </w:r>
      <w:r w:rsidR="00D451D0" w:rsidRPr="00561467">
        <w:rPr>
          <w:color w:val="212121"/>
          <w:shd w:val="clear" w:color="auto" w:fill="FFFFFF"/>
        </w:rPr>
        <w:t>large-scale synthes</w:t>
      </w:r>
      <w:r>
        <w:rPr>
          <w:color w:val="212121"/>
          <w:shd w:val="clear" w:color="auto" w:fill="FFFFFF"/>
        </w:rPr>
        <w:t>is</w:t>
      </w:r>
      <w:r w:rsidR="00D451D0" w:rsidRPr="00561467">
        <w:rPr>
          <w:color w:val="212121"/>
          <w:shd w:val="clear" w:color="auto" w:fill="FFFFFF"/>
        </w:rPr>
        <w:t xml:space="preserve"> of psilocin and psilocybin </w:t>
      </w:r>
      <w:r w:rsidR="00D451D0">
        <w:rPr>
          <w:color w:val="212121"/>
          <w:shd w:val="clear" w:color="auto" w:fill="FFFFFF"/>
        </w:rPr>
        <w:t>was conducted by</w:t>
      </w:r>
      <w:r w:rsidR="00507EA6">
        <w:rPr>
          <w:color w:val="212121"/>
          <w:shd w:val="clear" w:color="auto" w:fill="FFFFFF"/>
        </w:rPr>
        <w:t xml:space="preserve"> </w:t>
      </w:r>
      <w:r w:rsidR="00507EA6" w:rsidRPr="003947FA">
        <w:rPr>
          <w:color w:val="000000" w:themeColor="text1"/>
        </w:rPr>
        <w:t xml:space="preserve">Shirota, </w:t>
      </w:r>
      <w:proofErr w:type="spellStart"/>
      <w:r w:rsidR="00507EA6" w:rsidRPr="003947FA">
        <w:rPr>
          <w:color w:val="000000" w:themeColor="text1"/>
        </w:rPr>
        <w:t>Hakamata</w:t>
      </w:r>
      <w:proofErr w:type="spellEnd"/>
      <w:r w:rsidR="00507EA6" w:rsidRPr="003947FA">
        <w:rPr>
          <w:color w:val="000000" w:themeColor="text1"/>
        </w:rPr>
        <w:t xml:space="preserve"> &amp; Goda</w:t>
      </w:r>
      <w:r w:rsidR="00507EA6" w:rsidRPr="003947FA">
        <w:rPr>
          <w:caps/>
          <w:color w:val="000000" w:themeColor="text1"/>
        </w:rPr>
        <w:fldChar w:fldCharType="begin" w:fldLock="1"/>
      </w:r>
      <w:r w:rsidR="00112529">
        <w:rPr>
          <w:caps/>
          <w:color w:val="000000" w:themeColor="text1"/>
        </w:rPr>
        <w:instrText>ADDIN CSL_CITATION {"citationItems":[{"id":"ITEM-1","itemData":{"DOI":"10.1021/np030059u","ISSN":"01633864","PMID":"12828485","abstract":"The concise large-scale syntheses of psilocin (1) and psilocybin (2), the principal hallucinogenic constituents of \"magic mushroom\", were achieved without chromatographic purification. The key step in the synthesis of 2 was the isolation of the dibenzyl-protected intermediate (7) as a zwitterionic derivative (8), which was completely identified by means of 2D NMR analyses.","author":[{"dropping-particle":"","family":"Shirota","given":"Osamu","non-dropping-particle":"","parse-names":false,"suffix":""},{"dropping-particle":"","family":"Hakamata","given":"Wataru","non-dropping-particle":"","parse-names":false,"suffix":""},{"dropping-particle":"","family":"Goda","given":"Yukihiro","non-dropping-particle":"","parse-names":false,"suffix":""}],"container-title":"Journal of Natural Products","id":"ITEM-1","issue":"6","issued":{"date-parts":[["2003","6","1"]]},"page":"885-887","publisher":"American Chemical Society","title":"Concise large-scale synthesis of psilocin and psilocybin, principal hallucinogenic constituents of \"magic mushroom\"","type":"article-journal","volume":"66"},"uris":["http://www.mendeley.com/documents/?uuid=b0ad24d2-9135-35a5-ac39-23b294903d36"]}],"mendeley":{"formattedCitation":"(99)","plainTextFormattedCitation":"(99)","previouslyFormattedCitation":"(99)"},"properties":{"noteIndex":0},"schema":"https://github.com/citation-style-language/schema/raw/master/csl-citation.json"}</w:instrText>
      </w:r>
      <w:r w:rsidR="00507EA6" w:rsidRPr="003947FA">
        <w:rPr>
          <w:caps/>
          <w:color w:val="000000" w:themeColor="text1"/>
        </w:rPr>
        <w:fldChar w:fldCharType="separate"/>
      </w:r>
      <w:r w:rsidR="00030235" w:rsidRPr="00112529">
        <w:rPr>
          <w:noProof/>
          <w:color w:val="000000" w:themeColor="text1"/>
        </w:rPr>
        <w:t>(99)</w:t>
      </w:r>
      <w:r w:rsidR="00507EA6" w:rsidRPr="003947FA">
        <w:rPr>
          <w:caps/>
          <w:color w:val="000000" w:themeColor="text1"/>
        </w:rPr>
        <w:fldChar w:fldCharType="end"/>
      </w:r>
      <w:r w:rsidR="00507EA6" w:rsidRPr="003947FA">
        <w:rPr>
          <w:color w:val="212121"/>
          <w:shd w:val="clear" w:color="auto" w:fill="FFFFFF"/>
        </w:rPr>
        <w:t xml:space="preserve"> (2003).</w:t>
      </w:r>
      <w:r w:rsidR="00507EA6">
        <w:rPr>
          <w:color w:val="212121"/>
          <w:shd w:val="clear" w:color="auto" w:fill="FFFFFF"/>
        </w:rPr>
        <w:t xml:space="preserve"> </w:t>
      </w:r>
      <w:r>
        <w:rPr>
          <w:color w:val="212121"/>
          <w:shd w:val="clear" w:color="auto" w:fill="FFFFFF"/>
        </w:rPr>
        <w:t>They produced these psychedelic molecules</w:t>
      </w:r>
      <w:r w:rsidR="00ED288C">
        <w:rPr>
          <w:color w:val="212121"/>
          <w:shd w:val="clear" w:color="auto" w:fill="FFFFFF"/>
        </w:rPr>
        <w:t xml:space="preserve"> through only organic chemical reactions and</w:t>
      </w:r>
      <w:r w:rsidR="00D451D0" w:rsidRPr="00561467">
        <w:rPr>
          <w:color w:val="212121"/>
          <w:shd w:val="clear" w:color="auto" w:fill="FFFFFF"/>
        </w:rPr>
        <w:t xml:space="preserve"> without </w:t>
      </w:r>
      <w:r>
        <w:rPr>
          <w:color w:val="212121"/>
          <w:shd w:val="clear" w:color="auto" w:fill="FFFFFF"/>
        </w:rPr>
        <w:t xml:space="preserve">the </w:t>
      </w:r>
      <w:r w:rsidR="00D451D0" w:rsidRPr="00561467">
        <w:rPr>
          <w:color w:val="212121"/>
          <w:shd w:val="clear" w:color="auto" w:fill="FFFFFF"/>
        </w:rPr>
        <w:t>chromatographic purification</w:t>
      </w:r>
      <w:r>
        <w:rPr>
          <w:color w:val="212121"/>
          <w:shd w:val="clear" w:color="auto" w:fill="FFFFFF"/>
        </w:rPr>
        <w:t xml:space="preserve"> of the</w:t>
      </w:r>
      <w:r w:rsidR="00ED288C">
        <w:rPr>
          <w:color w:val="212121"/>
          <w:shd w:val="clear" w:color="auto" w:fill="FFFFFF"/>
        </w:rPr>
        <w:t xml:space="preserve"> </w:t>
      </w:r>
      <w:proofErr w:type="spellStart"/>
      <w:r w:rsidR="00ED288C">
        <w:rPr>
          <w:color w:val="212121"/>
          <w:shd w:val="clear" w:color="auto" w:fill="FFFFFF"/>
        </w:rPr>
        <w:t>psilocybe</w:t>
      </w:r>
      <w:proofErr w:type="spellEnd"/>
      <w:r>
        <w:rPr>
          <w:color w:val="212121"/>
          <w:shd w:val="clear" w:color="auto" w:fill="FFFFFF"/>
        </w:rPr>
        <w:t xml:space="preserve"> mushroom</w:t>
      </w:r>
      <w:r w:rsidR="00D451D0" w:rsidRPr="00561467">
        <w:rPr>
          <w:color w:val="212121"/>
          <w:shd w:val="clear" w:color="auto" w:fill="FFFFFF"/>
        </w:rPr>
        <w:t xml:space="preserve">. </w:t>
      </w:r>
      <w:r>
        <w:rPr>
          <w:color w:val="212121"/>
          <w:shd w:val="clear" w:color="auto" w:fill="FFFFFF"/>
        </w:rPr>
        <w:t>The research found</w:t>
      </w:r>
      <w:r w:rsidR="00D451D0" w:rsidRPr="00561467">
        <w:rPr>
          <w:color w:val="212121"/>
          <w:shd w:val="clear" w:color="auto" w:fill="FFFFFF"/>
        </w:rPr>
        <w:t xml:space="preserve"> the isolation of the </w:t>
      </w:r>
      <w:proofErr w:type="gramStart"/>
      <w:r w:rsidR="00B67A0C">
        <w:rPr>
          <w:color w:val="212121"/>
          <w:shd w:val="clear" w:color="auto" w:fill="FFFFFF"/>
        </w:rPr>
        <w:t>N,O</w:t>
      </w:r>
      <w:proofErr w:type="gramEnd"/>
      <w:r w:rsidR="00B67A0C">
        <w:rPr>
          <w:color w:val="212121"/>
          <w:shd w:val="clear" w:color="auto" w:fill="FFFFFF"/>
        </w:rPr>
        <w:t>-dibenzyl phosphate</w:t>
      </w:r>
      <w:r w:rsidR="00D451D0" w:rsidRPr="00561467">
        <w:rPr>
          <w:color w:val="212121"/>
          <w:shd w:val="clear" w:color="auto" w:fill="FFFFFF"/>
        </w:rPr>
        <w:t xml:space="preserve"> intermediate as a zwitterionic derivative</w:t>
      </w:r>
      <w:r>
        <w:rPr>
          <w:color w:val="212121"/>
          <w:shd w:val="clear" w:color="auto" w:fill="FFFFFF"/>
        </w:rPr>
        <w:t xml:space="preserve"> was needed to complete the synthesis</w:t>
      </w:r>
      <w:r w:rsidR="00B67A0C">
        <w:rPr>
          <w:color w:val="212121"/>
          <w:shd w:val="clear" w:color="auto" w:fill="FFFFFF"/>
        </w:rPr>
        <w:t xml:space="preserve"> of psilocybin</w:t>
      </w:r>
      <w:r w:rsidR="00D451D0" w:rsidRPr="00561467">
        <w:rPr>
          <w:color w:val="212121"/>
          <w:shd w:val="clear" w:color="auto" w:fill="FFFFFF"/>
        </w:rPr>
        <w:t xml:space="preserve">, </w:t>
      </w:r>
      <w:r>
        <w:rPr>
          <w:color w:val="212121"/>
          <w:shd w:val="clear" w:color="auto" w:fill="FFFFFF"/>
        </w:rPr>
        <w:t>and</w:t>
      </w:r>
      <w:r w:rsidR="00D451D0" w:rsidRPr="00561467">
        <w:rPr>
          <w:color w:val="212121"/>
          <w:shd w:val="clear" w:color="auto" w:fill="FFFFFF"/>
        </w:rPr>
        <w:t xml:space="preserve"> 2D </w:t>
      </w:r>
      <w:r w:rsidR="00E24597" w:rsidRPr="00CE7615">
        <w:rPr>
          <w:color w:val="000000" w:themeColor="text1"/>
          <w:shd w:val="clear" w:color="auto" w:fill="FFFFFF"/>
          <w:vertAlign w:val="superscript"/>
        </w:rPr>
        <w:t>1</w:t>
      </w:r>
      <w:r w:rsidR="00E24597" w:rsidRPr="00CE7615">
        <w:rPr>
          <w:color w:val="000000" w:themeColor="text1"/>
          <w:shd w:val="clear" w:color="auto" w:fill="FFFFFF"/>
        </w:rPr>
        <w:t>H</w:t>
      </w:r>
      <w:r w:rsidR="00E24597" w:rsidRPr="00561467">
        <w:rPr>
          <w:color w:val="212121"/>
          <w:shd w:val="clear" w:color="auto" w:fill="FFFFFF"/>
        </w:rPr>
        <w:t xml:space="preserve"> </w:t>
      </w:r>
      <w:r w:rsidR="00D451D0" w:rsidRPr="00561467">
        <w:rPr>
          <w:color w:val="212121"/>
          <w:shd w:val="clear" w:color="auto" w:fill="FFFFFF"/>
        </w:rPr>
        <w:t>NMR</w:t>
      </w:r>
      <w:r>
        <w:rPr>
          <w:color w:val="212121"/>
          <w:shd w:val="clear" w:color="auto" w:fill="FFFFFF"/>
        </w:rPr>
        <w:t xml:space="preserve"> spectroscopy was used to identify this intermediate</w:t>
      </w:r>
      <w:r w:rsidR="00D451D0" w:rsidRPr="00561467">
        <w:rPr>
          <w:color w:val="212121"/>
          <w:shd w:val="clear" w:color="auto" w:fill="FFFFFF"/>
        </w:rPr>
        <w:t>.</w:t>
      </w:r>
      <w:r w:rsidR="00B67A0C">
        <w:rPr>
          <w:color w:val="212121"/>
          <w:shd w:val="clear" w:color="auto" w:fill="FFFFFF"/>
        </w:rPr>
        <w:t xml:space="preserve"> </w:t>
      </w:r>
      <w:r w:rsidR="00B67A0C" w:rsidRPr="00CE7615">
        <w:rPr>
          <w:color w:val="000000" w:themeColor="text1"/>
          <w:shd w:val="clear" w:color="auto" w:fill="FFFFFF"/>
          <w:vertAlign w:val="superscript"/>
        </w:rPr>
        <w:t>1</w:t>
      </w:r>
      <w:r w:rsidR="00B67A0C" w:rsidRPr="00CE7615">
        <w:rPr>
          <w:color w:val="000000" w:themeColor="text1"/>
          <w:shd w:val="clear" w:color="auto" w:fill="FFFFFF"/>
        </w:rPr>
        <w:t>H</w:t>
      </w:r>
      <w:r w:rsidR="00B67A0C" w:rsidRPr="00561467">
        <w:rPr>
          <w:color w:val="212121"/>
          <w:shd w:val="clear" w:color="auto" w:fill="FFFFFF"/>
        </w:rPr>
        <w:t xml:space="preserve"> NMR</w:t>
      </w:r>
      <w:r w:rsidR="00B67A0C">
        <w:rPr>
          <w:color w:val="212121"/>
          <w:shd w:val="clear" w:color="auto" w:fill="FFFFFF"/>
        </w:rPr>
        <w:t xml:space="preserve">, </w:t>
      </w:r>
      <w:r w:rsidR="00B67A0C" w:rsidRPr="004465EE">
        <w:rPr>
          <w:rStyle w:val="Emphasis"/>
          <w:i w:val="0"/>
          <w:iCs w:val="0"/>
          <w:color w:val="000000" w:themeColor="text1"/>
          <w:shd w:val="clear" w:color="auto" w:fill="FFFFFF"/>
          <w:vertAlign w:val="superscript"/>
        </w:rPr>
        <w:t>13</w:t>
      </w:r>
      <w:r w:rsidR="00B67A0C" w:rsidRPr="004465EE">
        <w:rPr>
          <w:rStyle w:val="Emphasis"/>
          <w:i w:val="0"/>
          <w:iCs w:val="0"/>
          <w:color w:val="000000" w:themeColor="text1"/>
          <w:shd w:val="clear" w:color="auto" w:fill="FFFFFF"/>
        </w:rPr>
        <w:t>C</w:t>
      </w:r>
      <w:r w:rsidR="00B67A0C">
        <w:rPr>
          <w:rStyle w:val="Emphasis"/>
          <w:i w:val="0"/>
          <w:iCs w:val="0"/>
          <w:color w:val="000000" w:themeColor="text1"/>
          <w:shd w:val="clear" w:color="auto" w:fill="FFFFFF"/>
        </w:rPr>
        <w:t xml:space="preserve"> NMR and </w:t>
      </w:r>
      <w:r w:rsidR="00B67A0C" w:rsidRPr="00A56A54">
        <w:rPr>
          <w:color w:val="000000" w:themeColor="text1"/>
          <w:shd w:val="clear" w:color="auto" w:fill="FFFFFF"/>
          <w:vertAlign w:val="superscript"/>
        </w:rPr>
        <w:t>31</w:t>
      </w:r>
      <w:r w:rsidR="00B67A0C" w:rsidRPr="00A56A54">
        <w:rPr>
          <w:color w:val="000000" w:themeColor="text1"/>
          <w:shd w:val="clear" w:color="auto" w:fill="FFFFFF"/>
        </w:rPr>
        <w:t>P</w:t>
      </w:r>
      <w:r w:rsidR="00B67A0C">
        <w:rPr>
          <w:color w:val="000000" w:themeColor="text1"/>
          <w:shd w:val="clear" w:color="auto" w:fill="FFFFFF"/>
        </w:rPr>
        <w:t xml:space="preserve"> NMR</w:t>
      </w:r>
      <w:r w:rsidR="00B67A0C">
        <w:rPr>
          <w:color w:val="212121"/>
          <w:shd w:val="clear" w:color="auto" w:fill="FFFFFF"/>
        </w:rPr>
        <w:t xml:space="preserve"> w</w:t>
      </w:r>
      <w:r w:rsidR="002B7E68">
        <w:rPr>
          <w:color w:val="212121"/>
          <w:shd w:val="clear" w:color="auto" w:fill="FFFFFF"/>
        </w:rPr>
        <w:t xml:space="preserve">as </w:t>
      </w:r>
      <w:r w:rsidR="00B67A0C">
        <w:rPr>
          <w:color w:val="212121"/>
          <w:shd w:val="clear" w:color="auto" w:fill="FFFFFF"/>
        </w:rPr>
        <w:t>also used</w:t>
      </w:r>
      <w:r w:rsidR="002B7E68">
        <w:rPr>
          <w:color w:val="212121"/>
          <w:shd w:val="clear" w:color="auto" w:fill="FFFFFF"/>
        </w:rPr>
        <w:t xml:space="preserve"> to identify and analyse the structures of the molecules produced </w:t>
      </w:r>
      <w:r w:rsidR="00B67A0C">
        <w:rPr>
          <w:color w:val="212121"/>
          <w:shd w:val="clear" w:color="auto" w:fill="FFFFFF"/>
        </w:rPr>
        <w:t>at different stages of the</w:t>
      </w:r>
      <w:r w:rsidR="002B7E68">
        <w:rPr>
          <w:color w:val="212121"/>
          <w:shd w:val="clear" w:color="auto" w:fill="FFFFFF"/>
        </w:rPr>
        <w:t xml:space="preserve"> experiment, therefore monitoring the molecular changes of the chemical reactions conducted.  </w:t>
      </w:r>
      <w:r w:rsidR="005E3917">
        <w:rPr>
          <w:color w:val="212121"/>
          <w:shd w:val="clear" w:color="auto" w:fill="FFFFFF"/>
        </w:rPr>
        <w:t xml:space="preserve">In this study there was no capacity to include a </w:t>
      </w:r>
      <w:proofErr w:type="spellStart"/>
      <w:r w:rsidR="005E3917">
        <w:rPr>
          <w:color w:val="212121"/>
          <w:shd w:val="clear" w:color="auto" w:fill="FFFFFF"/>
        </w:rPr>
        <w:t>metabonomics</w:t>
      </w:r>
      <w:proofErr w:type="spellEnd"/>
      <w:r w:rsidR="005E3917">
        <w:rPr>
          <w:color w:val="212121"/>
          <w:shd w:val="clear" w:color="auto" w:fill="FFFFFF"/>
        </w:rPr>
        <w:t xml:space="preserve"> approach as</w:t>
      </w:r>
      <w:r w:rsidR="00C70BFD">
        <w:rPr>
          <w:color w:val="212121"/>
          <w:shd w:val="clear" w:color="auto" w:fill="FFFFFF"/>
        </w:rPr>
        <w:t xml:space="preserve"> this was a chemical synthesis experiment. </w:t>
      </w:r>
    </w:p>
    <w:p w14:paraId="29DAFFA3" w14:textId="5C0216E7" w:rsidR="00D451D0" w:rsidRDefault="00D451D0" w:rsidP="00E50706"/>
    <w:p w14:paraId="3D5472B6" w14:textId="41980FDC" w:rsidR="00D451D0" w:rsidRPr="00561467" w:rsidRDefault="00FA1831" w:rsidP="00E50706">
      <w:pPr>
        <w:rPr>
          <w:color w:val="212121"/>
          <w:shd w:val="clear" w:color="auto" w:fill="FFFFFF"/>
        </w:rPr>
      </w:pPr>
      <w:r w:rsidRPr="006902F3">
        <w:rPr>
          <w:color w:val="212121"/>
          <w:shd w:val="clear" w:color="auto" w:fill="FFFFFF"/>
        </w:rPr>
        <w:t xml:space="preserve">Salamone </w:t>
      </w:r>
      <w:r w:rsidRPr="006902F3">
        <w:rPr>
          <w:i/>
          <w:iCs/>
          <w:color w:val="212121"/>
          <w:shd w:val="clear" w:color="auto" w:fill="FFFFFF"/>
        </w:rPr>
        <w:t>et al.</w:t>
      </w:r>
      <w:r w:rsidR="00955E7D">
        <w:rPr>
          <w:i/>
          <w:iCs/>
          <w:color w:val="212121"/>
          <w:shd w:val="clear" w:color="auto" w:fill="FFFFFF"/>
        </w:rPr>
        <w:fldChar w:fldCharType="begin" w:fldLock="1"/>
      </w:r>
      <w:r w:rsidR="00030235">
        <w:rPr>
          <w:i/>
          <w:iCs/>
          <w:color w:val="212121"/>
          <w:shd w:val="clear" w:color="auto" w:fill="FFFFFF"/>
        </w:rPr>
        <w:instrText>ADDIN CSL_CITATION {"citationItems":[{"id":"ITEM-1","itemData":{"DOI":"10.1093/jat/21.6.492","ISSN":"01464760","PMID":"9323531","abstract":"A study was conducted to determine the conditions needed to achieve the equilibrium concentration for the epimerization of d-lysergic acid diethylamide (LSD) to iso-LSD. The reaction was followed by integration of the C-9 resonance of LSD and iso-LSD by proton nuclear magnetic resonance (NMR). The C-9 resonance of LSD and iso-LSD appear as singlets at 6.35 and 6.27 ppm respectively. Starting with pure LSD, the conversion to iso-LSD is attained at temperatures above 37C and pH levels over 7.0. At a pH of 7.0 or higher, the LSD/iso-LSD ratio of 9:1 is achieved after one week at 45C or two weeks at 37C. Starting with iso-LSD, the conversion to LSD requires more vigorous conditions. The 9:1 LSD/iso-LSD ratio is attained only after 6 weeks at a temperature of 45C and a PH of 9.7. At lower pH levels, the reaction proceeds more slowly. The 9:1 LSD/iso-LSD ratio is achieved whether the starting material is LSD or iso-LSD and therefore represents an equilibrium concentration (K 9). In addition, the more vigorous conditions needed to achieve equilibrium of i$o-LSD to LSD demonstrate the difficulty in extraction of the epimerizable proton of iso-LSD. This study is the first to quantitate the epimerization of LSD by NMR techniques and establishes the conditions needed to induce epimerization in solution.","author":[{"dropping-particle":"","family":"Salamone","given":"S. J.","non-dropping-particle":"","parse-names":false,"suffix":""},{"dropping-particle":"","family":"Li","given":"Z.","non-dropping-particle":"","parse-names":false,"suffix":""},{"dropping-particle":"","family":"McNally","given":"A. J.","non-dropping-particle":"","parse-names":false,"suffix":""},{"dropping-particle":"","family":"Vitone","given":"S.","non-dropping-particle":"","parse-names":false,"suffix":""},{"dropping-particle":"","family":"Wu","given":"R. S.","non-dropping-particle":"","parse-names":false,"suffix":""}],"container-title":"Journal of Analytical Toxicology","id":"ITEM-1","issue":"6","issued":{"date-parts":[["1997"]]},"page":"492-497","publisher":"Society of Forensic Toxicologists","title":"Epimerization studies of LSD using 1H nuclear magnetic resonance (NMR) spectroscopy","type":"article-journal","volume":"21"},"uris":["http://www.mendeley.com/documents/?uuid=1c508c44-c926-326a-b5cf-9d564fe08fd1"]}],"mendeley":{"formattedCitation":"(100)","plainTextFormattedCitation":"(100)","previouslyFormattedCitation":"(100)"},"properties":{"noteIndex":0},"schema":"https://github.com/citation-style-language/schema/raw/master/csl-citation.json"}</w:instrText>
      </w:r>
      <w:r w:rsidR="00955E7D">
        <w:rPr>
          <w:i/>
          <w:iCs/>
          <w:color w:val="212121"/>
          <w:shd w:val="clear" w:color="auto" w:fill="FFFFFF"/>
        </w:rPr>
        <w:fldChar w:fldCharType="separate"/>
      </w:r>
      <w:r w:rsidR="00030235" w:rsidRPr="00030235">
        <w:rPr>
          <w:iCs/>
          <w:noProof/>
          <w:color w:val="212121"/>
          <w:shd w:val="clear" w:color="auto" w:fill="FFFFFF"/>
        </w:rPr>
        <w:t>(100)</w:t>
      </w:r>
      <w:r w:rsidR="00955E7D">
        <w:rPr>
          <w:i/>
          <w:iCs/>
          <w:color w:val="212121"/>
          <w:shd w:val="clear" w:color="auto" w:fill="FFFFFF"/>
        </w:rPr>
        <w:fldChar w:fldCharType="end"/>
      </w:r>
      <w:r>
        <w:rPr>
          <w:color w:val="212121"/>
          <w:shd w:val="clear" w:color="auto" w:fill="FFFFFF"/>
        </w:rPr>
        <w:t xml:space="preserve"> (1997) </w:t>
      </w:r>
      <w:r w:rsidR="00D451D0" w:rsidRPr="00561467">
        <w:rPr>
          <w:color w:val="212121"/>
          <w:shd w:val="clear" w:color="auto" w:fill="FFFFFF"/>
        </w:rPr>
        <w:t xml:space="preserve">conducted </w:t>
      </w:r>
      <w:r w:rsidR="00355C5A">
        <w:rPr>
          <w:color w:val="212121"/>
          <w:shd w:val="clear" w:color="auto" w:fill="FFFFFF"/>
        </w:rPr>
        <w:t xml:space="preserve">LSD </w:t>
      </w:r>
      <w:r>
        <w:rPr>
          <w:color w:val="212121"/>
          <w:shd w:val="clear" w:color="auto" w:fill="FFFFFF"/>
        </w:rPr>
        <w:t xml:space="preserve">epimerisation studies using </w:t>
      </w:r>
      <w:r w:rsidRPr="00CE7615">
        <w:rPr>
          <w:color w:val="000000" w:themeColor="text1"/>
          <w:shd w:val="clear" w:color="auto" w:fill="FFFFFF"/>
          <w:vertAlign w:val="superscript"/>
        </w:rPr>
        <w:t>1</w:t>
      </w:r>
      <w:r w:rsidRPr="00CE7615">
        <w:rPr>
          <w:color w:val="000000" w:themeColor="text1"/>
          <w:shd w:val="clear" w:color="auto" w:fill="FFFFFF"/>
        </w:rPr>
        <w:t>H</w:t>
      </w:r>
      <w:r>
        <w:rPr>
          <w:color w:val="000000" w:themeColor="text1"/>
          <w:shd w:val="clear" w:color="auto" w:fill="FFFFFF"/>
        </w:rPr>
        <w:t xml:space="preserve"> NMR spectro</w:t>
      </w:r>
      <w:r w:rsidR="00671F53">
        <w:rPr>
          <w:color w:val="000000" w:themeColor="text1"/>
          <w:shd w:val="clear" w:color="auto" w:fill="FFFFFF"/>
        </w:rPr>
        <w:t>scopy</w:t>
      </w:r>
      <w:r>
        <w:rPr>
          <w:color w:val="000000" w:themeColor="text1"/>
          <w:shd w:val="clear" w:color="auto" w:fill="FFFFFF"/>
        </w:rPr>
        <w:t>.</w:t>
      </w:r>
      <w:r w:rsidR="00955E7D">
        <w:rPr>
          <w:color w:val="000000" w:themeColor="text1"/>
          <w:shd w:val="clear" w:color="auto" w:fill="FFFFFF"/>
        </w:rPr>
        <w:t xml:space="preserve"> Epimerisation </w:t>
      </w:r>
      <w:r w:rsidR="00A6309D">
        <w:rPr>
          <w:color w:val="000000" w:themeColor="text1"/>
          <w:shd w:val="clear" w:color="auto" w:fill="FFFFFF"/>
        </w:rPr>
        <w:t>is a</w:t>
      </w:r>
      <w:r w:rsidR="00955E7D">
        <w:rPr>
          <w:color w:val="000000" w:themeColor="text1"/>
          <w:shd w:val="clear" w:color="auto" w:fill="FFFFFF"/>
        </w:rPr>
        <w:t xml:space="preserve"> conformational change</w:t>
      </w:r>
      <w:r w:rsidR="00A6309D">
        <w:rPr>
          <w:color w:val="000000" w:themeColor="text1"/>
          <w:shd w:val="clear" w:color="auto" w:fill="FFFFFF"/>
        </w:rPr>
        <w:t xml:space="preserve"> of structure, and</w:t>
      </w:r>
      <w:r w:rsidR="00955E7D">
        <w:rPr>
          <w:color w:val="000000" w:themeColor="text1"/>
          <w:shd w:val="clear" w:color="auto" w:fill="FFFFFF"/>
        </w:rPr>
        <w:t xml:space="preserve"> LSD</w:t>
      </w:r>
      <w:r w:rsidR="00A6309D">
        <w:rPr>
          <w:color w:val="000000" w:themeColor="text1"/>
          <w:shd w:val="clear" w:color="auto" w:fill="FFFFFF"/>
        </w:rPr>
        <w:t xml:space="preserve"> is transformed</w:t>
      </w:r>
      <w:r w:rsidR="00955E7D">
        <w:rPr>
          <w:color w:val="000000" w:themeColor="text1"/>
          <w:shd w:val="clear" w:color="auto" w:fill="FFFFFF"/>
        </w:rPr>
        <w:t xml:space="preserve"> to its isomer form known as iso-LSD, this paper </w:t>
      </w:r>
      <w:r w:rsidR="00955E7D">
        <w:rPr>
          <w:color w:val="212121"/>
          <w:shd w:val="clear" w:color="auto" w:fill="FFFFFF"/>
        </w:rPr>
        <w:t>wanted to</w:t>
      </w:r>
      <w:r w:rsidR="00D451D0" w:rsidRPr="00561467">
        <w:rPr>
          <w:color w:val="212121"/>
          <w:shd w:val="clear" w:color="auto" w:fill="FFFFFF"/>
        </w:rPr>
        <w:t xml:space="preserve"> determine the conditions needed to achieve the equilibrium concentration</w:t>
      </w:r>
      <w:r w:rsidR="00955E7D">
        <w:rPr>
          <w:color w:val="212121"/>
          <w:shd w:val="clear" w:color="auto" w:fill="FFFFFF"/>
        </w:rPr>
        <w:t xml:space="preserve"> of this epimerisation</w:t>
      </w:r>
      <w:r w:rsidR="00D451D0" w:rsidRPr="00561467">
        <w:rPr>
          <w:color w:val="212121"/>
          <w:shd w:val="clear" w:color="auto" w:fill="FFFFFF"/>
        </w:rPr>
        <w:t>.</w:t>
      </w:r>
      <w:r w:rsidR="00671F53">
        <w:rPr>
          <w:color w:val="212121"/>
          <w:shd w:val="clear" w:color="auto" w:fill="FFFFFF"/>
        </w:rPr>
        <w:t xml:space="preserve"> </w:t>
      </w:r>
      <w:r w:rsidR="00671F53" w:rsidRPr="00CE7615">
        <w:rPr>
          <w:color w:val="000000" w:themeColor="text1"/>
          <w:shd w:val="clear" w:color="auto" w:fill="FFFFFF"/>
          <w:vertAlign w:val="superscript"/>
        </w:rPr>
        <w:t>1</w:t>
      </w:r>
      <w:r w:rsidR="00671F53" w:rsidRPr="00CE7615">
        <w:rPr>
          <w:color w:val="000000" w:themeColor="text1"/>
          <w:shd w:val="clear" w:color="auto" w:fill="FFFFFF"/>
        </w:rPr>
        <w:t>H</w:t>
      </w:r>
      <w:r w:rsidR="00671F53">
        <w:rPr>
          <w:color w:val="000000" w:themeColor="text1"/>
          <w:shd w:val="clear" w:color="auto" w:fill="FFFFFF"/>
        </w:rPr>
        <w:t xml:space="preserve"> NMR was necessary in the </w:t>
      </w:r>
      <w:r w:rsidR="00D451D0" w:rsidRPr="00561467">
        <w:rPr>
          <w:color w:val="212121"/>
          <w:shd w:val="clear" w:color="auto" w:fill="FFFFFF"/>
        </w:rPr>
        <w:t>integration of the C-9 resonance of LSD and iso-LSD</w:t>
      </w:r>
      <w:r w:rsidR="00955E7D">
        <w:rPr>
          <w:color w:val="212121"/>
          <w:shd w:val="clear" w:color="auto" w:fill="FFFFFF"/>
        </w:rPr>
        <w:t xml:space="preserve">. </w:t>
      </w:r>
      <w:r w:rsidR="00671F53">
        <w:rPr>
          <w:color w:val="212121"/>
          <w:shd w:val="clear" w:color="auto" w:fill="FFFFFF"/>
        </w:rPr>
        <w:t xml:space="preserve">This study found that </w:t>
      </w:r>
      <w:r w:rsidR="000F244F">
        <w:rPr>
          <w:color w:val="212121"/>
          <w:shd w:val="clear" w:color="auto" w:fill="FFFFFF"/>
        </w:rPr>
        <w:t xml:space="preserve">regardless of </w:t>
      </w:r>
      <w:r w:rsidR="00355C5A">
        <w:rPr>
          <w:color w:val="212121"/>
          <w:shd w:val="clear" w:color="auto" w:fill="FFFFFF"/>
        </w:rPr>
        <w:t xml:space="preserve">whether the conversion was made from LSD to iso-LSD or iso-LSD to LSD, after undergoing conversion the ratio </w:t>
      </w:r>
      <w:r w:rsidR="00A6309D">
        <w:rPr>
          <w:color w:val="212121"/>
          <w:shd w:val="clear" w:color="auto" w:fill="FFFFFF"/>
        </w:rPr>
        <w:t xml:space="preserve">of the </w:t>
      </w:r>
      <w:r w:rsidR="00355C5A">
        <w:rPr>
          <w:color w:val="212121"/>
          <w:shd w:val="clear" w:color="auto" w:fill="FFFFFF"/>
        </w:rPr>
        <w:t>concentration</w:t>
      </w:r>
      <w:r w:rsidR="00A6309D">
        <w:rPr>
          <w:color w:val="212121"/>
          <w:shd w:val="clear" w:color="auto" w:fill="FFFFFF"/>
        </w:rPr>
        <w:t>s</w:t>
      </w:r>
      <w:r w:rsidR="00355C5A">
        <w:rPr>
          <w:color w:val="212121"/>
          <w:shd w:val="clear" w:color="auto" w:fill="FFFFFF"/>
        </w:rPr>
        <w:t xml:space="preserve"> </w:t>
      </w:r>
      <w:r w:rsidR="000F244F">
        <w:rPr>
          <w:color w:val="212121"/>
          <w:shd w:val="clear" w:color="auto" w:fill="FFFFFF"/>
        </w:rPr>
        <w:t>for</w:t>
      </w:r>
      <w:r w:rsidR="00355C5A">
        <w:rPr>
          <w:color w:val="212121"/>
          <w:shd w:val="clear" w:color="auto" w:fill="FFFFFF"/>
        </w:rPr>
        <w:t xml:space="preserve"> LSD/iso-LSD</w:t>
      </w:r>
      <w:r w:rsidR="000F244F">
        <w:rPr>
          <w:color w:val="212121"/>
          <w:shd w:val="clear" w:color="auto" w:fill="FFFFFF"/>
        </w:rPr>
        <w:t xml:space="preserve"> </w:t>
      </w:r>
      <w:r w:rsidR="00355C5A">
        <w:rPr>
          <w:color w:val="212121"/>
          <w:shd w:val="clear" w:color="auto" w:fill="FFFFFF"/>
        </w:rPr>
        <w:t>was always 9:1</w:t>
      </w:r>
      <w:r w:rsidR="00D451D0" w:rsidRPr="00561467">
        <w:rPr>
          <w:color w:val="212121"/>
          <w:shd w:val="clear" w:color="auto" w:fill="FFFFFF"/>
        </w:rPr>
        <w:t xml:space="preserve">. This study </w:t>
      </w:r>
      <w:r w:rsidR="00955E7D">
        <w:rPr>
          <w:color w:val="212121"/>
          <w:shd w:val="clear" w:color="auto" w:fill="FFFFFF"/>
        </w:rPr>
        <w:t>was</w:t>
      </w:r>
      <w:r w:rsidR="00D451D0" w:rsidRPr="00561467">
        <w:rPr>
          <w:color w:val="212121"/>
          <w:shd w:val="clear" w:color="auto" w:fill="FFFFFF"/>
        </w:rPr>
        <w:t xml:space="preserve"> the first to quantitate LSD </w:t>
      </w:r>
      <w:r w:rsidR="00955E7D" w:rsidRPr="00561467">
        <w:rPr>
          <w:color w:val="212121"/>
          <w:shd w:val="clear" w:color="auto" w:fill="FFFFFF"/>
        </w:rPr>
        <w:t>epimeri</w:t>
      </w:r>
      <w:r w:rsidR="00955E7D">
        <w:rPr>
          <w:color w:val="212121"/>
          <w:shd w:val="clear" w:color="auto" w:fill="FFFFFF"/>
        </w:rPr>
        <w:t>sa</w:t>
      </w:r>
      <w:r w:rsidR="00955E7D" w:rsidRPr="00561467">
        <w:rPr>
          <w:color w:val="212121"/>
          <w:shd w:val="clear" w:color="auto" w:fill="FFFFFF"/>
        </w:rPr>
        <w:t>tion</w:t>
      </w:r>
      <w:r w:rsidR="00955E7D">
        <w:rPr>
          <w:color w:val="212121"/>
          <w:shd w:val="clear" w:color="auto" w:fill="FFFFFF"/>
        </w:rPr>
        <w:t xml:space="preserve"> using</w:t>
      </w:r>
      <w:r w:rsidR="00955E7D" w:rsidRPr="00561467">
        <w:rPr>
          <w:color w:val="212121"/>
          <w:shd w:val="clear" w:color="auto" w:fill="FFFFFF"/>
        </w:rPr>
        <w:t xml:space="preserve"> </w:t>
      </w:r>
      <w:r w:rsidR="00955E7D" w:rsidRPr="00CE7615">
        <w:rPr>
          <w:color w:val="000000" w:themeColor="text1"/>
          <w:shd w:val="clear" w:color="auto" w:fill="FFFFFF"/>
          <w:vertAlign w:val="superscript"/>
        </w:rPr>
        <w:t>1</w:t>
      </w:r>
      <w:r w:rsidR="00955E7D" w:rsidRPr="00CE7615">
        <w:rPr>
          <w:color w:val="000000" w:themeColor="text1"/>
          <w:shd w:val="clear" w:color="auto" w:fill="FFFFFF"/>
        </w:rPr>
        <w:t>H</w:t>
      </w:r>
      <w:r w:rsidR="00955E7D">
        <w:rPr>
          <w:color w:val="000000" w:themeColor="text1"/>
          <w:shd w:val="clear" w:color="auto" w:fill="FFFFFF"/>
        </w:rPr>
        <w:t xml:space="preserve"> NMR </w:t>
      </w:r>
      <w:r w:rsidR="00D451D0" w:rsidRPr="00561467">
        <w:rPr>
          <w:color w:val="212121"/>
          <w:shd w:val="clear" w:color="auto" w:fill="FFFFFF"/>
        </w:rPr>
        <w:t xml:space="preserve">and </w:t>
      </w:r>
      <w:r w:rsidR="00955E7D">
        <w:rPr>
          <w:color w:val="212121"/>
          <w:shd w:val="clear" w:color="auto" w:fill="FFFFFF"/>
        </w:rPr>
        <w:t xml:space="preserve">it clarified </w:t>
      </w:r>
      <w:r w:rsidR="00D451D0" w:rsidRPr="00561467">
        <w:rPr>
          <w:color w:val="212121"/>
          <w:shd w:val="clear" w:color="auto" w:fill="FFFFFF"/>
        </w:rPr>
        <w:t>the conditions needed to induce epimeri</w:t>
      </w:r>
      <w:r w:rsidR="009D1606">
        <w:rPr>
          <w:color w:val="212121"/>
          <w:shd w:val="clear" w:color="auto" w:fill="FFFFFF"/>
        </w:rPr>
        <w:t>s</w:t>
      </w:r>
      <w:r w:rsidR="00D451D0" w:rsidRPr="00561467">
        <w:rPr>
          <w:color w:val="212121"/>
          <w:shd w:val="clear" w:color="auto" w:fill="FFFFFF"/>
        </w:rPr>
        <w:t>ation in solution.</w:t>
      </w:r>
      <w:r w:rsidR="009D1606">
        <w:rPr>
          <w:color w:val="212121"/>
          <w:shd w:val="clear" w:color="auto" w:fill="FFFFFF"/>
        </w:rPr>
        <w:t xml:space="preserve"> </w:t>
      </w:r>
      <w:r w:rsidR="00306032">
        <w:rPr>
          <w:color w:val="212121"/>
          <w:shd w:val="clear" w:color="auto" w:fill="FFFFFF"/>
        </w:rPr>
        <w:t xml:space="preserve">In this </w:t>
      </w:r>
      <w:r w:rsidR="00A6309D">
        <w:rPr>
          <w:color w:val="212121"/>
          <w:shd w:val="clear" w:color="auto" w:fill="FFFFFF"/>
        </w:rPr>
        <w:t>study</w:t>
      </w:r>
      <w:r w:rsidR="00306032">
        <w:rPr>
          <w:color w:val="212121"/>
          <w:shd w:val="clear" w:color="auto" w:fill="FFFFFF"/>
        </w:rPr>
        <w:t>,</w:t>
      </w:r>
      <w:r w:rsidR="009D1606">
        <w:rPr>
          <w:color w:val="212121"/>
          <w:shd w:val="clear" w:color="auto" w:fill="FFFFFF"/>
        </w:rPr>
        <w:t xml:space="preserve"> </w:t>
      </w:r>
      <w:r w:rsidR="009D1606" w:rsidRPr="00CE7615">
        <w:rPr>
          <w:color w:val="000000" w:themeColor="text1"/>
          <w:shd w:val="clear" w:color="auto" w:fill="FFFFFF"/>
          <w:vertAlign w:val="superscript"/>
        </w:rPr>
        <w:t>1</w:t>
      </w:r>
      <w:r w:rsidR="009D1606" w:rsidRPr="00CE7615">
        <w:rPr>
          <w:color w:val="000000" w:themeColor="text1"/>
          <w:shd w:val="clear" w:color="auto" w:fill="FFFFFF"/>
        </w:rPr>
        <w:t>H</w:t>
      </w:r>
      <w:r w:rsidR="009D1606">
        <w:rPr>
          <w:color w:val="000000" w:themeColor="text1"/>
          <w:shd w:val="clear" w:color="auto" w:fill="FFFFFF"/>
        </w:rPr>
        <w:t xml:space="preserve"> NMR </w:t>
      </w:r>
      <w:r w:rsidR="00306032">
        <w:rPr>
          <w:color w:val="000000" w:themeColor="text1"/>
          <w:shd w:val="clear" w:color="auto" w:fill="FFFFFF"/>
        </w:rPr>
        <w:t xml:space="preserve">was only used for this </w:t>
      </w:r>
      <w:r w:rsidR="009D1606">
        <w:rPr>
          <w:color w:val="000000" w:themeColor="text1"/>
          <w:shd w:val="clear" w:color="auto" w:fill="FFFFFF"/>
        </w:rPr>
        <w:t>purpose</w:t>
      </w:r>
      <w:r w:rsidR="00306032">
        <w:rPr>
          <w:color w:val="000000" w:themeColor="text1"/>
          <w:shd w:val="clear" w:color="auto" w:fill="FFFFFF"/>
        </w:rPr>
        <w:t xml:space="preserve"> once. Due to the nature of this chemistry experiment, the</w:t>
      </w:r>
      <w:r w:rsidR="000F244F">
        <w:rPr>
          <w:color w:val="000000" w:themeColor="text1"/>
          <w:shd w:val="clear" w:color="auto" w:fill="FFFFFF"/>
        </w:rPr>
        <w:t xml:space="preserve"> </w:t>
      </w:r>
      <w:r w:rsidR="00306032">
        <w:rPr>
          <w:color w:val="000000" w:themeColor="text1"/>
          <w:shd w:val="clear" w:color="auto" w:fill="FFFFFF"/>
        </w:rPr>
        <w:t xml:space="preserve">use of </w:t>
      </w:r>
      <w:r w:rsidR="00306032" w:rsidRPr="00CE7615">
        <w:rPr>
          <w:color w:val="000000" w:themeColor="text1"/>
          <w:shd w:val="clear" w:color="auto" w:fill="FFFFFF"/>
          <w:vertAlign w:val="superscript"/>
        </w:rPr>
        <w:t>1</w:t>
      </w:r>
      <w:r w:rsidR="00306032" w:rsidRPr="00CE7615">
        <w:rPr>
          <w:color w:val="000000" w:themeColor="text1"/>
          <w:shd w:val="clear" w:color="auto" w:fill="FFFFFF"/>
        </w:rPr>
        <w:t>H</w:t>
      </w:r>
      <w:r w:rsidR="00306032">
        <w:rPr>
          <w:color w:val="000000" w:themeColor="text1"/>
          <w:shd w:val="clear" w:color="auto" w:fill="FFFFFF"/>
        </w:rPr>
        <w:t xml:space="preserve"> NMR was </w:t>
      </w:r>
      <w:r w:rsidR="000F244F">
        <w:rPr>
          <w:color w:val="000000" w:themeColor="text1"/>
          <w:shd w:val="clear" w:color="auto" w:fill="FFFFFF"/>
        </w:rPr>
        <w:t>strictly</w:t>
      </w:r>
      <w:r w:rsidR="00306032">
        <w:rPr>
          <w:color w:val="000000" w:themeColor="text1"/>
          <w:shd w:val="clear" w:color="auto" w:fill="FFFFFF"/>
        </w:rPr>
        <w:t xml:space="preserve"> for quantification and not </w:t>
      </w:r>
      <w:r w:rsidR="009D1606">
        <w:rPr>
          <w:color w:val="000000" w:themeColor="text1"/>
          <w:shd w:val="clear" w:color="auto" w:fill="FFFFFF"/>
        </w:rPr>
        <w:t xml:space="preserve">metabonomic </w:t>
      </w:r>
      <w:r w:rsidR="00306032">
        <w:rPr>
          <w:color w:val="000000" w:themeColor="text1"/>
          <w:shd w:val="clear" w:color="auto" w:fill="FFFFFF"/>
        </w:rPr>
        <w:t>analysis</w:t>
      </w:r>
      <w:r w:rsidR="009D1606">
        <w:rPr>
          <w:color w:val="000000" w:themeColor="text1"/>
          <w:shd w:val="clear" w:color="auto" w:fill="FFFFFF"/>
        </w:rPr>
        <w:t>.</w:t>
      </w:r>
    </w:p>
    <w:p w14:paraId="573592FA" w14:textId="7B604777" w:rsidR="00D451D0" w:rsidRDefault="00D451D0" w:rsidP="00E50706"/>
    <w:p w14:paraId="5AB34D4C" w14:textId="6C055E77" w:rsidR="00AB0EB1" w:rsidRDefault="00FA1831" w:rsidP="00E50706">
      <w:pPr>
        <w:rPr>
          <w:color w:val="000000" w:themeColor="text1"/>
          <w:shd w:val="clear" w:color="auto" w:fill="FFFFFF"/>
        </w:rPr>
      </w:pPr>
      <w:r>
        <w:rPr>
          <w:color w:val="212121"/>
          <w:shd w:val="clear" w:color="auto" w:fill="FFFFFF"/>
        </w:rPr>
        <w:t xml:space="preserve">In 1981, </w:t>
      </w:r>
      <w:r w:rsidR="00671F53" w:rsidRPr="00CE7615">
        <w:rPr>
          <w:color w:val="000000" w:themeColor="text1"/>
          <w:shd w:val="clear" w:color="auto" w:fill="FFFFFF"/>
          <w:vertAlign w:val="superscript"/>
        </w:rPr>
        <w:t>1</w:t>
      </w:r>
      <w:r w:rsidR="00671F53" w:rsidRPr="00CE7615">
        <w:rPr>
          <w:color w:val="000000" w:themeColor="text1"/>
          <w:shd w:val="clear" w:color="auto" w:fill="FFFFFF"/>
        </w:rPr>
        <w:t>H</w:t>
      </w:r>
      <w:r w:rsidR="00671F53">
        <w:rPr>
          <w:color w:val="000000" w:themeColor="text1"/>
          <w:shd w:val="clear" w:color="auto" w:fill="FFFFFF"/>
        </w:rPr>
        <w:t xml:space="preserve"> NMR spectroscopy</w:t>
      </w:r>
      <w:r w:rsidR="00671F53">
        <w:rPr>
          <w:color w:val="212121"/>
          <w:shd w:val="clear" w:color="auto" w:fill="FFFFFF"/>
        </w:rPr>
        <w:t xml:space="preserve"> </w:t>
      </w:r>
      <w:r>
        <w:rPr>
          <w:color w:val="212121"/>
          <w:shd w:val="clear" w:color="auto" w:fill="FFFFFF"/>
        </w:rPr>
        <w:t xml:space="preserve">was used by Migliaccio </w:t>
      </w:r>
      <w:r w:rsidRPr="00FA1831">
        <w:rPr>
          <w:i/>
          <w:iCs/>
          <w:color w:val="212121"/>
          <w:shd w:val="clear" w:color="auto" w:fill="FFFFFF"/>
        </w:rPr>
        <w:t>et al.</w:t>
      </w:r>
      <w:r w:rsidR="001F522D">
        <w:rPr>
          <w:i/>
          <w:iCs/>
          <w:color w:val="212121"/>
          <w:shd w:val="clear" w:color="auto" w:fill="FFFFFF"/>
        </w:rPr>
        <w:fldChar w:fldCharType="begin" w:fldLock="1"/>
      </w:r>
      <w:r w:rsidR="00030235">
        <w:rPr>
          <w:i/>
          <w:iCs/>
          <w:color w:val="212121"/>
          <w:shd w:val="clear" w:color="auto" w:fill="FFFFFF"/>
        </w:rPr>
        <w:instrText>ADDIN CSL_CITATION {"citationItems":[{"id":"ITEM-1","itemData":{"DOI":"10.1021/jm00134a016","ISSN":"15204804","PMID":"6259355","abstract":"The 360-MHz NMR spectra of bufotenin and psilocin were obtained, both as the free bases in CDC13 and as protonated salts in D20. Coupling constants for the side-chain methylenes were derived using the LAOCN3 program. These time-averaged coupling constants indicate that the trans and gauche retainers of both compounds have about equal energy in D20. There is a slight excess of the trans rotamer of bufotenin in CDC13. For psilocin, in contrast, the gauche form is highly favored in CDC13. The magnitude of this stabilization was estimated at about 1 keal/mol using rotamer populations and free energy of transfer from published partitioning studies. It is suggested that this could result from a very weak hydrogen bond. On the other hand, the difference in partitioning between bufotenin and psilocin, which seems to be a major determinant of biological activity, is largely due to a difference in the basicity of the two compounds. The pXa values for the amino group of psilocin and bufotenin were determined to be 8.47 and 9.67, respectively. © 1981, American Chemical Society. All rights reserved.","author":[{"dropping-particle":"","family":"Migliaccio","given":"Gerald P.","non-dropping-particle":"","parse-names":false,"suffix":""},{"dropping-particle":"","family":"Shieh","given":"Tiee Leou N.","non-dropping-particle":"","parse-names":false,"suffix":""},{"dropping-particle":"","family":"Byrn","given":"Stephen R.","non-dropping-particle":"","parse-names":false,"suffix":""},{"dropping-particle":"","family":"Hathaway","given":"Bruce A.","non-dropping-particle":"","parse-names":false,"suffix":""},{"dropping-particle":"","family":"Nichols","given":"David E.","non-dropping-particle":"","parse-names":false,"suffix":""}],"container-title":"Journal of Medicinal Chemistry","id":"ITEM-1","issue":"2","issued":{"date-parts":[["1981"]]},"page":"206-209","publisher":"American Chemical Society","title":"Comparison of Solution Conformational Preferences for the Hallucinogens Bufotenin and Psilocin Using 360-MHz Proton NMR Spectroscopy","type":"article-journal","volume":"24"},"uris":["http://www.mendeley.com/documents/?uuid=78df7770-e2ae-396d-b3ea-673476058c6d"]}],"mendeley":{"formattedCitation":"(101)","plainTextFormattedCitation":"(101)","previouslyFormattedCitation":"(101)"},"properties":{"noteIndex":0},"schema":"https://github.com/citation-style-language/schema/raw/master/csl-citation.json"}</w:instrText>
      </w:r>
      <w:r w:rsidR="001F522D">
        <w:rPr>
          <w:i/>
          <w:iCs/>
          <w:color w:val="212121"/>
          <w:shd w:val="clear" w:color="auto" w:fill="FFFFFF"/>
        </w:rPr>
        <w:fldChar w:fldCharType="separate"/>
      </w:r>
      <w:r w:rsidR="00030235" w:rsidRPr="00030235">
        <w:rPr>
          <w:iCs/>
          <w:noProof/>
          <w:color w:val="212121"/>
          <w:shd w:val="clear" w:color="auto" w:fill="FFFFFF"/>
        </w:rPr>
        <w:t>(101)</w:t>
      </w:r>
      <w:r w:rsidR="001F522D">
        <w:rPr>
          <w:i/>
          <w:iCs/>
          <w:color w:val="212121"/>
          <w:shd w:val="clear" w:color="auto" w:fill="FFFFFF"/>
        </w:rPr>
        <w:fldChar w:fldCharType="end"/>
      </w:r>
      <w:r w:rsidR="001F522D">
        <w:rPr>
          <w:color w:val="212121"/>
          <w:shd w:val="clear" w:color="auto" w:fill="FFFFFF"/>
        </w:rPr>
        <w:t xml:space="preserve"> </w:t>
      </w:r>
      <w:r>
        <w:rPr>
          <w:color w:val="212121"/>
          <w:shd w:val="clear" w:color="auto" w:fill="FFFFFF"/>
        </w:rPr>
        <w:t xml:space="preserve">to compare the </w:t>
      </w:r>
      <w:r w:rsidR="00164219">
        <w:rPr>
          <w:color w:val="212121"/>
          <w:shd w:val="clear" w:color="auto" w:fill="FFFFFF"/>
        </w:rPr>
        <w:t xml:space="preserve">conformational properties </w:t>
      </w:r>
      <w:r w:rsidR="00D451D0" w:rsidRPr="00D451D0">
        <w:rPr>
          <w:color w:val="212121"/>
          <w:shd w:val="clear" w:color="auto" w:fill="FFFFFF"/>
        </w:rPr>
        <w:t>of</w:t>
      </w:r>
      <w:r w:rsidR="00164219">
        <w:rPr>
          <w:color w:val="212121"/>
          <w:shd w:val="clear" w:color="auto" w:fill="FFFFFF"/>
        </w:rPr>
        <w:t xml:space="preserve"> the two psychedelic molecules,</w:t>
      </w:r>
      <w:r w:rsidR="00D451D0" w:rsidRPr="00D451D0">
        <w:rPr>
          <w:color w:val="212121"/>
          <w:shd w:val="clear" w:color="auto" w:fill="FFFFFF"/>
        </w:rPr>
        <w:t xml:space="preserve"> psilocin</w:t>
      </w:r>
      <w:r w:rsidR="00FC7477">
        <w:rPr>
          <w:color w:val="212121"/>
          <w:shd w:val="clear" w:color="auto" w:fill="FFFFFF"/>
        </w:rPr>
        <w:t xml:space="preserve"> and </w:t>
      </w:r>
      <w:proofErr w:type="spellStart"/>
      <w:r w:rsidR="00FC7477">
        <w:rPr>
          <w:color w:val="212121"/>
          <w:shd w:val="clear" w:color="auto" w:fill="FFFFFF"/>
        </w:rPr>
        <w:t>bufotenin</w:t>
      </w:r>
      <w:proofErr w:type="spellEnd"/>
      <w:r w:rsidR="00430E66">
        <w:rPr>
          <w:color w:val="212121"/>
          <w:shd w:val="clear" w:color="auto" w:fill="FFFFFF"/>
        </w:rPr>
        <w:t xml:space="preserve">. </w:t>
      </w:r>
      <w:r w:rsidR="00164219">
        <w:rPr>
          <w:color w:val="212121"/>
          <w:shd w:val="clear" w:color="auto" w:fill="FFFFFF"/>
        </w:rPr>
        <w:t xml:space="preserve">Despite being </w:t>
      </w:r>
      <w:r w:rsidR="001F522D">
        <w:rPr>
          <w:color w:val="212121"/>
          <w:shd w:val="clear" w:color="auto" w:fill="FFFFFF"/>
        </w:rPr>
        <w:t>isomers</w:t>
      </w:r>
      <w:r w:rsidR="00430E66">
        <w:rPr>
          <w:color w:val="212121"/>
          <w:shd w:val="clear" w:color="auto" w:fill="FFFFFF"/>
        </w:rPr>
        <w:t xml:space="preserve"> and both having demonstrated high affinity for the same </w:t>
      </w:r>
      <w:r w:rsidR="00430E66" w:rsidRPr="00873C8C">
        <w:t>5</w:t>
      </w:r>
      <w:r w:rsidR="00430E66">
        <w:t>-</w:t>
      </w:r>
      <w:r w:rsidR="00430E66" w:rsidRPr="00873C8C">
        <w:t>HT</w:t>
      </w:r>
      <w:r w:rsidR="00430E66" w:rsidRPr="00F80441">
        <w:rPr>
          <w:vertAlign w:val="subscript"/>
        </w:rPr>
        <w:t>2A</w:t>
      </w:r>
      <w:r w:rsidR="00430E66">
        <w:rPr>
          <w:vertAlign w:val="subscript"/>
        </w:rPr>
        <w:t xml:space="preserve"> </w:t>
      </w:r>
      <w:r w:rsidR="00430E66">
        <w:t>receptors</w:t>
      </w:r>
      <w:r w:rsidR="00430E66">
        <w:fldChar w:fldCharType="begin" w:fldLock="1"/>
      </w:r>
      <w:r w:rsidR="00030235">
        <w:instrText>ADDIN CSL_CITATION {"citationItems":[{"id":"ITEM-1","itemData":{"abstract":"5-Methoxytryptamine (5-MT) is taken up rapidly by rat tissues after IP injection (50 mg/kg) and the following peak levels (~g/g or ml of sample) were observed after 5 min: plasma, 5.3; liver, 126; skeletal muscle, 2.4; brain 0.43. Over 900/0 of the compound disappeared from the plasma and the tissues studied within 60 rain. The compound impaired rope climbing performance of trained rats. Pretreatment of the animals with iproniazid enhanced the effect of 5-MT whereas its main (and probably only) metabolite, 5-methoxyindoleacetic acid, did not interfere with rope climbing at a dose of 75 mg/kg. 5-MT also produced marked cutaneous vasodilatation, analgesia and hindleg paralysis. All pharmacological effects lasted approximately 75 min. It is suggested that 5-MT is the pharmacological active agent and that behavioral changes observed after IP injection of the compound are mainly caused by the peripheral and little, if any, by a central action of this compound.","author":[{"dropping-particle":"","family":"Vogel","given":"W H","non-dropping-particle":"","parse-names":false,"suffix":""}],"container-title":"Psychopharmacologia (Berl.)","id":"ITEM-1","issued":{"date-parts":[["1969"]]},"number-of-pages":"88-95","title":"Physiological Disposition of 5-methoxytryptamine and the Rope Climbing Performance of Rats*","type":"report","volume":"15"},"uris":["http://www.mendeley.com/documents/?uuid=b0f99040-3ab1-359c-b188-4fcf14dc4fdb"]},{"id":"ITEM-2","itemData":{"abstract":"Certain methoxylated and/or N-methylated derivatives of phenylethylamine (e .g. mescaline) and tryptamine (e .g. dimethyl-tryptamine) are known to be hallucinogenic in man and to produce abnormal behavior in animals (e .g. 1-8). These compounds are of particular interest since they resemble structurally certain known putative neurotransmitters in the mammalian brain and since some of them occur naturally in mammalian and human tissues and fluids (e .g. 9-13). These compounds have been widely studied and various attempts have been made to discover the mechanism(s) of action of these \"hallucinogenic\" substances. Certain concepts have been evolved from structure-activity-relatlonship studies (SAR) as to their behavioral potency, the optimal chemical structure necessary for \"hallucinogenic\" activity and the possible architecture of the \"hallucinogenic receptor\" in the brain (e .g. 4-6,8,14-20). However, comparisons and conclusions in animal and human studies have been based primarily on the doses administered and not on the brain levels necessary to produce \"abnormal\" behavior . Although the dose administered is readily available, it is unfortunately no accurate measure of the actual level of a particular compound in the brain because the brain level is a func-' tion, in addition to other variables, of the specific fate of the compound in the organism including absorption, distribution, metabolism , penetration through the blood-brain-barrier-(ABB) and ex-cretion. For example, one compound might appear to be less potent than another based on administered doses simply because it is too quickly metabolized and cannot accumulate in the brain or a compound might appear to be extremely potent because it is preferentially concentrated in the central nervous system. To remove such uncertainties about the metabolic fate, we have tried to compare compounds on the basis of actual brain level. Requirements for selection of compounds in this. review were : availability of brain levels of the particular compound as well as their effects on behavior under relatively comparable condi tions. The latter criterion is important because the potency of a compound does vary with the behavioral test used, e .g. 3 umoles/ kg of LSD interfere with the conditioned avoidance response (CAR) in the shuttle box (5) whereas 0 .2 umoles/kg of LSD affect a fixed ratio schedule of positive reinforcement (21). Upon review of the literature, most compound seem to have been tested in the rat u…","author":[{"dropping-particle":"","family":"Vogel","given":"W H","non-dropping-particle":"","parse-names":false,"suffix":""},{"dropping-particle":"","family":"Evans","given":"B D","non-dropping-particle":"","parse-names":false,"suffix":""}],"container-title":"Life Sciences","id":"ITEM-2","issued":{"date-parts":[["1977"]]},"number-of-pages":"1629-1636","publisher":"Pergamon Press","title":"Structure-activity-relationships of certain hallucinogenic substances based on brain levels","type":"report","volume":"20"},"uris":["http://www.mendeley.com/documents/?uuid=a92c8bb7-440f-305a-af4a-6d762792f373"]},{"id":"ITEM-3","itemData":{"DOI":"10.1021/jm00190a014","ISSN":"15204804","PMID":"430481","abstract":"Using a rat fundus model, the serotonin (5-HT) receptor binding affinities of 27 tryptamine analogues were determined.Factors which might affect affinity were examined, e.g., lipid solubility, as reflected by partition coefficient, and pKa. Structure-activity relationships were developed and are discussed in terms of substituents on the terminal amine, the side chain, and the indole 1 position, the 5 position, and at other positions on the indolic nucleus. If lipid solubility and metabolism can be accounted for, there appears to be a parallelism between 5-HT receptor binding affinities and the hallucinogenic (psychotomimetic) potencies of several of these compounds. © 1979, American Chemical Society. All rights reserved.","author":[{"dropping-particle":"","family":"Glennon","given":"Richard A.","non-dropping-particle":"","parse-names":false,"suffix":""},{"dropping-particle":"","family":"Gessner","given":"Peter K.","non-dropping-particle":"","parse-names":false,"suffix":""}],"container-title":"Journal of Medicinal Chemistry","id":"ITEM-3","issue":"4","issued":{"date-parts":[["1979","2","1"]]},"page":"428-432","publisher":"American Chemical Society","title":"Serotonin Receptor Binding Affinities of Tryptamine Analogs","type":"article-journal","volume":"22"},"uris":["http://www.mendeley.com/documents/?uuid=c57122ed-6544-3a6c-9085-300f40c0c164"]},{"id":"ITEM-4","itemData":{"author":[{"dropping-particle":"","family":"Lovell","given":"Richard A.","non-dropping-particle":"","parse-names":false,"suffix":""},{"dropping-particle":"","family":"Freedman","given":"Daniel X.","non-dropping-particle":"","parse-names":false,"suffix":""}],"container-title":"Molecular Pharmacology","id":"ITEM-4","issue":"4","issued":{"date-parts":[["1976"]]},"title":"Stereospecific Receptor Sites for d-Lysergic Acid Diethylamide in Rat Brain: Effects of Neurotransmitters, Amine Antagonists, and Other Psychotropic Drugs","type":"article-journal","volume":"12"},"uris":["http://www.mendeley.com/documents/?uuid=5de789b0-dd7b-3c59-a88d-2cafab6e65aa"]},{"id":"ITEM-5","itemData":{"author":[{"dropping-particle":"","family":"Fillion","given":"Gilles M. B.","non-dropping-particle":"","parse-names":false,"suffix":""},{"dropping-particle":"","family":"Rouselle","given":"Jean-Claude","non-dropping-particle":"","parse-names":false,"suffix":""},{"dropping-particle":"","family":"Fillion","given":"Marie-Paule","non-dropping-particle":"","parse-names":false,"suffix":""},{"dropping-particle":"","family":"Beaudoin","given":"Dominque M.","non-dropping-particle":"","parse-names":false,"suffix":""},{"dropping-particle":"","family":"Goiny","given":"Michael R.","non-dropping-particle":"","parse-names":false,"suffix":""},{"dropping-particle":"","family":"Deniau","given":"Jean-Michel","non-dropping-particle":"","parse-names":false,"suffix":""},{"dropping-particle":"","family":"Jacob","given":"Joseph J.","non-dropping-particle":"","parse-names":false,"suffix":""}],"container-title":"Molecular Pharmacology","id":"ITEM-5","issue":"1","issued":{"date-parts":[["1978"]]},"title":"High-Affinity Binding of [3H]5-Hydroxytryptamine to Brain Synaptosomal Membranes: Comparison with [3H]Lysergic Acid Diethylamide Binding","type":"article-journal","volume":"14"},"uris":["http://www.mendeley.com/documents/?uuid=d660345a-139d-32be-b216-c331594bde51"]}],"mendeley":{"formattedCitation":"(102–106)","plainTextFormattedCitation":"(102–106)","previouslyFormattedCitation":"(102–106)"},"properties":{"noteIndex":0},"schema":"https://github.com/citation-style-language/schema/raw/master/csl-citation.json"}</w:instrText>
      </w:r>
      <w:r w:rsidR="00430E66">
        <w:fldChar w:fldCharType="separate"/>
      </w:r>
      <w:r w:rsidR="00030235" w:rsidRPr="00030235">
        <w:rPr>
          <w:noProof/>
        </w:rPr>
        <w:t>(102–106)</w:t>
      </w:r>
      <w:r w:rsidR="00430E66">
        <w:fldChar w:fldCharType="end"/>
      </w:r>
      <w:r w:rsidR="00164219">
        <w:rPr>
          <w:color w:val="212121"/>
          <w:shd w:val="clear" w:color="auto" w:fill="FFFFFF"/>
        </w:rPr>
        <w:t xml:space="preserve"> they </w:t>
      </w:r>
      <w:r w:rsidR="001F522D">
        <w:rPr>
          <w:color w:val="212121"/>
          <w:shd w:val="clear" w:color="auto" w:fill="FFFFFF"/>
        </w:rPr>
        <w:t>have different</w:t>
      </w:r>
      <w:r w:rsidR="00430E66">
        <w:rPr>
          <w:color w:val="212121"/>
          <w:shd w:val="clear" w:color="auto" w:fill="FFFFFF"/>
        </w:rPr>
        <w:t xml:space="preserve"> </w:t>
      </w:r>
      <w:r w:rsidR="00430E66" w:rsidRPr="001F522D">
        <w:rPr>
          <w:i/>
          <w:iCs/>
          <w:color w:val="212121"/>
          <w:shd w:val="clear" w:color="auto" w:fill="FFFFFF"/>
        </w:rPr>
        <w:t>in vivo</w:t>
      </w:r>
      <w:r w:rsidR="001F522D">
        <w:rPr>
          <w:color w:val="212121"/>
          <w:shd w:val="clear" w:color="auto" w:fill="FFFFFF"/>
        </w:rPr>
        <w:t xml:space="preserve"> biological respons</w:t>
      </w:r>
      <w:r w:rsidR="00430E66">
        <w:rPr>
          <w:color w:val="212121"/>
          <w:shd w:val="clear" w:color="auto" w:fill="FFFFFF"/>
        </w:rPr>
        <w:t>e</w:t>
      </w:r>
      <w:r w:rsidR="001F522D">
        <w:rPr>
          <w:color w:val="212121"/>
          <w:shd w:val="clear" w:color="auto" w:fill="FFFFFF"/>
        </w:rPr>
        <w:t>.</w:t>
      </w:r>
      <w:r w:rsidR="0076544C">
        <w:t xml:space="preserve"> It was hypothesised</w:t>
      </w:r>
      <w:r w:rsidR="00430E66">
        <w:t xml:space="preserve"> by</w:t>
      </w:r>
      <w:r w:rsidR="0076544C">
        <w:t xml:space="preserve"> </w:t>
      </w:r>
      <w:r w:rsidR="0076544C">
        <w:lastRenderedPageBreak/>
        <w:t>Gess</w:t>
      </w:r>
      <w:r w:rsidR="004E2A1D">
        <w:t xml:space="preserve">ner </w:t>
      </w:r>
      <w:r w:rsidR="004E2A1D" w:rsidRPr="004E2A1D">
        <w:rPr>
          <w:i/>
          <w:iCs/>
        </w:rPr>
        <w:t>et al.</w:t>
      </w:r>
      <w:r w:rsidR="00E704E4">
        <w:rPr>
          <w:i/>
          <w:iCs/>
        </w:rPr>
        <w:fldChar w:fldCharType="begin" w:fldLock="1"/>
      </w:r>
      <w:r w:rsidR="00030235">
        <w:rPr>
          <w:i/>
          <w:iCs/>
        </w:rPr>
        <w:instrText>ADDIN CSL_CITATION {"citationItems":[{"id":"ITEM-1","itemData":{"DOI":"10.1016/0024-3205(68)90200-2","ISSN":"00243205","PMID":"5641719","author":[{"dropping-particle":"","family":"Gessner","given":"P. K.","non-dropping-particle":"","parse-names":false,"suffix":""},{"dropping-particle":"","family":"Godse","given":"D. D.","non-dropping-particle":"","parse-names":false,"suffix":""},{"dropping-particle":"","family":"Krull","given":"A. H.","non-dropping-particle":"","parse-names":false,"suffix":""},{"dropping-particle":"","family":"McMullan","given":"J. M.","non-dropping-particle":"","parse-names":false,"suffix":""}],"container-title":"Life Sciences","id":"ITEM-1","issue":"5","issued":{"date-parts":[["1968","3","1"]]},"page":"267-277","publisher":"Life Sci","title":"Structure-activity relationships among 5-methoxy-N:N-dimethyltryptamine, 4-hydroxy-N:N-dimethyltryptamine (psilocin) and other substituted tryptamines","type":"article-journal","volume":"7"},"uris":["http://www.mendeley.com/documents/?uuid=22ce46c9-4d28-3d8c-9178-8f4342f3dd29"]}],"mendeley":{"formattedCitation":"(107)","plainTextFormattedCitation":"(107)","previouslyFormattedCitation":"(107)"},"properties":{"noteIndex":0},"schema":"https://github.com/citation-style-language/schema/raw/master/csl-citation.json"}</w:instrText>
      </w:r>
      <w:r w:rsidR="00E704E4">
        <w:rPr>
          <w:i/>
          <w:iCs/>
        </w:rPr>
        <w:fldChar w:fldCharType="separate"/>
      </w:r>
      <w:r w:rsidR="00030235" w:rsidRPr="00030235">
        <w:rPr>
          <w:iCs/>
          <w:noProof/>
        </w:rPr>
        <w:t>(107)</w:t>
      </w:r>
      <w:r w:rsidR="00E704E4">
        <w:rPr>
          <w:i/>
          <w:iCs/>
        </w:rPr>
        <w:fldChar w:fldCharType="end"/>
      </w:r>
      <w:r w:rsidR="00E704E4">
        <w:t xml:space="preserve"> </w:t>
      </w:r>
      <w:r w:rsidR="00430E66">
        <w:t xml:space="preserve">that </w:t>
      </w:r>
      <w:proofErr w:type="spellStart"/>
      <w:r w:rsidR="00430E66">
        <w:t>bufotenin</w:t>
      </w:r>
      <w:proofErr w:type="spellEnd"/>
      <w:r w:rsidR="00430E66">
        <w:t xml:space="preserve"> could not cross the blood brain barrier into the CNS because it had </w:t>
      </w:r>
      <w:r w:rsidR="004E2A1D">
        <w:t>low lipid solubility</w:t>
      </w:r>
      <w:r w:rsidR="00430E66">
        <w:t xml:space="preserve">. </w:t>
      </w:r>
      <w:r w:rsidR="003164EE">
        <w:rPr>
          <w:color w:val="212121"/>
          <w:shd w:val="clear" w:color="auto" w:fill="FFFFFF"/>
        </w:rPr>
        <w:t xml:space="preserve">Migliaccio </w:t>
      </w:r>
      <w:r w:rsidR="003164EE" w:rsidRPr="00FA1831">
        <w:rPr>
          <w:i/>
          <w:iCs/>
          <w:color w:val="212121"/>
          <w:shd w:val="clear" w:color="auto" w:fill="FFFFFF"/>
        </w:rPr>
        <w:t>et al</w:t>
      </w:r>
      <w:r w:rsidR="003164EE">
        <w:t>.</w:t>
      </w:r>
      <w:r w:rsidR="004E2A1D">
        <w:t xml:space="preserve"> </w:t>
      </w:r>
      <w:r w:rsidR="00430E66">
        <w:t xml:space="preserve">decided to use </w:t>
      </w:r>
      <w:r w:rsidR="00430E66" w:rsidRPr="00CE7615">
        <w:rPr>
          <w:color w:val="000000" w:themeColor="text1"/>
          <w:shd w:val="clear" w:color="auto" w:fill="FFFFFF"/>
          <w:vertAlign w:val="superscript"/>
        </w:rPr>
        <w:t>1</w:t>
      </w:r>
      <w:r w:rsidR="00430E66" w:rsidRPr="00CE7615">
        <w:rPr>
          <w:color w:val="000000" w:themeColor="text1"/>
          <w:shd w:val="clear" w:color="auto" w:fill="FFFFFF"/>
        </w:rPr>
        <w:t>H</w:t>
      </w:r>
      <w:r w:rsidR="00430E66">
        <w:rPr>
          <w:color w:val="000000" w:themeColor="text1"/>
          <w:shd w:val="clear" w:color="auto" w:fill="FFFFFF"/>
        </w:rPr>
        <w:t xml:space="preserve"> NMR spectroscopy</w:t>
      </w:r>
      <w:r w:rsidR="00430E66">
        <w:t xml:space="preserve"> to </w:t>
      </w:r>
      <w:r w:rsidR="004E2A1D">
        <w:t>investigate</w:t>
      </w:r>
      <w:r w:rsidR="00430E66">
        <w:t xml:space="preserve"> </w:t>
      </w:r>
      <w:r w:rsidR="004E2A1D">
        <w:t xml:space="preserve">the presence of intramolecular hydrogen bonding in </w:t>
      </w:r>
      <w:proofErr w:type="gramStart"/>
      <w:r w:rsidR="00430E66">
        <w:t>both of these</w:t>
      </w:r>
      <w:proofErr w:type="gramEnd"/>
      <w:r w:rsidR="00430E66">
        <w:t xml:space="preserve"> psychedelic molecules</w:t>
      </w:r>
      <w:r w:rsidR="00430E66">
        <w:rPr>
          <w:color w:val="000000" w:themeColor="text1"/>
          <w:shd w:val="clear" w:color="auto" w:fill="FFFFFF"/>
        </w:rPr>
        <w:t>,</w:t>
      </w:r>
      <w:r w:rsidR="004E2A1D">
        <w:rPr>
          <w:color w:val="000000" w:themeColor="text1"/>
          <w:shd w:val="clear" w:color="auto" w:fill="FFFFFF"/>
        </w:rPr>
        <w:t xml:space="preserve"> to identify potential structural </w:t>
      </w:r>
      <w:r w:rsidR="00E704E4">
        <w:rPr>
          <w:color w:val="000000" w:themeColor="text1"/>
          <w:shd w:val="clear" w:color="auto" w:fill="FFFFFF"/>
        </w:rPr>
        <w:t>conformation</w:t>
      </w:r>
      <w:r w:rsidR="003164EE">
        <w:rPr>
          <w:color w:val="000000" w:themeColor="text1"/>
          <w:shd w:val="clear" w:color="auto" w:fill="FFFFFF"/>
        </w:rPr>
        <w:t>al differences</w:t>
      </w:r>
      <w:r w:rsidR="00E704E4">
        <w:rPr>
          <w:color w:val="000000" w:themeColor="text1"/>
          <w:shd w:val="clear" w:color="auto" w:fill="FFFFFF"/>
        </w:rPr>
        <w:t xml:space="preserve"> </w:t>
      </w:r>
      <w:r w:rsidR="004E2A1D">
        <w:rPr>
          <w:color w:val="000000" w:themeColor="text1"/>
          <w:shd w:val="clear" w:color="auto" w:fill="FFFFFF"/>
        </w:rPr>
        <w:t xml:space="preserve">that </w:t>
      </w:r>
      <w:r w:rsidR="00430E66">
        <w:rPr>
          <w:color w:val="000000" w:themeColor="text1"/>
          <w:shd w:val="clear" w:color="auto" w:fill="FFFFFF"/>
        </w:rPr>
        <w:t xml:space="preserve">may be </w:t>
      </w:r>
      <w:r w:rsidR="003164EE">
        <w:rPr>
          <w:color w:val="000000" w:themeColor="text1"/>
          <w:shd w:val="clear" w:color="auto" w:fill="FFFFFF"/>
        </w:rPr>
        <w:t>lead</w:t>
      </w:r>
      <w:r w:rsidR="00430E66">
        <w:rPr>
          <w:color w:val="000000" w:themeColor="text1"/>
          <w:shd w:val="clear" w:color="auto" w:fill="FFFFFF"/>
        </w:rPr>
        <w:t xml:space="preserve">ing </w:t>
      </w:r>
      <w:r w:rsidR="003164EE">
        <w:rPr>
          <w:color w:val="000000" w:themeColor="text1"/>
          <w:shd w:val="clear" w:color="auto" w:fill="FFFFFF"/>
        </w:rPr>
        <w:t>to different</w:t>
      </w:r>
      <w:r w:rsidR="00E704E4">
        <w:rPr>
          <w:color w:val="000000" w:themeColor="text1"/>
          <w:shd w:val="clear" w:color="auto" w:fill="FFFFFF"/>
        </w:rPr>
        <w:t xml:space="preserve"> </w:t>
      </w:r>
      <w:r w:rsidR="004E2A1D">
        <w:rPr>
          <w:color w:val="000000" w:themeColor="text1"/>
          <w:shd w:val="clear" w:color="auto" w:fill="FFFFFF"/>
        </w:rPr>
        <w:t xml:space="preserve">biological </w:t>
      </w:r>
      <w:r w:rsidR="00E704E4">
        <w:rPr>
          <w:color w:val="000000" w:themeColor="text1"/>
          <w:shd w:val="clear" w:color="auto" w:fill="FFFFFF"/>
        </w:rPr>
        <w:t xml:space="preserve">responses. </w:t>
      </w:r>
      <w:r w:rsidR="009D1606" w:rsidRPr="00CE7615">
        <w:rPr>
          <w:color w:val="000000" w:themeColor="text1"/>
          <w:shd w:val="clear" w:color="auto" w:fill="FFFFFF"/>
          <w:vertAlign w:val="superscript"/>
        </w:rPr>
        <w:t>1</w:t>
      </w:r>
      <w:r w:rsidR="009D1606" w:rsidRPr="00CE7615">
        <w:rPr>
          <w:color w:val="000000" w:themeColor="text1"/>
          <w:shd w:val="clear" w:color="auto" w:fill="FFFFFF"/>
        </w:rPr>
        <w:t>H</w:t>
      </w:r>
      <w:r w:rsidR="009D1606">
        <w:rPr>
          <w:color w:val="000000" w:themeColor="text1"/>
          <w:shd w:val="clear" w:color="auto" w:fill="FFFFFF"/>
        </w:rPr>
        <w:t xml:space="preserve"> NMR spectroscopy was </w:t>
      </w:r>
      <w:r w:rsidR="00430E66">
        <w:rPr>
          <w:color w:val="000000" w:themeColor="text1"/>
          <w:shd w:val="clear" w:color="auto" w:fill="FFFFFF"/>
        </w:rPr>
        <w:t xml:space="preserve">the only spectroscopic tool used but it was unable to produce conclusive results and the difference in biological response was attributed to different </w:t>
      </w:r>
      <w:proofErr w:type="spellStart"/>
      <w:r w:rsidR="00430E66">
        <w:rPr>
          <w:color w:val="000000" w:themeColor="text1"/>
          <w:shd w:val="clear" w:color="auto" w:fill="FFFFFF"/>
        </w:rPr>
        <w:t>pK</w:t>
      </w:r>
      <w:r w:rsidR="00430E66" w:rsidRPr="00430E66">
        <w:rPr>
          <w:color w:val="000000" w:themeColor="text1"/>
          <w:shd w:val="clear" w:color="auto" w:fill="FFFFFF"/>
          <w:vertAlign w:val="subscript"/>
        </w:rPr>
        <w:t>a</w:t>
      </w:r>
      <w:proofErr w:type="spellEnd"/>
      <w:r w:rsidR="00430E66">
        <w:rPr>
          <w:color w:val="000000" w:themeColor="text1"/>
          <w:shd w:val="clear" w:color="auto" w:fill="FFFFFF"/>
        </w:rPr>
        <w:t xml:space="preserve"> values. </w:t>
      </w:r>
      <w:r w:rsidR="00430E66" w:rsidRPr="00CE7615">
        <w:rPr>
          <w:color w:val="000000" w:themeColor="text1"/>
          <w:shd w:val="clear" w:color="auto" w:fill="FFFFFF"/>
          <w:vertAlign w:val="superscript"/>
        </w:rPr>
        <w:t>1</w:t>
      </w:r>
      <w:r w:rsidR="00430E66" w:rsidRPr="00CE7615">
        <w:rPr>
          <w:color w:val="000000" w:themeColor="text1"/>
          <w:shd w:val="clear" w:color="auto" w:fill="FFFFFF"/>
        </w:rPr>
        <w:t>H</w:t>
      </w:r>
      <w:r w:rsidR="00430E66">
        <w:rPr>
          <w:color w:val="000000" w:themeColor="text1"/>
          <w:shd w:val="clear" w:color="auto" w:fill="FFFFFF"/>
        </w:rPr>
        <w:t xml:space="preserve"> NMR spectroscopy was </w:t>
      </w:r>
      <w:r w:rsidR="009D1606">
        <w:rPr>
          <w:color w:val="000000" w:themeColor="text1"/>
          <w:shd w:val="clear" w:color="auto" w:fill="FFFFFF"/>
        </w:rPr>
        <w:t xml:space="preserve">not used in this study to gather any metabonomic data. </w:t>
      </w:r>
    </w:p>
    <w:p w14:paraId="5AD863CD" w14:textId="2CA2AB9B" w:rsidR="00E50706" w:rsidRDefault="00E50706" w:rsidP="00E50706">
      <w:pPr>
        <w:rPr>
          <w:b/>
          <w:bCs/>
          <w:color w:val="000000" w:themeColor="text1"/>
        </w:rPr>
      </w:pPr>
    </w:p>
    <w:p w14:paraId="779E291B" w14:textId="77777777" w:rsidR="004F6F95" w:rsidRDefault="004F6F95" w:rsidP="00E50706">
      <w:pPr>
        <w:rPr>
          <w:b/>
          <w:bCs/>
          <w:color w:val="000000" w:themeColor="text1"/>
        </w:rPr>
      </w:pPr>
    </w:p>
    <w:p w14:paraId="6B27DD0A" w14:textId="713A0B82" w:rsidR="00E86528" w:rsidRDefault="00E86528" w:rsidP="00E50706">
      <w:pPr>
        <w:rPr>
          <w:b/>
          <w:bCs/>
          <w:color w:val="000000" w:themeColor="text1"/>
        </w:rPr>
      </w:pPr>
      <w:r w:rsidRPr="00F00BA9">
        <w:rPr>
          <w:b/>
          <w:bCs/>
          <w:color w:val="000000" w:themeColor="text1"/>
        </w:rPr>
        <w:t xml:space="preserve">Discussion </w:t>
      </w:r>
    </w:p>
    <w:p w14:paraId="44B4E7A7" w14:textId="4CFB965E" w:rsidR="00E86528" w:rsidRDefault="00E86528" w:rsidP="00E50706">
      <w:pPr>
        <w:rPr>
          <w:b/>
          <w:bCs/>
          <w:color w:val="000000" w:themeColor="text1"/>
          <w:shd w:val="clear" w:color="auto" w:fill="FFFFFF"/>
          <w:vertAlign w:val="superscript"/>
        </w:rPr>
      </w:pPr>
    </w:p>
    <w:p w14:paraId="3564A5CE" w14:textId="77777777" w:rsidR="00140B2D" w:rsidRDefault="006A529A" w:rsidP="00E50706">
      <w:pPr>
        <w:rPr>
          <w:color w:val="000000"/>
        </w:rPr>
      </w:pPr>
      <w:r>
        <w:rPr>
          <w:color w:val="000000" w:themeColor="text1"/>
        </w:rPr>
        <w:t>The</w:t>
      </w:r>
      <w:r w:rsidR="00404BC4">
        <w:rPr>
          <w:color w:val="000000" w:themeColor="text1"/>
        </w:rPr>
        <w:t xml:space="preserve"> first aim</w:t>
      </w:r>
      <w:r>
        <w:rPr>
          <w:color w:val="000000" w:themeColor="text1"/>
        </w:rPr>
        <w:t xml:space="preserve"> of this review was</w:t>
      </w:r>
      <w:r w:rsidR="00404BC4">
        <w:rPr>
          <w:color w:val="000000" w:themeColor="text1"/>
        </w:rPr>
        <w:t xml:space="preserve"> to explore </w:t>
      </w:r>
      <w:r w:rsidR="002C7794">
        <w:rPr>
          <w:color w:val="000000"/>
        </w:rPr>
        <w:t>the use</w:t>
      </w:r>
      <w:r w:rsidR="002C7794" w:rsidRPr="002C7794">
        <w:rPr>
          <w:color w:val="000000" w:themeColor="text1"/>
        </w:rPr>
        <w:t xml:space="preserve"> </w:t>
      </w:r>
      <w:r w:rsidR="002C7794" w:rsidRPr="002C7794">
        <w:rPr>
          <w:color w:val="000000" w:themeColor="text1"/>
          <w:shd w:val="clear" w:color="auto" w:fill="FFFFFF"/>
          <w:vertAlign w:val="superscript"/>
        </w:rPr>
        <w:t>1</w:t>
      </w:r>
      <w:r w:rsidR="002C7794" w:rsidRPr="002C7794">
        <w:rPr>
          <w:color w:val="000000" w:themeColor="text1"/>
          <w:shd w:val="clear" w:color="auto" w:fill="FFFFFF"/>
        </w:rPr>
        <w:t>H</w:t>
      </w:r>
      <w:r w:rsidR="002C7794" w:rsidRPr="002C7794">
        <w:rPr>
          <w:color w:val="000000" w:themeColor="text1"/>
          <w:vertAlign w:val="superscript"/>
        </w:rPr>
        <w:t xml:space="preserve"> </w:t>
      </w:r>
      <w:r w:rsidR="002C7794" w:rsidRPr="002C7794">
        <w:rPr>
          <w:color w:val="000000" w:themeColor="text1"/>
        </w:rPr>
        <w:t xml:space="preserve">NMR spectroscopy in the </w:t>
      </w:r>
      <w:r w:rsidR="002C7794">
        <w:rPr>
          <w:color w:val="000000"/>
        </w:rPr>
        <w:t xml:space="preserve">field of psychedelic research and determine whether </w:t>
      </w:r>
      <w:r w:rsidR="002C7794" w:rsidRPr="00144F61">
        <w:rPr>
          <w:color w:val="000000" w:themeColor="text1"/>
          <w:shd w:val="clear" w:color="auto" w:fill="FFFFFF"/>
          <w:vertAlign w:val="superscript"/>
        </w:rPr>
        <w:t>1</w:t>
      </w:r>
      <w:r w:rsidR="002C7794" w:rsidRPr="00144F61">
        <w:rPr>
          <w:color w:val="000000" w:themeColor="text1"/>
          <w:shd w:val="clear" w:color="auto" w:fill="FFFFFF"/>
        </w:rPr>
        <w:t>H</w:t>
      </w:r>
      <w:r w:rsidR="002C7794" w:rsidRPr="00144F61">
        <w:rPr>
          <w:vertAlign w:val="superscript"/>
        </w:rPr>
        <w:t xml:space="preserve"> </w:t>
      </w:r>
      <w:r w:rsidR="002C7794" w:rsidRPr="00144F61">
        <w:rPr>
          <w:color w:val="000000"/>
        </w:rPr>
        <w:t>NMR</w:t>
      </w:r>
      <w:r w:rsidR="002C7794">
        <w:rPr>
          <w:color w:val="000000"/>
        </w:rPr>
        <w:t xml:space="preserve"> spectroscopy has ever been used to investigate the human metabolic response to</w:t>
      </w:r>
      <w:r w:rsidR="002C7794" w:rsidRPr="00BE06A3">
        <w:rPr>
          <w:color w:val="FF0000"/>
        </w:rPr>
        <w:t xml:space="preserve"> </w:t>
      </w:r>
      <w:r w:rsidR="002C7794" w:rsidRPr="00B0098B">
        <w:rPr>
          <w:color w:val="000000" w:themeColor="text1"/>
        </w:rPr>
        <w:t>psychedelic substances</w:t>
      </w:r>
      <w:r w:rsidR="002C7794">
        <w:rPr>
          <w:color w:val="000000" w:themeColor="text1"/>
        </w:rPr>
        <w:t xml:space="preserve"> with biofluid analysis</w:t>
      </w:r>
      <w:r w:rsidR="002C7794" w:rsidRPr="00B0098B">
        <w:rPr>
          <w:color w:val="000000" w:themeColor="text1"/>
        </w:rPr>
        <w:t xml:space="preserve">. </w:t>
      </w:r>
      <w:r w:rsidR="00404BC4">
        <w:rPr>
          <w:color w:val="000000"/>
        </w:rPr>
        <w:t xml:space="preserve">The second aim was </w:t>
      </w:r>
      <w:r w:rsidR="00404BC4">
        <w:t>to</w:t>
      </w:r>
      <w:r w:rsidR="00404BC4">
        <w:rPr>
          <w:color w:val="000000"/>
        </w:rPr>
        <w:t xml:space="preserve"> </w:t>
      </w:r>
      <w:r w:rsidR="00404BC4" w:rsidRPr="00E86528">
        <w:t>assess the potential benefit</w:t>
      </w:r>
      <w:r w:rsidR="00404BC4">
        <w:t xml:space="preserve">s and limitations associated with </w:t>
      </w:r>
      <w:r w:rsidR="00404BC4" w:rsidRPr="00144F61">
        <w:rPr>
          <w:color w:val="000000" w:themeColor="text1"/>
          <w:shd w:val="clear" w:color="auto" w:fill="FFFFFF"/>
          <w:vertAlign w:val="superscript"/>
        </w:rPr>
        <w:t>1</w:t>
      </w:r>
      <w:r w:rsidR="00404BC4" w:rsidRPr="00144F61">
        <w:rPr>
          <w:color w:val="000000" w:themeColor="text1"/>
          <w:shd w:val="clear" w:color="auto" w:fill="FFFFFF"/>
        </w:rPr>
        <w:t>H</w:t>
      </w:r>
      <w:r w:rsidR="00404BC4" w:rsidRPr="00144F61">
        <w:rPr>
          <w:vertAlign w:val="superscript"/>
        </w:rPr>
        <w:t xml:space="preserve"> </w:t>
      </w:r>
      <w:r w:rsidR="00404BC4" w:rsidRPr="00144F61">
        <w:rPr>
          <w:color w:val="000000"/>
        </w:rPr>
        <w:t>NMR</w:t>
      </w:r>
      <w:r w:rsidR="00404BC4">
        <w:rPr>
          <w:color w:val="000000"/>
        </w:rPr>
        <w:t xml:space="preserve"> spectroscopy in this research field. Finally, the third aim of this review was to suggest applications of </w:t>
      </w:r>
      <w:r w:rsidR="00404BC4" w:rsidRPr="00144F61">
        <w:rPr>
          <w:color w:val="000000" w:themeColor="text1"/>
          <w:shd w:val="clear" w:color="auto" w:fill="FFFFFF"/>
          <w:vertAlign w:val="superscript"/>
        </w:rPr>
        <w:t>1</w:t>
      </w:r>
      <w:r w:rsidR="00404BC4" w:rsidRPr="00144F61">
        <w:rPr>
          <w:color w:val="000000" w:themeColor="text1"/>
          <w:shd w:val="clear" w:color="auto" w:fill="FFFFFF"/>
        </w:rPr>
        <w:t>H</w:t>
      </w:r>
      <w:r w:rsidR="00404BC4" w:rsidRPr="00144F61">
        <w:rPr>
          <w:vertAlign w:val="superscript"/>
        </w:rPr>
        <w:t xml:space="preserve"> </w:t>
      </w:r>
      <w:r w:rsidR="00404BC4" w:rsidRPr="00144F61">
        <w:rPr>
          <w:color w:val="000000"/>
        </w:rPr>
        <w:t>NMR</w:t>
      </w:r>
      <w:r w:rsidR="00404BC4">
        <w:rPr>
          <w:color w:val="000000"/>
        </w:rPr>
        <w:t xml:space="preserve"> that allow this tool to be used to its maximum potential in future studies and suggest novel approaches that may improve the analytical data retrieved from psychedelic research. </w:t>
      </w:r>
    </w:p>
    <w:p w14:paraId="496363B9" w14:textId="77777777" w:rsidR="00140B2D" w:rsidRDefault="00140B2D" w:rsidP="00E50706">
      <w:pPr>
        <w:rPr>
          <w:color w:val="000000"/>
        </w:rPr>
      </w:pPr>
    </w:p>
    <w:p w14:paraId="0356AEB9" w14:textId="3F177744" w:rsidR="00140B2D" w:rsidRPr="00CA61AB" w:rsidRDefault="00BB678B" w:rsidP="00E50706">
      <w:pPr>
        <w:rPr>
          <w:color w:val="000000"/>
        </w:rPr>
      </w:pPr>
      <w:r>
        <w:rPr>
          <w:color w:val="000000" w:themeColor="text1"/>
        </w:rPr>
        <w:t>It has been made evident from the</w:t>
      </w:r>
      <w:r w:rsidR="00616946">
        <w:rPr>
          <w:color w:val="000000" w:themeColor="text1"/>
        </w:rPr>
        <w:t xml:space="preserve"> </w:t>
      </w:r>
      <w:r w:rsidR="00140B2D">
        <w:rPr>
          <w:color w:val="000000"/>
        </w:rPr>
        <w:t>first aim</w:t>
      </w:r>
      <w:r w:rsidR="00371402">
        <w:rPr>
          <w:color w:val="000000"/>
        </w:rPr>
        <w:t xml:space="preserve"> that </w:t>
      </w:r>
      <w:r w:rsidR="00371402" w:rsidRPr="00144F61">
        <w:rPr>
          <w:color w:val="000000" w:themeColor="text1"/>
          <w:shd w:val="clear" w:color="auto" w:fill="FFFFFF"/>
          <w:vertAlign w:val="superscript"/>
        </w:rPr>
        <w:t>1</w:t>
      </w:r>
      <w:r w:rsidR="00371402" w:rsidRPr="00144F61">
        <w:rPr>
          <w:color w:val="000000" w:themeColor="text1"/>
          <w:shd w:val="clear" w:color="auto" w:fill="FFFFFF"/>
        </w:rPr>
        <w:t>H</w:t>
      </w:r>
      <w:r w:rsidR="00371402" w:rsidRPr="00144F61">
        <w:rPr>
          <w:vertAlign w:val="superscript"/>
        </w:rPr>
        <w:t xml:space="preserve"> </w:t>
      </w:r>
      <w:r w:rsidR="00371402" w:rsidRPr="00144F61">
        <w:rPr>
          <w:color w:val="000000"/>
        </w:rPr>
        <w:t>NMR</w:t>
      </w:r>
      <w:r w:rsidR="00371402">
        <w:rPr>
          <w:color w:val="000000"/>
        </w:rPr>
        <w:t xml:space="preserve"> spectroscopy has mainly been used </w:t>
      </w:r>
      <w:r w:rsidR="00AB0930">
        <w:rPr>
          <w:color w:val="000000"/>
        </w:rPr>
        <w:t xml:space="preserve">for the structural elucidation </w:t>
      </w:r>
      <w:r w:rsidR="005575DD">
        <w:rPr>
          <w:color w:val="000000"/>
        </w:rPr>
        <w:t>of</w:t>
      </w:r>
      <w:r w:rsidR="00371402">
        <w:rPr>
          <w:color w:val="000000"/>
        </w:rPr>
        <w:t xml:space="preserve"> psychedelic molecules</w:t>
      </w:r>
      <w:r w:rsidR="009B73FA">
        <w:rPr>
          <w:color w:val="000000"/>
        </w:rPr>
        <w:t>.</w:t>
      </w:r>
      <w:r w:rsidR="0036019C">
        <w:rPr>
          <w:color w:val="000000"/>
        </w:rPr>
        <w:t xml:space="preserve"> </w:t>
      </w:r>
      <w:r w:rsidR="009B73FA">
        <w:rPr>
          <w:color w:val="000000"/>
        </w:rPr>
        <w:t>T</w:t>
      </w:r>
      <w:r w:rsidR="00491C26">
        <w:rPr>
          <w:color w:val="000000"/>
        </w:rPr>
        <w:t>he collection of</w:t>
      </w:r>
      <w:r w:rsidR="0036019C">
        <w:rPr>
          <w:color w:val="000000"/>
        </w:rPr>
        <w:t xml:space="preserve"> structural and</w:t>
      </w:r>
      <w:r w:rsidR="00491C26">
        <w:rPr>
          <w:color w:val="000000"/>
        </w:rPr>
        <w:t xml:space="preserve"> </w:t>
      </w:r>
      <w:r w:rsidR="005575DD">
        <w:rPr>
          <w:color w:val="000000"/>
        </w:rPr>
        <w:t>analytical data</w:t>
      </w:r>
      <w:r w:rsidR="00C350F1">
        <w:rPr>
          <w:color w:val="000000"/>
        </w:rPr>
        <w:t xml:space="preserve"> of </w:t>
      </w:r>
      <w:r w:rsidR="00E63B1C">
        <w:rPr>
          <w:color w:val="000000"/>
        </w:rPr>
        <w:t>psychedelics</w:t>
      </w:r>
      <w:r w:rsidR="005575DD">
        <w:rPr>
          <w:color w:val="000000"/>
        </w:rPr>
        <w:t xml:space="preserve"> </w:t>
      </w:r>
      <w:r w:rsidR="0036019C">
        <w:rPr>
          <w:color w:val="000000"/>
        </w:rPr>
        <w:t>has played a</w:t>
      </w:r>
      <w:r w:rsidR="008F7826">
        <w:rPr>
          <w:color w:val="000000"/>
        </w:rPr>
        <w:t xml:space="preserve"> crucial role</w:t>
      </w:r>
      <w:r w:rsidR="00D56436">
        <w:rPr>
          <w:color w:val="000000"/>
        </w:rPr>
        <w:t xml:space="preserve"> for</w:t>
      </w:r>
      <w:r w:rsidR="0075137F">
        <w:rPr>
          <w:color w:val="000000"/>
        </w:rPr>
        <w:t xml:space="preserve"> </w:t>
      </w:r>
      <w:r w:rsidR="005575DD">
        <w:rPr>
          <w:color w:val="000000"/>
        </w:rPr>
        <w:t>drug discovery</w:t>
      </w:r>
      <w:r w:rsidR="00D56436">
        <w:rPr>
          <w:color w:val="000000"/>
        </w:rPr>
        <w:t xml:space="preserve"> research</w:t>
      </w:r>
      <w:r w:rsidR="005575DD">
        <w:rPr>
          <w:color w:val="000000"/>
        </w:rPr>
        <w:t xml:space="preserve"> in </w:t>
      </w:r>
      <w:r w:rsidR="0075137F">
        <w:rPr>
          <w:color w:val="000000"/>
        </w:rPr>
        <w:t xml:space="preserve">natural </w:t>
      </w:r>
      <w:r w:rsidR="005575DD">
        <w:rPr>
          <w:color w:val="000000"/>
        </w:rPr>
        <w:t>products</w:t>
      </w:r>
      <w:r w:rsidR="0075137F">
        <w:rPr>
          <w:color w:val="000000"/>
        </w:rPr>
        <w:t xml:space="preserve"> chemistry</w:t>
      </w:r>
      <w:r w:rsidR="005575DD">
        <w:rPr>
          <w:color w:val="000000"/>
        </w:rPr>
        <w:t xml:space="preserve">. </w:t>
      </w:r>
      <w:r w:rsidR="009B73FA">
        <w:rPr>
          <w:color w:val="000000"/>
        </w:rPr>
        <w:t>A</w:t>
      </w:r>
      <w:r w:rsidR="005575DD">
        <w:rPr>
          <w:color w:val="000000"/>
        </w:rPr>
        <w:t xml:space="preserve"> </w:t>
      </w:r>
      <w:proofErr w:type="spellStart"/>
      <w:r w:rsidR="002C7794">
        <w:rPr>
          <w:color w:val="000000"/>
        </w:rPr>
        <w:t>metabonomics</w:t>
      </w:r>
      <w:proofErr w:type="spellEnd"/>
      <w:r w:rsidR="002C7794">
        <w:rPr>
          <w:color w:val="000000"/>
        </w:rPr>
        <w:t xml:space="preserve"> approach has not been used </w:t>
      </w:r>
      <w:r w:rsidR="0075137F">
        <w:rPr>
          <w:color w:val="000000"/>
        </w:rPr>
        <w:t>to analyse biofluids</w:t>
      </w:r>
      <w:r w:rsidR="002C7794">
        <w:rPr>
          <w:color w:val="000000"/>
        </w:rPr>
        <w:t xml:space="preserve"> </w:t>
      </w:r>
      <w:r w:rsidR="00F76006">
        <w:rPr>
          <w:color w:val="000000"/>
        </w:rPr>
        <w:t xml:space="preserve">and </w:t>
      </w:r>
      <w:r w:rsidR="002C7794">
        <w:rPr>
          <w:color w:val="000000"/>
        </w:rPr>
        <w:t>study</w:t>
      </w:r>
      <w:r w:rsidR="00F76006">
        <w:rPr>
          <w:color w:val="000000"/>
        </w:rPr>
        <w:t xml:space="preserve"> the effect psychedelic substances has had on the human metabolome</w:t>
      </w:r>
      <w:r w:rsidR="002C7794">
        <w:rPr>
          <w:color w:val="000000"/>
        </w:rPr>
        <w:t xml:space="preserve"> with </w:t>
      </w:r>
      <w:r w:rsidR="002C7794" w:rsidRPr="00144F61">
        <w:rPr>
          <w:color w:val="000000" w:themeColor="text1"/>
          <w:shd w:val="clear" w:color="auto" w:fill="FFFFFF"/>
          <w:vertAlign w:val="superscript"/>
        </w:rPr>
        <w:t>1</w:t>
      </w:r>
      <w:r w:rsidR="002C7794" w:rsidRPr="00144F61">
        <w:rPr>
          <w:color w:val="000000" w:themeColor="text1"/>
          <w:shd w:val="clear" w:color="auto" w:fill="FFFFFF"/>
        </w:rPr>
        <w:t>H</w:t>
      </w:r>
      <w:r w:rsidR="002C7794" w:rsidRPr="00144F61">
        <w:rPr>
          <w:vertAlign w:val="superscript"/>
        </w:rPr>
        <w:t xml:space="preserve"> </w:t>
      </w:r>
      <w:r w:rsidR="002C7794" w:rsidRPr="00144F61">
        <w:rPr>
          <w:color w:val="000000"/>
        </w:rPr>
        <w:t>NMR</w:t>
      </w:r>
      <w:r w:rsidR="00F76006">
        <w:rPr>
          <w:color w:val="000000"/>
        </w:rPr>
        <w:t xml:space="preserve">. </w:t>
      </w:r>
      <w:r w:rsidR="00F83B0F">
        <w:rPr>
          <w:color w:val="000000"/>
        </w:rPr>
        <w:t xml:space="preserve">Interestingly, </w:t>
      </w:r>
      <w:r w:rsidR="00C76A85">
        <w:rPr>
          <w:color w:val="000000"/>
        </w:rPr>
        <w:t xml:space="preserve">a significant number </w:t>
      </w:r>
      <w:r w:rsidR="00F83B0F">
        <w:rPr>
          <w:color w:val="000000"/>
        </w:rPr>
        <w:t>of papers that</w:t>
      </w:r>
      <w:r w:rsidR="00C76A85">
        <w:rPr>
          <w:color w:val="000000"/>
        </w:rPr>
        <w:t xml:space="preserve"> were</w:t>
      </w:r>
      <w:r w:rsidR="00F83B0F">
        <w:rPr>
          <w:color w:val="000000"/>
        </w:rPr>
        <w:t xml:space="preserve"> include</w:t>
      </w:r>
      <w:r w:rsidR="00716CDB">
        <w:rPr>
          <w:color w:val="000000"/>
        </w:rPr>
        <w:t>d</w:t>
      </w:r>
      <w:r w:rsidR="00F83B0F">
        <w:rPr>
          <w:color w:val="000000"/>
        </w:rPr>
        <w:t xml:space="preserve"> </w:t>
      </w:r>
      <w:r w:rsidR="002C7794">
        <w:rPr>
          <w:color w:val="000000"/>
        </w:rPr>
        <w:t>in this review</w:t>
      </w:r>
      <w:r w:rsidR="00F83B0F">
        <w:rPr>
          <w:color w:val="000000"/>
        </w:rPr>
        <w:t xml:space="preserve"> were published </w:t>
      </w:r>
      <w:r w:rsidR="00BC5D33">
        <w:rPr>
          <w:color w:val="000000"/>
        </w:rPr>
        <w:t>i</w:t>
      </w:r>
      <w:r w:rsidR="00F83B0F">
        <w:rPr>
          <w:color w:val="000000"/>
        </w:rPr>
        <w:t>n 2020</w:t>
      </w:r>
      <w:r w:rsidR="008D7B17">
        <w:rPr>
          <w:color w:val="000000"/>
        </w:rPr>
        <w:t xml:space="preserve">. This </w:t>
      </w:r>
      <w:r w:rsidR="002419F9">
        <w:rPr>
          <w:color w:val="000000"/>
        </w:rPr>
        <w:t xml:space="preserve">could be an indicator that </w:t>
      </w:r>
      <w:r w:rsidR="002419F9" w:rsidRPr="00144F61">
        <w:rPr>
          <w:color w:val="000000" w:themeColor="text1"/>
          <w:shd w:val="clear" w:color="auto" w:fill="FFFFFF"/>
          <w:vertAlign w:val="superscript"/>
        </w:rPr>
        <w:t>1</w:t>
      </w:r>
      <w:r w:rsidR="002419F9" w:rsidRPr="00144F61">
        <w:rPr>
          <w:color w:val="000000" w:themeColor="text1"/>
          <w:shd w:val="clear" w:color="auto" w:fill="FFFFFF"/>
        </w:rPr>
        <w:t>H</w:t>
      </w:r>
      <w:r w:rsidR="002419F9" w:rsidRPr="00144F61">
        <w:rPr>
          <w:vertAlign w:val="superscript"/>
        </w:rPr>
        <w:t xml:space="preserve"> </w:t>
      </w:r>
      <w:r w:rsidR="002419F9" w:rsidRPr="00144F61">
        <w:rPr>
          <w:color w:val="000000"/>
        </w:rPr>
        <w:t>NMR</w:t>
      </w:r>
      <w:r w:rsidR="002419F9">
        <w:rPr>
          <w:color w:val="000000"/>
        </w:rPr>
        <w:t xml:space="preserve"> spectroscopy </w:t>
      </w:r>
      <w:r w:rsidR="002C7794">
        <w:rPr>
          <w:color w:val="000000"/>
        </w:rPr>
        <w:t>is increasing</w:t>
      </w:r>
      <w:r w:rsidR="00B67CD0">
        <w:rPr>
          <w:color w:val="000000"/>
        </w:rPr>
        <w:t xml:space="preserve"> </w:t>
      </w:r>
      <w:r w:rsidR="002419F9">
        <w:rPr>
          <w:color w:val="000000"/>
        </w:rPr>
        <w:t xml:space="preserve">in </w:t>
      </w:r>
      <w:r w:rsidR="00751E7A">
        <w:rPr>
          <w:color w:val="000000"/>
        </w:rPr>
        <w:t xml:space="preserve">popularity as an analytical tool for </w:t>
      </w:r>
      <w:r w:rsidR="002419F9">
        <w:rPr>
          <w:color w:val="000000"/>
        </w:rPr>
        <w:t xml:space="preserve">psychedelic </w:t>
      </w:r>
      <w:r w:rsidR="004D251D">
        <w:rPr>
          <w:color w:val="000000"/>
        </w:rPr>
        <w:t>research</w:t>
      </w:r>
      <w:r w:rsidR="00BC5D33">
        <w:rPr>
          <w:color w:val="000000"/>
        </w:rPr>
        <w:t>. H</w:t>
      </w:r>
      <w:r w:rsidR="00751E7A">
        <w:rPr>
          <w:color w:val="000000"/>
        </w:rPr>
        <w:t xml:space="preserve">owever, </w:t>
      </w:r>
      <w:r w:rsidR="00293A55">
        <w:rPr>
          <w:color w:val="000000"/>
        </w:rPr>
        <w:t xml:space="preserve">it is most likely </w:t>
      </w:r>
      <w:r w:rsidR="00C76A85">
        <w:rPr>
          <w:color w:val="000000"/>
        </w:rPr>
        <w:t xml:space="preserve">that this is result of </w:t>
      </w:r>
      <w:r w:rsidR="003F4DD0">
        <w:rPr>
          <w:color w:val="000000"/>
        </w:rPr>
        <w:t>psychedelic</w:t>
      </w:r>
      <w:r w:rsidR="002419F9">
        <w:rPr>
          <w:color w:val="000000"/>
        </w:rPr>
        <w:t xml:space="preserve"> research having </w:t>
      </w:r>
      <w:r w:rsidR="003F4DD0">
        <w:rPr>
          <w:color w:val="000000"/>
        </w:rPr>
        <w:t>an increase in publication and funding</w:t>
      </w:r>
      <w:r w:rsidR="00E5569A">
        <w:rPr>
          <w:color w:val="000000"/>
        </w:rPr>
        <w:t xml:space="preserve"> in general, which </w:t>
      </w:r>
      <w:r w:rsidR="00F925FA">
        <w:rPr>
          <w:color w:val="000000"/>
        </w:rPr>
        <w:t>would</w:t>
      </w:r>
      <w:r w:rsidR="00751E7A">
        <w:rPr>
          <w:color w:val="000000"/>
        </w:rPr>
        <w:t xml:space="preserve"> lead to</w:t>
      </w:r>
      <w:r w:rsidR="00E5569A">
        <w:rPr>
          <w:color w:val="000000"/>
        </w:rPr>
        <w:t xml:space="preserve"> an increase </w:t>
      </w:r>
      <w:r w:rsidR="00BC5D33">
        <w:rPr>
          <w:color w:val="000000"/>
        </w:rPr>
        <w:t>in</w:t>
      </w:r>
      <w:r w:rsidR="00E5569A">
        <w:rPr>
          <w:color w:val="000000"/>
        </w:rPr>
        <w:t xml:space="preserve"> studies </w:t>
      </w:r>
      <w:r w:rsidR="00ED02FB">
        <w:rPr>
          <w:color w:val="000000"/>
        </w:rPr>
        <w:t>with</w:t>
      </w:r>
      <w:r w:rsidR="00A3733F">
        <w:rPr>
          <w:color w:val="000000"/>
        </w:rPr>
        <w:t xml:space="preserve"> </w:t>
      </w:r>
      <w:r w:rsidR="00A3733F" w:rsidRPr="00144F61">
        <w:rPr>
          <w:color w:val="000000" w:themeColor="text1"/>
          <w:shd w:val="clear" w:color="auto" w:fill="FFFFFF"/>
          <w:vertAlign w:val="superscript"/>
        </w:rPr>
        <w:t>1</w:t>
      </w:r>
      <w:r w:rsidR="00A3733F" w:rsidRPr="00144F61">
        <w:rPr>
          <w:color w:val="000000" w:themeColor="text1"/>
          <w:shd w:val="clear" w:color="auto" w:fill="FFFFFF"/>
        </w:rPr>
        <w:t>H</w:t>
      </w:r>
      <w:r w:rsidR="00A3733F" w:rsidRPr="00144F61">
        <w:rPr>
          <w:vertAlign w:val="superscript"/>
        </w:rPr>
        <w:t xml:space="preserve"> </w:t>
      </w:r>
      <w:r w:rsidR="00A3733F" w:rsidRPr="00144F61">
        <w:rPr>
          <w:color w:val="000000"/>
        </w:rPr>
        <w:t>NMR</w:t>
      </w:r>
      <w:r w:rsidR="00751E7A">
        <w:rPr>
          <w:color w:val="000000"/>
        </w:rPr>
        <w:t xml:space="preserve"> </w:t>
      </w:r>
      <w:r w:rsidR="00ED02FB">
        <w:rPr>
          <w:color w:val="000000"/>
        </w:rPr>
        <w:t>but also</w:t>
      </w:r>
      <w:r w:rsidR="001C48BA">
        <w:rPr>
          <w:color w:val="000000"/>
        </w:rPr>
        <w:t xml:space="preserve"> </w:t>
      </w:r>
      <w:r w:rsidR="00D30850">
        <w:rPr>
          <w:color w:val="000000"/>
        </w:rPr>
        <w:t>other</w:t>
      </w:r>
      <w:r w:rsidR="001C48BA">
        <w:rPr>
          <w:color w:val="000000"/>
        </w:rPr>
        <w:t xml:space="preserve"> </w:t>
      </w:r>
      <w:r w:rsidR="000A1A34">
        <w:rPr>
          <w:color w:val="000000"/>
        </w:rPr>
        <w:t>techniques</w:t>
      </w:r>
      <w:r w:rsidR="001C48BA">
        <w:rPr>
          <w:color w:val="000000"/>
        </w:rPr>
        <w:t xml:space="preserve"> like </w:t>
      </w:r>
      <w:r w:rsidR="000A1A34">
        <w:rPr>
          <w:color w:val="000000"/>
        </w:rPr>
        <w:t>LC</w:t>
      </w:r>
      <w:r w:rsidR="00BC5D33">
        <w:rPr>
          <w:color w:val="000000"/>
        </w:rPr>
        <w:t>-MS</w:t>
      </w:r>
      <w:r w:rsidR="000A1A34">
        <w:rPr>
          <w:color w:val="000000"/>
        </w:rPr>
        <w:t xml:space="preserve"> and GC</w:t>
      </w:r>
      <w:r w:rsidR="00BC5D33">
        <w:rPr>
          <w:color w:val="000000"/>
        </w:rPr>
        <w:t>-MS</w:t>
      </w:r>
      <w:r w:rsidR="00737C07">
        <w:rPr>
          <w:color w:val="000000"/>
        </w:rPr>
        <w:t>.</w:t>
      </w:r>
      <w:r w:rsidR="00966C33">
        <w:rPr>
          <w:color w:val="000000"/>
        </w:rPr>
        <w:t xml:space="preserve"> </w:t>
      </w:r>
      <w:r w:rsidR="002C7794">
        <w:rPr>
          <w:color w:val="000000"/>
        </w:rPr>
        <w:t>Although, i</w:t>
      </w:r>
      <w:r w:rsidR="005C2E9E">
        <w:rPr>
          <w:color w:val="000000"/>
        </w:rPr>
        <w:t>t could also potentially</w:t>
      </w:r>
      <w:r w:rsidR="00416725">
        <w:rPr>
          <w:color w:val="000000"/>
        </w:rPr>
        <w:t xml:space="preserve"> be</w:t>
      </w:r>
      <w:r w:rsidR="005C2E9E">
        <w:rPr>
          <w:color w:val="000000"/>
        </w:rPr>
        <w:t xml:space="preserve"> due to a shift in focus </w:t>
      </w:r>
      <w:r w:rsidR="00AF0C79">
        <w:rPr>
          <w:color w:val="000000"/>
        </w:rPr>
        <w:t>within psychedelic</w:t>
      </w:r>
      <w:r w:rsidR="005C2E9E">
        <w:rPr>
          <w:color w:val="000000"/>
        </w:rPr>
        <w:t xml:space="preserve"> research, so far </w:t>
      </w:r>
      <w:r w:rsidR="00AF0C79">
        <w:rPr>
          <w:color w:val="000000"/>
        </w:rPr>
        <w:t>publications</w:t>
      </w:r>
      <w:r w:rsidR="00B07C39">
        <w:rPr>
          <w:color w:val="000000"/>
        </w:rPr>
        <w:t xml:space="preserve"> ha</w:t>
      </w:r>
      <w:r w:rsidR="00AF0C79">
        <w:rPr>
          <w:color w:val="000000"/>
        </w:rPr>
        <w:t>ve</w:t>
      </w:r>
      <w:r w:rsidR="005C2E9E">
        <w:rPr>
          <w:color w:val="000000"/>
        </w:rPr>
        <w:t xml:space="preserve"> mainly been focused</w:t>
      </w:r>
      <w:r w:rsidR="00B07C39">
        <w:rPr>
          <w:color w:val="000000"/>
        </w:rPr>
        <w:t xml:space="preserve"> </w:t>
      </w:r>
      <w:r w:rsidR="00AF0C79">
        <w:rPr>
          <w:color w:val="000000"/>
        </w:rPr>
        <w:t xml:space="preserve">on the neurological effects of psychedelics </w:t>
      </w:r>
      <w:r w:rsidR="00B07C39">
        <w:rPr>
          <w:color w:val="000000"/>
        </w:rPr>
        <w:t>with the use of functional magnetic resonance imaging</w:t>
      </w:r>
      <w:r w:rsidR="00223E4C">
        <w:rPr>
          <w:color w:val="000000"/>
        </w:rPr>
        <w:t xml:space="preserve"> (fMRI)</w:t>
      </w:r>
      <w:r w:rsidR="00B07C39">
        <w:rPr>
          <w:color w:val="000000"/>
        </w:rPr>
        <w:t xml:space="preserve"> </w:t>
      </w:r>
      <w:r w:rsidR="00DE2C30">
        <w:rPr>
          <w:color w:val="000000"/>
        </w:rPr>
        <w:fldChar w:fldCharType="begin" w:fldLock="1"/>
      </w:r>
      <w:r w:rsidR="00112529">
        <w:rPr>
          <w:color w:val="000000"/>
        </w:rPr>
        <w:instrText>ADDIN CSL_CITATION {"citationItems":[{"id":"ITEM-1","itemData":{"DOI":"10.1038/s41598-017-13282-7","ISSN":"20452322","PMID":"29030624","abstract":"Psilocybin with psychological support is showing promise as a treatment model in psychiatry but its therapeutic mechanisms are poorly understood. Here, cerebral blood flow (CBF) and blood oxygen-level dependent (BOLD) resting-state functional connectivity (RSFC) were measured with functional magnetic resonance imaging (fMRI) before and after treatment with psilocybin (serotonin agonist) for treatment-resistant depression (TRD). Quality pre and post treatment fMRI data were collected from 16 of 19 patients. Decreased depressive symptoms were observed in all 19 patients at 1-week post-treatment and 47% met criteria for response at 5 weeks. Whole-brain analyses revealed post-treatment decreases in CBF in the temporal cortex, including the amygdala. Decreased amygdala CBF correlated with reduced depressive symptoms. Focusing on a priori selected circuitry for RSFC analyses, increased RSFC was observed within the default-mode network (DMN) post-treatment. Increased ventromedial prefrontal cortex-bilateral inferior lateral parietal cortex RSFC was predictive of treatment response at 5-weeks, as was decreased parahippocampal-prefrontal cortex RSFC. These data fill an important knowledge gap regarding the post-treatment brain effects of psilocybin, and are the first in depressed patients. The post-treatment brain changes are different to previously observed acute effects of psilocybin and other 'psychedelics' yet were related to clinical outcomes. A 'reset' therapeutic mechanism is proposed.","author":[{"dropping-particle":"","family":"Carhart-Harris","given":"Robin L.","non-dropping-particle":"","parse-names":false,"suffix":""},{"dropping-particle":"","family":"Roseman","given":"Leor","non-dropping-particle":"","parse-names":false,"suffix":""},{"dropping-particle":"","family":"Bolstridge","given":"Mark","non-dropping-particle":"","parse-names":false,"suffix":""},{"dropping-particle":"","family":"Demetriou","given":"Lysia","non-dropping-particle":"","parse-names":false,"suffix":""},{"dropping-particle":"","family":"Pannekoek","given":"J. Nienke","non-dropping-particle":"","parse-names":false,"suffix":""},{"dropping-particle":"","family":"Wall","given":"Matthew B.","non-dropping-particle":"","parse-names":false,"suffix":""},{"dropping-particle":"","family":"Tanner","given":"Mark","non-dropping-particle":"","parse-names":false,"suffix":""},{"dropping-particle":"","family":"Kaelen","given":"Mendel","non-dropping-particle":"","parse-names":false,"suffix":""},{"dropping-particle":"","family":"McGonigle","given":"John","non-dropping-particle":"","parse-names":false,"suffix":""},{"dropping-particle":"","family":"Murphy","given":"Kevin","non-dropping-particle":"","parse-names":false,"suffix":""},{"dropping-particle":"","family":"Leech","given":"Robert","non-dropping-particle":"","parse-names":false,"suffix":""},{"dropping-particle":"","family":"Curran","given":"H. Valerie","non-dropping-particle":"","parse-names":false,"suffix":""},{"dropping-particle":"","family":"Nutt","given":"David J.","non-dropping-particle":"","parse-names":false,"suffix":""}],"container-title":"Scientific Reports","id":"ITEM-1","issue":"1","issued":{"date-parts":[["2017","12","1"]]},"publisher":"Nature Publishing Group","title":"Psilocybin for treatment-resistant depression: FMRI-measured brain mechanisms","type":"article-journal","volume":"7"},"uris":["http://www.mendeley.com/documents/?uuid=f1dc453f-98f5-3feb-b842-d757980139aa"]},{"id":"ITEM-2","itemData":{"DOI":"10.1016/j.neuropharm.2017.12.041","ISSN":"18737064","PMID":"29288686","abstract":"Recent evidence indicates that psilocybin with psychological support may be effective for treating depression. Some studies have found that patients with depression show heightened amygdala responses to fearful faces and there is reliable evidence that treatment with SSRIs attenuates amygdala responses (Ma, 2015). We hypothesised that amygdala responses to emotional faces would be altered post-treatment with psilocybin. In this open-label study, 20 individuals diagnosed with moderate to severe, treatment-resistant depression, underwent two separate dosing sessions with psilocybin. Psychological support was provided before, during and after these sessions and 19 completed fMRI scans one week prior to the first session and one day after the second and last. Neutral, fearful and happy faces were presented in the scanner and analyses focused on the amygdala. Group results revealed rapid and enduring improvements in depressive symptoms post psilocybin. Increased responses to fearful and happy faces were observed in the right amygdala post-treatment, and right amygdala increases to fearful versus neutral faces were predictive of clinical improvements at 1-week. Psilocybin with psychological support was associated with increased amygdala responses to emotional stimuli, an opposite effect to previous findings with SSRIs. This suggests fundamental differences in these treatments’ therapeutic actions, with SSRIs mitigating negative emotions and psilocybin allowing patients to confront and work through them. Based on the present results, we propose that psilocybin with psychological support is a treatment approach that potentially revives emotional responsiveness in depression, enabling patients to reconnect with their emotions. Trial registration: ISRCTN, number ISRCTN14426797. This article is part of the Special Issue entitled ‘Psychedelics: New Doors, Altered Perceptions’.","author":[{"dropping-particle":"","family":"Roseman","given":"Leor","non-dropping-particle":"","parse-names":false,"suffix":""},{"dropping-particle":"","family":"Demetriou","given":"Lysia","non-dropping-particle":"","parse-names":false,"suffix":""},{"dropping-particle":"","family":"Wall","given":"Matthew B.","non-dropping-particle":"","parse-names":false,"suffix":""},{"dropping-particle":"","family":"Nutt","given":"David J.","non-dropping-particle":"","parse-names":false,"suffix":""},{"dropping-particle":"","family":"Carhart-Harris","given":"Robin L.","non-dropping-particle":"","parse-names":false,"suffix":""}],"container-title":"Neuropharmacology","id":"ITEM-2","issued":{"date-parts":[["2018","11","1"]]},"page":"263-269","publisher":"Elsevier Ltd","title":"Increased amygdala responses to emotional faces after psilocybin for treatment-resistant depression","type":"article-journal","volume":"142"},"uris":["http://www.mendeley.com/documents/?uuid=f9743846-3145-36a7-9f63-37644092d3c6"]},{"id":"ITEM-3","itemData":{"DOI":"10.4414/smw.2019.20124","ISSN":"14243997","PMID":"31568558","abstract":"Lysergic acid diethylamide (LSD) is a potent hallucinogenic substance that was extensively investigated by psychiatrists during the 1950s and 1960s. Researchers were interested in the unique effects induced by this substance, some of which resemble symptoms seen in schizophrenia. Moreover, during that period LSD was studied and used for the treatment of several mental disorders such as depression, anxiety, addiction and personality disorders. Despite this long history of research, how LSD induces its specific effects on a neuronal level has been relatively unclear. In recent years there has been a revival of research in hallucinogenic drugs and their possible clinical applications. These contemporary studies in the UK and Switzerland include neuroimaging studies using functional magnetic resonance imaging (fMRI). In this review, we collect and interpret these recent neuroimaging findings. Overall, previous results across studies indicate that LSD administration is associated with extensive alterations in functional brain connectivity, measuring the correlated activities between different brain regions. The studies mostly reported increases in connectivity between regions and, more specifically, consistently found increased connectivity within the thalamocortical system. These latter observations are in agreement with models proposing that hallucinogenic drugs exert their effects by inhibiting cerebral filtering of external and internal data. However, studies also face several limitations, including potential biases of neuroimaging measurements.","author":[{"dropping-particle":"","family":"Felix","given":"Müller","non-dropping-particle":"","parse-names":false,"suffix":""},{"dropping-particle":"","family":"Stefan","given":"Borgwardt","non-dropping-particle":"","parse-names":false,"suffix":""}],"container-title":"Swiss Medical Weekly","id":"ITEM-3","issue":"39-40","issued":{"date-parts":[["2019","9","30"]]},"publisher":"EMH Swiss Medical Publishers Ltd.","title":"Acute effects of lysergic acid diethylamide (LSD) on resting brain function","type":"article-journal","volume":"149"},"uris":["http://www.mendeley.com/documents/?uuid=1e2b8eb3-b67c-3ca1-8024-b0111515ba7d"]},{"id":"ITEM-4","itemData":{"DOI":"10.1073/pnas.1119598109","ISSN":"00278424","PMID":"22308440","abstract":"Psychedelic drugs have a long history of use in healing ceremonies, but despite renewed interest in their therapeutic potential, we continue to know very little about howthey work in the brain. Here we used psilocybin, a classic psychedelic found in magic mushrooms, and a task-free functional MRI (fMRI) protocol designed to capture the transition from normalwaking consciousness to the psychedelic state. Arterial spin labeling perfusion and blood-oxygen level-dependent (BOLD) fMRI were used to map cerebral blood flow and changes in venous oxygenation before and after intravenous infusions of placebo and psilocybin. Fifteen healthy volunteers were scanned with arterial spin labeling and a separate 15 with BOLD. As predicted, profound changes in consciousness were observed after psilocybin, but surprisingly, only decreases in cerebral blood flow and BOLD signal were seen, and these were maximal in hub regions, such as the thalamus and anterior and posterior cingulate cortex (ACC and PCC). Decreased activity in the ACC/medial prefrontal cortex (mPFC) was a consistent finding and the magnitude of this decrease predicted the intensity of the subjective effects. Based on these results, a seed-based pharmaco-physiological interaction/ functional connectivity analysis was performed using a medial prefrontal seed. Psilocybin caused a significant decrease in the positive coupling between the mPFC and PCC. These results strongly imply that the subjective effects of psychedelic drugs are caused by decreased activity and connectivity in the brain's key connector hubs, enabling a state of unconstrained cognition.","author":[{"dropping-particle":"","family":"Carhart-Harris","given":"Robin L.","non-dropping-particle":"","parse-names":false,"suffix":""},{"dropping-particle":"","family":"Erritzoe","given":"David","non-dropping-particle":"","parse-names":false,"suffix":""},{"dropping-particle":"","family":"Williams","given":"Tim","non-dropping-particle":"","parse-names":false,"suffix":""},{"dropping-particle":"","family":"Stone","given":"James M.","non-dropping-particle":"","parse-names":false,"suffix":""},{"dropping-particle":"","family":"Reed","given":"Laurence J.","non-dropping-particle":"","parse-names":false,"suffix":""},{"dropping-particle":"","family":"Colasanti","given":"Alessandro","non-dropping-particle":"","parse-names":false,"suffix":""},{"dropping-particle":"","family":"Tyacke","given":"Robin J.","non-dropping-particle":"","parse-names":false,"suffix":""},{"dropping-particle":"","family":"Leech","given":"Robert","non-dropping-particle":"","parse-names":false,"suffix":""},{"dropping-particle":"","family":"Malizia","given":"Andrea L.","non-dropping-particle":"","parse-names":false,"suffix":""},{"dropping-particle":"","family":"Murphy","given":"Kevin","non-dropping-particle":"","parse-names":false,"suffix":""},{"dropping-particle":"","family":"Hobden","given":"Peter","non-dropping-particle":"","parse-names":false,"suffix":""},{"dropping-particle":"","family":"Evans","given":"John","non-dropping-particle":"","parse-names":false,"suffix":""},{"dropping-particle":"","family":"Feilding","given":"Amanda","non-dropping-particle":"","parse-names":false,"suffix":""},{"dropping-particle":"","family":"Wise","given":"Richard G.","non-dropping-particle":"","parse-names":false,"suffix":""},{"dropping-particle":"","family":"Nutt","given":"David J.","non-dropping-particle":"","parse-names":false,"suffix":""}],"container-title":"Proceedings of the National Academy of Sciences of the United States of America","id":"ITEM-4","issue":"6","issued":{"date-parts":[["2012","2","7"]]},"page":"2138-2143","publisher":"Proc Natl Acad Sci U S A","title":"Neural correlates of the psychedelic state as determined by fMRI studies with psilocybin","type":"article-journal","volume":"109"},"uris":["http://www.mendeley.com/documents/?uuid=ca77d738-6000-31bb-8dd7-fdb96db39fe4"]}],"mendeley":{"formattedCitation":"(108–111)","plainTextFormattedCitation":"(108–111)","previouslyFormattedCitation":"(108–111)"},"properties":{"noteIndex":0},"schema":"https://github.com/citation-style-language/schema/raw/master/csl-citation.json"}</w:instrText>
      </w:r>
      <w:r w:rsidR="00DE2C30">
        <w:rPr>
          <w:color w:val="000000"/>
        </w:rPr>
        <w:fldChar w:fldCharType="separate"/>
      </w:r>
      <w:r w:rsidR="00133B53" w:rsidRPr="00133B53">
        <w:rPr>
          <w:noProof/>
          <w:color w:val="000000"/>
        </w:rPr>
        <w:t>(108–111)</w:t>
      </w:r>
      <w:r w:rsidR="00DE2C30">
        <w:rPr>
          <w:color w:val="000000"/>
        </w:rPr>
        <w:fldChar w:fldCharType="end"/>
      </w:r>
      <w:r w:rsidR="00B07C39">
        <w:rPr>
          <w:color w:val="000000"/>
        </w:rPr>
        <w:t>, electroencephalography</w:t>
      </w:r>
      <w:r w:rsidR="002852E2">
        <w:rPr>
          <w:color w:val="000000"/>
        </w:rPr>
        <w:fldChar w:fldCharType="begin" w:fldLock="1"/>
      </w:r>
      <w:r w:rsidR="00112529">
        <w:rPr>
          <w:color w:val="000000"/>
        </w:rPr>
        <w:instrText>ADDIN CSL_CITATION {"citationItems":[{"id":"ITEM-1","itemData":{"DOI":"10.1016/bs.irn.2016.06.005","ISBN":"9780128039144","ISSN":"21625514","PMID":"27503452","abstract":"Despite reports of apparent benefits, social and political pressure beginning in the late 1960s effectively banned scientific inquiry into psychedelic substances. Covert examination of psychedelics persisted through the 1990s; the turn of the century and especially the past 10 years, however, has seen a resurgent interest in psychedelic substances (eg, LSD, ayahuasca, psilocybin). This chapter outlines relevant EEG and brain imaging studies evaluating the effects of psychedelics on the brain. This chapter also reviews evidence of the use of psychedelics as adjunct therapy for a number of psychiatric and addictive disorders. In particular, psychedelics appear to have efficacy in treating depression and alcohol-use disorders.","author":[{"dropping-particle":"","family":"Tófoli","given":"L. F.","non-dropping-particle":"","parse-names":false,"suffix":""},{"dropping-particle":"","family":"Araujo","given":"D. B.","non-dropping-particle":"de","parse-names":false,"suffix":""}],"container-title":"International Review of Neurobiology","id":"ITEM-1","issued":{"date-parts":[["2016"]]},"page":"157-185","publisher":"Academic Press Inc.","title":"Treating Addiction: Perspectives from EEG and Imaging Studies on Psychedelics","type":"chapter","volume":"129"},"uris":["http://www.mendeley.com/documents/?uuid=d6a793d9-4b62-38f6-8368-e8895187689c"]},{"id":"ITEM-2","itemData":{"DOI":"10.1007/s00213-015-4026-7","ISSN":"14322072","PMID":"26231498","abstract":"Rationale: During the last years, considerable progress has been made toward understanding the neuronal basis of consciousness by using sophisticated behavioral tasks, brain-imaging techniques, and various psychoactive drugs. Nevertheless, the neuronal mechanisms underlying some of the most intriguing states of consciousness, including spiritual experiences, remain unknown. Objectives: To elucidate state of consciousness-related neuronal mechanisms, human subjects were given psilocybin, a naturally occurring serotonergic agonist and hallucinogen that has been used for centuries to induce spiritual experiences in religious and medical rituals. Methods: In this double-blind, placebo-controlled study, 50 healthy human volunteers received a moderate dose of psilocybin, while high-density electroencephalogram (EEG) recordings were taken during eyes-open and eyes-closed resting states. The current source density and the lagged phase synchronization of neuronal oscillations across distributed brain regions were computed and correlated with psilocybin-induced altered states of consciousness. Results: Psilocybin decreased the current source density of neuronal oscillations at 1.5-20 Hz within a neural network comprising the anterior and posterior cingulate cortices and the parahippocampal regions. Most intriguingly, the intensity levels of psilocybin-induced spiritual experience and insightfulness correlated with the lagged phase synchronization of delta oscillations (1.5-4 Hz) between the retrosplenial cortex, the parahippocampus, and the lateral orbitofrontal area. Conclusions: These results provide systematic evidence for the direct association of a specific spatiotemporal neuronal mechanism with spiritual experiences and enhanced insight into life and existence. The identified mechanism may constitute a pathway for modulating mental health, as spiritual experiences can promote sustained well-being and psychological resilience.","author":[{"dropping-particle":"","family":"Kometer","given":"Michael","non-dropping-particle":"","parse-names":false,"suffix":""},{"dropping-particle":"","family":"Pokorny","given":"Thomas","non-dropping-particle":"","parse-names":false,"suffix":""},{"dropping-particle":"","family":"Seifritz","given":"Erich","non-dropping-particle":"","parse-names":false,"suffix":""},{"dropping-particle":"","family":"Volleinweider","given":"Franz X.","non-dropping-particle":"","parse-names":false,"suffix":""}],"container-title":"Psychopharmacology","id":"ITEM-2","issue":"19","issued":{"date-parts":[["2015","10","1"]]},"page":"3663-3676","publisher":"Springer Verlag","title":"Psilocybin-induced spiritual experiences and insightfulness are associated with synchronization of neuronal oscillations","type":"article-journal","volume":"232"},"uris":["http://www.mendeley.com/documents/?uuid=9c176970-132e-351e-8026-7508b0e3e739"]},{"id":"ITEM-3","itemData":{"DOI":"10.1046/j.1365-2125.2002.01609.x","ISSN":"03065251","PMID":"12047486","abstract":"Aims: Ayahuasca is a traditional South American psychoactive beverage used in Amazonian shamanism, and in the religious ceremonies of Brazilian-based syncretic religious groups with followers in the US and several European countries. This tea contains measurable amounts of the psychotropic indole N,N-dimethyltryptamine (DMT), and β-carboline alkaloids with MAO-inhibiting properties. In a previous report we described a profile of stimulant and psychedelic effects for ayahuasca as measured by subjective report self-assessment instruments. In the present study the cerebral bioavailability and time-course of effects of ayahuasca were assessed in humans by means of topographic quantitative-electroencephalography (q-EEG), a noninvasive method measuring drug-induced variations in brain electrical activity. Methods: Two doses (one low and one high) of encapsulated freeze-dried ayahuasca, equivalent to 0.6 and 0.85 mg DMT kg-1 body weight, were administered to 18 healthy volunteers with previous experience in psychedelic drug use in a double-blind crossover placebo-controlled clinical trial. Nineteen-lead recordings were undertaken from baseline to 8 h after administration. Subjective effects were measured by means of the Hallucinogen Rating Scale (HRS). Results: Ayahuasca induced a pattern of psychoactive effects which resulted in significant dose-dependent increases in all subscales of the HRS, and in significant and dose-dependent modifications of brain electrical activity. Absolute power decreased in all frequency bands, most prominently in the theta band. Mean absolute power decreases (95% CI) at a representative lead (P3) 90 min after the high dose were -20.20 ± 15.23 μV2 and -2.70 ± 2.21 μV2 for total power and theta power, respectively. Relative power decreased in the delta (-1.20 ± 1.31% after 120 min at P3) and theta (-3.30 ± 2.59% after 120 min at P3) bands, and increased in the beta band, most prominently in the faster beta-3 (1.00 ± 0.88% after 90 min at P3) and beta-4 (0.30 ± 0.24% after 90 min at P3) subbands. Finally, an increase was also seen for the centroid of the total activity and its deviation. EEG modifications began as early as 15-30 min, reached a peak between 45 and 120 min and decreased thereafter to return to baseline levels at 4-6 h after administration. Conclusions: The central effects of ayahuasca could be objectively measured by means of q-EEG, showing a time pattern which closely paralleled that of previously reported subjective …","author":[{"dropping-particle":"","family":"Riba","given":"Jordi","non-dropping-particle":"","parse-names":false,"suffix":""},{"dropping-particle":"","family":"Anderer","given":"Peter","non-dropping-particle":"","parse-names":false,"suffix":""},{"dropping-particle":"","family":"Morte","given":"Adelaida","non-dropping-particle":"","parse-names":false,"suffix":""},{"dropping-particle":"","family":"Urbano","given":"Gloria","non-dropping-particle":"","parse-names":false,"suffix":""},{"dropping-particle":"","family":"Jané","given":"Francesc","non-dropping-particle":"","parse-names":false,"suffix":""},{"dropping-particle":"","family":"Saletu","given":"Bernd","non-dropping-particle":"","parse-names":false,"suffix":""},{"dropping-particle":"","family":"Barbanoj","given":"Manel J.","non-dropping-particle":"","parse-names":false,"suffix":""}],"container-title":"British Journal of Clinical Pharmacology","id":"ITEM-3","issue":"6","issued":{"date-parts":[["2002","6","1"]]},"page":"613-628","publisher":"John Wiley &amp; Sons, Ltd","title":"Topographic pharmaco-EEG mapping of the effects of the South American psychoactive beverage ayahuasca in healthy volunteers","type":"article-journal","volume":"53"},"uris":["http://www.mendeley.com/documents/?uuid=a4f3d112-d521-324b-a0e7-843571088a5f"]}],"mendeley":{"formattedCitation":"(112–114)","plainTextFormattedCitation":"(112–114)","previouslyFormattedCitation":"(112–114)"},"properties":{"noteIndex":0},"schema":"https://github.com/citation-style-language/schema/raw/master/csl-citation.json"}</w:instrText>
      </w:r>
      <w:r w:rsidR="002852E2">
        <w:rPr>
          <w:color w:val="000000"/>
        </w:rPr>
        <w:fldChar w:fldCharType="separate"/>
      </w:r>
      <w:r w:rsidR="00133B53" w:rsidRPr="00133B53">
        <w:rPr>
          <w:noProof/>
          <w:color w:val="000000"/>
        </w:rPr>
        <w:t>(112–114)</w:t>
      </w:r>
      <w:r w:rsidR="002852E2">
        <w:rPr>
          <w:color w:val="000000"/>
        </w:rPr>
        <w:fldChar w:fldCharType="end"/>
      </w:r>
      <w:r w:rsidR="002852E2">
        <w:rPr>
          <w:color w:val="000000"/>
        </w:rPr>
        <w:t xml:space="preserve"> and </w:t>
      </w:r>
      <w:r w:rsidR="00B07C39">
        <w:rPr>
          <w:color w:val="000000"/>
        </w:rPr>
        <w:t>magnetoencephalography</w:t>
      </w:r>
      <w:r w:rsidR="002852E2">
        <w:rPr>
          <w:color w:val="000000"/>
        </w:rPr>
        <w:fldChar w:fldCharType="begin" w:fldLock="1"/>
      </w:r>
      <w:r w:rsidR="00112529">
        <w:rPr>
          <w:color w:val="000000"/>
        </w:rPr>
        <w:instrText>ADDIN CSL_CITATION {"citationItems":[{"id":"ITEM-1","itemData":{"DOI":"10.1016/j.neuroimage.2019.116462","ISSN":"10959572","PMID":"31857204","abstract":"Neuroimaging studies of the psychedelic state offer a unique window onto the neural basis of conscious perception and selfhood. Despite well understood pharmacological mechanisms of action, the large-scale changes in neural dynamics induced by psychedelic compounds remain poorly understood. Using source-localised, steady-state MEG recordings, we describe changes in functional connectivity following the controlled administration of LSD, psilocybin and low-dose ketamine, as well as, for comparison, the (non-psychedelic) anticonvulsant drug tiagabine. We compare both undirected and directed measures of functional connectivity between placebo and drug conditions. We observe a general decrease in directed functional connectivity for all three psychedelics, as measured by Granger causality, throughout the brain. These data support the view that the psychedelic state involves a breakdown in patterns of functional organisation or information flow in the brain. In the case of LSD, the decrease in directed functional connectivity is coupled with an increase in undirected functional connectivity, which we measure using correlation and coherence. This surprising opposite movement of directed and undirected measures is of more general interest for functional connectivity analyses, which we interpret using analytical modelling. Overall, our results uncover the neural dynamics of information flow in the psychedelic state, and highlight the importance of comparing multiple measures of functional connectivity when analysing time-resolved neuroimaging data.","author":[{"dropping-particle":"","family":"Barnett","given":"Lionel","non-dropping-particle":"","parse-names":false,"suffix":""},{"dropping-particle":"","family":"Muthukumaraswamy","given":"Suresh D.","non-dropping-particle":"","parse-names":false,"suffix":""},{"dropping-particle":"","family":"Carhart-Harris","given":"Robin L.","non-dropping-particle":"","parse-names":false,"suffix":""},{"dropping-particle":"","family":"Seth","given":"Anil K.","non-dropping-particle":"","parse-names":false,"suffix":""}],"container-title":"NeuroImage","id":"ITEM-1","issued":{"date-parts":[["2020","4","1"]]},"publisher":"Academic Press Inc.","title":"Decreased directed functional connectivity in the psychedelic state","type":"article-journal","volume":"209"},"uris":["http://www.mendeley.com/documents/?uuid=0f2ae930-18dc-3be4-a67d-f659aa2f2c83"]},{"id":"ITEM-2","itemData":{"DOI":"10.1038/srep46421","ISSN":"20452322","PMID":"28422113","abstract":"What is the level of consciousness of the psychedelic state? Empirically, measures of neural signal diversity such as entropy and Lempel-Ziv (LZ) complexity score higher for wakeful rest than for states with lower conscious level like propofol-induced anesthesia. Here we compute these measures for spontaneous magnetoencephalographic (MEG) signals from humans during altered states of consciousness induced by three psychedelic substances: Psilocybin, ketamine and LSD. For all three, we find reliably higher spontaneous signal diversity, even when controlling for spectral changes. This increase is most pronounced for the single-channel LZ complexity measure, and hence for temporal, as opposed to spatial, signal diversity. We also uncover selective correlations between changes in signal diversity and phenomenological reports of the intensity of psychedelic experience. This is the first time that these measures have been applied to the psychedelic state and, crucially, that they have yielded values exceeding those of normal waking consciousness. These findings suggest that the sustained occurrence of psychedelic phenomenology constitutes an elevated level of consciousness- A s measured by neural signal diversity.","author":[{"dropping-particle":"","family":"Schartner","given":"Michael M.","non-dropping-particle":"","parse-names":false,"suffix":""},{"dropping-particle":"","family":"Carhart-Harris","given":"Robin L.","non-dropping-particle":"","parse-names":false,"suffix":""},{"dropping-particle":"","family":"Barrett","given":"Adam B.","non-dropping-particle":"","parse-names":false,"suffix":""},{"dropping-particle":"","family":"Seth","given":"Anil K.","non-dropping-particle":"","parse-names":false,"suffix":""},{"dropping-particle":"","family":"Muthukumaraswamy","given":"Suresh D.","non-dropping-particle":"","parse-names":false,"suffix":""}],"container-title":"Scientific Reports","id":"ITEM-2","issued":{"date-parts":[["2017","4","19"]]},"publisher":"Nature Publishing Group","title":"Increased spontaneous MEG signal diversity for psychoactive doses of ketamine, LSD and psilocybin","type":"article-journal","volume":"7"},"uris":["http://www.mendeley.com/documents/?uuid=5afb224d-65c8-35ca-aca8-ac0262dfbdae"]},{"id":"ITEM-3","itemData":{"DOI":"10.1016/j.neuropharm.2017.10.039","ISSN":"18737064","PMID":"29101022","abstract":"Under the predictive coding framework, perceptual learning and inference are dependent on the interaction between top-down predictions and bottom-up sensory signals both between and within regions in a network. However, how such feedback and feedforward connections are modulated in the state induced by lysergic acid diethylamide (LSD) is poorly understood. In this study, an auditory oddball paradigm was presented to healthy participants (16 males, 4 female) under LSD and placebo, and brain activity was recorded using magnetoencephalography (MEG). Scalp level Event Related Fields (ERF) revealed reduced neural adaptation to familiar stimuli, and a blunted neural 'surprise’ response to novel stimuli in the LSD condition. Dynamic causal modelling revealed that both the presentation of novel stimuli and LSD modulate backward extrinsic connectivity within a task-activated fronto-temporal network, as well as intrinsic connectivity in the primary auditory cortex. These findings show consistencies with those of previous studies of schizophrenia and ketamine but also studies of reduced consciousness – suggesting that rather than being a marker of conscious level per se, backward connectivity may index modulations of perceptual learning common to a variety of altered states of consciousness, perhaps united by a shared altered sensitivity to environmental stimuli. Since recent evidence suggests that the psychedelic state may correspond to a heightened ‘level’ of consciousness with respect to the normal waking state, our data warrant a re-examination of the top-down hypotheses of conscious level and suggest that several altered states may feature this specific biophysical effector. This article is part of the Special Issue entitled ‘Psychedelics: New Doors, Altered Perceptions’.","author":[{"dropping-particle":"","family":"Timmermann","given":"Christopher","non-dropping-particle":"","parse-names":false,"suffix":""},{"dropping-particle":"","family":"Spriggs","given":"Meg J.","non-dropping-particle":"","parse-names":false,"suffix":""},{"dropping-particle":"","family":"Kaelen","given":"Mendel","non-dropping-particle":"","parse-names":false,"suffix":""},{"dropping-particle":"","family":"Leech","given":"Robert","non-dropping-particle":"","parse-names":false,"suffix":""},{"dropping-particle":"","family":"Nutt","given":"David J.","non-dropping-particle":"","parse-names":false,"suffix":""},{"dropping-particle":"","family":"Moran","given":"Rosalyn J.","non-dropping-particle":"","parse-names":false,"suffix":""},{"dropping-particle":"","family":"Carhart-Harris","given":"Robin L.","non-dropping-particle":"","parse-names":false,"suffix":""},{"dropping-particle":"","family":"Muthukumaraswamy","given":"Suresh D.","non-dropping-particle":"","parse-names":false,"suffix":""}],"container-title":"Neuropharmacology","id":"ITEM-3","issued":{"date-parts":[["2018","11","1"]]},"page":"251-262","publisher":"Elsevier Ltd","title":"LSD modulates effective connectivity and neural adaptation mechanisms in an auditory oddball paradigm","type":"article-journal","volume":"142"},"uris":["http://www.mendeley.com/documents/?uuid=43999284-84a3-3cca-9038-3b3949280333"]},{"id":"ITEM-4","itemData":{"DOI":"10.1016/j.neuroimage.2019.06.053","ISSN":"10959572","PMID":"31247301","abstract":"Classic serotonergic psychedelics are remarkable for their capacity to induce reversible alterations in consciousness of the self and the surroundings, mediated by agonism at serotonin 5-HT2A receptors. The subjective effects elicited by dissociative drugs acting as N-methyl-D-aspartate (NMDA) antagonists (e.g. ketamine and phencyclidine) overlap in certain domains with those of serotonergic psychedelics, suggesting some potential similarities in the brain activity patterns induced by both classes of drugs, despite different pharmacological mechanisms of action. We investigated source-localized magnetoencephalography recordings to determine the frequency-specific changes in oscillatory activity and long-range functional coupling that are common to two serotonergic compounds (lysergic acid diethylamide [LSD] and psilocybin) and the NMDA-antagonist ketamine. Administration of the three drugs resulted in widespread and broadband spectral power reductions. We established their similarity by using different pairs of compounds to train and subsequently evaluate multivariate machine learning classifiers. After applying the same methodology to functional connectivity values, we observed a pattern of occipital, parietal and frontal decreases in the low alpha and theta bands that were specific to LSD and psilocybin, as well as decreases in the low beta band common to the three drugs. Our results represent a first effort in the direction of quantifying the similarity of large-scale brain activity patterns induced by drugs of different mechanism of action, confirming the link between changes in theta and alpha oscillations and 5-HT2A agonism, while also revealing the decoupling of activity in the beta band as an effect shared between NMDA antagonists and 5-HT2A agonists. We discuss how these frequency-specific convergences and divergences in the power and functional connectivity of brain oscillations might relate to the overlapping subjective effects of serotonergic psychedelics and glutamatergic dissociative compounds.","author":[{"dropping-particle":"","family":"Pallavicini","given":"Carla","non-dropping-particle":"","parse-names":false,"suffix":""},{"dropping-particle":"","family":"Vilas","given":"Martina G.","non-dropping-particle":"","parse-names":false,"suffix":""},{"dropping-particle":"","family":"Villarreal","given":"Mirta","non-dropping-particle":"","parse-names":false,"suffix":""},{"dropping-particle":"","family":"Zamberlan","given":"Federico","non-dropping-particle":"","parse-names":false,"suffix":""},{"dropping-particle":"","family":"Muthukumaraswamy","given":"Suresh","non-dropping-particle":"","parse-names":false,"suffix":""},{"dropping-particle":"","family":"Nutt","given":"David","non-dropping-particle":"","parse-names":false,"suffix":""},{"dropping-particle":"","family":"Carhart-Harris","given":"Robin","non-dropping-particle":"","parse-names":false,"suffix":""},{"dropping-particle":"","family":"Tagliazucchi","given":"Enzo","non-dropping-particle":"","parse-names":false,"suffix":""}],"container-title":"NeuroImage","id":"ITEM-4","issued":{"date-parts":[["2019","10","15"]]},"page":"281-291","publisher":"Academic Press Inc.","title":"Spectral signatures of serotonergic psychedelics and glutamatergic dissociatives","type":"article-journal","volume":"200"},"uris":["http://www.mendeley.com/documents/?uuid=5e0fb05e-dd55-3e35-939b-b43433a142d4"]},{"id":"ITEM-5","itemData":{"DOI":"10.1073/pnas.1518377113","ISSN":"10916490","PMID":"27071089","abstract":"Lysergic acid diethylamide (LSD) is the prototypical psychedelic drug, but its effects on the human brain have never been studied before with modern neuroimaging. Here, three complementary neuroimaging techniques: arterial spin labeling (ASL), blood oxygen leveldependent (BOLD) measures, and magnetoencephalography (MEG), implemented during resting state conditions, revealed marked changes in brain activity after LSD that correlated strongly with its characteristic psychological effects. Increased visual cortex cerebral blood flow (CBF), decreased visual cortex alpha power, and a greatly expanded primary visual cortex (V1) functional connectivity profile correlated strongly with ratings of visual hallucinations, implying that intrinsic brain activity exerts greater influence on visual processing in the psychedelic state, thereby defining its hallucinatory quality. LSD's marked effects on the visual cortex did not significantly correlate with the drug's other characteristic effects on consciousness, however. Rather, decreased connectivity between the parahippocampus and retrosplenial cortex (RSC) correlated strongly with ratings of \"ego-dissolution\" and \"altered meaning,\" implying the importance of this particular circuit for the maintenance of \"self\" or \"ego\" and its processing of \"meaning.\" Strong relationships were also found between the different imaging metrics, enabling firmer inferences to be made about their functional significance. This uniquely comprehensive examination of the LSD state represents an important advance in scientific research with psychedelic drugs at a time of growing interest in their scientific and therapeutic value. The present results contribute important new insights into the characteristic hallucinatory and consciousness- altering properties of psychedelics that inform on how they can model certain pathological states and potentially treat others.","author":[{"dropping-particle":"","family":"Carhart-Harris","given":"Robin L.","non-dropping-particle":"","parse-names":false,"suffix":""},{"dropping-particle":"","family":"Muthukumaraswamy","given":"Suresh","non-dropping-particle":"","parse-names":false,"suffix":""},{"dropping-particle":"","family":"Roseman","given":"Leor","non-dropping-particle":"","parse-names":false,"suffix":""},{"dropping-particle":"","family":"Kaelen","given":"Mendel","non-dropping-particle":"","parse-names":false,"suffix":""},{"dropping-particle":"","family":"Droog","given":"Wouter","non-dropping-particle":"","parse-names":false,"suffix":""},{"dropping-particle":"","family":"Murphy","given":"Kevin","non-dropping-particle":"","parse-names":false,"suffix":""},{"dropping-particle":"","family":"Tagliazucchi","given":"Enzo","non-dropping-particle":"","parse-names":false,"suffix":""},{"dropping-particle":"","family":"Schenberg","given":"Eduardo E.","non-dropping-particle":"","parse-names":false,"suffix":""},{"dropping-particle":"","family":"Nest","given":"Timothy","non-dropping-particle":"","parse-names":false,"suffix":""},{"dropping-particle":"","family":"Orban","given":"Csaba","non-dropping-particle":"","parse-names":false,"suffix":""},{"dropping-particle":"","family":"Leech","given":"Robert","non-dropping-particle":"","parse-names":false,"suffix":""},{"dropping-particle":"","family":"Williams","given":"Luke T.","non-dropping-particle":"","parse-names":false,"suffix":""},{"dropping-particle":"","family":"Williams","given":"Tim M.","non-dropping-particle":"","parse-names":false,"suffix":""},{"dropping-particle":"","family":"Bolstridge","given":"Mark","non-dropping-particle":"","parse-names":false,"suffix":""},{"dropping-particle":"","family":"Sessa","given":"Ben","non-dropping-particle":"","parse-names":false,"suffix":""},{"dropping-particle":"","family":"McGonigle","given":"John","non-dropping-particle":"","parse-names":false,"suffix":""},{"dropping-particle":"","family":"Sereno","given":"Martin I.","non-dropping-particle":"","parse-names":false,"suffix":""},{"dropping-particle":"","family":"Nichols","given":"David","non-dropping-particle":"","parse-names":false,"suffix":""},{"dropping-particle":"","family":"Hellyer","given":"Peter J.","non-dropping-particle":"","parse-names":false,"suffix":""},{"dropping-particle":"","family":"Hobden","given":"Peter","non-dropping-particle":"","parse-names":false,"suffix":""},{"dropping-particle":"","family":"Evans","given":"John","non-dropping-particle":"","parse-names":false,"suffix":""},{"dropping-particle":"","family":"Singh","given":"Krish D.","non-dropping-particle":"","parse-names":false,"suffix":""},{"dropping-particle":"","family":"Wise","given":"Richard G.","non-dropping-particle":"","parse-names":false,"suffix":""},{"dropping-particle":"","family":"Curran","given":"H. Valerie","non-dropping-particle":"","parse-names":false,"suffix":""},{"dropping-particle":"","family":"Feilding","given":"Amanda","non-dropping-particle":"","parse-names":false,"suffix":""},{"dropping-particle":"","family":"Nutt","given":"David J.","non-dropping-particle":"","parse-names":false,"suffix":""}],"container-title":"Proceedings of the National Academy of Sciences of the United States of America","id":"ITEM-5","issue":"17","issued":{"date-parts":[["2016","4","26"]]},"page":"4853-4858","publisher":"National Academy of Sciences","title":"Neural correlates of the LSD experience revealed by multimodal neuroimaging","type":"article-journal","volume":"113"},"uris":["http://www.mendeley.com/documents/?uuid=a8b14846-a2d8-308e-ab83-ad8739ea55fb"]},{"id":"ITEM-6","itemData":{"DOI":"10.1523/JNEUROSCI.2063-13.2013","ISSN":"02706474","PMID":"24048847","abstract":"Psychedelic drugs produce profound changes in consciousness, but the underlying neurobiological mechanisms for this remain unclear. Spontaneous and induced oscillatory activity was recorded in healthy human participants with magnetoencephalography after intravenous infusion of psilocybin-prodrug of the nonselective serotonin 2A receptor agonist and classic psychedelic psilocin. Psilocybin reduced spontaneous cortical oscillatory power from 1 to 50 Hz in posterior association cortices, and from 8 to 100 Hz in frontal association cortices. Large decreases in oscillatory power were seen in areas of the default-mode network. Independent component analysis was used to identify a number of resting-state networks, and activity in these was similarly decreased after psilocybin. Psilocybin had no effect on low-level visually induced and motor-induced gamma-band oscillations, suggesting that some basic elements of oscillatory brain activity are relatively preserved during the psychedelic experience. Dynamic causal modeling revealed that posterior cingulate cortex desynchronization can be explained by increased excitability of deep-layer pyramidal neurons, which are known to be rich in 5-HT2A receptors. These findings suggest that the subjective effects of psychedelics result from a desynchronization of ongoing oscillatory rhythms in the cortex, likely triggered by 5-HT2A receptor-mediated excitation of deep pyramidal cells. © 2013 the authors.","author":[{"dropping-particle":"","family":"Muthukumaraswamy","given":"Suresh D.","non-dropping-particle":"","parse-names":false,"suffix":""},{"dropping-particle":"","family":"Carhart-Harris","given":"Robin L.","non-dropping-particle":"","parse-names":false,"suffix":""},{"dropping-particle":"","family":"Moran","given":"Rosalyn J.","non-dropping-particle":"","parse-names":false,"suffix":""},{"dropping-particle":"","family":"Brookes","given":"Matthew J.","non-dropping-particle":"","parse-names":false,"suffix":""},{"dropping-particle":"","family":"Williams","given":"Tim M.","non-dropping-particle":"","parse-names":false,"suffix":""},{"dropping-particle":"","family":"Errtizoe","given":"David","non-dropping-particle":"","parse-names":false,"suffix":""},{"dropping-particle":"","family":"Sessa","given":"Ben","non-dropping-particle":"","parse-names":false,"suffix":""},{"dropping-particle":"","family":"Papadopoulos","given":"Andreas","non-dropping-particle":"","parse-names":false,"suffix":""},{"dropping-particle":"","family":"Bolstridge","given":"Mark","non-dropping-particle":"","parse-names":false,"suffix":""},{"dropping-particle":"","family":"Singh","given":"Krish D.","non-dropping-particle":"","parse-names":false,"suffix":""},{"dropping-particle":"","family":"Feilding","given":"Amanda","non-dropping-particle":"","parse-names":false,"suffix":""},{"dropping-particle":"","family":"Friston","given":"Karl J.","non-dropping-particle":"","parse-names":false,"suffix":""},{"dropping-particle":"","family":"Nutt","given":"David J.","non-dropping-particle":"","parse-names":false,"suffix":""}],"container-title":"Journal of Neuroscience","id":"ITEM-6","issue":"38","issued":{"date-parts":[["2013","9","18"]]},"page":"15171-15183","publisher":"Society for Neuroscience","title":"Broadband cortical desynchronization underlies the human psychedelic state","type":"article-journal","volume":"33"},"uris":["http://www.mendeley.com/documents/?uuid=97bfc8ab-c903-331e-893a-925b521f4ec1"]}],"mendeley":{"formattedCitation":"(115–120)","plainTextFormattedCitation":"(115–120)","previouslyFormattedCitation":"(115–120)"},"properties":{"noteIndex":0},"schema":"https://github.com/citation-style-language/schema/raw/master/csl-citation.json"}</w:instrText>
      </w:r>
      <w:r w:rsidR="002852E2">
        <w:rPr>
          <w:color w:val="000000"/>
        </w:rPr>
        <w:fldChar w:fldCharType="separate"/>
      </w:r>
      <w:r w:rsidR="00133B53" w:rsidRPr="00133B53">
        <w:rPr>
          <w:noProof/>
          <w:color w:val="000000"/>
        </w:rPr>
        <w:t>(115–120)</w:t>
      </w:r>
      <w:r w:rsidR="002852E2">
        <w:rPr>
          <w:color w:val="000000"/>
        </w:rPr>
        <w:fldChar w:fldCharType="end"/>
      </w:r>
      <w:r w:rsidR="00B07C39">
        <w:rPr>
          <w:color w:val="000000"/>
        </w:rPr>
        <w:t xml:space="preserve">. </w:t>
      </w:r>
      <w:r w:rsidR="00AF0C79">
        <w:rPr>
          <w:color w:val="000000"/>
        </w:rPr>
        <w:t>Th</w:t>
      </w:r>
      <w:r w:rsidR="00DE2C30">
        <w:rPr>
          <w:color w:val="000000"/>
        </w:rPr>
        <w:t xml:space="preserve">e outcome of this review may </w:t>
      </w:r>
      <w:r w:rsidR="00232526">
        <w:rPr>
          <w:color w:val="000000"/>
        </w:rPr>
        <w:t xml:space="preserve">suggest </w:t>
      </w:r>
      <w:r w:rsidR="0011577F">
        <w:rPr>
          <w:color w:val="000000"/>
        </w:rPr>
        <w:t xml:space="preserve">the preparation of a new </w:t>
      </w:r>
      <w:r w:rsidR="00AF0C79">
        <w:rPr>
          <w:color w:val="000000"/>
        </w:rPr>
        <w:t xml:space="preserve">approach </w:t>
      </w:r>
      <w:r w:rsidR="002C7794">
        <w:rPr>
          <w:color w:val="000000"/>
        </w:rPr>
        <w:t xml:space="preserve">in psychedelic research that will increase the use of </w:t>
      </w:r>
      <w:proofErr w:type="spellStart"/>
      <w:r w:rsidR="002C7794">
        <w:rPr>
          <w:color w:val="000000"/>
        </w:rPr>
        <w:t>metabonomics</w:t>
      </w:r>
      <w:proofErr w:type="spellEnd"/>
      <w:r w:rsidR="002C7794">
        <w:rPr>
          <w:color w:val="000000"/>
        </w:rPr>
        <w:t xml:space="preserve"> tools to analyse </w:t>
      </w:r>
      <w:r w:rsidR="00637D87">
        <w:rPr>
          <w:color w:val="000000"/>
        </w:rPr>
        <w:t xml:space="preserve">peripheral data from the rest of the </w:t>
      </w:r>
      <w:r w:rsidR="002C7794">
        <w:rPr>
          <w:color w:val="000000"/>
        </w:rPr>
        <w:t>body, not just research focused on CNS-related data</w:t>
      </w:r>
      <w:r w:rsidR="000E19BF">
        <w:rPr>
          <w:color w:val="000000"/>
        </w:rPr>
        <w:t>.</w:t>
      </w:r>
      <w:r w:rsidR="00DE2C30">
        <w:rPr>
          <w:color w:val="000000"/>
        </w:rPr>
        <w:t xml:space="preserve"> </w:t>
      </w:r>
      <w:proofErr w:type="gramStart"/>
      <w:r w:rsidR="00232526">
        <w:rPr>
          <w:color w:val="000000"/>
        </w:rPr>
        <w:t>T</w:t>
      </w:r>
      <w:r w:rsidR="00637D87">
        <w:rPr>
          <w:color w:val="000000"/>
        </w:rPr>
        <w:t>hat being said, this</w:t>
      </w:r>
      <w:proofErr w:type="gramEnd"/>
      <w:r w:rsidR="00232526">
        <w:rPr>
          <w:color w:val="000000"/>
        </w:rPr>
        <w:t xml:space="preserve"> is only speculative and</w:t>
      </w:r>
      <w:r w:rsidR="00AF0C79">
        <w:rPr>
          <w:color w:val="000000"/>
        </w:rPr>
        <w:t xml:space="preserve"> the lack of current </w:t>
      </w:r>
      <w:proofErr w:type="spellStart"/>
      <w:r w:rsidR="00AF0C79">
        <w:rPr>
          <w:color w:val="000000"/>
        </w:rPr>
        <w:t>metabonomics</w:t>
      </w:r>
      <w:proofErr w:type="spellEnd"/>
      <w:r w:rsidR="00AF0C79">
        <w:rPr>
          <w:color w:val="000000"/>
        </w:rPr>
        <w:t xml:space="preserve"> stud</w:t>
      </w:r>
      <w:r w:rsidR="00637D87">
        <w:rPr>
          <w:color w:val="000000"/>
        </w:rPr>
        <w:t xml:space="preserve">ies </w:t>
      </w:r>
      <w:r w:rsidR="00AF0C79">
        <w:rPr>
          <w:color w:val="000000"/>
        </w:rPr>
        <w:t>is apparent</w:t>
      </w:r>
      <w:r w:rsidR="002852E2">
        <w:rPr>
          <w:color w:val="000000"/>
        </w:rPr>
        <w:t xml:space="preserve"> in the current literature</w:t>
      </w:r>
      <w:r w:rsidR="008807DB">
        <w:rPr>
          <w:color w:val="000000"/>
        </w:rPr>
        <w:t>. It</w:t>
      </w:r>
      <w:r w:rsidR="00232526">
        <w:rPr>
          <w:color w:val="000000"/>
        </w:rPr>
        <w:t xml:space="preserve"> is a real limitation to have such a diverse tool such as </w:t>
      </w:r>
      <w:r w:rsidR="002C7794" w:rsidRPr="00C10351">
        <w:rPr>
          <w:color w:val="000000" w:themeColor="text1"/>
          <w:shd w:val="clear" w:color="auto" w:fill="FFFFFF"/>
          <w:vertAlign w:val="superscript"/>
        </w:rPr>
        <w:t>1</w:t>
      </w:r>
      <w:r w:rsidR="002C7794" w:rsidRPr="00C10351">
        <w:rPr>
          <w:color w:val="000000" w:themeColor="text1"/>
          <w:shd w:val="clear" w:color="auto" w:fill="FFFFFF"/>
        </w:rPr>
        <w:t>H</w:t>
      </w:r>
      <w:r w:rsidR="002C7794">
        <w:rPr>
          <w:color w:val="000000"/>
        </w:rPr>
        <w:t xml:space="preserve"> </w:t>
      </w:r>
      <w:r w:rsidR="00232526">
        <w:rPr>
          <w:color w:val="000000"/>
        </w:rPr>
        <w:t>NMR spectroscopy limited to natural products research only</w:t>
      </w:r>
      <w:r w:rsidR="00AF0C79">
        <w:rPr>
          <w:color w:val="000000"/>
        </w:rPr>
        <w:t>.</w:t>
      </w:r>
      <w:r w:rsidR="00232526">
        <w:rPr>
          <w:color w:val="000000"/>
        </w:rPr>
        <w:t xml:space="preserve"> </w:t>
      </w:r>
    </w:p>
    <w:p w14:paraId="6A7C6D0F" w14:textId="77777777" w:rsidR="00140B2D" w:rsidRDefault="00140B2D" w:rsidP="00E50706">
      <w:pPr>
        <w:rPr>
          <w:color w:val="000000"/>
        </w:rPr>
      </w:pPr>
    </w:p>
    <w:p w14:paraId="2A4D5F64" w14:textId="2F79B0B2" w:rsidR="00AF0C79" w:rsidRPr="00140B2D" w:rsidRDefault="00232526" w:rsidP="00E50706">
      <w:pPr>
        <w:rPr>
          <w:color w:val="000000" w:themeColor="text1"/>
        </w:rPr>
      </w:pPr>
      <w:r>
        <w:rPr>
          <w:color w:val="000000"/>
        </w:rPr>
        <w:t xml:space="preserve">This review has been able to separate the application of </w:t>
      </w:r>
      <w:r w:rsidR="002C7794" w:rsidRPr="00C10351">
        <w:rPr>
          <w:color w:val="000000" w:themeColor="text1"/>
          <w:shd w:val="clear" w:color="auto" w:fill="FFFFFF"/>
          <w:vertAlign w:val="superscript"/>
        </w:rPr>
        <w:t>1</w:t>
      </w:r>
      <w:r w:rsidR="002C7794" w:rsidRPr="00C10351">
        <w:rPr>
          <w:color w:val="000000" w:themeColor="text1"/>
          <w:shd w:val="clear" w:color="auto" w:fill="FFFFFF"/>
        </w:rPr>
        <w:t>H</w:t>
      </w:r>
      <w:r w:rsidR="002C7794">
        <w:rPr>
          <w:color w:val="000000"/>
        </w:rPr>
        <w:t xml:space="preserve"> </w:t>
      </w:r>
      <w:r>
        <w:rPr>
          <w:color w:val="000000"/>
        </w:rPr>
        <w:t>NMR in psychedelics to the following four main purposes</w:t>
      </w:r>
      <w:r w:rsidRPr="00C10351">
        <w:rPr>
          <w:color w:val="000000"/>
        </w:rPr>
        <w:t xml:space="preserve">. </w:t>
      </w:r>
      <w:r w:rsidRPr="00C10351">
        <w:rPr>
          <w:color w:val="000000" w:themeColor="text1"/>
          <w:shd w:val="clear" w:color="auto" w:fill="FFFFFF"/>
          <w:vertAlign w:val="superscript"/>
        </w:rPr>
        <w:t>1</w:t>
      </w:r>
      <w:r w:rsidRPr="00C10351">
        <w:rPr>
          <w:color w:val="000000" w:themeColor="text1"/>
          <w:shd w:val="clear" w:color="auto" w:fill="FFFFFF"/>
        </w:rPr>
        <w:t>H</w:t>
      </w:r>
      <w:r w:rsidRPr="00C10351">
        <w:rPr>
          <w:vertAlign w:val="superscript"/>
        </w:rPr>
        <w:t xml:space="preserve"> </w:t>
      </w:r>
      <w:r w:rsidRPr="00C10351">
        <w:rPr>
          <w:rFonts w:eastAsiaTheme="minorEastAsia"/>
          <w:color w:val="000000"/>
        </w:rPr>
        <w:t>NMR can be used to</w:t>
      </w:r>
      <w:r w:rsidR="000E19BF">
        <w:rPr>
          <w:rFonts w:eastAsiaTheme="minorEastAsia"/>
          <w:color w:val="000000"/>
        </w:rPr>
        <w:t>:</w:t>
      </w:r>
      <w:r w:rsidRPr="00C10351">
        <w:rPr>
          <w:rFonts w:eastAsiaTheme="minorEastAsia"/>
          <w:color w:val="000000"/>
        </w:rPr>
        <w:t xml:space="preserve"> </w:t>
      </w:r>
      <w:r w:rsidR="000E19BF">
        <w:rPr>
          <w:rFonts w:eastAsiaTheme="minorEastAsia"/>
          <w:color w:val="000000"/>
        </w:rPr>
        <w:t xml:space="preserve">1. </w:t>
      </w:r>
      <w:r w:rsidRPr="00C10351">
        <w:rPr>
          <w:rFonts w:eastAsiaTheme="minorEastAsia"/>
          <w:color w:val="000000"/>
        </w:rPr>
        <w:t xml:space="preserve">produce an analytical profile </w:t>
      </w:r>
      <w:r w:rsidR="002C7794">
        <w:rPr>
          <w:rFonts w:eastAsiaTheme="minorEastAsia"/>
          <w:color w:val="000000"/>
        </w:rPr>
        <w:t xml:space="preserve">for </w:t>
      </w:r>
      <w:r w:rsidRPr="00C10351">
        <w:rPr>
          <w:rFonts w:eastAsiaTheme="minorEastAsia"/>
          <w:color w:val="000000"/>
        </w:rPr>
        <w:t>novel LSD derivatives</w:t>
      </w:r>
      <w:r>
        <w:rPr>
          <w:rFonts w:eastAsiaTheme="minorEastAsia"/>
          <w:color w:val="000000"/>
        </w:rPr>
        <w:t xml:space="preserve"> (found in 8 papers)</w:t>
      </w:r>
      <w:r w:rsidR="000E19BF">
        <w:rPr>
          <w:rFonts w:eastAsiaTheme="minorEastAsia"/>
          <w:b/>
          <w:bCs/>
          <w:color w:val="000000"/>
        </w:rPr>
        <w:t>;</w:t>
      </w:r>
      <w:r w:rsidR="000E19BF">
        <w:rPr>
          <w:rFonts w:eastAsiaTheme="minorEastAsia"/>
          <w:color w:val="000000"/>
        </w:rPr>
        <w:t xml:space="preserve"> </w:t>
      </w:r>
      <w:r w:rsidRPr="00491C26">
        <w:rPr>
          <w:rFonts w:eastAsiaTheme="minorEastAsia"/>
          <w:color w:val="000000"/>
        </w:rPr>
        <w:t>2</w:t>
      </w:r>
      <w:r w:rsidR="000E19BF">
        <w:rPr>
          <w:rFonts w:eastAsiaTheme="minorEastAsia"/>
          <w:color w:val="000000"/>
        </w:rPr>
        <w:t>.</w:t>
      </w:r>
      <w:r>
        <w:rPr>
          <w:rFonts w:eastAsiaTheme="minorEastAsia"/>
          <w:b/>
          <w:bCs/>
          <w:color w:val="000000"/>
        </w:rPr>
        <w:t xml:space="preserve"> </w:t>
      </w:r>
      <w:r w:rsidRPr="00C10351">
        <w:rPr>
          <w:rFonts w:eastAsiaTheme="minorEastAsia"/>
          <w:color w:val="000000"/>
        </w:rPr>
        <w:t xml:space="preserve">identify </w:t>
      </w:r>
      <w:r>
        <w:rPr>
          <w:rFonts w:eastAsiaTheme="minorEastAsia"/>
          <w:color w:val="000000"/>
        </w:rPr>
        <w:t>psychedelic molecules</w:t>
      </w:r>
      <w:r w:rsidRPr="00C10351">
        <w:rPr>
          <w:rFonts w:eastAsiaTheme="minorEastAsia"/>
          <w:color w:val="000000"/>
        </w:rPr>
        <w:t xml:space="preserve"> in natural </w:t>
      </w:r>
      <w:r>
        <w:rPr>
          <w:rFonts w:eastAsiaTheme="minorEastAsia"/>
          <w:color w:val="000000"/>
        </w:rPr>
        <w:t>materials (found in 7 papers)</w:t>
      </w:r>
      <w:r w:rsidR="000E19BF">
        <w:rPr>
          <w:rFonts w:eastAsiaTheme="minorEastAsia"/>
          <w:color w:val="000000"/>
        </w:rPr>
        <w:t xml:space="preserve">; </w:t>
      </w:r>
      <w:r>
        <w:rPr>
          <w:rFonts w:eastAsiaTheme="minorEastAsia"/>
          <w:color w:val="000000"/>
        </w:rPr>
        <w:t>3</w:t>
      </w:r>
      <w:r w:rsidR="000E19BF">
        <w:rPr>
          <w:rFonts w:eastAsiaTheme="minorEastAsia"/>
          <w:color w:val="000000"/>
        </w:rPr>
        <w:t>.</w:t>
      </w:r>
      <w:r>
        <w:rPr>
          <w:rFonts w:eastAsiaTheme="minorEastAsia"/>
          <w:color w:val="000000"/>
        </w:rPr>
        <w:t xml:space="preserve"> </w:t>
      </w:r>
      <w:r w:rsidRPr="00C10351">
        <w:rPr>
          <w:rFonts w:eastAsiaTheme="minorEastAsia"/>
          <w:color w:val="000000"/>
        </w:rPr>
        <w:t xml:space="preserve">investigate </w:t>
      </w:r>
      <w:r>
        <w:rPr>
          <w:rFonts w:eastAsiaTheme="minorEastAsia"/>
          <w:color w:val="000000"/>
        </w:rPr>
        <w:t>metabolites related to the</w:t>
      </w:r>
      <w:r w:rsidRPr="00C10351">
        <w:rPr>
          <w:rFonts w:eastAsiaTheme="minorEastAsia"/>
          <w:color w:val="000000"/>
        </w:rPr>
        <w:t xml:space="preserve"> </w:t>
      </w:r>
      <w:proofErr w:type="spellStart"/>
      <w:r w:rsidRPr="00C10351">
        <w:rPr>
          <w:rFonts w:eastAsiaTheme="minorEastAsia"/>
          <w:color w:val="000000"/>
        </w:rPr>
        <w:t>psilocybe</w:t>
      </w:r>
      <w:proofErr w:type="spellEnd"/>
      <w:r w:rsidRPr="00C10351">
        <w:rPr>
          <w:rFonts w:eastAsiaTheme="minorEastAsia"/>
          <w:color w:val="000000"/>
        </w:rPr>
        <w:t xml:space="preserve"> mushroom </w:t>
      </w:r>
      <w:r>
        <w:rPr>
          <w:rFonts w:eastAsiaTheme="minorEastAsia"/>
          <w:color w:val="000000"/>
        </w:rPr>
        <w:t>(found in 3 papers) and 4</w:t>
      </w:r>
      <w:r w:rsidR="000E19BF">
        <w:rPr>
          <w:rFonts w:eastAsiaTheme="minorEastAsia"/>
          <w:color w:val="000000"/>
        </w:rPr>
        <w:t>.</w:t>
      </w:r>
      <w:r>
        <w:rPr>
          <w:rFonts w:eastAsiaTheme="minorEastAsia"/>
          <w:color w:val="000000"/>
        </w:rPr>
        <w:t xml:space="preserve"> </w:t>
      </w:r>
      <w:r w:rsidRPr="00C10351">
        <w:rPr>
          <w:rFonts w:eastAsiaTheme="minorEastAsia"/>
          <w:color w:val="000000"/>
        </w:rPr>
        <w:t>analytically characterise psychedelic molecules in their salt form</w:t>
      </w:r>
      <w:r>
        <w:rPr>
          <w:rFonts w:eastAsiaTheme="minorEastAsia"/>
          <w:color w:val="000000"/>
        </w:rPr>
        <w:t xml:space="preserve"> (found in 2 papers). </w:t>
      </w:r>
    </w:p>
    <w:p w14:paraId="379AC380" w14:textId="77777777" w:rsidR="002C7794" w:rsidRDefault="002C7794" w:rsidP="00E50706">
      <w:pPr>
        <w:rPr>
          <w:rFonts w:eastAsiaTheme="minorEastAsia"/>
          <w:b/>
          <w:bCs/>
          <w:color w:val="000000"/>
        </w:rPr>
      </w:pPr>
    </w:p>
    <w:p w14:paraId="6333D821" w14:textId="77777777" w:rsidR="00E50706" w:rsidRDefault="00E50706" w:rsidP="00E50706">
      <w:pPr>
        <w:rPr>
          <w:b/>
          <w:bCs/>
          <w:color w:val="000000" w:themeColor="text1"/>
          <w:shd w:val="clear" w:color="auto" w:fill="FFFFFF"/>
          <w:vertAlign w:val="superscript"/>
        </w:rPr>
      </w:pPr>
    </w:p>
    <w:p w14:paraId="08587221" w14:textId="3A7986C4" w:rsidR="00744931" w:rsidRDefault="00744931" w:rsidP="00E50706">
      <w:pPr>
        <w:rPr>
          <w:rFonts w:eastAsiaTheme="minorEastAsia"/>
          <w:b/>
          <w:bCs/>
          <w:color w:val="000000"/>
        </w:rPr>
      </w:pPr>
      <w:r w:rsidRPr="00C10351">
        <w:rPr>
          <w:b/>
          <w:bCs/>
          <w:color w:val="000000" w:themeColor="text1"/>
          <w:shd w:val="clear" w:color="auto" w:fill="FFFFFF"/>
          <w:vertAlign w:val="superscript"/>
        </w:rPr>
        <w:lastRenderedPageBreak/>
        <w:t>1</w:t>
      </w:r>
      <w:r w:rsidRPr="00C10351">
        <w:rPr>
          <w:b/>
          <w:bCs/>
          <w:color w:val="000000" w:themeColor="text1"/>
          <w:shd w:val="clear" w:color="auto" w:fill="FFFFFF"/>
        </w:rPr>
        <w:t>H</w:t>
      </w:r>
      <w:r w:rsidRPr="00C10351">
        <w:rPr>
          <w:b/>
          <w:bCs/>
          <w:vertAlign w:val="superscript"/>
        </w:rPr>
        <w:t xml:space="preserve"> </w:t>
      </w:r>
      <w:r w:rsidRPr="00C10351">
        <w:rPr>
          <w:rFonts w:eastAsiaTheme="minorEastAsia"/>
          <w:b/>
          <w:bCs/>
          <w:color w:val="000000"/>
        </w:rPr>
        <w:t xml:space="preserve">NMR can </w:t>
      </w:r>
      <w:r w:rsidR="002C7794">
        <w:rPr>
          <w:rFonts w:eastAsiaTheme="minorEastAsia"/>
          <w:b/>
          <w:bCs/>
          <w:color w:val="000000"/>
        </w:rPr>
        <w:t>produce an analytical profile for</w:t>
      </w:r>
      <w:r w:rsidRPr="00C10351">
        <w:rPr>
          <w:rFonts w:eastAsiaTheme="minorEastAsia"/>
          <w:b/>
          <w:bCs/>
          <w:color w:val="000000"/>
        </w:rPr>
        <w:t xml:space="preserve"> novel LSD derivatives</w:t>
      </w:r>
      <w:proofErr w:type="gramStart"/>
      <w:r w:rsidRPr="00C10351">
        <w:rPr>
          <w:rFonts w:eastAsiaTheme="minorEastAsia"/>
          <w:b/>
          <w:bCs/>
          <w:color w:val="000000"/>
        </w:rPr>
        <w:t xml:space="preserve">.  </w:t>
      </w:r>
      <w:proofErr w:type="gramEnd"/>
    </w:p>
    <w:p w14:paraId="7E12C18B" w14:textId="77777777" w:rsidR="00C10351" w:rsidRDefault="00C10351" w:rsidP="00E50706">
      <w:pPr>
        <w:rPr>
          <w:rFonts w:eastAsiaTheme="minorEastAsia"/>
          <w:b/>
          <w:bCs/>
          <w:color w:val="000000"/>
        </w:rPr>
      </w:pPr>
    </w:p>
    <w:p w14:paraId="53DEC67A" w14:textId="2BBA905C" w:rsidR="008911EE" w:rsidRDefault="00EE6B1B" w:rsidP="00E50706">
      <w:pPr>
        <w:rPr>
          <w:rFonts w:eastAsiaTheme="minorEastAsia"/>
          <w:color w:val="000000" w:themeColor="text1"/>
        </w:rPr>
      </w:pPr>
      <w:r w:rsidRPr="009D224F">
        <w:rPr>
          <w:rFonts w:eastAsiaTheme="minorEastAsia"/>
          <w:color w:val="000000" w:themeColor="text1"/>
        </w:rPr>
        <w:t>LSD derivatives and pheny</w:t>
      </w:r>
      <w:r w:rsidR="002461C1" w:rsidRPr="009D224F">
        <w:rPr>
          <w:rFonts w:eastAsiaTheme="minorEastAsia"/>
          <w:color w:val="000000" w:themeColor="text1"/>
        </w:rPr>
        <w:t>l</w:t>
      </w:r>
      <w:r w:rsidRPr="009D224F">
        <w:rPr>
          <w:rFonts w:eastAsiaTheme="minorEastAsia"/>
          <w:color w:val="000000" w:themeColor="text1"/>
        </w:rPr>
        <w:t>ethylamines</w:t>
      </w:r>
      <w:r w:rsidR="008A1739" w:rsidRPr="009D224F">
        <w:rPr>
          <w:rFonts w:eastAsiaTheme="minorEastAsia"/>
          <w:color w:val="000000" w:themeColor="text1"/>
        </w:rPr>
        <w:t xml:space="preserve"> contribute</w:t>
      </w:r>
      <w:r w:rsidR="007D7870" w:rsidRPr="009D224F">
        <w:rPr>
          <w:rFonts w:eastAsiaTheme="minorEastAsia"/>
          <w:color w:val="000000" w:themeColor="text1"/>
        </w:rPr>
        <w:t xml:space="preserve"> to</w:t>
      </w:r>
      <w:r w:rsidR="008A1739" w:rsidRPr="009D224F">
        <w:rPr>
          <w:rFonts w:eastAsiaTheme="minorEastAsia"/>
          <w:color w:val="000000" w:themeColor="text1"/>
        </w:rPr>
        <w:t xml:space="preserve"> the growing </w:t>
      </w:r>
      <w:r w:rsidR="002C668A" w:rsidRPr="009D224F">
        <w:rPr>
          <w:rFonts w:eastAsiaTheme="minorEastAsia"/>
          <w:color w:val="000000" w:themeColor="text1"/>
        </w:rPr>
        <w:t xml:space="preserve">collection </w:t>
      </w:r>
      <w:r w:rsidR="008A1739" w:rsidRPr="009D224F">
        <w:rPr>
          <w:rFonts w:eastAsiaTheme="minorEastAsia"/>
          <w:color w:val="000000" w:themeColor="text1"/>
        </w:rPr>
        <w:t>of NPSs that</w:t>
      </w:r>
      <w:r w:rsidR="002C668A" w:rsidRPr="009D224F">
        <w:rPr>
          <w:rFonts w:eastAsiaTheme="minorEastAsia"/>
          <w:color w:val="000000" w:themeColor="text1"/>
        </w:rPr>
        <w:t xml:space="preserve"> are being synthesised</w:t>
      </w:r>
      <w:r w:rsidRPr="009D224F">
        <w:rPr>
          <w:rFonts w:eastAsiaTheme="minorEastAsia"/>
          <w:color w:val="000000" w:themeColor="text1"/>
        </w:rPr>
        <w:t xml:space="preserve"> </w:t>
      </w:r>
      <w:r w:rsidR="00617FCD" w:rsidRPr="009D224F">
        <w:rPr>
          <w:rFonts w:eastAsiaTheme="minorEastAsia"/>
          <w:color w:val="000000" w:themeColor="text1"/>
        </w:rPr>
        <w:t xml:space="preserve">and sold </w:t>
      </w:r>
      <w:r w:rsidRPr="009D224F">
        <w:rPr>
          <w:rFonts w:eastAsiaTheme="minorEastAsia"/>
          <w:color w:val="000000" w:themeColor="text1"/>
        </w:rPr>
        <w:t>in the UK</w:t>
      </w:r>
      <w:r w:rsidR="000554BD">
        <w:rPr>
          <w:rFonts w:eastAsiaTheme="minorEastAsia"/>
          <w:color w:val="000000" w:themeColor="text1"/>
        </w:rPr>
        <w:t xml:space="preserve"> </w:t>
      </w:r>
      <w:r w:rsidR="002461C1" w:rsidRPr="009D224F">
        <w:rPr>
          <w:rFonts w:eastAsiaTheme="minorEastAsia"/>
          <w:color w:val="000000" w:themeColor="text1"/>
        </w:rPr>
        <w:fldChar w:fldCharType="begin" w:fldLock="1"/>
      </w:r>
      <w:r w:rsidR="00112529">
        <w:rPr>
          <w:rFonts w:eastAsiaTheme="minorEastAsia"/>
          <w:color w:val="000000" w:themeColor="text1"/>
        </w:rPr>
        <w:instrText>ADDIN CSL_CITATION {"citationItems":[{"id":"ITEM-1","itemData":{"DOI":"10.1016/j.forsciint.2016.08.013","ISSN":"18726283","PMID":"27552699","abstract":"The purpose of this review is to identify emerging or new psychoactive substances (NPS) by undertaking an online survey of the UK NPS market and to gather any data from online drug forums and published literature. Drugs from four main classes of NPS were identified: psychostimulants, dissociative anaesthetics, hallucinogens (phenylalkylamine-based and lysergamide-based materials) and finally benzodiazepines. For inclusion in the review, the ‘user reviewers’ on drugs forums were selected based on whether or not the particular NPS of interest was used alone or in combination. NPS that were used alone were considered. Each of the classes contained drugs that are modelled on existing illegal materials and will be covered by the UK New Psychoactive Substances Bill in 2016.","author":[{"dropping-particle":"","family":"Beharry","given":"Shruti","non-dropping-particle":"","parse-names":false,"suffix":""},{"dropping-particle":"","family":"Gibbons","given":"Simon","non-dropping-particle":"","parse-names":false,"suffix":""}],"container-title":"Forensic Science International","id":"ITEM-1","issued":{"date-parts":[["2016","10","1"]]},"page":"25-34","publisher":"Elsevier Ireland Ltd","title":"An overview of emerging and new psychoactive substances in the United Kingdom","type":"article","volume":"267"},"uris":["http://www.mendeley.com/documents/?uuid=cfc6bb9c-5538-39cf-be8f-9f9405b143b6"]}],"mendeley":{"formattedCitation":"(121)","plainTextFormattedCitation":"(121)","previouslyFormattedCitation":"(121)"},"properties":{"noteIndex":0},"schema":"https://github.com/citation-style-language/schema/raw/master/csl-citation.json"}</w:instrText>
      </w:r>
      <w:r w:rsidR="002461C1" w:rsidRPr="009D224F">
        <w:rPr>
          <w:rFonts w:eastAsiaTheme="minorEastAsia"/>
          <w:color w:val="000000" w:themeColor="text1"/>
        </w:rPr>
        <w:fldChar w:fldCharType="separate"/>
      </w:r>
      <w:r w:rsidR="00133B53" w:rsidRPr="00133B53">
        <w:rPr>
          <w:rFonts w:eastAsiaTheme="minorEastAsia"/>
          <w:noProof/>
          <w:color w:val="000000" w:themeColor="text1"/>
        </w:rPr>
        <w:t>(121)</w:t>
      </w:r>
      <w:r w:rsidR="002461C1" w:rsidRPr="009D224F">
        <w:rPr>
          <w:rFonts w:eastAsiaTheme="minorEastAsia"/>
          <w:color w:val="000000" w:themeColor="text1"/>
        </w:rPr>
        <w:fldChar w:fldCharType="end"/>
      </w:r>
      <w:r w:rsidR="008A1739" w:rsidRPr="009D224F">
        <w:rPr>
          <w:rFonts w:eastAsiaTheme="minorEastAsia"/>
          <w:color w:val="000000" w:themeColor="text1"/>
        </w:rPr>
        <w:t>. The</w:t>
      </w:r>
      <w:r w:rsidR="002C668A" w:rsidRPr="009D224F">
        <w:rPr>
          <w:rFonts w:eastAsiaTheme="minorEastAsia"/>
          <w:color w:val="000000" w:themeColor="text1"/>
        </w:rPr>
        <w:t xml:space="preserve"> high</w:t>
      </w:r>
      <w:r w:rsidR="008A1739" w:rsidRPr="009D224F">
        <w:rPr>
          <w:rFonts w:eastAsiaTheme="minorEastAsia"/>
          <w:color w:val="000000" w:themeColor="text1"/>
        </w:rPr>
        <w:t xml:space="preserve"> number of </w:t>
      </w:r>
      <w:r w:rsidR="007D7870" w:rsidRPr="009D224F">
        <w:rPr>
          <w:rFonts w:eastAsiaTheme="minorEastAsia"/>
          <w:color w:val="000000" w:themeColor="text1"/>
        </w:rPr>
        <w:t xml:space="preserve">existing </w:t>
      </w:r>
      <w:r w:rsidR="008A1739" w:rsidRPr="009D224F">
        <w:rPr>
          <w:rFonts w:eastAsiaTheme="minorEastAsia"/>
          <w:color w:val="000000" w:themeColor="text1"/>
        </w:rPr>
        <w:t>LSD derivatives</w:t>
      </w:r>
      <w:r w:rsidR="002461C1" w:rsidRPr="009D224F">
        <w:rPr>
          <w:rFonts w:eastAsiaTheme="minorEastAsia"/>
          <w:color w:val="000000" w:themeColor="text1"/>
        </w:rPr>
        <w:fldChar w:fldCharType="begin" w:fldLock="1"/>
      </w:r>
      <w:r w:rsidR="00966577">
        <w:rPr>
          <w:rFonts w:eastAsiaTheme="minorEastAsia"/>
          <w:color w:val="000000" w:themeColor="text1"/>
        </w:rPr>
        <w:instrText>ADDIN CSL_CITATION {"citationItems":[{"id":"ITEM-1","itemData":{"ISBN":"0-9630096-9-9","author":[{"dropping-particle":"","family":"Shulgin","given":"Alexander","non-dropping-particle":"","parse-names":false,"suffix":""},{"dropping-particle":"","family":"Shulgin","given":"Ann","non-dropping-particle":"","parse-names":false,"suffix":""}],"edition":"1st","editor":[{"dropping-particle":"","family":"Joy","given":"Dan","non-dropping-particle":"","parse-names":false,"suffix":""}],"id":"ITEM-1","issued":{"date-parts":[["1997"]]},"publisher":"Transform Press","publisher-place":"Berkley, California, U.S.","title":"TiHKAL: The Continuation","type":"book"},"uris":["http://www.mendeley.com/documents/?uuid=d08090d8-a9ab-486c-a939-5af38457cadf"]}],"mendeley":{"formattedCitation":"(61)","plainTextFormattedCitation":"(61)","previouslyFormattedCitation":"(61)"},"properties":{"noteIndex":0},"schema":"https://github.com/citation-style-language/schema/raw/master/csl-citation.json"}</w:instrText>
      </w:r>
      <w:r w:rsidR="002461C1" w:rsidRPr="009D224F">
        <w:rPr>
          <w:rFonts w:eastAsiaTheme="minorEastAsia"/>
          <w:color w:val="000000" w:themeColor="text1"/>
        </w:rPr>
        <w:fldChar w:fldCharType="separate"/>
      </w:r>
      <w:r w:rsidR="007B4533" w:rsidRPr="007B4533">
        <w:rPr>
          <w:rFonts w:eastAsiaTheme="minorEastAsia"/>
          <w:noProof/>
          <w:color w:val="000000" w:themeColor="text1"/>
        </w:rPr>
        <w:t>(61)</w:t>
      </w:r>
      <w:r w:rsidR="002461C1" w:rsidRPr="009D224F">
        <w:rPr>
          <w:rFonts w:eastAsiaTheme="minorEastAsia"/>
          <w:color w:val="000000" w:themeColor="text1"/>
        </w:rPr>
        <w:fldChar w:fldCharType="end"/>
      </w:r>
      <w:r w:rsidR="002461C1" w:rsidRPr="009D224F">
        <w:rPr>
          <w:rFonts w:eastAsiaTheme="minorEastAsia"/>
          <w:color w:val="000000" w:themeColor="text1"/>
        </w:rPr>
        <w:t xml:space="preserve"> </w:t>
      </w:r>
      <w:r w:rsidR="002C668A" w:rsidRPr="009D224F">
        <w:rPr>
          <w:rFonts w:eastAsiaTheme="minorEastAsia"/>
          <w:color w:val="000000" w:themeColor="text1"/>
        </w:rPr>
        <w:t>can</w:t>
      </w:r>
      <w:r w:rsidR="008A1739" w:rsidRPr="009D224F">
        <w:rPr>
          <w:rFonts w:eastAsiaTheme="minorEastAsia"/>
          <w:color w:val="000000" w:themeColor="text1"/>
        </w:rPr>
        <w:t xml:space="preserve"> often m</w:t>
      </w:r>
      <w:r w:rsidR="002C668A" w:rsidRPr="009D224F">
        <w:rPr>
          <w:rFonts w:eastAsiaTheme="minorEastAsia"/>
          <w:color w:val="000000" w:themeColor="text1"/>
        </w:rPr>
        <w:t xml:space="preserve">ean that </w:t>
      </w:r>
      <w:r w:rsidR="007D7870" w:rsidRPr="009D224F">
        <w:rPr>
          <w:rFonts w:eastAsiaTheme="minorEastAsia"/>
          <w:color w:val="000000" w:themeColor="text1"/>
        </w:rPr>
        <w:t xml:space="preserve">many of these molecules never undergo </w:t>
      </w:r>
      <w:r w:rsidR="008A1739" w:rsidRPr="009D224F">
        <w:rPr>
          <w:rFonts w:eastAsiaTheme="minorEastAsia"/>
          <w:color w:val="000000" w:themeColor="text1"/>
        </w:rPr>
        <w:t>extensive</w:t>
      </w:r>
      <w:r w:rsidR="000723CF" w:rsidRPr="009D224F">
        <w:rPr>
          <w:rFonts w:eastAsiaTheme="minorEastAsia"/>
          <w:color w:val="000000" w:themeColor="text1"/>
        </w:rPr>
        <w:t xml:space="preserve"> research</w:t>
      </w:r>
      <w:r w:rsidR="002C668A" w:rsidRPr="009D224F">
        <w:rPr>
          <w:rFonts w:eastAsiaTheme="minorEastAsia"/>
          <w:color w:val="000000" w:themeColor="text1"/>
        </w:rPr>
        <w:t xml:space="preserve">; </w:t>
      </w:r>
      <w:r w:rsidR="000723CF" w:rsidRPr="009D224F">
        <w:rPr>
          <w:rFonts w:eastAsiaTheme="minorEastAsia"/>
          <w:color w:val="000000" w:themeColor="text1"/>
        </w:rPr>
        <w:t>there is typically a lack of analytical data</w:t>
      </w:r>
      <w:r w:rsidR="002C668A" w:rsidRPr="009D224F">
        <w:rPr>
          <w:rFonts w:eastAsiaTheme="minorEastAsia"/>
          <w:color w:val="000000" w:themeColor="text1"/>
        </w:rPr>
        <w:t xml:space="preserve"> on NPSs</w:t>
      </w:r>
      <w:r w:rsidR="000723CF" w:rsidRPr="009D224F">
        <w:rPr>
          <w:rFonts w:eastAsiaTheme="minorEastAsia"/>
          <w:color w:val="000000" w:themeColor="text1"/>
        </w:rPr>
        <w:t xml:space="preserve"> and understanding of their mechanisms. </w:t>
      </w:r>
      <w:r w:rsidR="008A1739" w:rsidRPr="009D224F">
        <w:rPr>
          <w:rFonts w:eastAsiaTheme="minorEastAsia"/>
          <w:color w:val="000000" w:themeColor="text1"/>
        </w:rPr>
        <w:t xml:space="preserve">This therefore presents a unique application of </w:t>
      </w:r>
      <w:r w:rsidR="008A1739" w:rsidRPr="009D224F">
        <w:rPr>
          <w:color w:val="000000" w:themeColor="text1"/>
          <w:shd w:val="clear" w:color="auto" w:fill="FFFFFF"/>
          <w:vertAlign w:val="superscript"/>
        </w:rPr>
        <w:t>1</w:t>
      </w:r>
      <w:r w:rsidR="008A1739" w:rsidRPr="009D224F">
        <w:rPr>
          <w:color w:val="000000" w:themeColor="text1"/>
          <w:shd w:val="clear" w:color="auto" w:fill="FFFFFF"/>
        </w:rPr>
        <w:t>H</w:t>
      </w:r>
      <w:r w:rsidR="008A1739" w:rsidRPr="009D224F">
        <w:rPr>
          <w:color w:val="000000" w:themeColor="text1"/>
          <w:vertAlign w:val="superscript"/>
        </w:rPr>
        <w:t xml:space="preserve"> </w:t>
      </w:r>
      <w:r w:rsidR="008A1739" w:rsidRPr="009D224F">
        <w:rPr>
          <w:rFonts w:eastAsiaTheme="minorEastAsia"/>
          <w:color w:val="000000" w:themeColor="text1"/>
        </w:rPr>
        <w:t xml:space="preserve">NMR in </w:t>
      </w:r>
      <w:r w:rsidR="00E0689E" w:rsidRPr="009D224F">
        <w:rPr>
          <w:rFonts w:eastAsiaTheme="minorEastAsia"/>
          <w:color w:val="000000" w:themeColor="text1"/>
        </w:rPr>
        <w:t>psychedelic research</w:t>
      </w:r>
      <w:r w:rsidR="008A1739" w:rsidRPr="009D224F">
        <w:rPr>
          <w:rFonts w:eastAsiaTheme="minorEastAsia"/>
          <w:color w:val="000000" w:themeColor="text1"/>
        </w:rPr>
        <w:t xml:space="preserve">. </w:t>
      </w:r>
      <w:r w:rsidR="008A1739" w:rsidRPr="009D224F">
        <w:rPr>
          <w:color w:val="000000" w:themeColor="text1"/>
          <w:shd w:val="clear" w:color="auto" w:fill="FFFFFF"/>
          <w:vertAlign w:val="superscript"/>
        </w:rPr>
        <w:t>1</w:t>
      </w:r>
      <w:r w:rsidR="008A1739" w:rsidRPr="009D224F">
        <w:rPr>
          <w:color w:val="000000" w:themeColor="text1"/>
          <w:shd w:val="clear" w:color="auto" w:fill="FFFFFF"/>
        </w:rPr>
        <w:t>H</w:t>
      </w:r>
      <w:r w:rsidR="008A1739" w:rsidRPr="009D224F">
        <w:rPr>
          <w:color w:val="000000" w:themeColor="text1"/>
          <w:vertAlign w:val="superscript"/>
        </w:rPr>
        <w:t xml:space="preserve"> </w:t>
      </w:r>
      <w:r w:rsidR="008A1739" w:rsidRPr="009D224F">
        <w:rPr>
          <w:rFonts w:eastAsiaTheme="minorEastAsia"/>
          <w:color w:val="000000" w:themeColor="text1"/>
        </w:rPr>
        <w:t>NMR</w:t>
      </w:r>
      <w:r w:rsidR="00E0689E" w:rsidRPr="009D224F">
        <w:rPr>
          <w:rFonts w:eastAsiaTheme="minorEastAsia"/>
          <w:color w:val="000000" w:themeColor="text1"/>
        </w:rPr>
        <w:t xml:space="preserve"> investigat</w:t>
      </w:r>
      <w:r w:rsidR="008A1739" w:rsidRPr="009D224F">
        <w:rPr>
          <w:rFonts w:eastAsiaTheme="minorEastAsia"/>
          <w:color w:val="000000" w:themeColor="text1"/>
        </w:rPr>
        <w:t>es</w:t>
      </w:r>
      <w:r w:rsidR="00E0689E" w:rsidRPr="009D224F">
        <w:rPr>
          <w:rFonts w:eastAsiaTheme="minorEastAsia"/>
          <w:color w:val="000000" w:themeColor="text1"/>
        </w:rPr>
        <w:t xml:space="preserve"> these </w:t>
      </w:r>
      <w:r w:rsidR="002C668A" w:rsidRPr="009D224F">
        <w:rPr>
          <w:rFonts w:eastAsiaTheme="minorEastAsia"/>
          <w:color w:val="000000" w:themeColor="text1"/>
        </w:rPr>
        <w:t xml:space="preserve">LSD derivatives </w:t>
      </w:r>
      <w:r w:rsidR="00E0689E" w:rsidRPr="009D224F">
        <w:rPr>
          <w:rFonts w:eastAsiaTheme="minorEastAsia"/>
          <w:color w:val="000000" w:themeColor="text1"/>
        </w:rPr>
        <w:t xml:space="preserve">as research chemicals </w:t>
      </w:r>
      <w:r w:rsidR="008A1739" w:rsidRPr="009D224F">
        <w:rPr>
          <w:rFonts w:eastAsiaTheme="minorEastAsia"/>
          <w:color w:val="000000" w:themeColor="text1"/>
        </w:rPr>
        <w:t xml:space="preserve">to determine </w:t>
      </w:r>
      <w:r w:rsidR="00E0689E" w:rsidRPr="009D224F">
        <w:rPr>
          <w:rFonts w:eastAsiaTheme="minorEastAsia"/>
          <w:color w:val="000000" w:themeColor="text1"/>
        </w:rPr>
        <w:t xml:space="preserve">analytically characterisation, biological </w:t>
      </w:r>
      <w:proofErr w:type="gramStart"/>
      <w:r w:rsidR="00E0689E" w:rsidRPr="009D224F">
        <w:rPr>
          <w:rFonts w:eastAsiaTheme="minorEastAsia"/>
          <w:color w:val="000000" w:themeColor="text1"/>
        </w:rPr>
        <w:t>characterisation</w:t>
      </w:r>
      <w:proofErr w:type="gramEnd"/>
      <w:r w:rsidR="00E0689E" w:rsidRPr="009D224F">
        <w:rPr>
          <w:rFonts w:eastAsiaTheme="minorEastAsia"/>
          <w:color w:val="000000" w:themeColor="text1"/>
        </w:rPr>
        <w:t xml:space="preserve"> and drug safety. </w:t>
      </w:r>
      <w:r w:rsidR="006A529A">
        <w:rPr>
          <w:rFonts w:eastAsiaTheme="minorEastAsia"/>
          <w:color w:val="000000" w:themeColor="text1"/>
        </w:rPr>
        <w:t>In this review,</w:t>
      </w:r>
      <w:r w:rsidR="00905BE3" w:rsidRPr="009D224F">
        <w:rPr>
          <w:rFonts w:eastAsiaTheme="minorEastAsia"/>
          <w:color w:val="000000" w:themeColor="text1"/>
        </w:rPr>
        <w:t xml:space="preserve"> </w:t>
      </w:r>
      <w:proofErr w:type="gramStart"/>
      <w:r w:rsidR="00905BE3" w:rsidRPr="009D224F">
        <w:rPr>
          <w:rFonts w:eastAsiaTheme="minorEastAsia"/>
          <w:color w:val="000000" w:themeColor="text1"/>
        </w:rPr>
        <w:t>the majority of</w:t>
      </w:r>
      <w:proofErr w:type="gramEnd"/>
      <w:r w:rsidR="00905BE3" w:rsidRPr="009D224F">
        <w:rPr>
          <w:rFonts w:eastAsiaTheme="minorEastAsia"/>
          <w:color w:val="000000" w:themeColor="text1"/>
        </w:rPr>
        <w:t xml:space="preserve"> research </w:t>
      </w:r>
      <w:r w:rsidR="00E0689E" w:rsidRPr="009D224F">
        <w:rPr>
          <w:rFonts w:eastAsiaTheme="minorEastAsia"/>
          <w:color w:val="000000" w:themeColor="text1"/>
        </w:rPr>
        <w:t xml:space="preserve">into </w:t>
      </w:r>
      <w:r w:rsidR="00C50687">
        <w:rPr>
          <w:rFonts w:eastAsiaTheme="minorEastAsia"/>
          <w:color w:val="000000" w:themeColor="text1"/>
        </w:rPr>
        <w:t xml:space="preserve">LSD-derived </w:t>
      </w:r>
      <w:r w:rsidR="00E0689E" w:rsidRPr="009D224F">
        <w:rPr>
          <w:rFonts w:eastAsiaTheme="minorEastAsia"/>
          <w:color w:val="000000" w:themeColor="text1"/>
        </w:rPr>
        <w:t>NPS</w:t>
      </w:r>
      <w:r w:rsidR="002A5AF4">
        <w:rPr>
          <w:rFonts w:eastAsiaTheme="minorEastAsia"/>
          <w:color w:val="000000" w:themeColor="text1"/>
        </w:rPr>
        <w:t>s</w:t>
      </w:r>
      <w:r w:rsidR="00E0689E" w:rsidRPr="009D224F">
        <w:rPr>
          <w:rFonts w:eastAsiaTheme="minorEastAsia"/>
          <w:color w:val="000000" w:themeColor="text1"/>
        </w:rPr>
        <w:t xml:space="preserve"> </w:t>
      </w:r>
      <w:r w:rsidR="00905BE3" w:rsidRPr="009D224F">
        <w:rPr>
          <w:rFonts w:eastAsiaTheme="minorEastAsia"/>
          <w:color w:val="000000" w:themeColor="text1"/>
        </w:rPr>
        <w:t xml:space="preserve">has been led by Brandt </w:t>
      </w:r>
      <w:r w:rsidR="00466C08" w:rsidRPr="009D224F">
        <w:rPr>
          <w:rFonts w:eastAsiaTheme="minorEastAsia"/>
          <w:color w:val="000000" w:themeColor="text1"/>
        </w:rPr>
        <w:t>and colleagues.</w:t>
      </w:r>
      <w:r w:rsidR="0097037A" w:rsidRPr="009D224F">
        <w:rPr>
          <w:rFonts w:eastAsiaTheme="minorEastAsia"/>
          <w:color w:val="000000" w:themeColor="text1"/>
        </w:rPr>
        <w:t xml:space="preserve"> Combining all their studies,</w:t>
      </w:r>
      <w:r w:rsidR="005C176E" w:rsidRPr="009D224F">
        <w:rPr>
          <w:color w:val="000000" w:themeColor="text1"/>
          <w:shd w:val="clear" w:color="auto" w:fill="FFFFFF"/>
          <w:vertAlign w:val="superscript"/>
        </w:rPr>
        <w:t xml:space="preserve"> </w:t>
      </w:r>
      <w:r w:rsidR="00744931" w:rsidRPr="009D224F">
        <w:rPr>
          <w:color w:val="000000" w:themeColor="text1"/>
          <w:shd w:val="clear" w:color="auto" w:fill="FFFFFF"/>
          <w:vertAlign w:val="superscript"/>
        </w:rPr>
        <w:t>1</w:t>
      </w:r>
      <w:r w:rsidR="00744931" w:rsidRPr="009D224F">
        <w:rPr>
          <w:color w:val="000000" w:themeColor="text1"/>
          <w:shd w:val="clear" w:color="auto" w:fill="FFFFFF"/>
        </w:rPr>
        <w:t>H</w:t>
      </w:r>
      <w:r w:rsidR="00744931" w:rsidRPr="009D224F">
        <w:rPr>
          <w:color w:val="000000" w:themeColor="text1"/>
          <w:vertAlign w:val="superscript"/>
        </w:rPr>
        <w:t xml:space="preserve"> </w:t>
      </w:r>
      <w:r w:rsidR="00744931" w:rsidRPr="009D224F">
        <w:rPr>
          <w:rFonts w:eastAsiaTheme="minorEastAsia"/>
          <w:color w:val="000000" w:themeColor="text1"/>
        </w:rPr>
        <w:t>NMR</w:t>
      </w:r>
      <w:r w:rsidR="005C176E" w:rsidRPr="009D224F">
        <w:rPr>
          <w:rFonts w:eastAsiaTheme="minorEastAsia"/>
          <w:color w:val="000000" w:themeColor="text1"/>
        </w:rPr>
        <w:t xml:space="preserve"> </w:t>
      </w:r>
      <w:r w:rsidR="00744931" w:rsidRPr="009D224F">
        <w:rPr>
          <w:rFonts w:eastAsiaTheme="minorEastAsia"/>
          <w:color w:val="000000" w:themeColor="text1"/>
        </w:rPr>
        <w:t>was used to</w:t>
      </w:r>
      <w:r w:rsidR="0097037A" w:rsidRPr="009D224F">
        <w:rPr>
          <w:rFonts w:eastAsiaTheme="minorEastAsia"/>
          <w:color w:val="000000" w:themeColor="text1"/>
        </w:rPr>
        <w:t xml:space="preserve"> structurally elucidate and </w:t>
      </w:r>
      <w:r w:rsidR="00744931" w:rsidRPr="009D224F">
        <w:rPr>
          <w:rFonts w:eastAsiaTheme="minorEastAsia"/>
          <w:color w:val="000000" w:themeColor="text1"/>
        </w:rPr>
        <w:t xml:space="preserve">characterise </w:t>
      </w:r>
      <w:r w:rsidR="0097037A" w:rsidRPr="009D224F">
        <w:rPr>
          <w:rFonts w:eastAsiaTheme="minorEastAsia"/>
          <w:color w:val="000000" w:themeColor="text1"/>
        </w:rPr>
        <w:t>nine LSD analogues</w:t>
      </w:r>
      <w:r w:rsidR="00C76A85">
        <w:rPr>
          <w:rFonts w:eastAsiaTheme="minorEastAsia"/>
          <w:color w:val="000000" w:themeColor="text1"/>
        </w:rPr>
        <w:t xml:space="preserve">. </w:t>
      </w:r>
      <w:r w:rsidR="008A75C8" w:rsidRPr="009D224F">
        <w:rPr>
          <w:rFonts w:eastAsiaTheme="minorEastAsia"/>
          <w:color w:val="000000" w:themeColor="text1"/>
        </w:rPr>
        <w:t xml:space="preserve">These papers successfully created analytical profiles for each </w:t>
      </w:r>
      <w:r w:rsidR="00637D87" w:rsidRPr="009D224F">
        <w:rPr>
          <w:rFonts w:eastAsiaTheme="minorEastAsia"/>
          <w:color w:val="000000" w:themeColor="text1"/>
        </w:rPr>
        <w:t>drug,</w:t>
      </w:r>
      <w:r w:rsidR="00AC46E8" w:rsidRPr="009D224F">
        <w:rPr>
          <w:rFonts w:eastAsiaTheme="minorEastAsia"/>
          <w:color w:val="000000" w:themeColor="text1"/>
        </w:rPr>
        <w:t xml:space="preserve"> and these can serve as </w:t>
      </w:r>
      <w:r w:rsidR="008A75C8" w:rsidRPr="009D224F">
        <w:rPr>
          <w:rFonts w:eastAsiaTheme="minorEastAsia"/>
          <w:color w:val="000000" w:themeColor="text1"/>
        </w:rPr>
        <w:t>a source of reference</w:t>
      </w:r>
      <w:r w:rsidR="00AC46E8" w:rsidRPr="009D224F">
        <w:rPr>
          <w:rFonts w:eastAsiaTheme="minorEastAsia"/>
          <w:color w:val="000000" w:themeColor="text1"/>
        </w:rPr>
        <w:t xml:space="preserve"> for</w:t>
      </w:r>
      <w:r w:rsidR="008A75C8" w:rsidRPr="009D224F">
        <w:rPr>
          <w:rFonts w:eastAsiaTheme="minorEastAsia"/>
          <w:color w:val="000000" w:themeColor="text1"/>
        </w:rPr>
        <w:t xml:space="preserve"> any future research</w:t>
      </w:r>
      <w:r w:rsidR="00AC46E8" w:rsidRPr="009D224F">
        <w:rPr>
          <w:rFonts w:eastAsiaTheme="minorEastAsia"/>
          <w:color w:val="000000" w:themeColor="text1"/>
        </w:rPr>
        <w:t xml:space="preserve"> groups</w:t>
      </w:r>
      <w:r w:rsidR="008A75C8" w:rsidRPr="009D224F">
        <w:rPr>
          <w:rFonts w:eastAsiaTheme="minorEastAsia"/>
          <w:color w:val="000000" w:themeColor="text1"/>
        </w:rPr>
        <w:t xml:space="preserve"> that desire to investigate </w:t>
      </w:r>
      <w:r w:rsidR="00C76A85">
        <w:rPr>
          <w:rFonts w:eastAsiaTheme="minorEastAsia"/>
          <w:color w:val="000000" w:themeColor="text1"/>
        </w:rPr>
        <w:t>them</w:t>
      </w:r>
      <w:r w:rsidR="008A75C8" w:rsidRPr="009D224F">
        <w:rPr>
          <w:rFonts w:eastAsiaTheme="minorEastAsia"/>
          <w:color w:val="000000" w:themeColor="text1"/>
        </w:rPr>
        <w:t xml:space="preserve">. A real strength of the work conducted by Brandt and colleagues is that </w:t>
      </w:r>
      <w:r w:rsidR="00AC46E8" w:rsidRPr="009D224F">
        <w:rPr>
          <w:rFonts w:eastAsiaTheme="minorEastAsia"/>
          <w:color w:val="000000" w:themeColor="text1"/>
        </w:rPr>
        <w:t>they</w:t>
      </w:r>
      <w:r w:rsidR="008A75C8" w:rsidRPr="009D224F">
        <w:rPr>
          <w:rFonts w:eastAsiaTheme="minorEastAsia"/>
          <w:color w:val="000000" w:themeColor="text1"/>
        </w:rPr>
        <w:t xml:space="preserve"> used a wide variety of analytical tools, </w:t>
      </w:r>
      <w:r w:rsidR="00BC5D33">
        <w:rPr>
          <w:rFonts w:eastAsiaTheme="minorEastAsia"/>
          <w:color w:val="000000" w:themeColor="text1"/>
        </w:rPr>
        <w:t xml:space="preserve">and </w:t>
      </w:r>
      <w:r w:rsidR="008A75C8" w:rsidRPr="009D224F">
        <w:rPr>
          <w:rFonts w:eastAsiaTheme="minorEastAsia"/>
          <w:color w:val="000000" w:themeColor="text1"/>
        </w:rPr>
        <w:t xml:space="preserve">it was not just limited to </w:t>
      </w:r>
      <w:r w:rsidR="008A75C8" w:rsidRPr="009D224F">
        <w:rPr>
          <w:color w:val="000000" w:themeColor="text1"/>
          <w:shd w:val="clear" w:color="auto" w:fill="FFFFFF"/>
          <w:vertAlign w:val="superscript"/>
        </w:rPr>
        <w:t>1</w:t>
      </w:r>
      <w:r w:rsidR="008A75C8" w:rsidRPr="009D224F">
        <w:rPr>
          <w:color w:val="000000" w:themeColor="text1"/>
          <w:shd w:val="clear" w:color="auto" w:fill="FFFFFF"/>
        </w:rPr>
        <w:t>H</w:t>
      </w:r>
      <w:r w:rsidR="008A75C8" w:rsidRPr="009D224F">
        <w:rPr>
          <w:color w:val="000000" w:themeColor="text1"/>
          <w:vertAlign w:val="superscript"/>
        </w:rPr>
        <w:t xml:space="preserve"> </w:t>
      </w:r>
      <w:r w:rsidR="008A75C8" w:rsidRPr="009D224F">
        <w:rPr>
          <w:rFonts w:eastAsiaTheme="minorEastAsia"/>
          <w:color w:val="000000" w:themeColor="text1"/>
        </w:rPr>
        <w:t>NMR or MS</w:t>
      </w:r>
      <w:r w:rsidR="00BC5D33">
        <w:rPr>
          <w:rFonts w:eastAsiaTheme="minorEastAsia"/>
          <w:color w:val="000000" w:themeColor="text1"/>
        </w:rPr>
        <w:t xml:space="preserve">. </w:t>
      </w:r>
      <w:r w:rsidR="008A75C8" w:rsidRPr="009D224F">
        <w:rPr>
          <w:rFonts w:eastAsiaTheme="minorEastAsia"/>
          <w:color w:val="000000" w:themeColor="text1"/>
        </w:rPr>
        <w:t xml:space="preserve">This provides a more holistic </w:t>
      </w:r>
      <w:r w:rsidR="00725FFC" w:rsidRPr="009D224F">
        <w:rPr>
          <w:rFonts w:eastAsiaTheme="minorEastAsia"/>
          <w:color w:val="000000" w:themeColor="text1"/>
        </w:rPr>
        <w:t xml:space="preserve">profile </w:t>
      </w:r>
      <w:r w:rsidR="008A75C8" w:rsidRPr="009D224F">
        <w:rPr>
          <w:rFonts w:eastAsiaTheme="minorEastAsia"/>
          <w:color w:val="000000" w:themeColor="text1"/>
        </w:rPr>
        <w:t xml:space="preserve">of the molecules and provides more analytical data than if it were just one spectroscopic method used. </w:t>
      </w:r>
    </w:p>
    <w:p w14:paraId="51BDC361" w14:textId="77777777" w:rsidR="00C76A85" w:rsidRDefault="00C76A85" w:rsidP="00E50706">
      <w:pPr>
        <w:rPr>
          <w:rFonts w:eastAsiaTheme="minorEastAsia"/>
          <w:color w:val="000000" w:themeColor="text1"/>
        </w:rPr>
      </w:pPr>
    </w:p>
    <w:p w14:paraId="703BAC2E" w14:textId="57710DAC" w:rsidR="005C7E76" w:rsidRDefault="008911EE" w:rsidP="00E50706">
      <w:pPr>
        <w:rPr>
          <w:rFonts w:eastAsiaTheme="minorEastAsia"/>
          <w:color w:val="000000" w:themeColor="text1"/>
        </w:rPr>
      </w:pPr>
      <w:r>
        <w:rPr>
          <w:rFonts w:eastAsiaTheme="minorEastAsia"/>
          <w:color w:val="000000" w:themeColor="text1"/>
        </w:rPr>
        <w:t>Another</w:t>
      </w:r>
      <w:r w:rsidR="008A75C8" w:rsidRPr="009D224F">
        <w:rPr>
          <w:rFonts w:eastAsiaTheme="minorEastAsia"/>
          <w:color w:val="000000" w:themeColor="text1"/>
        </w:rPr>
        <w:t xml:space="preserve"> </w:t>
      </w:r>
      <w:r w:rsidR="00C50687">
        <w:rPr>
          <w:rFonts w:eastAsiaTheme="minorEastAsia"/>
          <w:color w:val="000000" w:themeColor="text1"/>
        </w:rPr>
        <w:t>interesting</w:t>
      </w:r>
      <w:r w:rsidR="008A75C8" w:rsidRPr="009D224F">
        <w:rPr>
          <w:rFonts w:eastAsiaTheme="minorEastAsia"/>
          <w:color w:val="000000" w:themeColor="text1"/>
        </w:rPr>
        <w:t xml:space="preserve"> aspect of the </w:t>
      </w:r>
      <w:r w:rsidR="00317861">
        <w:rPr>
          <w:rFonts w:eastAsiaTheme="minorEastAsia"/>
          <w:color w:val="000000" w:themeColor="text1"/>
        </w:rPr>
        <w:t>B</w:t>
      </w:r>
      <w:r w:rsidR="00317861" w:rsidRPr="009D224F">
        <w:rPr>
          <w:rFonts w:eastAsiaTheme="minorEastAsia"/>
          <w:color w:val="000000" w:themeColor="text1"/>
        </w:rPr>
        <w:t xml:space="preserve">randt </w:t>
      </w:r>
      <w:r w:rsidR="00317861" w:rsidRPr="00317861">
        <w:rPr>
          <w:rFonts w:eastAsiaTheme="minorEastAsia"/>
          <w:i/>
          <w:iCs/>
          <w:color w:val="000000" w:themeColor="text1"/>
        </w:rPr>
        <w:t>et al.</w:t>
      </w:r>
      <w:r w:rsidR="00317861" w:rsidRPr="009D224F">
        <w:rPr>
          <w:rFonts w:eastAsiaTheme="minorEastAsia"/>
          <w:color w:val="000000" w:themeColor="text1"/>
        </w:rPr>
        <w:t xml:space="preserve"> </w:t>
      </w:r>
      <w:r w:rsidR="008A75C8" w:rsidRPr="009D224F">
        <w:rPr>
          <w:rFonts w:eastAsiaTheme="minorEastAsia"/>
          <w:color w:val="000000" w:themeColor="text1"/>
        </w:rPr>
        <w:t>papers</w:t>
      </w:r>
      <w:r w:rsidR="00A93954">
        <w:rPr>
          <w:rFonts w:eastAsiaTheme="minorEastAsia"/>
          <w:color w:val="000000" w:themeColor="text1"/>
        </w:rPr>
        <w:t xml:space="preserve"> included in this review</w:t>
      </w:r>
      <w:r w:rsidR="008A75C8" w:rsidRPr="009D224F">
        <w:rPr>
          <w:rFonts w:eastAsiaTheme="minorEastAsia"/>
          <w:color w:val="000000" w:themeColor="text1"/>
        </w:rPr>
        <w:t xml:space="preserve"> was that the NPSs were administered to genetically modified </w:t>
      </w:r>
      <w:r w:rsidR="008A75C8" w:rsidRPr="009D224F">
        <w:t xml:space="preserve">C57BL/6 J mice to investigate their biological response. One limitation of animal </w:t>
      </w:r>
      <w:r w:rsidR="008A75C8" w:rsidRPr="00EF3E06">
        <w:t>model</w:t>
      </w:r>
      <w:r w:rsidR="008A75C8" w:rsidRPr="009D224F">
        <w:t xml:space="preserve"> studies</w:t>
      </w:r>
      <w:r w:rsidR="002A5AF4">
        <w:t xml:space="preserve"> in psychedelic research</w:t>
      </w:r>
      <w:r w:rsidR="008A75C8" w:rsidRPr="009D224F">
        <w:t xml:space="preserve"> is that the psychological effects of psychedelic molecules are hard to determine when the subject cannot express their psychological </w:t>
      </w:r>
      <w:r w:rsidR="002C668A" w:rsidRPr="009D224F">
        <w:t>experience</w:t>
      </w:r>
      <w:r w:rsidR="008A75C8" w:rsidRPr="009D224F">
        <w:t xml:space="preserve"> to the researchers</w:t>
      </w:r>
      <w:r w:rsidR="002C7794">
        <w:t>. T</w:t>
      </w:r>
      <w:r w:rsidR="008A75C8" w:rsidRPr="009D224F">
        <w:t>herefore</w:t>
      </w:r>
      <w:r w:rsidR="002C7794">
        <w:t>,</w:t>
      </w:r>
      <w:r w:rsidR="008A75C8" w:rsidRPr="009D224F">
        <w:t xml:space="preserve"> </w:t>
      </w:r>
      <w:r w:rsidR="006A529A">
        <w:t xml:space="preserve">the </w:t>
      </w:r>
      <w:r w:rsidR="008A75C8" w:rsidRPr="009D224F">
        <w:rPr>
          <w:rFonts w:eastAsiaTheme="minorEastAsia"/>
          <w:color w:val="000000" w:themeColor="text1"/>
        </w:rPr>
        <w:t>Brandt and colleagues relied on the behavioural response of the mice through HTR</w:t>
      </w:r>
      <w:r w:rsidR="00A93954">
        <w:rPr>
          <w:rFonts w:eastAsiaTheme="minorEastAsia"/>
          <w:color w:val="000000" w:themeColor="text1"/>
        </w:rPr>
        <w:t xml:space="preserve"> that indicates the activation of the </w:t>
      </w:r>
      <w:r w:rsidR="00A93954" w:rsidRPr="009D224F">
        <w:t>5-HT</w:t>
      </w:r>
      <w:r w:rsidR="00A93954" w:rsidRPr="009D224F">
        <w:rPr>
          <w:vertAlign w:val="subscript"/>
        </w:rPr>
        <w:t>2A</w:t>
      </w:r>
      <w:r w:rsidR="00A93954" w:rsidRPr="009D224F">
        <w:t xml:space="preserve"> receptor</w:t>
      </w:r>
      <w:r w:rsidR="00A93954">
        <w:t>s is causing a hallucinogenic effect</w:t>
      </w:r>
      <w:r w:rsidR="008A75C8" w:rsidRPr="009D224F">
        <w:rPr>
          <w:rFonts w:eastAsiaTheme="minorEastAsia"/>
          <w:color w:val="000000" w:themeColor="text1"/>
        </w:rPr>
        <w:t>.</w:t>
      </w:r>
      <w:r w:rsidR="008A7EE6">
        <w:rPr>
          <w:rFonts w:eastAsiaTheme="minorEastAsia"/>
          <w:color w:val="000000" w:themeColor="text1"/>
        </w:rPr>
        <w:t xml:space="preserve"> It is known that</w:t>
      </w:r>
      <w:r w:rsidR="008A75C8" w:rsidRPr="009D224F">
        <w:rPr>
          <w:rFonts w:eastAsiaTheme="minorEastAsia"/>
          <w:color w:val="000000" w:themeColor="text1"/>
        </w:rPr>
        <w:t xml:space="preserve"> LSD typically causes increased HTR in mice</w:t>
      </w:r>
      <w:r w:rsidR="00A93954">
        <w:rPr>
          <w:rFonts w:eastAsiaTheme="minorEastAsia"/>
          <w:color w:val="000000" w:themeColor="text1"/>
        </w:rPr>
        <w:fldChar w:fldCharType="begin" w:fldLock="1"/>
      </w:r>
      <w:r w:rsidR="00112529">
        <w:rPr>
          <w:rFonts w:eastAsiaTheme="minorEastAsia"/>
          <w:color w:val="000000" w:themeColor="text1"/>
        </w:rPr>
        <w:instrText>ADDIN CSL_CITATION {"citationItems":[{"id":"ITEM-1","itemData":{"DOI":"10.1007/s00213-013-3006-z","ISSN":"00333158","abstract":"Rationale: The head-twitch response (HTR) is a rapid side-to-side rotational head movement that occurs in rats and mice after administration of serotonergic hallucinogens and other 5-HT2A agonists. The HTR is widely used as a behavioral assay for 5-HT2A activation and to probe for interactions between the 5-HT2A receptor and other transmitter systems. Objective: High-speed video recordings were used to analyze the head movement that occurs during head twitches in C57BL/6J mice. Experiments were also conducted in C57BL/6J mice to determine whether a head-mounted magnet and a magnetometer coil could be used to detect the HTR induced by serotonergic hallucinations based on the dynamics of the response. Results: Head movement during the HTR was highly rhythmic and occurred within a specific frequency range (mean head movement frequency of 90.3 Hz). Head twitches produced wave-like oscillations of magnetometer coil voltage that matched the frequency of head movement during the response. The magnetometer coil detected the HTR induced by the serotonergic hallucinogens 2,5-dimethoxy-4-iodoamphetamine (DOI; 0.25, 0.5, and 1.0 mg/kg, i.p.) and lysergic acid diethylamide (LSD; 0.05, 0.1, 0.2, and 0.4 mg/kg, i.p.) with extremely high sensitivity and specificity. Magnetometer coil recordings demonstrated that the non-hallucinogenic compounds (+)-amphetamine (2.5 and 5.0 mg/kg, i.p.) and lisuride (0.8, 1.6, and 3.2 mg/kg, i.p.) did not induce the HTR. Conclusions: These studies confirm that a magnetometer coil can be used to detect the HTR induced by hallucinogens. The use of magnetometer-based HTR detection provides a high-throughput, semi-automated assay for this behavior, and offers several advantages over traditional assessment methods. © 2013 Springer-Verlag Berlin Heidelberg.","author":[{"dropping-particle":"","family":"Halberstadt","given":"Adam L.","non-dropping-particle":"","parse-names":false,"suffix":""},{"dropping-particle":"","family":"Geyer","given":"Mark A.","non-dropping-particle":"","parse-names":false,"suffix":""}],"container-title":"Psychopharmacology","id":"ITEM-1","issue":"4","issued":{"date-parts":[["2013"]]},"title":"Characterization of the head-twitch response induced by hallucinogens in mice: Detection of the behavior based on the dynamics of head movement","type":"article-journal","volume":"227"},"uris":["http://www.mendeley.com/documents/?uuid=d7ea0f1f-3b2a-31bd-af40-dc1ae7f4ce89"]}],"mendeley":{"formattedCitation":"(122)","plainTextFormattedCitation":"(122)","previouslyFormattedCitation":"(122)"},"properties":{"noteIndex":0},"schema":"https://github.com/citation-style-language/schema/raw/master/csl-citation.json"}</w:instrText>
      </w:r>
      <w:r w:rsidR="00A93954">
        <w:rPr>
          <w:rFonts w:eastAsiaTheme="minorEastAsia"/>
          <w:color w:val="000000" w:themeColor="text1"/>
        </w:rPr>
        <w:fldChar w:fldCharType="separate"/>
      </w:r>
      <w:r w:rsidR="00133B53" w:rsidRPr="00133B53">
        <w:rPr>
          <w:rFonts w:eastAsiaTheme="minorEastAsia"/>
          <w:noProof/>
          <w:color w:val="000000" w:themeColor="text1"/>
        </w:rPr>
        <w:t>(122)</w:t>
      </w:r>
      <w:r w:rsidR="00A93954">
        <w:rPr>
          <w:rFonts w:eastAsiaTheme="minorEastAsia"/>
          <w:color w:val="000000" w:themeColor="text1"/>
        </w:rPr>
        <w:fldChar w:fldCharType="end"/>
      </w:r>
      <w:r w:rsidR="00A93954">
        <w:rPr>
          <w:rFonts w:eastAsiaTheme="minorEastAsia"/>
          <w:color w:val="FF0000"/>
        </w:rPr>
        <w:t xml:space="preserve"> </w:t>
      </w:r>
      <w:r w:rsidR="008A75C8" w:rsidRPr="009D224F">
        <w:rPr>
          <w:rFonts w:eastAsiaTheme="minorEastAsia"/>
          <w:color w:val="000000" w:themeColor="text1"/>
        </w:rPr>
        <w:t xml:space="preserve">and these papers confirmed that </w:t>
      </w:r>
      <w:r w:rsidR="00C76A85">
        <w:rPr>
          <w:rFonts w:eastAsiaTheme="minorEastAsia"/>
          <w:color w:val="000000" w:themeColor="text1"/>
        </w:rPr>
        <w:t>most</w:t>
      </w:r>
      <w:r w:rsidR="008A75C8" w:rsidRPr="009D224F">
        <w:rPr>
          <w:rFonts w:eastAsiaTheme="minorEastAsia"/>
          <w:color w:val="000000" w:themeColor="text1"/>
        </w:rPr>
        <w:t xml:space="preserve"> LSD analogues mimicked this result when administered </w:t>
      </w:r>
      <w:r w:rsidR="008A75C8" w:rsidRPr="009D224F">
        <w:rPr>
          <w:rFonts w:eastAsiaTheme="minorEastAsia"/>
          <w:i/>
          <w:iCs/>
          <w:color w:val="000000" w:themeColor="text1"/>
        </w:rPr>
        <w:t>in vivo</w:t>
      </w:r>
      <w:r w:rsidR="008A75C8" w:rsidRPr="009D224F">
        <w:rPr>
          <w:rFonts w:eastAsiaTheme="minorEastAsia"/>
          <w:color w:val="000000" w:themeColor="text1"/>
        </w:rPr>
        <w:t xml:space="preserve"> in mice. Increased HTR response caused by NPS suggest that it has an LSD-like behavioural effect, which</w:t>
      </w:r>
      <w:r w:rsidR="00D87F0A" w:rsidRPr="009D224F">
        <w:rPr>
          <w:rFonts w:eastAsiaTheme="minorEastAsia"/>
          <w:color w:val="000000" w:themeColor="text1"/>
        </w:rPr>
        <w:t xml:space="preserve"> is in accordance with these analogues binding to the </w:t>
      </w:r>
      <w:r w:rsidR="00D87F0A" w:rsidRPr="009D224F">
        <w:t>5-HT</w:t>
      </w:r>
      <w:r w:rsidR="00D87F0A" w:rsidRPr="009D224F">
        <w:rPr>
          <w:vertAlign w:val="subscript"/>
        </w:rPr>
        <w:t>2A</w:t>
      </w:r>
      <w:r w:rsidR="00D87F0A" w:rsidRPr="009D224F">
        <w:t xml:space="preserve"> receptors.</w:t>
      </w:r>
      <w:r w:rsidR="00D87F0A" w:rsidRPr="009D224F">
        <w:rPr>
          <w:rFonts w:eastAsiaTheme="minorEastAsia"/>
          <w:color w:val="000000" w:themeColor="text1"/>
        </w:rPr>
        <w:t xml:space="preserve"> </w:t>
      </w:r>
    </w:p>
    <w:p w14:paraId="62F0072B" w14:textId="77777777" w:rsidR="005C7E76" w:rsidRDefault="005C7E76" w:rsidP="00E50706">
      <w:pPr>
        <w:rPr>
          <w:rFonts w:eastAsiaTheme="minorEastAsia"/>
          <w:color w:val="000000" w:themeColor="text1"/>
        </w:rPr>
      </w:pPr>
    </w:p>
    <w:p w14:paraId="6F618686" w14:textId="73236732" w:rsidR="005C7E76" w:rsidRDefault="00D87F0A" w:rsidP="00E50706">
      <w:pPr>
        <w:rPr>
          <w:rFonts w:eastAsiaTheme="minorEastAsia"/>
          <w:color w:val="000000" w:themeColor="text1"/>
        </w:rPr>
      </w:pPr>
      <w:r w:rsidRPr="009D224F">
        <w:rPr>
          <w:rFonts w:eastAsiaTheme="minorEastAsia"/>
          <w:color w:val="000000" w:themeColor="text1"/>
        </w:rPr>
        <w:t>A limitation of</w:t>
      </w:r>
      <w:r w:rsidR="00492D67">
        <w:rPr>
          <w:rFonts w:eastAsiaTheme="minorEastAsia"/>
          <w:color w:val="000000" w:themeColor="text1"/>
        </w:rPr>
        <w:t xml:space="preserve"> Brandt </w:t>
      </w:r>
      <w:r w:rsidR="00492D67" w:rsidRPr="00E9220C">
        <w:rPr>
          <w:rFonts w:eastAsiaTheme="minorEastAsia"/>
          <w:i/>
          <w:iCs/>
          <w:color w:val="000000" w:themeColor="text1"/>
        </w:rPr>
        <w:t>et al</w:t>
      </w:r>
      <w:r w:rsidRPr="009D224F">
        <w:rPr>
          <w:rFonts w:eastAsiaTheme="minorEastAsia"/>
          <w:color w:val="000000" w:themeColor="text1"/>
        </w:rPr>
        <w:t xml:space="preserve"> studies </w:t>
      </w:r>
      <w:r w:rsidR="006A529A">
        <w:rPr>
          <w:rFonts w:eastAsiaTheme="minorEastAsia"/>
          <w:color w:val="000000" w:themeColor="text1"/>
        </w:rPr>
        <w:t>are</w:t>
      </w:r>
      <w:r w:rsidRPr="009D224F">
        <w:rPr>
          <w:rFonts w:eastAsiaTheme="minorEastAsia"/>
          <w:color w:val="000000" w:themeColor="text1"/>
        </w:rPr>
        <w:t xml:space="preserve"> the lack of research into the metabolic breakdown these substances undergo after administration into the mice. </w:t>
      </w:r>
      <w:r w:rsidR="00E9220C" w:rsidRPr="009D224F">
        <w:rPr>
          <w:rFonts w:eastAsiaTheme="minorEastAsia"/>
          <w:color w:val="000000" w:themeColor="text1"/>
        </w:rPr>
        <w:t>An example of</w:t>
      </w:r>
      <w:r w:rsidR="00C50687">
        <w:rPr>
          <w:rFonts w:eastAsiaTheme="minorEastAsia"/>
          <w:color w:val="000000" w:themeColor="text1"/>
        </w:rPr>
        <w:t xml:space="preserve"> </w:t>
      </w:r>
      <w:r w:rsidR="00086CC5">
        <w:rPr>
          <w:rFonts w:eastAsiaTheme="minorEastAsia"/>
          <w:color w:val="000000" w:themeColor="text1"/>
        </w:rPr>
        <w:t xml:space="preserve">such a </w:t>
      </w:r>
      <w:r w:rsidR="00C50687">
        <w:rPr>
          <w:rFonts w:eastAsiaTheme="minorEastAsia"/>
          <w:color w:val="000000" w:themeColor="text1"/>
        </w:rPr>
        <w:t xml:space="preserve">metabolic analysis </w:t>
      </w:r>
      <w:r w:rsidR="00086CC5">
        <w:rPr>
          <w:rFonts w:eastAsiaTheme="minorEastAsia"/>
          <w:color w:val="000000" w:themeColor="text1"/>
        </w:rPr>
        <w:t xml:space="preserve">can be found </w:t>
      </w:r>
      <w:r w:rsidR="002C7794">
        <w:rPr>
          <w:rFonts w:eastAsiaTheme="minorEastAsia"/>
          <w:color w:val="000000" w:themeColor="text1"/>
        </w:rPr>
        <w:t>in the research</w:t>
      </w:r>
      <w:r w:rsidR="00E9220C" w:rsidRPr="009D224F">
        <w:rPr>
          <w:rFonts w:eastAsiaTheme="minorEastAsia"/>
          <w:color w:val="000000" w:themeColor="text1"/>
        </w:rPr>
        <w:t xml:space="preserve"> </w:t>
      </w:r>
      <w:r w:rsidR="002C7794">
        <w:rPr>
          <w:rFonts w:eastAsiaTheme="minorEastAsia"/>
          <w:color w:val="000000" w:themeColor="text1"/>
        </w:rPr>
        <w:t xml:space="preserve">conducted </w:t>
      </w:r>
      <w:r w:rsidR="00E9220C" w:rsidRPr="009D224F">
        <w:rPr>
          <w:rFonts w:eastAsiaTheme="minorEastAsia"/>
          <w:color w:val="000000" w:themeColor="text1"/>
        </w:rPr>
        <w:t xml:space="preserve">by </w:t>
      </w:r>
      <w:proofErr w:type="spellStart"/>
      <w:r w:rsidR="00E9220C" w:rsidRPr="009D224F">
        <w:rPr>
          <w:rFonts w:eastAsiaTheme="minorEastAsia"/>
          <w:color w:val="000000" w:themeColor="text1"/>
        </w:rPr>
        <w:t>Wagmann</w:t>
      </w:r>
      <w:proofErr w:type="spellEnd"/>
      <w:r w:rsidR="00E9220C" w:rsidRPr="009D224F">
        <w:rPr>
          <w:rFonts w:eastAsiaTheme="minorEastAsia"/>
          <w:color w:val="000000" w:themeColor="text1"/>
        </w:rPr>
        <w:t xml:space="preserve"> </w:t>
      </w:r>
      <w:r w:rsidR="00E9220C" w:rsidRPr="008911EE">
        <w:rPr>
          <w:rFonts w:eastAsiaTheme="minorEastAsia"/>
          <w:i/>
          <w:iCs/>
          <w:color w:val="000000" w:themeColor="text1"/>
        </w:rPr>
        <w:t>et al</w:t>
      </w:r>
      <w:r w:rsidR="00E9220C" w:rsidRPr="009D224F">
        <w:rPr>
          <w:rFonts w:eastAsiaTheme="minorEastAsia"/>
          <w:color w:val="000000" w:themeColor="text1"/>
        </w:rPr>
        <w:t>.</w:t>
      </w:r>
      <w:r w:rsidR="008911EE">
        <w:rPr>
          <w:rFonts w:eastAsiaTheme="minorEastAsia"/>
          <w:color w:val="000000" w:themeColor="text1"/>
        </w:rPr>
        <w:fldChar w:fldCharType="begin" w:fldLock="1"/>
      </w:r>
      <w:r w:rsidR="00112529">
        <w:rPr>
          <w:rFonts w:eastAsiaTheme="minorEastAsia"/>
          <w:color w:val="000000" w:themeColor="text1"/>
        </w:rPr>
        <w:instrText>ADDIN CSL_CITATION {"citationItems":[{"id":"ITEM-1","itemData":{"DOI":"10.1007/s00216-018-1558-9","ISSN":"16182650","PMID":"30617391","abstract":"The market of new psychoactive substances (NPS) is characterized by a high turnover and thus provides several challenges for analytical toxicology. The analysis of urine samples often requires detailed knowledge about metabolism given that parent compounds either may be present only in small amounts or may not even be excreted. Hence, knowledge of the metabolism of NPS is a prerequisite for the development of reliable analytical methods. The main aim of this work was to elucidate for the first time the pooled human liver S9 fraction metabolism of the nine d-lysergic acid diethylamide (LSD) derivatives 1-acetyl-L</w:instrText>
      </w:r>
      <w:r w:rsidR="00112529">
        <w:rPr>
          <w:rFonts w:eastAsiaTheme="minorEastAsia" w:hint="eastAsia"/>
          <w:color w:val="000000" w:themeColor="text1"/>
        </w:rPr>
        <w:instrText>SD (ALD-52), 1-propionyl-LSD (1P-LSD), 1-butyryl-LSD (1B-LSD), N6-ethyl-nor-LSD (ETH-LAD), 1-propionyl-N6-ethyl-nor-LSD (1P-ETH-LAD), N6-allyl-nor-LSD (AL-LAD), N-ethyl-N-cyclopropyl lysergamide (ECPLA), (2</w:instrText>
      </w:r>
      <w:r w:rsidR="00112529">
        <w:rPr>
          <w:rFonts w:eastAsiaTheme="minorEastAsia" w:hint="eastAsia"/>
          <w:color w:val="000000" w:themeColor="text1"/>
        </w:rPr>
        <w:instrText>′</w:instrText>
      </w:r>
      <w:r w:rsidR="00112529">
        <w:rPr>
          <w:rFonts w:eastAsiaTheme="minorEastAsia" w:hint="eastAsia"/>
          <w:color w:val="000000" w:themeColor="text1"/>
        </w:rPr>
        <w:instrText>S,4</w:instrText>
      </w:r>
      <w:r w:rsidR="00112529">
        <w:rPr>
          <w:rFonts w:eastAsiaTheme="minorEastAsia" w:hint="eastAsia"/>
          <w:color w:val="000000" w:themeColor="text1"/>
        </w:rPr>
        <w:instrText>′</w:instrText>
      </w:r>
      <w:r w:rsidR="00112529">
        <w:rPr>
          <w:rFonts w:eastAsiaTheme="minorEastAsia" w:hint="eastAsia"/>
          <w:color w:val="000000" w:themeColor="text1"/>
        </w:rPr>
        <w:instrText>S)-lysergic acid 2,4-dimethylazetidide (LSZ)</w:instrText>
      </w:r>
      <w:r w:rsidR="00112529">
        <w:rPr>
          <w:rFonts w:eastAsiaTheme="minorEastAsia"/>
          <w:color w:val="000000" w:themeColor="text1"/>
        </w:rPr>
        <w:instrText>, and lysergic acid morpholide (LSM-775) by means of liquid chromatography coupled to high-resolution tandem mass spectrometry. Identification of the monooxygenase enzymes involved in the initial metabolic steps was performed using recombinant human enzymes and their contribution confirmed by inhibition experiments. Overall, N-dealkylation and hydroxylation, as well as combinations of these steps predominantly catalyzed by CYP1A2 and CYP3A4, were found. For ALD-52, 1P-LSD, and 1B-LSD, deacylation to LSD was observed. The obtained mass spectral data of all metabolites are essential for reliable analytical detection particularly in urinalysis and for differentiation of the LSD-like compounds as biotransformations also led to structurally identical metabolites. However, in urine of rats after the administration of expected recreational doses and using standard urine screening approaches, parent drugs or metabolites could not be detected.","author":[{"dropping-particle":"","family":"Wagmann","given":"Lea","non-dropping-particle":"","parse-names":false,"suffix":""},{"dropping-particle":"","family":"Richter","given":"Lilian H.J.","non-dropping-particle":"","parse-names":false,"suffix":""},{"dropping-particle":"","family":"Kehl","given":"Tobias","non-dropping-particle":"","parse-names":false,"suffix":""},{"dropping-particle":"","family":"Wack","given":"Franziska","non-dropping-particle":"","parse-names":false,"suffix":""},{"dropping-particle":"","family":"Bergstrand","given":"Madeleine Pettersson","non-dropping-particle":"","parse-names":false,"suffix":""},{"dropping-particle":"","family":"Brandt","given":"Simon D.","non-dropping-particle":"","parse-names":false,"suffix":""},{"dropping-particle":"","family":"Stratford","given":"Alexander","non-dropping-particle":"","parse-names":false,"suffix":""},{"dropping-particle":"","family":"Maurer","given":"Hans H.","non-dropping-particle":"","parse-names":false,"suffix":""},{"dropping-particle":"","family":"Meyer","given":"Markus R.","non-dropping-particle":"","parse-names":false,"suffix":""}],"container-title":"Analytical and Bioanalytical Chemistry","id":"ITEM-1","issue":"19","issued":{"date-parts":[["2019","7","19"]]},"page":"4751-4763","publisher":"Springer Verlag","title":"In vitro metabolic fate of nine LSD-based new psychoactive substances and their analytical detectability in different urinary screening procedures","type":"article-journal","volume":"411"},"uris":["http://www.mendeley.com/documents/?uuid=8b4327cd-338b-3749-a45a-d7ac7c041a00"]}],"mendeley":{"formattedCitation":"(123)","plainTextFormattedCitation":"(123)","previouslyFormattedCitation":"(123)"},"properties":{"noteIndex":0},"schema":"https://github.com/citation-style-language/schema/raw/master/csl-citation.json"}</w:instrText>
      </w:r>
      <w:r w:rsidR="008911EE">
        <w:rPr>
          <w:rFonts w:eastAsiaTheme="minorEastAsia"/>
          <w:color w:val="000000" w:themeColor="text1"/>
        </w:rPr>
        <w:fldChar w:fldCharType="separate"/>
      </w:r>
      <w:r w:rsidR="00133B53" w:rsidRPr="00133B53">
        <w:rPr>
          <w:rFonts w:eastAsiaTheme="minorEastAsia"/>
          <w:noProof/>
          <w:color w:val="000000" w:themeColor="text1"/>
        </w:rPr>
        <w:t>(123)</w:t>
      </w:r>
      <w:r w:rsidR="008911EE">
        <w:rPr>
          <w:rFonts w:eastAsiaTheme="minorEastAsia"/>
          <w:color w:val="000000" w:themeColor="text1"/>
        </w:rPr>
        <w:fldChar w:fldCharType="end"/>
      </w:r>
      <w:r w:rsidR="002C7794">
        <w:rPr>
          <w:rFonts w:eastAsiaTheme="minorEastAsia"/>
          <w:color w:val="000000" w:themeColor="text1"/>
        </w:rPr>
        <w:t xml:space="preserve"> (2019)</w:t>
      </w:r>
      <w:r w:rsidR="00E9220C" w:rsidRPr="009D224F">
        <w:rPr>
          <w:rFonts w:eastAsiaTheme="minorEastAsia"/>
          <w:color w:val="000000" w:themeColor="text1"/>
        </w:rPr>
        <w:t xml:space="preserve"> where nine LSD derivatives were studied; </w:t>
      </w:r>
      <w:r w:rsidR="009D224F" w:rsidRPr="009D224F">
        <w:rPr>
          <w:rFonts w:eastAsiaTheme="minorEastAsia"/>
          <w:color w:val="000000" w:themeColor="text1"/>
        </w:rPr>
        <w:t xml:space="preserve">rats </w:t>
      </w:r>
      <w:r w:rsidR="00E9220C" w:rsidRPr="009D224F">
        <w:rPr>
          <w:rFonts w:eastAsiaTheme="minorEastAsia"/>
          <w:color w:val="000000" w:themeColor="text1"/>
        </w:rPr>
        <w:t xml:space="preserve">were administered </w:t>
      </w:r>
      <w:r w:rsidR="00205FA6">
        <w:rPr>
          <w:rFonts w:eastAsiaTheme="minorEastAsia"/>
          <w:color w:val="000000" w:themeColor="text1"/>
        </w:rPr>
        <w:t>a</w:t>
      </w:r>
      <w:r w:rsidR="00E9220C" w:rsidRPr="009D224F">
        <w:rPr>
          <w:rFonts w:eastAsiaTheme="minorEastAsia"/>
          <w:color w:val="000000" w:themeColor="text1"/>
        </w:rPr>
        <w:t xml:space="preserve"> derivative and their urine was collected. </w:t>
      </w:r>
      <w:r w:rsidR="009D224F" w:rsidRPr="009D224F">
        <w:rPr>
          <w:rFonts w:eastAsiaTheme="minorEastAsia"/>
          <w:color w:val="000000" w:themeColor="text1"/>
        </w:rPr>
        <w:t xml:space="preserve">The rat urine analysis was conducted </w:t>
      </w:r>
      <w:r w:rsidR="002A5AF4">
        <w:rPr>
          <w:rFonts w:eastAsiaTheme="minorEastAsia"/>
          <w:color w:val="000000" w:themeColor="text1"/>
        </w:rPr>
        <w:t>using</w:t>
      </w:r>
      <w:r w:rsidR="009D224F" w:rsidRPr="009D224F">
        <w:rPr>
          <w:color w:val="202124"/>
          <w:shd w:val="clear" w:color="auto" w:fill="FFFFFF"/>
        </w:rPr>
        <w:t> </w:t>
      </w:r>
      <w:r w:rsidR="002A5AF4">
        <w:rPr>
          <w:color w:val="202124"/>
          <w:shd w:val="clear" w:color="auto" w:fill="FFFFFF"/>
        </w:rPr>
        <w:t>LC</w:t>
      </w:r>
      <w:r w:rsidR="002C7794">
        <w:rPr>
          <w:color w:val="202124"/>
          <w:shd w:val="clear" w:color="auto" w:fill="FFFFFF"/>
        </w:rPr>
        <w:t>-</w:t>
      </w:r>
      <w:r w:rsidR="002A5AF4">
        <w:rPr>
          <w:color w:val="202124"/>
          <w:shd w:val="clear" w:color="auto" w:fill="FFFFFF"/>
        </w:rPr>
        <w:t>MS and GC-MS, but despite this urine screening no LSD derivatives or metabolites were detected</w:t>
      </w:r>
      <w:r w:rsidR="002C7794">
        <w:rPr>
          <w:color w:val="202124"/>
          <w:shd w:val="clear" w:color="auto" w:fill="FFFFFF"/>
        </w:rPr>
        <w:t xml:space="preserve"> and this suggest p</w:t>
      </w:r>
      <w:r w:rsidR="002A5AF4">
        <w:rPr>
          <w:color w:val="202124"/>
          <w:shd w:val="clear" w:color="auto" w:fill="FFFFFF"/>
        </w:rPr>
        <w:t>otential improvements could be made to this methodolog</w:t>
      </w:r>
      <w:r w:rsidR="002C7794">
        <w:rPr>
          <w:color w:val="202124"/>
          <w:shd w:val="clear" w:color="auto" w:fill="FFFFFF"/>
        </w:rPr>
        <w:t>y. P</w:t>
      </w:r>
      <w:r w:rsidR="002A5AF4">
        <w:rPr>
          <w:color w:val="202124"/>
          <w:shd w:val="clear" w:color="auto" w:fill="FFFFFF"/>
        </w:rPr>
        <w:t>erhaps t</w:t>
      </w:r>
      <w:r>
        <w:rPr>
          <w:rFonts w:eastAsiaTheme="minorEastAsia"/>
          <w:color w:val="000000" w:themeColor="text1"/>
        </w:rPr>
        <w:t xml:space="preserve">he </w:t>
      </w:r>
      <w:r w:rsidR="00E9220C">
        <w:rPr>
          <w:rFonts w:eastAsiaTheme="minorEastAsia"/>
          <w:color w:val="000000" w:themeColor="text1"/>
        </w:rPr>
        <w:t xml:space="preserve">Brandt </w:t>
      </w:r>
      <w:r w:rsidR="00E9220C" w:rsidRPr="00E9220C">
        <w:rPr>
          <w:rFonts w:eastAsiaTheme="minorEastAsia"/>
          <w:i/>
          <w:iCs/>
          <w:color w:val="000000" w:themeColor="text1"/>
        </w:rPr>
        <w:t>et al.</w:t>
      </w:r>
      <w:r w:rsidR="00E9220C">
        <w:rPr>
          <w:rFonts w:eastAsiaTheme="minorEastAsia"/>
          <w:color w:val="000000" w:themeColor="text1"/>
        </w:rPr>
        <w:t xml:space="preserve"> </w:t>
      </w:r>
      <w:r>
        <w:rPr>
          <w:rFonts w:eastAsiaTheme="minorEastAsia"/>
          <w:color w:val="000000" w:themeColor="text1"/>
        </w:rPr>
        <w:t xml:space="preserve">studies could </w:t>
      </w:r>
      <w:r w:rsidR="002C7794">
        <w:rPr>
          <w:rFonts w:eastAsiaTheme="minorEastAsia"/>
          <w:color w:val="000000" w:themeColor="text1"/>
        </w:rPr>
        <w:t>have incorporated</w:t>
      </w:r>
      <w:r>
        <w:rPr>
          <w:rFonts w:eastAsiaTheme="minorEastAsia"/>
          <w:color w:val="000000" w:themeColor="text1"/>
        </w:rPr>
        <w:t xml:space="preserve"> the collection of the blood plasma of the mice and the analysis of the biofluid through spectroscopic techniques</w:t>
      </w:r>
      <w:r w:rsidR="00725FFC">
        <w:rPr>
          <w:rFonts w:eastAsiaTheme="minorEastAsia"/>
          <w:color w:val="000000" w:themeColor="text1"/>
        </w:rPr>
        <w:t xml:space="preserve"> like </w:t>
      </w:r>
      <w:r w:rsidR="00725FFC" w:rsidRPr="00F00BA9">
        <w:rPr>
          <w:color w:val="000000" w:themeColor="text1"/>
          <w:shd w:val="clear" w:color="auto" w:fill="FFFFFF"/>
          <w:vertAlign w:val="superscript"/>
        </w:rPr>
        <w:t>1</w:t>
      </w:r>
      <w:r w:rsidR="00725FFC" w:rsidRPr="00F00BA9">
        <w:rPr>
          <w:color w:val="000000" w:themeColor="text1"/>
          <w:shd w:val="clear" w:color="auto" w:fill="FFFFFF"/>
        </w:rPr>
        <w:t>H</w:t>
      </w:r>
      <w:r w:rsidR="00725FFC" w:rsidRPr="00F00BA9">
        <w:rPr>
          <w:color w:val="000000" w:themeColor="text1"/>
          <w:vertAlign w:val="superscript"/>
        </w:rPr>
        <w:t xml:space="preserve"> </w:t>
      </w:r>
      <w:r w:rsidR="00725FFC" w:rsidRPr="00F00BA9">
        <w:rPr>
          <w:rFonts w:eastAsiaTheme="minorEastAsia"/>
          <w:color w:val="000000" w:themeColor="text1"/>
        </w:rPr>
        <w:t>NMR</w:t>
      </w:r>
      <w:r w:rsidR="002A5AF4">
        <w:rPr>
          <w:rFonts w:eastAsiaTheme="minorEastAsia"/>
          <w:color w:val="000000" w:themeColor="text1"/>
        </w:rPr>
        <w:t>. T</w:t>
      </w:r>
      <w:r>
        <w:rPr>
          <w:rFonts w:eastAsiaTheme="minorEastAsia"/>
          <w:color w:val="000000" w:themeColor="text1"/>
        </w:rPr>
        <w:t xml:space="preserve">his data could </w:t>
      </w:r>
      <w:r w:rsidR="00086CC5">
        <w:rPr>
          <w:rFonts w:eastAsiaTheme="minorEastAsia"/>
          <w:color w:val="000000" w:themeColor="text1"/>
        </w:rPr>
        <w:t xml:space="preserve">have then been </w:t>
      </w:r>
      <w:r>
        <w:rPr>
          <w:rFonts w:eastAsiaTheme="minorEastAsia"/>
          <w:color w:val="000000" w:themeColor="text1"/>
        </w:rPr>
        <w:t xml:space="preserve">statically </w:t>
      </w:r>
      <w:r w:rsidR="00976AE5">
        <w:rPr>
          <w:rFonts w:eastAsiaTheme="minorEastAsia"/>
          <w:color w:val="000000" w:themeColor="text1"/>
        </w:rPr>
        <w:t>analysed</w:t>
      </w:r>
      <w:r>
        <w:rPr>
          <w:rFonts w:eastAsiaTheme="minorEastAsia"/>
          <w:color w:val="000000" w:themeColor="text1"/>
        </w:rPr>
        <w:t xml:space="preserve"> to determine whether increased concentration of the</w:t>
      </w:r>
      <w:r w:rsidR="00725FFC">
        <w:rPr>
          <w:rFonts w:eastAsiaTheme="minorEastAsia"/>
          <w:color w:val="000000" w:themeColor="text1"/>
        </w:rPr>
        <w:t xml:space="preserve"> psychedelic</w:t>
      </w:r>
      <w:r>
        <w:rPr>
          <w:rFonts w:eastAsiaTheme="minorEastAsia"/>
          <w:color w:val="000000" w:themeColor="text1"/>
        </w:rPr>
        <w:t xml:space="preserve"> molecules in the plasma correlates with increased HTR.</w:t>
      </w:r>
      <w:r w:rsidR="002A5AF4">
        <w:rPr>
          <w:rFonts w:eastAsiaTheme="minorEastAsia"/>
          <w:color w:val="000000" w:themeColor="text1"/>
        </w:rPr>
        <w:t xml:space="preserve"> </w:t>
      </w:r>
      <w:r w:rsidR="00E30044" w:rsidRPr="00A93954">
        <w:rPr>
          <w:rFonts w:eastAsiaTheme="minorEastAsia"/>
          <w:color w:val="000000" w:themeColor="text1"/>
        </w:rPr>
        <w:t xml:space="preserve">If </w:t>
      </w:r>
      <w:r w:rsidR="00A93954" w:rsidRPr="00A93954">
        <w:rPr>
          <w:rFonts w:eastAsiaTheme="minorEastAsia"/>
          <w:color w:val="000000" w:themeColor="text1"/>
        </w:rPr>
        <w:t>a correlation is observed in the</w:t>
      </w:r>
      <w:r w:rsidR="00E30044" w:rsidRPr="00A93954">
        <w:rPr>
          <w:rFonts w:eastAsiaTheme="minorEastAsia"/>
          <w:color w:val="000000" w:themeColor="text1"/>
        </w:rPr>
        <w:t xml:space="preserve"> data,</w:t>
      </w:r>
      <w:r w:rsidR="00E30044">
        <w:rPr>
          <w:rFonts w:eastAsiaTheme="minorEastAsia"/>
          <w:color w:val="000000" w:themeColor="text1"/>
        </w:rPr>
        <w:t xml:space="preserve"> this could be proof of concept for the translation of animal studies into human clinical trials and provide an important source of data.</w:t>
      </w:r>
      <w:r w:rsidR="00086CC5">
        <w:rPr>
          <w:rFonts w:eastAsiaTheme="minorEastAsia"/>
          <w:color w:val="000000" w:themeColor="text1"/>
        </w:rPr>
        <w:t xml:space="preserve"> </w:t>
      </w:r>
      <w:r w:rsidR="00976AE5">
        <w:rPr>
          <w:rFonts w:eastAsiaTheme="minorEastAsia"/>
          <w:color w:val="000000" w:themeColor="text1"/>
        </w:rPr>
        <w:t xml:space="preserve">NPS research would </w:t>
      </w:r>
      <w:r w:rsidR="005511FA">
        <w:rPr>
          <w:rFonts w:eastAsiaTheme="minorEastAsia"/>
          <w:color w:val="000000" w:themeColor="text1"/>
        </w:rPr>
        <w:t>vastly advance if it could</w:t>
      </w:r>
      <w:r w:rsidR="00976AE5">
        <w:rPr>
          <w:rFonts w:eastAsiaTheme="minorEastAsia"/>
          <w:color w:val="000000" w:themeColor="text1"/>
        </w:rPr>
        <w:t xml:space="preserve"> investigate the effect </w:t>
      </w:r>
      <w:r w:rsidR="005511FA">
        <w:rPr>
          <w:rFonts w:eastAsiaTheme="minorEastAsia"/>
          <w:color w:val="000000" w:themeColor="text1"/>
        </w:rPr>
        <w:t>LSD derivatives</w:t>
      </w:r>
      <w:r w:rsidR="00976AE5">
        <w:rPr>
          <w:rFonts w:eastAsiaTheme="minorEastAsia"/>
          <w:color w:val="000000" w:themeColor="text1"/>
        </w:rPr>
        <w:t xml:space="preserve"> on humans in clinical trials. </w:t>
      </w:r>
      <w:r w:rsidR="00BC5D33">
        <w:rPr>
          <w:rFonts w:eastAsiaTheme="minorEastAsia"/>
          <w:color w:val="000000" w:themeColor="text1"/>
        </w:rPr>
        <w:t>However, the</w:t>
      </w:r>
      <w:r w:rsidR="00976AE5">
        <w:rPr>
          <w:rFonts w:eastAsiaTheme="minorEastAsia"/>
          <w:color w:val="000000" w:themeColor="text1"/>
        </w:rPr>
        <w:t xml:space="preserve"> </w:t>
      </w:r>
      <w:r w:rsidR="00EF3E06">
        <w:rPr>
          <w:rFonts w:eastAsiaTheme="minorEastAsia"/>
          <w:color w:val="000000" w:themeColor="text1"/>
        </w:rPr>
        <w:t xml:space="preserve">ethical </w:t>
      </w:r>
      <w:r w:rsidR="00976AE5">
        <w:rPr>
          <w:rFonts w:eastAsiaTheme="minorEastAsia"/>
          <w:color w:val="000000" w:themeColor="text1"/>
        </w:rPr>
        <w:t xml:space="preserve">approval </w:t>
      </w:r>
      <w:r w:rsidR="00EF3E06">
        <w:rPr>
          <w:rFonts w:eastAsiaTheme="minorEastAsia"/>
          <w:color w:val="000000" w:themeColor="text1"/>
        </w:rPr>
        <w:t>to use</w:t>
      </w:r>
      <w:r w:rsidR="00976AE5">
        <w:rPr>
          <w:rFonts w:eastAsiaTheme="minorEastAsia"/>
          <w:color w:val="000000" w:themeColor="text1"/>
        </w:rPr>
        <w:t xml:space="preserve"> novel substances in clinical trials is an extremely meticulous and difficult process </w:t>
      </w:r>
      <w:r w:rsidR="00EF3E06">
        <w:rPr>
          <w:rFonts w:eastAsiaTheme="minorEastAsia"/>
          <w:color w:val="000000" w:themeColor="text1"/>
        </w:rPr>
        <w:t xml:space="preserve">to attain </w:t>
      </w:r>
      <w:r w:rsidR="00976AE5">
        <w:rPr>
          <w:rFonts w:eastAsiaTheme="minorEastAsia"/>
          <w:color w:val="000000" w:themeColor="text1"/>
        </w:rPr>
        <w:t xml:space="preserve">and has to go through years of </w:t>
      </w:r>
      <w:r w:rsidR="00976AE5" w:rsidRPr="005C7E76">
        <w:rPr>
          <w:rFonts w:eastAsiaTheme="minorEastAsia"/>
          <w:color w:val="000000" w:themeColor="text1"/>
        </w:rPr>
        <w:t>safety checks</w:t>
      </w:r>
      <w:r w:rsidR="00976AE5">
        <w:rPr>
          <w:rFonts w:eastAsiaTheme="minorEastAsia"/>
          <w:color w:val="000000" w:themeColor="text1"/>
        </w:rPr>
        <w:t xml:space="preserve"> in animal trials before</w:t>
      </w:r>
      <w:r w:rsidR="00AC46E8">
        <w:rPr>
          <w:rFonts w:eastAsiaTheme="minorEastAsia"/>
          <w:color w:val="000000" w:themeColor="text1"/>
        </w:rPr>
        <w:t xml:space="preserve"> transitioning to human trials</w:t>
      </w:r>
      <w:r w:rsidR="00EF3E06">
        <w:rPr>
          <w:rFonts w:eastAsiaTheme="minorEastAsia"/>
          <w:color w:val="000000" w:themeColor="text1"/>
        </w:rPr>
        <w:fldChar w:fldCharType="begin" w:fldLock="1"/>
      </w:r>
      <w:r w:rsidR="00112529">
        <w:rPr>
          <w:rFonts w:eastAsiaTheme="minorEastAsia"/>
          <w:color w:val="000000" w:themeColor="text1"/>
        </w:rPr>
        <w:instrText>ADDIN CSL_CITATION {"citationItems":[{"id":"ITEM-1","itemData":{"DOI":"10.1017/S0963180115000079","ISSN":"14692147","PMID":"26364776","abstract":"Nonhuman animal (animal) experimentation is typically defended by arguments that it is reliable, that animals provide sufficiently good models of human biology and diseases to yield relevant information, and that, consequently, its use provides major human health benefits. I demonstrate that a growing body of scientific literature critically assessing the validity of animal experimentation generally (and animal modeling specifically) raises important concerns about its reliability and predictive value for human outcomes and for understanding human physiology. The unreliability of animal experimentation across a wide range of areas undermines scientific arguments in favor of the practice. Additionally, I show how animal experimentation often significantly harms humans through misleading safety studies, potential abandonment of effective therapeutics, and direction of resources away from more effective testing methods. The resulting evidence suggests that the collective harms and costs to humans from animal experimentation outweigh potential benefits and that resources would be better invested in developing human-based testing methods.","author":[{"dropping-particle":"","family":"Akhtar","given":"Aysha","non-dropping-particle":"","parse-names":false,"suffix":""}],"container-title":"Cambridge Quarterly of Healthcare Ethics","id":"ITEM-1","issue":"4","issued":{"date-parts":[["2015","9","14"]]},"page":"407-419","publisher":"Cambridge University Press","title":"The Flaws and Human Harms of Animal Experimentation","type":"article-journal","volume":"24"},"uris":["http://www.mendeley.com/documents/?uuid=de9f3863-76c0-3305-954c-36b18dedde62"]},{"id":"ITEM-2","itemData":{"abstract":"Foreword The development of new and better medicines is vital for the public health. A key step in medicines development is the transition from the laboratory to the human subject in a phase 1 clinical trial, when potential new medicines are given to humans for the first time. Phase 1 is the gateway between scientific research and clinical medicine. The phase 1 trial falls within the realm of experimental science, and requires a range of skills and expertise of the highest standard. Confidence in the results depends upon the clarity and understanding of the questions asked, and upon the quality of the trial designed to answer them. However, the safety and well-being of the subjects – whether they be healthy individuals or patients – must always have priority. The translation of advances in the biological sciences into health benefits, via the development of new medicines, is likely to occur at an increasing pace in the coming years. New medicines will be based on progressively refined biological and biochemical insights. There may be no prior experience in humans of many of the new types of medicine that advances in molecular pharmacology should yield. The challenges for phase 1 trials include: finding methods to assess the potency and effectiveness of these new medicines; sharing of safety information; calculation of the starting dose; design of dose-escalation protocols; and, in the interests of the well-being and safety of the subjects, ever-vigilant attention to risk reduction and risk management in the conduct of the trial.","author":[{"dropping-particle":"","family":"The Association of the British Pharmaceutical Industry","given":"","non-dropping-particle":"","parse-names":false,"suffix":""}],"container-title":"Abpi","id":"ITEM-2","issued":{"date-parts":[["2018","5","29"]]},"number-of-pages":"1-49","title":"Guidelines for Phase 1 Clinical Trials 2018 edition","type":"report"},"uris":["http://www.mendeley.com/documents/?uuid=8dbb3c93-82c7-35d8-9ec1-a2f8eec074a5"]}],"mendeley":{"formattedCitation":"(124,125)","plainTextFormattedCitation":"(124,125)","previouslyFormattedCitation":"(124,125)"},"properties":{"noteIndex":0},"schema":"https://github.com/citation-style-language/schema/raw/master/csl-citation.json"}</w:instrText>
      </w:r>
      <w:r w:rsidR="00EF3E06">
        <w:rPr>
          <w:rFonts w:eastAsiaTheme="minorEastAsia"/>
          <w:color w:val="000000" w:themeColor="text1"/>
        </w:rPr>
        <w:fldChar w:fldCharType="separate"/>
      </w:r>
      <w:r w:rsidR="00133B53" w:rsidRPr="00133B53">
        <w:rPr>
          <w:rFonts w:eastAsiaTheme="minorEastAsia"/>
          <w:noProof/>
          <w:color w:val="000000" w:themeColor="text1"/>
        </w:rPr>
        <w:t>(124,125)</w:t>
      </w:r>
      <w:r w:rsidR="00EF3E06">
        <w:rPr>
          <w:rFonts w:eastAsiaTheme="minorEastAsia"/>
          <w:color w:val="000000" w:themeColor="text1"/>
        </w:rPr>
        <w:fldChar w:fldCharType="end"/>
      </w:r>
      <w:r w:rsidR="005C7E76">
        <w:rPr>
          <w:rFonts w:eastAsiaTheme="minorEastAsia"/>
          <w:color w:val="000000" w:themeColor="text1"/>
        </w:rPr>
        <w:t>; this would therefore make the transition of LSD derivatives studies in humans more challenging</w:t>
      </w:r>
      <w:r w:rsidR="00976AE5">
        <w:rPr>
          <w:rFonts w:eastAsiaTheme="minorEastAsia"/>
          <w:color w:val="000000" w:themeColor="text1"/>
        </w:rPr>
        <w:t xml:space="preserve">. </w:t>
      </w:r>
    </w:p>
    <w:p w14:paraId="49AE8C40" w14:textId="77777777" w:rsidR="005C7E76" w:rsidRDefault="005C7E76" w:rsidP="00E50706">
      <w:pPr>
        <w:rPr>
          <w:rFonts w:eastAsiaTheme="minorEastAsia"/>
          <w:color w:val="000000" w:themeColor="text1"/>
        </w:rPr>
      </w:pPr>
    </w:p>
    <w:p w14:paraId="5248AB7B" w14:textId="394695E8" w:rsidR="00E71200" w:rsidRDefault="005C7E76" w:rsidP="00E50706">
      <w:pPr>
        <w:rPr>
          <w:rFonts w:eastAsiaTheme="minorEastAsia"/>
          <w:color w:val="000000" w:themeColor="text1"/>
        </w:rPr>
      </w:pPr>
      <w:r>
        <w:rPr>
          <w:rFonts w:eastAsiaTheme="minorEastAsia"/>
          <w:color w:val="000000" w:themeColor="text1"/>
        </w:rPr>
        <w:lastRenderedPageBreak/>
        <w:t>Overall, t</w:t>
      </w:r>
      <w:r w:rsidR="00976AE5">
        <w:rPr>
          <w:rFonts w:eastAsiaTheme="minorEastAsia"/>
          <w:color w:val="000000" w:themeColor="text1"/>
        </w:rPr>
        <w:t>he analytical profiles that were retrieved for these substances by Brandt and colleagues will be essential data if one of these NPSs ever proceed</w:t>
      </w:r>
      <w:r w:rsidR="00637D87">
        <w:rPr>
          <w:rFonts w:eastAsiaTheme="minorEastAsia"/>
          <w:color w:val="000000" w:themeColor="text1"/>
        </w:rPr>
        <w:t>s</w:t>
      </w:r>
      <w:r w:rsidR="00976AE5">
        <w:rPr>
          <w:rFonts w:eastAsiaTheme="minorEastAsia"/>
          <w:color w:val="000000" w:themeColor="text1"/>
        </w:rPr>
        <w:t xml:space="preserve"> to clinical trials</w:t>
      </w:r>
      <w:r w:rsidR="00AC46E8">
        <w:rPr>
          <w:rFonts w:eastAsiaTheme="minorEastAsia"/>
          <w:color w:val="000000" w:themeColor="text1"/>
        </w:rPr>
        <w:t>. It is necessary in the future to explore the physiological and psychological properties of LSD derivative</w:t>
      </w:r>
      <w:r w:rsidR="00637D87">
        <w:rPr>
          <w:rFonts w:eastAsiaTheme="minorEastAsia"/>
          <w:color w:val="000000" w:themeColor="text1"/>
        </w:rPr>
        <w:t>s</w:t>
      </w:r>
      <w:r w:rsidR="00AC46E8">
        <w:rPr>
          <w:rFonts w:eastAsiaTheme="minorEastAsia"/>
          <w:color w:val="000000" w:themeColor="text1"/>
        </w:rPr>
        <w:t>, as they could be alternatives to the current psychedelic substances being currently investigated.</w:t>
      </w:r>
      <w:r w:rsidR="00725FFC">
        <w:rPr>
          <w:rFonts w:eastAsiaTheme="minorEastAsia"/>
          <w:color w:val="000000" w:themeColor="text1"/>
        </w:rPr>
        <w:t xml:space="preserve"> </w:t>
      </w:r>
      <w:r w:rsidR="002C7794">
        <w:rPr>
          <w:rFonts w:eastAsiaTheme="minorEastAsia"/>
          <w:color w:val="000000" w:themeColor="text1"/>
        </w:rPr>
        <w:t>While</w:t>
      </w:r>
      <w:r w:rsidR="00725FFC">
        <w:rPr>
          <w:rFonts w:eastAsiaTheme="minorEastAsia"/>
          <w:color w:val="000000" w:themeColor="text1"/>
        </w:rPr>
        <w:t xml:space="preserve"> </w:t>
      </w:r>
      <w:r w:rsidR="00725FFC" w:rsidRPr="00F00BA9">
        <w:rPr>
          <w:color w:val="000000" w:themeColor="text1"/>
          <w:shd w:val="clear" w:color="auto" w:fill="FFFFFF"/>
          <w:vertAlign w:val="superscript"/>
        </w:rPr>
        <w:t>1</w:t>
      </w:r>
      <w:r w:rsidR="00725FFC" w:rsidRPr="00F00BA9">
        <w:rPr>
          <w:color w:val="000000" w:themeColor="text1"/>
          <w:shd w:val="clear" w:color="auto" w:fill="FFFFFF"/>
        </w:rPr>
        <w:t>H</w:t>
      </w:r>
      <w:r w:rsidR="00725FFC" w:rsidRPr="00F00BA9">
        <w:rPr>
          <w:color w:val="000000" w:themeColor="text1"/>
          <w:vertAlign w:val="superscript"/>
        </w:rPr>
        <w:t xml:space="preserve"> </w:t>
      </w:r>
      <w:r w:rsidR="00725FFC" w:rsidRPr="00F00BA9">
        <w:rPr>
          <w:rFonts w:eastAsiaTheme="minorEastAsia"/>
          <w:color w:val="000000" w:themeColor="text1"/>
        </w:rPr>
        <w:t>NMR</w:t>
      </w:r>
      <w:r w:rsidR="00725FFC">
        <w:rPr>
          <w:rFonts w:eastAsiaTheme="minorEastAsia"/>
          <w:color w:val="000000" w:themeColor="text1"/>
        </w:rPr>
        <w:t xml:space="preserve"> spectroscopy was not used for metabolic analysis of human biofluids, t</w:t>
      </w:r>
      <w:r w:rsidR="00AC46E8">
        <w:rPr>
          <w:rFonts w:eastAsiaTheme="minorEastAsia"/>
          <w:color w:val="000000" w:themeColor="text1"/>
        </w:rPr>
        <w:t xml:space="preserve">he application of </w:t>
      </w:r>
      <w:r w:rsidR="00AC46E8" w:rsidRPr="00F00BA9">
        <w:rPr>
          <w:color w:val="000000" w:themeColor="text1"/>
          <w:shd w:val="clear" w:color="auto" w:fill="FFFFFF"/>
          <w:vertAlign w:val="superscript"/>
        </w:rPr>
        <w:t>1</w:t>
      </w:r>
      <w:r w:rsidR="00AC46E8" w:rsidRPr="00F00BA9">
        <w:rPr>
          <w:color w:val="000000" w:themeColor="text1"/>
          <w:shd w:val="clear" w:color="auto" w:fill="FFFFFF"/>
        </w:rPr>
        <w:t>H</w:t>
      </w:r>
      <w:r w:rsidR="00AC46E8" w:rsidRPr="00F00BA9">
        <w:rPr>
          <w:color w:val="000000" w:themeColor="text1"/>
          <w:vertAlign w:val="superscript"/>
        </w:rPr>
        <w:t xml:space="preserve"> </w:t>
      </w:r>
      <w:r w:rsidR="00AC46E8" w:rsidRPr="00F00BA9">
        <w:rPr>
          <w:rFonts w:eastAsiaTheme="minorEastAsia"/>
          <w:color w:val="000000" w:themeColor="text1"/>
        </w:rPr>
        <w:t>NMR</w:t>
      </w:r>
      <w:r w:rsidR="00AC46E8">
        <w:rPr>
          <w:rFonts w:eastAsiaTheme="minorEastAsia"/>
          <w:color w:val="000000" w:themeColor="text1"/>
        </w:rPr>
        <w:t xml:space="preserve"> </w:t>
      </w:r>
      <w:r w:rsidR="002C7794">
        <w:rPr>
          <w:rFonts w:eastAsiaTheme="minorEastAsia"/>
          <w:color w:val="000000" w:themeColor="text1"/>
        </w:rPr>
        <w:t xml:space="preserve">in this research </w:t>
      </w:r>
      <w:r w:rsidR="00AC46E8">
        <w:rPr>
          <w:rFonts w:eastAsiaTheme="minorEastAsia"/>
          <w:color w:val="000000" w:themeColor="text1"/>
        </w:rPr>
        <w:t xml:space="preserve">was successful in furthering the understanding of </w:t>
      </w:r>
      <w:r w:rsidR="00725FFC">
        <w:rPr>
          <w:rFonts w:eastAsiaTheme="minorEastAsia"/>
          <w:color w:val="000000" w:themeColor="text1"/>
        </w:rPr>
        <w:t>psychedelic</w:t>
      </w:r>
      <w:r w:rsidR="00AC46E8">
        <w:rPr>
          <w:rFonts w:eastAsiaTheme="minorEastAsia"/>
          <w:color w:val="000000" w:themeColor="text1"/>
        </w:rPr>
        <w:t xml:space="preserve"> molecules </w:t>
      </w:r>
      <w:r w:rsidR="00725FFC">
        <w:rPr>
          <w:rFonts w:eastAsiaTheme="minorEastAsia"/>
          <w:color w:val="000000" w:themeColor="text1"/>
        </w:rPr>
        <w:t>which advances th</w:t>
      </w:r>
      <w:r w:rsidR="002C7794">
        <w:rPr>
          <w:rFonts w:eastAsiaTheme="minorEastAsia"/>
          <w:color w:val="000000" w:themeColor="text1"/>
        </w:rPr>
        <w:t xml:space="preserve">e </w:t>
      </w:r>
      <w:r w:rsidR="008807DB">
        <w:rPr>
          <w:rFonts w:eastAsiaTheme="minorEastAsia"/>
          <w:color w:val="000000" w:themeColor="text1"/>
        </w:rPr>
        <w:t>fiel</w:t>
      </w:r>
      <w:r w:rsidR="002C7794">
        <w:rPr>
          <w:rFonts w:eastAsiaTheme="minorEastAsia"/>
          <w:color w:val="000000" w:themeColor="text1"/>
        </w:rPr>
        <w:t>d.</w:t>
      </w:r>
    </w:p>
    <w:p w14:paraId="2428AE12" w14:textId="77777777" w:rsidR="00C76A85" w:rsidRPr="00C76A85" w:rsidRDefault="00C76A85" w:rsidP="00E50706">
      <w:pPr>
        <w:rPr>
          <w:rFonts w:eastAsiaTheme="minorEastAsia"/>
          <w:color w:val="000000" w:themeColor="text1"/>
        </w:rPr>
      </w:pPr>
    </w:p>
    <w:p w14:paraId="6AA0C344" w14:textId="77777777" w:rsidR="00E50706" w:rsidRDefault="00E50706" w:rsidP="00E50706">
      <w:pPr>
        <w:rPr>
          <w:b/>
          <w:bCs/>
          <w:color w:val="000000" w:themeColor="text1"/>
          <w:shd w:val="clear" w:color="auto" w:fill="FFFFFF"/>
          <w:vertAlign w:val="superscript"/>
        </w:rPr>
      </w:pPr>
    </w:p>
    <w:p w14:paraId="4DB27CDE" w14:textId="56F75C67" w:rsidR="004465EE" w:rsidRDefault="0057130C" w:rsidP="00E50706">
      <w:pPr>
        <w:rPr>
          <w:rFonts w:eastAsiaTheme="minorEastAsia"/>
          <w:b/>
          <w:bCs/>
          <w:color w:val="000000"/>
        </w:rPr>
      </w:pPr>
      <w:r w:rsidRPr="00C64B2F">
        <w:rPr>
          <w:b/>
          <w:bCs/>
          <w:color w:val="000000" w:themeColor="text1"/>
          <w:shd w:val="clear" w:color="auto" w:fill="FFFFFF"/>
          <w:vertAlign w:val="superscript"/>
        </w:rPr>
        <w:t>1</w:t>
      </w:r>
      <w:r w:rsidRPr="00C64B2F">
        <w:rPr>
          <w:b/>
          <w:bCs/>
          <w:color w:val="000000" w:themeColor="text1"/>
          <w:shd w:val="clear" w:color="auto" w:fill="FFFFFF"/>
        </w:rPr>
        <w:t>H</w:t>
      </w:r>
      <w:r w:rsidRPr="00C64B2F">
        <w:rPr>
          <w:b/>
          <w:bCs/>
          <w:vertAlign w:val="superscript"/>
        </w:rPr>
        <w:t xml:space="preserve"> </w:t>
      </w:r>
      <w:r w:rsidRPr="00C64B2F">
        <w:rPr>
          <w:rFonts w:eastAsiaTheme="minorEastAsia"/>
          <w:b/>
          <w:bCs/>
          <w:color w:val="000000"/>
        </w:rPr>
        <w:t xml:space="preserve">NMR can </w:t>
      </w:r>
      <w:r w:rsidR="008022E1">
        <w:rPr>
          <w:rFonts w:eastAsiaTheme="minorEastAsia"/>
          <w:b/>
          <w:bCs/>
          <w:color w:val="000000"/>
        </w:rPr>
        <w:t>identify</w:t>
      </w:r>
      <w:r w:rsidR="00291B30">
        <w:rPr>
          <w:rFonts w:eastAsiaTheme="minorEastAsia"/>
          <w:b/>
          <w:bCs/>
          <w:color w:val="000000"/>
        </w:rPr>
        <w:t xml:space="preserve"> </w:t>
      </w:r>
      <w:r w:rsidR="00C10351">
        <w:rPr>
          <w:rFonts w:eastAsiaTheme="minorEastAsia"/>
          <w:b/>
          <w:bCs/>
          <w:color w:val="000000"/>
        </w:rPr>
        <w:t>psychedelic molecules</w:t>
      </w:r>
      <w:r w:rsidRPr="00C64B2F">
        <w:rPr>
          <w:rFonts w:eastAsiaTheme="minorEastAsia"/>
          <w:b/>
          <w:bCs/>
          <w:color w:val="000000"/>
        </w:rPr>
        <w:t xml:space="preserve"> in </w:t>
      </w:r>
      <w:r w:rsidR="00291B30">
        <w:rPr>
          <w:rFonts w:eastAsiaTheme="minorEastAsia"/>
          <w:b/>
          <w:bCs/>
          <w:color w:val="000000"/>
        </w:rPr>
        <w:t xml:space="preserve">natural </w:t>
      </w:r>
      <w:r w:rsidR="00D56617">
        <w:rPr>
          <w:rFonts w:eastAsiaTheme="minorEastAsia"/>
          <w:b/>
          <w:bCs/>
          <w:color w:val="000000"/>
        </w:rPr>
        <w:t>materials</w:t>
      </w:r>
      <w:r w:rsidR="00F14BAD">
        <w:rPr>
          <w:rFonts w:eastAsiaTheme="minorEastAsia"/>
          <w:b/>
          <w:bCs/>
          <w:color w:val="000000"/>
        </w:rPr>
        <w:t>.</w:t>
      </w:r>
    </w:p>
    <w:p w14:paraId="0C206A60" w14:textId="77777777" w:rsidR="0056513C" w:rsidRPr="004465EE" w:rsidRDefault="0056513C" w:rsidP="00E50706">
      <w:pPr>
        <w:rPr>
          <w:rFonts w:eastAsiaTheme="minorEastAsia"/>
          <w:b/>
          <w:bCs/>
          <w:color w:val="000000"/>
        </w:rPr>
      </w:pPr>
    </w:p>
    <w:p w14:paraId="26493CE9" w14:textId="46C46D5D" w:rsidR="00C50687" w:rsidRDefault="001C3D27" w:rsidP="00E50706">
      <w:pPr>
        <w:rPr>
          <w:color w:val="000000" w:themeColor="text1"/>
        </w:rPr>
      </w:pPr>
      <w:proofErr w:type="gramStart"/>
      <w:r>
        <w:rPr>
          <w:color w:val="000000" w:themeColor="text1"/>
        </w:rPr>
        <w:t xml:space="preserve">A </w:t>
      </w:r>
      <w:r w:rsidR="00A6309D">
        <w:rPr>
          <w:color w:val="000000" w:themeColor="text1"/>
        </w:rPr>
        <w:t>number of</w:t>
      </w:r>
      <w:proofErr w:type="gramEnd"/>
      <w:r w:rsidR="00A6309D">
        <w:rPr>
          <w:color w:val="000000" w:themeColor="text1"/>
        </w:rPr>
        <w:t xml:space="preserve"> </w:t>
      </w:r>
      <w:r>
        <w:rPr>
          <w:color w:val="000000" w:themeColor="text1"/>
        </w:rPr>
        <w:t>classic</w:t>
      </w:r>
      <w:r w:rsidR="00A6309D">
        <w:rPr>
          <w:color w:val="000000" w:themeColor="text1"/>
        </w:rPr>
        <w:t>al</w:t>
      </w:r>
      <w:r>
        <w:rPr>
          <w:color w:val="000000" w:themeColor="text1"/>
        </w:rPr>
        <w:t xml:space="preserve"> example</w:t>
      </w:r>
      <w:r w:rsidR="00A6309D">
        <w:rPr>
          <w:color w:val="000000" w:themeColor="text1"/>
        </w:rPr>
        <w:t>s</w:t>
      </w:r>
      <w:r>
        <w:rPr>
          <w:color w:val="000000" w:themeColor="text1"/>
        </w:rPr>
        <w:t xml:space="preserve"> of natural products chemistry can be observed in the publications included in th</w:t>
      </w:r>
      <w:r w:rsidR="00A847AF">
        <w:rPr>
          <w:color w:val="000000" w:themeColor="text1"/>
        </w:rPr>
        <w:t xml:space="preserve">is </w:t>
      </w:r>
      <w:r>
        <w:rPr>
          <w:color w:val="000000" w:themeColor="text1"/>
        </w:rPr>
        <w:t xml:space="preserve">review. </w:t>
      </w:r>
      <w:r w:rsidR="00587815" w:rsidRPr="00F00BA9">
        <w:rPr>
          <w:color w:val="000000" w:themeColor="text1"/>
          <w:shd w:val="clear" w:color="auto" w:fill="FFFFFF"/>
          <w:vertAlign w:val="superscript"/>
        </w:rPr>
        <w:t>1</w:t>
      </w:r>
      <w:r w:rsidR="00587815" w:rsidRPr="00F00BA9">
        <w:rPr>
          <w:color w:val="000000" w:themeColor="text1"/>
          <w:shd w:val="clear" w:color="auto" w:fill="FFFFFF"/>
        </w:rPr>
        <w:t>H</w:t>
      </w:r>
      <w:r w:rsidR="00587815" w:rsidRPr="00F00BA9">
        <w:rPr>
          <w:color w:val="000000" w:themeColor="text1"/>
          <w:vertAlign w:val="superscript"/>
        </w:rPr>
        <w:t xml:space="preserve"> </w:t>
      </w:r>
      <w:r w:rsidR="00587815" w:rsidRPr="00F00BA9">
        <w:rPr>
          <w:rFonts w:eastAsiaTheme="minorEastAsia"/>
          <w:color w:val="000000" w:themeColor="text1"/>
        </w:rPr>
        <w:t xml:space="preserve">NMR </w:t>
      </w:r>
      <w:r>
        <w:rPr>
          <w:color w:val="000000" w:themeColor="text1"/>
        </w:rPr>
        <w:t>has been</w:t>
      </w:r>
      <w:r w:rsidR="00587815">
        <w:rPr>
          <w:color w:val="000000" w:themeColor="text1"/>
        </w:rPr>
        <w:t xml:space="preserve"> used to</w:t>
      </w:r>
      <w:r>
        <w:rPr>
          <w:color w:val="000000" w:themeColor="text1"/>
        </w:rPr>
        <w:t xml:space="preserve"> identify the molecules present in plants by various research groups, resulting in the detection of </w:t>
      </w:r>
      <w:r w:rsidR="00587815">
        <w:rPr>
          <w:color w:val="000000" w:themeColor="text1"/>
        </w:rPr>
        <w:t>psychedelics substances</w:t>
      </w:r>
      <w:r>
        <w:rPr>
          <w:color w:val="000000" w:themeColor="text1"/>
        </w:rPr>
        <w:t xml:space="preserve"> like DMT, 5-MeO-DMT and psilocybin</w:t>
      </w:r>
      <w:r w:rsidR="00C738D0">
        <w:rPr>
          <w:color w:val="000000" w:themeColor="text1"/>
        </w:rPr>
        <w:t>.</w:t>
      </w:r>
      <w:r w:rsidR="00181367">
        <w:rPr>
          <w:color w:val="000000" w:themeColor="text1"/>
        </w:rPr>
        <w:t xml:space="preserve"> It is apparent from this review that different part of the plants can have different molecular compositions</w:t>
      </w:r>
      <w:r w:rsidR="00BC5D33">
        <w:rPr>
          <w:color w:val="000000" w:themeColor="text1"/>
        </w:rPr>
        <w:t>;</w:t>
      </w:r>
      <w:r w:rsidR="00181367">
        <w:rPr>
          <w:color w:val="000000" w:themeColor="text1"/>
        </w:rPr>
        <w:t xml:space="preserve"> sometimes the psychedelic molecules were only present in the leaf extract, in other cases they were present in the bark. There is no standardised methodology for conducting this type of research, which means that it can be hard to compare the results between different plant species, despite the studies being similar in nature. The finding</w:t>
      </w:r>
      <w:r w:rsidR="00B95B62">
        <w:rPr>
          <w:color w:val="000000" w:themeColor="text1"/>
        </w:rPr>
        <w:t xml:space="preserve">s </w:t>
      </w:r>
      <w:r w:rsidR="00181367">
        <w:rPr>
          <w:color w:val="000000" w:themeColor="text1"/>
        </w:rPr>
        <w:t>are still interesting however, it</w:t>
      </w:r>
      <w:r w:rsidR="00232E67">
        <w:rPr>
          <w:color w:val="000000" w:themeColor="text1"/>
        </w:rPr>
        <w:t xml:space="preserve"> demonstrates that there </w:t>
      </w:r>
      <w:r w:rsidR="002A1DC6">
        <w:rPr>
          <w:color w:val="000000" w:themeColor="text1"/>
        </w:rPr>
        <w:t xml:space="preserve">are </w:t>
      </w:r>
      <w:r w:rsidR="00232E67">
        <w:rPr>
          <w:color w:val="000000" w:themeColor="text1"/>
        </w:rPr>
        <w:t xml:space="preserve">multiple sources of </w:t>
      </w:r>
      <w:r w:rsidR="00C50687">
        <w:rPr>
          <w:color w:val="000000" w:themeColor="text1"/>
        </w:rPr>
        <w:t>psychedelic molecules (especially DMT)</w:t>
      </w:r>
      <w:r w:rsidR="00232E67">
        <w:rPr>
          <w:color w:val="000000" w:themeColor="text1"/>
        </w:rPr>
        <w:t xml:space="preserve"> from </w:t>
      </w:r>
      <w:r w:rsidR="002007F2">
        <w:rPr>
          <w:color w:val="000000" w:themeColor="text1"/>
        </w:rPr>
        <w:t>natural products</w:t>
      </w:r>
      <w:r w:rsidR="00181367">
        <w:rPr>
          <w:color w:val="000000" w:themeColor="text1"/>
        </w:rPr>
        <w:t xml:space="preserve">. </w:t>
      </w:r>
    </w:p>
    <w:p w14:paraId="756F4CF6" w14:textId="77777777" w:rsidR="00C50687" w:rsidRDefault="00C50687" w:rsidP="00E50706">
      <w:pPr>
        <w:rPr>
          <w:color w:val="000000" w:themeColor="text1"/>
        </w:rPr>
      </w:pPr>
    </w:p>
    <w:p w14:paraId="36E114EC" w14:textId="24F1C4DD" w:rsidR="000E19BF" w:rsidRDefault="00B95B62" w:rsidP="00E50706">
      <w:pPr>
        <w:rPr>
          <w:rFonts w:eastAsiaTheme="minorEastAsia"/>
          <w:color w:val="000000" w:themeColor="text1"/>
        </w:rPr>
      </w:pPr>
      <w:r>
        <w:rPr>
          <w:color w:val="000000" w:themeColor="text1"/>
        </w:rPr>
        <w:t>Moreover, t</w:t>
      </w:r>
      <w:r w:rsidR="00181367">
        <w:rPr>
          <w:color w:val="000000" w:themeColor="text1"/>
        </w:rPr>
        <w:t>hese papers also identify other non-psych</w:t>
      </w:r>
      <w:r w:rsidR="00A847AF">
        <w:rPr>
          <w:color w:val="000000" w:themeColor="text1"/>
        </w:rPr>
        <w:t>edelic</w:t>
      </w:r>
      <w:r w:rsidR="00181367">
        <w:rPr>
          <w:color w:val="000000" w:themeColor="text1"/>
        </w:rPr>
        <w:t xml:space="preserve"> molecules that are also present in these plants.</w:t>
      </w:r>
      <w:r w:rsidR="00C50687">
        <w:rPr>
          <w:color w:val="000000" w:themeColor="text1"/>
        </w:rPr>
        <w:t xml:space="preserve"> </w:t>
      </w:r>
      <w:r w:rsidR="00181367">
        <w:rPr>
          <w:color w:val="000000" w:themeColor="text1"/>
        </w:rPr>
        <w:t>Follo</w:t>
      </w:r>
      <w:r>
        <w:rPr>
          <w:color w:val="000000" w:themeColor="text1"/>
        </w:rPr>
        <w:t>w-up</w:t>
      </w:r>
      <w:r w:rsidR="00181367">
        <w:rPr>
          <w:color w:val="000000" w:themeColor="text1"/>
        </w:rPr>
        <w:t xml:space="preserve"> research could be undertaken to see the relevance of these</w:t>
      </w:r>
      <w:r w:rsidR="003C176D" w:rsidRPr="003C176D">
        <w:rPr>
          <w:color w:val="000000" w:themeColor="text1"/>
        </w:rPr>
        <w:t xml:space="preserve"> </w:t>
      </w:r>
      <w:r w:rsidR="003C176D">
        <w:rPr>
          <w:color w:val="000000" w:themeColor="text1"/>
        </w:rPr>
        <w:t>non-psych</w:t>
      </w:r>
      <w:r w:rsidR="00A847AF">
        <w:rPr>
          <w:color w:val="000000" w:themeColor="text1"/>
        </w:rPr>
        <w:t>edelic</w:t>
      </w:r>
      <w:r w:rsidR="003C176D">
        <w:rPr>
          <w:color w:val="000000" w:themeColor="text1"/>
        </w:rPr>
        <w:t xml:space="preserve"> </w:t>
      </w:r>
      <w:r w:rsidR="00181367">
        <w:rPr>
          <w:color w:val="000000" w:themeColor="text1"/>
        </w:rPr>
        <w:t>molecules and whether they interact with the psychedelic molecules thus modulating the psychoactive experience</w:t>
      </w:r>
      <w:r w:rsidR="00E81919">
        <w:rPr>
          <w:color w:val="000000" w:themeColor="text1"/>
        </w:rPr>
        <w:t>; t</w:t>
      </w:r>
      <w:r w:rsidR="00DF76E3">
        <w:rPr>
          <w:color w:val="000000" w:themeColor="text1"/>
        </w:rPr>
        <w:t xml:space="preserve">his is known in the field of psychedelic research as the </w:t>
      </w:r>
      <w:r w:rsidR="00A847AF">
        <w:rPr>
          <w:color w:val="000000" w:themeColor="text1"/>
        </w:rPr>
        <w:t>“</w:t>
      </w:r>
      <w:r w:rsidR="00DF76E3">
        <w:rPr>
          <w:color w:val="000000" w:themeColor="text1"/>
        </w:rPr>
        <w:t>entourage effect</w:t>
      </w:r>
      <w:r w:rsidR="00A847AF">
        <w:rPr>
          <w:color w:val="000000" w:themeColor="text1"/>
        </w:rPr>
        <w:t>”</w:t>
      </w:r>
      <w:r w:rsidR="007658BC">
        <w:rPr>
          <w:color w:val="000000" w:themeColor="text1"/>
        </w:rPr>
        <w:fldChar w:fldCharType="begin" w:fldLock="1"/>
      </w:r>
      <w:r w:rsidR="00112529">
        <w:rPr>
          <w:color w:val="000000" w:themeColor="text1"/>
        </w:rPr>
        <w:instrText>ADDIN CSL_CITATION {"citationItems":[{"id":"ITEM-1","itemData":{"URL":"https://psychedelicreview.com/catching-up-with-the-psychedelic-entourage-effect-part-1-how-we-got-here/","accessed":{"date-parts":[["2021","6","16"]]},"author":[{"dropping-particle":"","family":"Bauer","given":"Barbara E.","non-dropping-particle":"","parse-names":false,"suffix":""}],"container-title":"Psychedelic Science Review","id":"ITEM-1","issued":{"date-parts":[["2020","11","25"]]},"title":"Catching Up With the Psychedelic Entourage Effect-Part 1: How We Got Here - Psychedelic Science Review","type":"webpage"},"uris":["http://www.mendeley.com/documents/?uuid=2a6f6c34-69ba-3c8a-a5db-bd31b2935f2b"]}],"mendeley":{"formattedCitation":"(126)","plainTextFormattedCitation":"(126)","previouslyFormattedCitation":"(126)"},"properties":{"noteIndex":0},"schema":"https://github.com/citation-style-language/schema/raw/master/csl-citation.json"}</w:instrText>
      </w:r>
      <w:r w:rsidR="007658BC">
        <w:rPr>
          <w:color w:val="000000" w:themeColor="text1"/>
        </w:rPr>
        <w:fldChar w:fldCharType="separate"/>
      </w:r>
      <w:r w:rsidR="00133B53" w:rsidRPr="00133B53">
        <w:rPr>
          <w:noProof/>
          <w:color w:val="000000" w:themeColor="text1"/>
        </w:rPr>
        <w:t>(126)</w:t>
      </w:r>
      <w:r w:rsidR="007658BC">
        <w:rPr>
          <w:color w:val="000000" w:themeColor="text1"/>
        </w:rPr>
        <w:fldChar w:fldCharType="end"/>
      </w:r>
      <w:r w:rsidR="00181367">
        <w:rPr>
          <w:color w:val="000000" w:themeColor="text1"/>
        </w:rPr>
        <w:t>.</w:t>
      </w:r>
      <w:r>
        <w:rPr>
          <w:color w:val="000000" w:themeColor="text1"/>
        </w:rPr>
        <w:t xml:space="preserve"> </w:t>
      </w:r>
      <w:r w:rsidR="00E81919">
        <w:rPr>
          <w:color w:val="000000" w:themeColor="text1"/>
        </w:rPr>
        <w:t xml:space="preserve">One psychedelic molecule that has been speculated to have entourage effect is </w:t>
      </w:r>
      <w:r w:rsidR="007602BA">
        <w:rPr>
          <w:color w:val="000000" w:themeColor="text1"/>
        </w:rPr>
        <w:t>5-MeO-DM</w:t>
      </w:r>
      <w:r w:rsidR="00C66F56">
        <w:rPr>
          <w:color w:val="000000" w:themeColor="text1"/>
        </w:rPr>
        <w:t>T</w:t>
      </w:r>
      <w:r w:rsidR="002C7794">
        <w:rPr>
          <w:color w:val="000000" w:themeColor="text1"/>
        </w:rPr>
        <w:fldChar w:fldCharType="begin" w:fldLock="1"/>
      </w:r>
      <w:r w:rsidR="00112529">
        <w:rPr>
          <w:color w:val="000000" w:themeColor="text1"/>
        </w:rPr>
        <w:instrText>ADDIN CSL_CITATION {"citationItems":[{"id":"ITEM-1","itemData":{"URL":"https://psychedelicreview.com/hamilton-morris-on-5-meo-dmt-the-entourage-effect-and-protecting-toads/","accessed":{"date-parts":[["2021","6","23"]]},"author":[{"dropping-particle":"","family":"Bauer","given":"B.E.","non-dropping-particle":"","parse-names":false,"suffix":""}],"container-title":"Psychedelic Science Review","id":"ITEM-1","issued":{"date-parts":[["2020","4","15"]]},"title":"Hamilton Morris on 5-MeO-DMT, the Entourage Effect, and Protecting Toads - Psychedelic Science Review","type":"webpage"},"uris":["http://www.mendeley.com/documents/?uuid=e0e437a2-c33e-35f0-b656-9299478c446b"]},{"id":"ITEM-2","itemData":{"URL":"https://psychedelicreview.com/5-meo-dmt-toad-venom-and-the-entourage-effect/","accessed":{"date-parts":[["2021","6","23"]]},"author":[{"dropping-particle":"","family":"Bauer","given":"B.E.","non-dropping-particle":"","parse-names":false,"suffix":""}],"container-title":"Psychedelic Science Review","id":"ITEM-2","issued":{"date-parts":[["2019","5","16"]]},"title":"5-MeO-DMT, Toad Secretions, and the Entourage Effect - Psychedelic Science Review","type":"webpage"},"uris":["http://www.mendeley.com/documents/?uuid=5f4bacb7-1bda-386f-9af8-0d005517b560"]},{"id":"ITEM-3","itemData":{"URL":"https://doubleblindmag.com/toad-venom-vs-synthetic-5-meo-dmt/","accessed":{"date-parts":[["2021","6","23"]]},"author":[{"dropping-particle":"","family":"Farah","given":"Troy","non-dropping-particle":"","parse-names":false,"suffix":""}],"container-title":"Double Blind","id":"ITEM-3","issued":{"date-parts":[["2020","7","10"]]},"title":"Is Toad Venom Better than Synthetic 5-MeO-DMT?","type":"webpage"},"uris":["http://www.mendeley.com/documents/?uuid=e46252c3-b7a7-3bdb-9ada-49195ebe0d38"]}],"mendeley":{"formattedCitation":"(127–129)","plainTextFormattedCitation":"(127–129)","previouslyFormattedCitation":"(127–129)"},"properties":{"noteIndex":0},"schema":"https://github.com/citation-style-language/schema/raw/master/csl-citation.json"}</w:instrText>
      </w:r>
      <w:r w:rsidR="002C7794">
        <w:rPr>
          <w:color w:val="000000" w:themeColor="text1"/>
        </w:rPr>
        <w:fldChar w:fldCharType="separate"/>
      </w:r>
      <w:r w:rsidR="00133B53" w:rsidRPr="00133B53">
        <w:rPr>
          <w:noProof/>
          <w:color w:val="000000" w:themeColor="text1"/>
        </w:rPr>
        <w:t>(127–129)</w:t>
      </w:r>
      <w:r w:rsidR="002C7794">
        <w:rPr>
          <w:color w:val="000000" w:themeColor="text1"/>
        </w:rPr>
        <w:fldChar w:fldCharType="end"/>
      </w:r>
      <w:r w:rsidR="00C66F56">
        <w:rPr>
          <w:color w:val="000000" w:themeColor="text1"/>
        </w:rPr>
        <w:t>.</w:t>
      </w:r>
      <w:r w:rsidR="00E81919">
        <w:rPr>
          <w:color w:val="000000" w:themeColor="text1"/>
        </w:rPr>
        <w:t xml:space="preserve"> </w:t>
      </w:r>
      <w:r w:rsidR="00BC5D33" w:rsidRPr="002C7794">
        <w:rPr>
          <w:color w:val="000000" w:themeColor="text1"/>
        </w:rPr>
        <w:t xml:space="preserve">In </w:t>
      </w:r>
      <w:r w:rsidR="00E81919" w:rsidRPr="002C7794">
        <w:rPr>
          <w:color w:val="000000" w:themeColor="text1"/>
        </w:rPr>
        <w:t xml:space="preserve">a </w:t>
      </w:r>
      <w:r w:rsidR="007602BA" w:rsidRPr="002C7794">
        <w:rPr>
          <w:color w:val="000000" w:themeColor="text1"/>
        </w:rPr>
        <w:t>paper conducted by Uthaug et al.</w:t>
      </w:r>
      <w:r w:rsidR="00E81919" w:rsidRPr="002C7794">
        <w:rPr>
          <w:color w:val="000000" w:themeColor="text1"/>
        </w:rPr>
        <w:t xml:space="preserve"> (2020)</w:t>
      </w:r>
      <w:r w:rsidR="008524BD" w:rsidRPr="002C7794">
        <w:rPr>
          <w:color w:val="000000" w:themeColor="text1"/>
        </w:rPr>
        <w:fldChar w:fldCharType="begin" w:fldLock="1"/>
      </w:r>
      <w:r w:rsidR="00112529">
        <w:rPr>
          <w:color w:val="000000" w:themeColor="text1"/>
        </w:rPr>
        <w:instrText>ADDIN CSL_CITATION {"citationItems":[{"id":"ITEM-1","itemData":{"DOI":"10.1007/s00213-019-05414-w","ISSN":"14322072","PMID":"31822925","abstract":"Rationale: 5-methoxy-N,N-dimethyltryptamine is a psychotropic substance found in various plant and animal species and is synthetically produced. 5-methoxy-N,N-dimethyltryptamine is used in naturalistic settings for spiritual exploration, recreation, or to address negative affect and mood problems. However, scientific knowledge on the effects of 5-methoxy-N,N-dimethyltryptamine in humans is scarce. Objectives: The first objective was to assess the effects of inhalation of vaporized synthetic 5-methoxy-N,N-dimethyltryptamine on neuroendocrine markers. The second objective was to assess effects of the substance on affect and mindfulness. In addition, we assessed whether ratings of subjective measures were associated with changes in stress biomarkers (i.e., cortisol) and immune response (i.e., IL-6, CRP, IL-1β), as well as the acute psychedelic experience. Methods: Assessments (baseline, immediately post-session, and 7-day follow-up) were made in 11 participants. Salivary samples were collected at baseline and post-session and analyzed by high-sensitivity enzyme-linked immunosorbent assay (ELISA). Results: 5-methoxy-N,N-dimethyltryptamine significantly increased cortisol levels and decreased IL-6 concentrations in saliva immediately post-session. These changes were not correlated to ratings of mental health or the psychedelic experience. Relative to baseline, ratings of non-judgment significantly increased, and ratings of depression decreased immediately post-session and at follow-up. Ratings of anxiety and stress decreased from baseline to 7-day follow-up. Participant ratings of the psychedelic experience correlated negatively with ratings of affect and positively with ratings of non-judgment. Conclusion: Inhalation of vaporized synthetic 5-methoxy-N,N-dimethyltryptamine produced significant changes in inflammatory markers, improved affect, and non-judgment in volunteers. Future research should examine the effect of 5-methoxy-N,N-dimethyltryptamineamine with healthy volunteers in a controlled laboratory setting.","author":[{"dropping-particle":"V.","family":"Uthaug","given":"Malin","non-dropping-particle":"","parse-names":false,"suffix":""},{"dropping-particle":"","family":"Lancelotta","given":"Rafael","non-dropping-particle":"","parse-names":false,"suffix":""},{"dropping-particle":"","family":"Szabo","given":"Attila","non-dropping-particle":"","parse-names":false,"suffix":""},{"dropping-particle":"","family":"Davis","given":"Alan K.","non-dropping-particle":"","parse-names":false,"suffix":""},{"dropping-particle":"","family":"Riba","given":"Jordi","non-dropping-particle":"","parse-names":false,"suffix":""},{"dropping-particle":"","family":"Ramaekers","given":"Johannes G.","non-dropping-particle":"","parse-names":false,"suffix":""}],"container-title":"Psychopharmacology","id":"ITEM-1","issue":"3","issued":{"date-parts":[["2020","3","1"]]},"page":"773-785","publisher":"Springer","title":"Prospective examination of synthetic 5-methoxy-N,N-dimethyltryptamine inhalation: effects on salivary IL-6, cortisol levels, affect, and non-judgment","type":"article-journal","volume":"237"},"uris":["http://www.mendeley.com/documents/?uuid=25d15021-d8ea-3a3e-b4b5-b8f3d9daebc0"]}],"mendeley":{"formattedCitation":"(130)","plainTextFormattedCitation":"(130)","previouslyFormattedCitation":"(130)"},"properties":{"noteIndex":0},"schema":"https://github.com/citation-style-language/schema/raw/master/csl-citation.json"}</w:instrText>
      </w:r>
      <w:r w:rsidR="008524BD" w:rsidRPr="002C7794">
        <w:rPr>
          <w:color w:val="000000" w:themeColor="text1"/>
        </w:rPr>
        <w:fldChar w:fldCharType="separate"/>
      </w:r>
      <w:r w:rsidR="00133B53" w:rsidRPr="00133B53">
        <w:rPr>
          <w:noProof/>
          <w:color w:val="000000" w:themeColor="text1"/>
        </w:rPr>
        <w:t>(130)</w:t>
      </w:r>
      <w:r w:rsidR="008524BD" w:rsidRPr="002C7794">
        <w:rPr>
          <w:color w:val="000000" w:themeColor="text1"/>
        </w:rPr>
        <w:fldChar w:fldCharType="end"/>
      </w:r>
      <w:r w:rsidR="00C66F56" w:rsidRPr="002C7794">
        <w:rPr>
          <w:color w:val="000000" w:themeColor="text1"/>
        </w:rPr>
        <w:t>,</w:t>
      </w:r>
      <w:r w:rsidR="002C7794">
        <w:rPr>
          <w:color w:val="000000" w:themeColor="text1"/>
        </w:rPr>
        <w:t xml:space="preserve"> the </w:t>
      </w:r>
      <w:r w:rsidR="000E19BF">
        <w:rPr>
          <w:color w:val="000000" w:themeColor="text1"/>
        </w:rPr>
        <w:t xml:space="preserve">effects of the </w:t>
      </w:r>
      <w:r w:rsidR="00E81919" w:rsidRPr="002C7794">
        <w:rPr>
          <w:color w:val="000000" w:themeColor="text1"/>
        </w:rPr>
        <w:t>synthetic version of 5-</w:t>
      </w:r>
      <w:r w:rsidR="00077E90" w:rsidRPr="002C7794">
        <w:rPr>
          <w:color w:val="000000" w:themeColor="text1"/>
        </w:rPr>
        <w:t xml:space="preserve">MeO-DMT </w:t>
      </w:r>
      <w:r w:rsidR="000E19BF">
        <w:rPr>
          <w:color w:val="000000" w:themeColor="text1"/>
        </w:rPr>
        <w:t xml:space="preserve">on mental health </w:t>
      </w:r>
      <w:r w:rsidR="002C7794">
        <w:rPr>
          <w:color w:val="000000" w:themeColor="text1"/>
        </w:rPr>
        <w:t xml:space="preserve">was </w:t>
      </w:r>
      <w:r w:rsidR="000E19BF">
        <w:rPr>
          <w:color w:val="000000" w:themeColor="text1"/>
        </w:rPr>
        <w:t>investigated. Findings suggests that 5-MeO-DMT had an impact on several inflammatory biomarkers, whiles also improving affect and non-judgement (a mindfulness related capacity</w:t>
      </w:r>
      <w:r w:rsidR="00C76A85">
        <w:rPr>
          <w:color w:val="000000" w:themeColor="text1"/>
        </w:rPr>
        <w:t>)</w:t>
      </w:r>
      <w:r w:rsidR="000E19BF">
        <w:rPr>
          <w:color w:val="000000" w:themeColor="text1"/>
        </w:rPr>
        <w:t xml:space="preserve"> in volunteers. As part of the discussion, these findings were compared to data</w:t>
      </w:r>
      <w:r w:rsidR="00C91DCF" w:rsidRPr="002C7794">
        <w:rPr>
          <w:color w:val="000000" w:themeColor="text1"/>
        </w:rPr>
        <w:t xml:space="preserve"> from </w:t>
      </w:r>
      <w:r w:rsidR="00077E90" w:rsidRPr="002C7794">
        <w:rPr>
          <w:color w:val="000000" w:themeColor="text1"/>
        </w:rPr>
        <w:t>a previous paper</w:t>
      </w:r>
      <w:r w:rsidR="00C91DCF" w:rsidRPr="002C7794">
        <w:rPr>
          <w:color w:val="000000" w:themeColor="text1"/>
        </w:rPr>
        <w:t xml:space="preserve"> the same research group published one year prior</w:t>
      </w:r>
      <w:r w:rsidR="000E19BF">
        <w:rPr>
          <w:color w:val="000000" w:themeColor="text1"/>
        </w:rPr>
        <w:t xml:space="preserve"> on the effects of toad secretion containing 5-MeO-DMT on mental health</w:t>
      </w:r>
      <w:r w:rsidR="008524BD" w:rsidRPr="002C7794">
        <w:rPr>
          <w:color w:val="000000" w:themeColor="text1"/>
        </w:rPr>
        <w:fldChar w:fldCharType="begin" w:fldLock="1"/>
      </w:r>
      <w:r w:rsidR="00112529">
        <w:rPr>
          <w:color w:val="000000" w:themeColor="text1"/>
        </w:rPr>
        <w:instrText>ADDIN CSL_CITATION {"citationItems":[{"id":"ITEM-1","itemData":{"DOI":"10.1007/s00213-019-05236-w","ISSN":"14322072","PMID":"30982127","abstract":"Background: 5-methoxy-N,N-dimethyltryptamine (hereinafter referred to as 5-MeO-DMT) is a psychedelic substance found in the secretion from the parotoid glands of the Bufo alvarius toad. Inhalation of vapor from toad secretion containing 5-MeO-DMT has become popular in naturalistic settings as a treatment of mental health problems or as a means for spiritual exploration. However, knowledge of the effects of 5-MeO-DMT in humans is limited. Aims: The first objective of this study was to assess sub-acute and long-term effects of inhaling vapor from dried toad secretion containing 5-MeO-DMT on affect and cognition. The second objective was to assess whether any changes were associated with the psychedelic experience. Methods: Assessments at baseline, within 24 h and 4 weeks following intake, were made in 42 individuals who inhaled vapor from dried toad secretion at several European locations. Results: Relative to baseline, ratings of satisfaction with life and convergent thinking significantly increased right after intake and were maintained at follow-up 4 weeks later. Ratings of mindfulness also increased over time and reached statistical significance at 4 weeks. Ratings of depression, anxiety, and stress decreased after the session, and reached significance at 4 weeks. Participants that experienced high levels of ego dissolution or oceanic boundlessness during the session displayed higher ratings of satisfaction with life and lower ratings of depression and stress. Conclusion: A single inhalation of vapor from dried toad secretion containing 5-MeO-DMT produces sub-acute and long-term changes in affect and cognition in volunteers. These results warrant exploratory research into therapeutic applications of 5-MeO-DMT.","author":[{"dropping-particle":"V.","family":"Uthaug","given":"M.","non-dropping-particle":"","parse-names":false,"suffix":""},{"dropping-particle":"","family":"Lancelotta","given":"R.","non-dropping-particle":"","parse-names":false,"suffix":""},{"dropping-particle":"","family":"Oorsouw","given":"K.","non-dropping-particle":"van","parse-names":false,"suffix":""},{"dropping-particle":"","family":"Kuypers","given":"K. P.C.","non-dropping-particle":"","parse-names":false,"suffix":""},{"dropping-particle":"","family":"Mason","given":"N.","non-dropping-particle":"","parse-names":false,"suffix":""},{"dropping-particle":"","family":"Rak","given":"J.","non-dropping-particle":"","parse-names":false,"suffix":""},{"dropping-particle":"","family":"Šuláková","given":"A.","non-dropping-particle":"","parse-names":false,"suffix":""},{"dropping-particle":"","family":"Jurok","given":"R.","non-dropping-particle":"","parse-names":false,"suffix":""},{"dropping-particle":"","family":"Maryška","given":"M.","non-dropping-particle":"","parse-names":false,"suffix":""},{"dropping-particle":"","family":"Kuchař","given":"M.","non-dropping-particle":"","parse-names":false,"suffix":""},{"dropping-particle":"","family":"Páleníček","given":"T.","non-dropping-particle":"","parse-names":false,"suffix":""},{"dropping-particle":"","family":"Riba","given":"J.","non-dropping-particle":"","parse-names":false,"suffix":""},{"dropping-particle":"","family":"Ramaekers","given":"J. G.","non-dropping-particle":"","parse-names":false,"suffix":""}],"container-title":"Psychopharmacology","id":"ITEM-1","issue":"9","issued":{"date-parts":[["2019","9","1"]]},"page":"2653-2666","publisher":"Springer Verlag","title":"A single inhalation of vapor from dried toad secretion containing 5-methoxy-N,N-dimethyltryptamine (5-MeO-DMT) in a naturalistic setting is related to sustained enhancement of satisfaction with life, mindfulness-related capacities, and a decrement of psychopathological symptoms","type":"article-journal","volume":"236"},"uris":["http://www.mendeley.com/documents/?uuid=2def2773-2561-34b2-9d8d-80fef9d036ce"]}],"mendeley":{"formattedCitation":"(131)","plainTextFormattedCitation":"(131)","previouslyFormattedCitation":"(131)"},"properties":{"noteIndex":0},"schema":"https://github.com/citation-style-language/schema/raw/master/csl-citation.json"}</w:instrText>
      </w:r>
      <w:r w:rsidR="008524BD" w:rsidRPr="002C7794">
        <w:rPr>
          <w:color w:val="000000" w:themeColor="text1"/>
        </w:rPr>
        <w:fldChar w:fldCharType="separate"/>
      </w:r>
      <w:r w:rsidR="00133B53" w:rsidRPr="00133B53">
        <w:rPr>
          <w:noProof/>
          <w:color w:val="000000" w:themeColor="text1"/>
        </w:rPr>
        <w:t>(131)</w:t>
      </w:r>
      <w:r w:rsidR="008524BD" w:rsidRPr="002C7794">
        <w:rPr>
          <w:color w:val="000000" w:themeColor="text1"/>
        </w:rPr>
        <w:fldChar w:fldCharType="end"/>
      </w:r>
      <w:r w:rsidR="007602BA" w:rsidRPr="002C7794">
        <w:rPr>
          <w:color w:val="000000" w:themeColor="text1"/>
        </w:rPr>
        <w:t>.</w:t>
      </w:r>
      <w:r w:rsidR="002C7794">
        <w:rPr>
          <w:color w:val="000000" w:themeColor="text1"/>
        </w:rPr>
        <w:t xml:space="preserve"> The comparison showed that </w:t>
      </w:r>
      <w:r w:rsidR="000E19BF">
        <w:rPr>
          <w:color w:val="000000" w:themeColor="text1"/>
        </w:rPr>
        <w:t xml:space="preserve">the consumptions of </w:t>
      </w:r>
      <w:r w:rsidR="00C91DCF" w:rsidRPr="002C7794">
        <w:rPr>
          <w:color w:val="000000" w:themeColor="text1"/>
        </w:rPr>
        <w:t>5-MeO-DMT</w:t>
      </w:r>
      <w:r w:rsidR="000E19BF">
        <w:rPr>
          <w:color w:val="000000" w:themeColor="text1"/>
        </w:rPr>
        <w:t xml:space="preserve"> (in either form) evoked a similar trend in changes in mental health related parameters, but those volunteers consuming</w:t>
      </w:r>
      <w:r w:rsidR="002C7794">
        <w:rPr>
          <w:color w:val="000000" w:themeColor="text1"/>
        </w:rPr>
        <w:t xml:space="preserve"> toad secretion </w:t>
      </w:r>
      <w:r w:rsidR="000E19BF">
        <w:rPr>
          <w:color w:val="000000" w:themeColor="text1"/>
        </w:rPr>
        <w:t xml:space="preserve">containing 5-MeO-DMT experienced </w:t>
      </w:r>
      <w:r w:rsidR="00C91DCF" w:rsidRPr="002C7794">
        <w:rPr>
          <w:color w:val="000000" w:themeColor="text1"/>
        </w:rPr>
        <w:t>a</w:t>
      </w:r>
      <w:r w:rsidR="00C66F56" w:rsidRPr="002C7794">
        <w:rPr>
          <w:color w:val="000000" w:themeColor="text1"/>
        </w:rPr>
        <w:t xml:space="preserve"> </w:t>
      </w:r>
      <w:r w:rsidR="00777217" w:rsidRPr="002C7794">
        <w:rPr>
          <w:color w:val="000000" w:themeColor="text1"/>
        </w:rPr>
        <w:t xml:space="preserve">20-30% </w:t>
      </w:r>
      <w:r w:rsidR="002C7794">
        <w:rPr>
          <w:color w:val="000000" w:themeColor="text1"/>
        </w:rPr>
        <w:t>in</w:t>
      </w:r>
      <w:r w:rsidR="00777217" w:rsidRPr="002C7794">
        <w:rPr>
          <w:color w:val="000000" w:themeColor="text1"/>
        </w:rPr>
        <w:t xml:space="preserve">crease </w:t>
      </w:r>
      <w:r w:rsidR="00C66F56" w:rsidRPr="002C7794">
        <w:rPr>
          <w:color w:val="000000" w:themeColor="text1"/>
        </w:rPr>
        <w:t xml:space="preserve">in </w:t>
      </w:r>
      <w:r w:rsidR="000E19BF">
        <w:rPr>
          <w:color w:val="000000" w:themeColor="text1"/>
        </w:rPr>
        <w:t xml:space="preserve">the </w:t>
      </w:r>
      <w:r w:rsidR="002C7794">
        <w:rPr>
          <w:color w:val="000000" w:themeColor="text1"/>
        </w:rPr>
        <w:t xml:space="preserve">magnitude for </w:t>
      </w:r>
      <w:r w:rsidR="00C66F56" w:rsidRPr="002C7794">
        <w:rPr>
          <w:color w:val="000000" w:themeColor="text1"/>
        </w:rPr>
        <w:t xml:space="preserve">subjective effects like </w:t>
      </w:r>
      <w:r w:rsidR="00777217" w:rsidRPr="002C7794">
        <w:rPr>
          <w:color w:val="000000" w:themeColor="text1"/>
        </w:rPr>
        <w:t>ego dissolution and altered state of consciousness experienced</w:t>
      </w:r>
      <w:r w:rsidR="002C7794">
        <w:rPr>
          <w:color w:val="000000" w:themeColor="text1"/>
        </w:rPr>
        <w:t xml:space="preserve"> than what was reported </w:t>
      </w:r>
      <w:r w:rsidR="000E19BF">
        <w:rPr>
          <w:color w:val="000000" w:themeColor="text1"/>
        </w:rPr>
        <w:t>by volunteers who used</w:t>
      </w:r>
      <w:r w:rsidR="002C7794">
        <w:rPr>
          <w:color w:val="000000" w:themeColor="text1"/>
        </w:rPr>
        <w:t xml:space="preserve"> synthetic </w:t>
      </w:r>
      <w:r w:rsidR="002C7794" w:rsidRPr="002C7794">
        <w:rPr>
          <w:color w:val="000000" w:themeColor="text1"/>
        </w:rPr>
        <w:t>5-MeO-DMT</w:t>
      </w:r>
      <w:r w:rsidR="002C7794">
        <w:rPr>
          <w:color w:val="000000" w:themeColor="text1"/>
        </w:rPr>
        <w:t xml:space="preserve">. </w:t>
      </w:r>
      <w:r w:rsidR="000E19BF">
        <w:rPr>
          <w:color w:val="000000" w:themeColor="text1"/>
        </w:rPr>
        <w:t xml:space="preserve">It is not clear why this was the case, but it is known that toad </w:t>
      </w:r>
      <w:r w:rsidR="002C7794">
        <w:rPr>
          <w:color w:val="000000" w:themeColor="text1"/>
        </w:rPr>
        <w:t xml:space="preserve">secretion </w:t>
      </w:r>
      <w:r w:rsidR="000E19BF">
        <w:rPr>
          <w:color w:val="000000" w:themeColor="text1"/>
        </w:rPr>
        <w:t>contains not only</w:t>
      </w:r>
      <w:r w:rsidR="002C7794">
        <w:rPr>
          <w:color w:val="000000" w:themeColor="text1"/>
        </w:rPr>
        <w:t xml:space="preserve"> </w:t>
      </w:r>
      <w:r w:rsidR="002C7794" w:rsidRPr="002C7794">
        <w:rPr>
          <w:color w:val="000000" w:themeColor="text1"/>
        </w:rPr>
        <w:t>5-MeO-DMT</w:t>
      </w:r>
      <w:r w:rsidR="000E19BF">
        <w:rPr>
          <w:color w:val="000000" w:themeColor="text1"/>
        </w:rPr>
        <w:t>, but also other molecules – though in very low quantities</w:t>
      </w:r>
      <w:r w:rsidR="00086CC5">
        <w:rPr>
          <w:color w:val="000000" w:themeColor="text1"/>
        </w:rPr>
        <w:fldChar w:fldCharType="begin" w:fldLock="1"/>
      </w:r>
      <w:r w:rsidR="00112529">
        <w:rPr>
          <w:color w:val="000000" w:themeColor="text1"/>
        </w:rPr>
        <w:instrText>ADDIN CSL_CITATION {"citationItems":[{"id":"ITEM-1","itemData":{"DOI":"10.1007/s00213-019-05236-w","ISSN":"14322072","PMID":"30982127","abstract":"Background: 5-methoxy-N,N-dimethyltryptamine (hereinafter referred to as 5-MeO-DMT) is a psychedelic substance found in the secretion from the parotoid glands of the Bufo alvarius toad. Inhalation of vapor from toad secretion containing 5-MeO-DMT has become popular in naturalistic settings as a treatment of mental health problems or as a means for spiritual exploration. However, knowledge of the effects of 5-MeO-DMT in humans is limited. Aims: The first objective of this study was to assess sub-acute and long-term effects of inhaling vapor from dried toad secretion containing 5-MeO-DMT on affect and cognition. The second objective was to assess whether any changes were associated with the psychedelic experience. Methods: Assessments at baseline, within 24 h and 4 weeks following intake, were made in 42 individuals who inhaled vapor from dried toad secretion at several European locations. Results: Relative to baseline, ratings of satisfaction with life and convergent thinking significantly increased right after intake and were maintained at follow-up 4 weeks later. Ratings of mindfulness also increased over time and reached statistical significance at 4 weeks. Ratings of depression, anxiety, and stress decreased after the session, and reached significance at 4 weeks. Participants that experienced high levels of ego dissolution or oceanic boundlessness during the session displayed higher ratings of satisfaction with life and lower ratings of depression and stress. Conclusion: A single inhalation of vapor from dried toad secretion containing 5-MeO-DMT produces sub-acute and long-term changes in affect and cognition in volunteers. These results warrant exploratory research into therapeutic applications of 5-MeO-DMT.","author":[{"dropping-particle":"V.","family":"Uthaug","given":"M.","non-dropping-particle":"","parse-names":false,"suffix":""},{"dropping-particle":"","family":"Lancelotta","given":"R.","non-dropping-particle":"","parse-names":false,"suffix":""},{"dropping-particle":"","family":"Oorsouw","given":"K.","non-dropping-particle":"van","parse-names":false,"suffix":""},{"dropping-particle":"","family":"Kuypers","given":"K. P.C.","non-dropping-particle":"","parse-names":false,"suffix":""},{"dropping-particle":"","family":"Mason","given":"N.","non-dropping-particle":"","parse-names":false,"suffix":""},{"dropping-particle":"","family":"Rak","given":"J.","non-dropping-particle":"","parse-names":false,"suffix":""},{"dropping-particle":"","family":"Šuláková","given":"A.","non-dropping-particle":"","parse-names":false,"suffix":""},{"dropping-particle":"","family":"Jurok","given":"R.","non-dropping-particle":"","parse-names":false,"suffix":""},{"dropping-particle":"","family":"Maryška","given":"M.","non-dropping-particle":"","parse-names":false,"suffix":""},{"dropping-particle":"","family":"Kuchař","given":"M.","non-dropping-particle":"","parse-names":false,"suffix":""},{"dropping-particle":"","family":"Páleníček","given":"T.","non-dropping-particle":"","parse-names":false,"suffix":""},{"dropping-particle":"","family":"Riba","given":"J.","non-dropping-particle":"","parse-names":false,"suffix":""},{"dropping-particle":"","family":"Ramaekers","given":"J. G.","non-dropping-particle":"","parse-names":false,"suffix":""}],"container-title":"Psychopharmacology","id":"ITEM-1","issue":"9","issued":{"date-parts":[["2019","9","1"]]},"page":"2653-2666","publisher":"Springer Verlag","title":"A single inhalation of vapor from dried toad secretion containing 5-methoxy-N,N-dimethyltryptamine (5-MeO-DMT) in a naturalistic setting is related to sustained enhancement of satisfaction with life, mindfulness-related capacities, and a decrement of psychopathological symptoms","type":"article-journal","volume":"236"},"uris":["http://www.mendeley.com/documents/?uuid=2def2773-2561-34b2-9d8d-80fef9d036ce"]}],"mendeley":{"formattedCitation":"(131)","plainTextFormattedCitation":"(131)","previouslyFormattedCitation":"(131)"},"properties":{"noteIndex":0},"schema":"https://github.com/citation-style-language/schema/raw/master/csl-citation.json"}</w:instrText>
      </w:r>
      <w:r w:rsidR="00086CC5">
        <w:rPr>
          <w:color w:val="000000" w:themeColor="text1"/>
        </w:rPr>
        <w:fldChar w:fldCharType="separate"/>
      </w:r>
      <w:r w:rsidR="00133B53" w:rsidRPr="00133B53">
        <w:rPr>
          <w:noProof/>
          <w:color w:val="000000" w:themeColor="text1"/>
        </w:rPr>
        <w:t>(131)</w:t>
      </w:r>
      <w:r w:rsidR="00086CC5">
        <w:rPr>
          <w:color w:val="000000" w:themeColor="text1"/>
        </w:rPr>
        <w:fldChar w:fldCharType="end"/>
      </w:r>
      <w:r w:rsidR="000E19BF">
        <w:rPr>
          <w:color w:val="000000" w:themeColor="text1"/>
        </w:rPr>
        <w:t>. Thus, a</w:t>
      </w:r>
      <w:r w:rsidR="002C7794">
        <w:rPr>
          <w:color w:val="000000" w:themeColor="text1"/>
        </w:rPr>
        <w:t xml:space="preserve"> potential explanation </w:t>
      </w:r>
      <w:r w:rsidR="000E19BF">
        <w:rPr>
          <w:color w:val="000000" w:themeColor="text1"/>
        </w:rPr>
        <w:t xml:space="preserve">as to </w:t>
      </w:r>
      <w:r w:rsidR="002C7794">
        <w:rPr>
          <w:color w:val="000000" w:themeColor="text1"/>
        </w:rPr>
        <w:t xml:space="preserve">why </w:t>
      </w:r>
      <w:r w:rsidR="000E19BF">
        <w:rPr>
          <w:color w:val="000000" w:themeColor="text1"/>
        </w:rPr>
        <w:t xml:space="preserve">volunteers that used </w:t>
      </w:r>
      <w:r w:rsidR="002C7794">
        <w:rPr>
          <w:color w:val="000000" w:themeColor="text1"/>
        </w:rPr>
        <w:t xml:space="preserve">toad secretion </w:t>
      </w:r>
      <w:r w:rsidR="000E19BF">
        <w:rPr>
          <w:color w:val="000000" w:themeColor="text1"/>
        </w:rPr>
        <w:t>rated the psychedelic experience higher than those who used synthetic 5-MeO-DMT</w:t>
      </w:r>
      <w:r w:rsidR="002C7794">
        <w:rPr>
          <w:color w:val="000000" w:themeColor="text1"/>
        </w:rPr>
        <w:t xml:space="preserve"> could be </w:t>
      </w:r>
      <w:r w:rsidR="000E19BF">
        <w:rPr>
          <w:color w:val="000000" w:themeColor="text1"/>
        </w:rPr>
        <w:t xml:space="preserve">because </w:t>
      </w:r>
      <w:r w:rsidR="00086CC5">
        <w:rPr>
          <w:color w:val="000000" w:themeColor="text1"/>
        </w:rPr>
        <w:t>other</w:t>
      </w:r>
      <w:r w:rsidR="002C7794">
        <w:rPr>
          <w:color w:val="000000" w:themeColor="text1"/>
        </w:rPr>
        <w:t xml:space="preserve"> molecules </w:t>
      </w:r>
      <w:r w:rsidR="00086CC5">
        <w:rPr>
          <w:color w:val="000000" w:themeColor="text1"/>
        </w:rPr>
        <w:t xml:space="preserve">in the toad secretion </w:t>
      </w:r>
      <w:r w:rsidR="002C7794">
        <w:rPr>
          <w:color w:val="000000" w:themeColor="text1"/>
        </w:rPr>
        <w:t>are interacting with 5-MeO-DMT to modulate its biological activity like entourage effect predicts</w:t>
      </w:r>
      <w:r w:rsidR="005C7E76">
        <w:rPr>
          <w:color w:val="000000" w:themeColor="text1"/>
        </w:rPr>
        <w:fldChar w:fldCharType="begin" w:fldLock="1"/>
      </w:r>
      <w:r w:rsidR="00112529">
        <w:rPr>
          <w:color w:val="000000" w:themeColor="text1"/>
        </w:rPr>
        <w:instrText>ADDIN CSL_CITATION {"citationItems":[{"id":"ITEM-1","itemData":{"URL":"https://psychedelicreview.com/hamilton-morris-on-5-meo-dmt-the-entourage-effect-and-protecting-toads/","accessed":{"date-parts":[["2021","6","23"]]},"author":[{"dropping-particle":"","family":"Bauer","given":"B.E.","non-dropping-particle":"","parse-names":false,"suffix":""}],"container-title":"Psychedelic Science Review","id":"ITEM-1","issued":{"date-parts":[["2020","4","15"]]},"title":"Hamilton Morris on 5-MeO-DMT, the Entourage Effect, and Protecting Toads - Psychedelic Science Review","type":"webpage"},"uris":["http://www.mendeley.com/documents/?uuid=e0e437a2-c33e-35f0-b656-9299478c446b"]},{"id":"ITEM-2","itemData":{"URL":"https://psychedelicreview.com/5-meo-dmt-toad-venom-and-the-entourage-effect/","accessed":{"date-parts":[["2021","6","23"]]},"author":[{"dropping-particle":"","family":"Bauer","given":"B.E.","non-dropping-particle":"","parse-names":false,"suffix":""}],"container-title":"Psychedelic Science Review","id":"ITEM-2","issued":{"date-parts":[["2019","5","16"]]},"title":"5-MeO-DMT, Toad Secretions, and the Entourage Effect - Psychedelic Science Review","type":"webpage"},"uris":["http://www.mendeley.com/documents/?uuid=5f4bacb7-1bda-386f-9af8-0d005517b560"]}],"mendeley":{"formattedCitation":"(127,128)","plainTextFormattedCitation":"(127,128)","previouslyFormattedCitation":"(127,128)"},"properties":{"noteIndex":0},"schema":"https://github.com/citation-style-language/schema/raw/master/csl-citation.json"}</w:instrText>
      </w:r>
      <w:r w:rsidR="005C7E76">
        <w:rPr>
          <w:color w:val="000000" w:themeColor="text1"/>
        </w:rPr>
        <w:fldChar w:fldCharType="separate"/>
      </w:r>
      <w:r w:rsidR="00133B53" w:rsidRPr="00133B53">
        <w:rPr>
          <w:noProof/>
          <w:color w:val="000000" w:themeColor="text1"/>
        </w:rPr>
        <w:t>(127,128)</w:t>
      </w:r>
      <w:r w:rsidR="005C7E76">
        <w:rPr>
          <w:color w:val="000000" w:themeColor="text1"/>
        </w:rPr>
        <w:fldChar w:fldCharType="end"/>
      </w:r>
      <w:r w:rsidR="005C7E76">
        <w:rPr>
          <w:color w:val="000000" w:themeColor="text1"/>
        </w:rPr>
        <w:t xml:space="preserve">. </w:t>
      </w:r>
      <w:r w:rsidR="000E19BF">
        <w:rPr>
          <w:color w:val="000000" w:themeColor="text1"/>
        </w:rPr>
        <w:t xml:space="preserve">However, since the quantity of the other molecules are so low, a more plausible explanation is that other variables may have co-influenced the strength of the experience such as for </w:t>
      </w:r>
      <w:r w:rsidR="00C76A85">
        <w:rPr>
          <w:color w:val="000000" w:themeColor="text1"/>
        </w:rPr>
        <w:t>example,</w:t>
      </w:r>
      <w:r w:rsidR="000E19BF">
        <w:rPr>
          <w:color w:val="000000" w:themeColor="text1"/>
        </w:rPr>
        <w:t xml:space="preserve"> drug concentration in blood, drug metabolism, dose, inhalation technique, facilitation, openness to the experience and/or dysregulation in the nervous system. </w:t>
      </w:r>
      <w:r w:rsidR="00086CC5">
        <w:rPr>
          <w:color w:val="000000" w:themeColor="text1"/>
        </w:rPr>
        <w:t>Nevertheless</w:t>
      </w:r>
      <w:r w:rsidR="002C7794">
        <w:rPr>
          <w:color w:val="000000" w:themeColor="text1"/>
        </w:rPr>
        <w:t xml:space="preserve">, </w:t>
      </w:r>
      <w:r w:rsidR="00C66F56" w:rsidRPr="002C7794">
        <w:rPr>
          <w:color w:val="000000" w:themeColor="text1"/>
        </w:rPr>
        <w:t xml:space="preserve">this would </w:t>
      </w:r>
      <w:r w:rsidR="00777217" w:rsidRPr="002C7794">
        <w:rPr>
          <w:color w:val="000000" w:themeColor="text1"/>
        </w:rPr>
        <w:t>need to</w:t>
      </w:r>
      <w:r w:rsidR="00C66F56" w:rsidRPr="002C7794">
        <w:rPr>
          <w:color w:val="000000" w:themeColor="text1"/>
        </w:rPr>
        <w:t xml:space="preserve"> be studied extensively to </w:t>
      </w:r>
      <w:r w:rsidR="00086CC5">
        <w:rPr>
          <w:color w:val="000000" w:themeColor="text1"/>
        </w:rPr>
        <w:t xml:space="preserve">better understand </w:t>
      </w:r>
      <w:r w:rsidR="002C7794">
        <w:rPr>
          <w:color w:val="000000" w:themeColor="text1"/>
        </w:rPr>
        <w:t>the</w:t>
      </w:r>
      <w:r w:rsidR="00086CC5">
        <w:rPr>
          <w:color w:val="000000" w:themeColor="text1"/>
        </w:rPr>
        <w:t xml:space="preserve"> plausible</w:t>
      </w:r>
      <w:r w:rsidR="002C7794">
        <w:rPr>
          <w:color w:val="000000" w:themeColor="text1"/>
        </w:rPr>
        <w:t xml:space="preserve"> existence of </w:t>
      </w:r>
      <w:r w:rsidR="00086CC5">
        <w:rPr>
          <w:color w:val="000000" w:themeColor="text1"/>
        </w:rPr>
        <w:t xml:space="preserve">such an </w:t>
      </w:r>
      <w:r w:rsidR="002C7794">
        <w:rPr>
          <w:color w:val="000000" w:themeColor="text1"/>
        </w:rPr>
        <w:t>interaction</w:t>
      </w:r>
      <w:r w:rsidR="00C66F56" w:rsidRPr="002C7794">
        <w:rPr>
          <w:color w:val="000000" w:themeColor="text1"/>
        </w:rPr>
        <w:t xml:space="preserve">. </w:t>
      </w:r>
      <w:r w:rsidR="000E19BF">
        <w:rPr>
          <w:color w:val="000000" w:themeColor="text1"/>
        </w:rPr>
        <w:t>T</w:t>
      </w:r>
      <w:r>
        <w:rPr>
          <w:color w:val="000000" w:themeColor="text1"/>
        </w:rPr>
        <w:t xml:space="preserve">he </w:t>
      </w:r>
      <w:r w:rsidR="000E19BF">
        <w:rPr>
          <w:color w:val="000000" w:themeColor="text1"/>
        </w:rPr>
        <w:lastRenderedPageBreak/>
        <w:t xml:space="preserve">application of </w:t>
      </w:r>
      <w:r>
        <w:rPr>
          <w:color w:val="000000" w:themeColor="text1"/>
        </w:rPr>
        <w:t xml:space="preserve">metabonomic analysis </w:t>
      </w:r>
      <w:r w:rsidR="00A847AF">
        <w:rPr>
          <w:color w:val="000000" w:themeColor="text1"/>
        </w:rPr>
        <w:t xml:space="preserve">of biofluids </w:t>
      </w:r>
      <w:r>
        <w:rPr>
          <w:color w:val="000000" w:themeColor="text1"/>
        </w:rPr>
        <w:t xml:space="preserve">with the use </w:t>
      </w:r>
      <w:r w:rsidR="00A847AF">
        <w:rPr>
          <w:color w:val="000000" w:themeColor="text1"/>
        </w:rPr>
        <w:t xml:space="preserve">of </w:t>
      </w:r>
      <w:r w:rsidRPr="00F00BA9">
        <w:rPr>
          <w:color w:val="000000" w:themeColor="text1"/>
          <w:shd w:val="clear" w:color="auto" w:fill="FFFFFF"/>
          <w:vertAlign w:val="superscript"/>
        </w:rPr>
        <w:t>1</w:t>
      </w:r>
      <w:r w:rsidRPr="00F00BA9">
        <w:rPr>
          <w:color w:val="000000" w:themeColor="text1"/>
          <w:shd w:val="clear" w:color="auto" w:fill="FFFFFF"/>
        </w:rPr>
        <w:t>H</w:t>
      </w:r>
      <w:r w:rsidRPr="00F00BA9">
        <w:rPr>
          <w:color w:val="000000" w:themeColor="text1"/>
          <w:vertAlign w:val="superscript"/>
        </w:rPr>
        <w:t xml:space="preserve"> </w:t>
      </w:r>
      <w:r w:rsidRPr="00F00BA9">
        <w:rPr>
          <w:rFonts w:eastAsiaTheme="minorEastAsia"/>
          <w:color w:val="000000" w:themeColor="text1"/>
        </w:rPr>
        <w:t>NMR</w:t>
      </w:r>
      <w:r>
        <w:rPr>
          <w:rFonts w:eastAsiaTheme="minorEastAsia"/>
          <w:color w:val="000000" w:themeColor="text1"/>
        </w:rPr>
        <w:t xml:space="preserve"> spectroscopy</w:t>
      </w:r>
      <w:r w:rsidR="00A847AF">
        <w:rPr>
          <w:rFonts w:eastAsiaTheme="minorEastAsia"/>
          <w:color w:val="000000" w:themeColor="text1"/>
        </w:rPr>
        <w:t xml:space="preserve"> could be beneficial to</w:t>
      </w:r>
      <w:r>
        <w:rPr>
          <w:rFonts w:eastAsiaTheme="minorEastAsia"/>
          <w:color w:val="000000" w:themeColor="text1"/>
        </w:rPr>
        <w:t xml:space="preserve"> </w:t>
      </w:r>
      <w:r w:rsidR="003233A2">
        <w:rPr>
          <w:rFonts w:eastAsiaTheme="minorEastAsia"/>
          <w:color w:val="000000" w:themeColor="text1"/>
        </w:rPr>
        <w:t>explore</w:t>
      </w:r>
      <w:r>
        <w:rPr>
          <w:rFonts w:eastAsiaTheme="minorEastAsia"/>
          <w:color w:val="000000" w:themeColor="text1"/>
        </w:rPr>
        <w:t xml:space="preserve"> </w:t>
      </w:r>
      <w:r w:rsidR="007658BC">
        <w:rPr>
          <w:rFonts w:eastAsiaTheme="minorEastAsia"/>
          <w:color w:val="000000" w:themeColor="text1"/>
        </w:rPr>
        <w:t>whether the</w:t>
      </w:r>
      <w:r w:rsidR="00DF76E3">
        <w:rPr>
          <w:rFonts w:eastAsiaTheme="minorEastAsia"/>
          <w:color w:val="000000" w:themeColor="text1"/>
        </w:rPr>
        <w:t xml:space="preserve"> entourage effect </w:t>
      </w:r>
      <w:r w:rsidR="007658BC">
        <w:rPr>
          <w:rFonts w:eastAsiaTheme="minorEastAsia"/>
          <w:color w:val="000000" w:themeColor="text1"/>
        </w:rPr>
        <w:t xml:space="preserve">exists </w:t>
      </w:r>
      <w:r w:rsidR="00DF76E3" w:rsidRPr="00DF76E3">
        <w:rPr>
          <w:rFonts w:eastAsiaTheme="minorEastAsia"/>
          <w:i/>
          <w:iCs/>
          <w:color w:val="000000" w:themeColor="text1"/>
        </w:rPr>
        <w:t>in vivo</w:t>
      </w:r>
      <w:r w:rsidR="00EF3E06">
        <w:rPr>
          <w:rFonts w:eastAsiaTheme="minorEastAsia"/>
          <w:i/>
          <w:iCs/>
          <w:color w:val="000000" w:themeColor="text1"/>
        </w:rPr>
        <w:t>.</w:t>
      </w:r>
      <w:r w:rsidR="003233A2">
        <w:rPr>
          <w:rFonts w:eastAsiaTheme="minorEastAsia"/>
          <w:color w:val="000000" w:themeColor="text1"/>
        </w:rPr>
        <w:t xml:space="preserve"> </w:t>
      </w:r>
    </w:p>
    <w:p w14:paraId="4EEC4F00" w14:textId="77777777" w:rsidR="000E19BF" w:rsidRDefault="000E19BF" w:rsidP="00E50706">
      <w:pPr>
        <w:rPr>
          <w:rFonts w:eastAsiaTheme="minorEastAsia"/>
          <w:color w:val="000000" w:themeColor="text1"/>
        </w:rPr>
      </w:pPr>
    </w:p>
    <w:p w14:paraId="63BDB3B2" w14:textId="302BC88F" w:rsidR="007602BA" w:rsidRDefault="002007F2" w:rsidP="00E50706">
      <w:pPr>
        <w:rPr>
          <w:color w:val="000000" w:themeColor="text1"/>
        </w:rPr>
      </w:pPr>
      <w:r w:rsidRPr="007602BA">
        <w:rPr>
          <w:color w:val="000000" w:themeColor="text1"/>
        </w:rPr>
        <w:t xml:space="preserve">Interestingly, one paper </w:t>
      </w:r>
      <w:r w:rsidR="00C66F56">
        <w:rPr>
          <w:color w:val="000000" w:themeColor="text1"/>
        </w:rPr>
        <w:t xml:space="preserve">in this review </w:t>
      </w:r>
      <w:r w:rsidRPr="007602BA">
        <w:rPr>
          <w:color w:val="000000" w:themeColor="text1"/>
        </w:rPr>
        <w:t xml:space="preserve">that used </w:t>
      </w:r>
      <w:r w:rsidRPr="007602BA">
        <w:rPr>
          <w:color w:val="000000" w:themeColor="text1"/>
          <w:shd w:val="clear" w:color="auto" w:fill="FFFFFF"/>
          <w:vertAlign w:val="superscript"/>
        </w:rPr>
        <w:t>1</w:t>
      </w:r>
      <w:r w:rsidRPr="007602BA">
        <w:rPr>
          <w:color w:val="000000" w:themeColor="text1"/>
          <w:shd w:val="clear" w:color="auto" w:fill="FFFFFF"/>
        </w:rPr>
        <w:t>H</w:t>
      </w:r>
      <w:r w:rsidRPr="007602BA">
        <w:rPr>
          <w:color w:val="000000" w:themeColor="text1"/>
          <w:vertAlign w:val="superscript"/>
        </w:rPr>
        <w:t xml:space="preserve"> </w:t>
      </w:r>
      <w:r w:rsidRPr="007602BA">
        <w:rPr>
          <w:rFonts w:eastAsiaTheme="minorEastAsia"/>
          <w:color w:val="000000" w:themeColor="text1"/>
        </w:rPr>
        <w:t>NMR to analyse the molecules present in the skin secretion of three species of arboreal amphibians</w:t>
      </w:r>
      <w:r w:rsidR="00086CC5">
        <w:rPr>
          <w:rFonts w:eastAsiaTheme="minorEastAsia"/>
          <w:color w:val="000000" w:themeColor="text1"/>
        </w:rPr>
        <w:t xml:space="preserve">; these were </w:t>
      </w:r>
      <w:proofErr w:type="spellStart"/>
      <w:r w:rsidR="00086CC5" w:rsidRPr="00086CC5">
        <w:rPr>
          <w:i/>
          <w:iCs/>
        </w:rPr>
        <w:t>Osteocephalus</w:t>
      </w:r>
      <w:proofErr w:type="spellEnd"/>
      <w:r w:rsidR="00086CC5" w:rsidRPr="00086CC5">
        <w:rPr>
          <w:i/>
          <w:iCs/>
        </w:rPr>
        <w:t xml:space="preserve"> </w:t>
      </w:r>
      <w:proofErr w:type="spellStart"/>
      <w:r w:rsidR="00086CC5" w:rsidRPr="00086CC5">
        <w:rPr>
          <w:i/>
          <w:iCs/>
        </w:rPr>
        <w:t>taurinus</w:t>
      </w:r>
      <w:proofErr w:type="spellEnd"/>
      <w:r w:rsidR="00086CC5" w:rsidRPr="00873C8C">
        <w:t xml:space="preserve">, </w:t>
      </w:r>
      <w:proofErr w:type="spellStart"/>
      <w:r w:rsidR="00086CC5" w:rsidRPr="00086CC5">
        <w:rPr>
          <w:i/>
          <w:iCs/>
        </w:rPr>
        <w:t>Osteocephalus</w:t>
      </w:r>
      <w:proofErr w:type="spellEnd"/>
      <w:r w:rsidR="00086CC5" w:rsidRPr="00086CC5">
        <w:rPr>
          <w:i/>
          <w:iCs/>
        </w:rPr>
        <w:t xml:space="preserve"> </w:t>
      </w:r>
      <w:proofErr w:type="spellStart"/>
      <w:r w:rsidR="00086CC5" w:rsidRPr="00086CC5">
        <w:rPr>
          <w:i/>
          <w:iCs/>
        </w:rPr>
        <w:t>oophagus</w:t>
      </w:r>
      <w:proofErr w:type="spellEnd"/>
      <w:r w:rsidR="00086CC5" w:rsidRPr="00873C8C">
        <w:t xml:space="preserve"> and </w:t>
      </w:r>
      <w:proofErr w:type="spellStart"/>
      <w:r w:rsidR="00086CC5" w:rsidRPr="00086CC5">
        <w:rPr>
          <w:i/>
          <w:iCs/>
        </w:rPr>
        <w:t>Osteocephalus</w:t>
      </w:r>
      <w:proofErr w:type="spellEnd"/>
      <w:r w:rsidR="00086CC5" w:rsidRPr="00086CC5">
        <w:rPr>
          <w:i/>
          <w:iCs/>
        </w:rPr>
        <w:t xml:space="preserve"> </w:t>
      </w:r>
      <w:proofErr w:type="spellStart"/>
      <w:r w:rsidR="00086CC5" w:rsidRPr="00086CC5">
        <w:rPr>
          <w:i/>
          <w:iCs/>
        </w:rPr>
        <w:t>langsdorffii</w:t>
      </w:r>
      <w:proofErr w:type="spellEnd"/>
      <w:r w:rsidR="00086CC5">
        <w:rPr>
          <w:rFonts w:eastAsiaTheme="minorEastAsia"/>
          <w:color w:val="000000" w:themeColor="text1"/>
        </w:rPr>
        <w:t xml:space="preserve"> </w:t>
      </w:r>
      <w:r w:rsidR="008524BD">
        <w:rPr>
          <w:rFonts w:eastAsiaTheme="minorEastAsia"/>
          <w:color w:val="000000" w:themeColor="text1"/>
        </w:rPr>
        <w:fldChar w:fldCharType="begin" w:fldLock="1"/>
      </w:r>
      <w:r w:rsidR="00030235">
        <w:rPr>
          <w:rFonts w:eastAsiaTheme="minorEastAsia"/>
          <w:color w:val="000000" w:themeColor="text1"/>
        </w:rPr>
        <w:instrText>ADDIN CSL_CITATION {"citationItems":[{"id":"ITEM-1","itemData":{"DOI":"10.1016/j.toxicon.2005.02.006","ISSN":"00410101","PMID":"16054186","abstract":"Bufotenin (5-hydroxy-N,N-dimetyltryptamine) is a tryptamine alkaloid widely spread among anuran families as a component of their chemical defense system, acting as a potent hallucinogenic factor, showing similar activity to LSD upon interaction with the 5HT2 human receptor. This work demonstrates the presence of bufotenin in the skin secretion of three arboreal amphibian species of the Osteocephalus genus (Osteocephalus taurinus, Osteocephalus oophagus and Osteocephalus langsdorffii) from the Amazon and the Atlantic rain forests using RP-HPLC, ESI-MS/MS, UV, IR and multidimensional NMR techniques. To our knowledge, this is the first description of bufotenin in the Osteocephalus genus, so far. © 2005 Elsevier Ltd. All rights reserved.","author":[{"dropping-particle":"","family":"Costa","given":"T. O.G.","non-dropping-particle":"","parse-names":false,"suffix":""},{"dropping-particle":"","family":"Morales","given":"R. A.V.","non-dropping-particle":"","parse-names":false,"suffix":""},{"dropping-particle":"","family":"Brito","given":"J. P.","non-dropping-particle":"","parse-names":false,"suffix":""},{"dropping-particle":"","family":"Gordo","given":"M.","non-dropping-particle":"","parse-names":false,"suffix":""},{"dropping-particle":"","family":"Pinto","given":"A. C.","non-dropping-particle":"","parse-names":false,"suffix":""},{"dropping-particle":"","family":"Bloch","given":"C.","non-dropping-particle":"","parse-names":false,"suffix":""}],"container-title":"Toxicon","id":"ITEM-1","issue":"4","issued":{"date-parts":[["2005","9","15"]]},"page":"371-375","publisher":"Elsevier Ltd","title":"Occurrence of bufotenin in the Osteocephalus genus (Anura: Hylidae)","type":"article-journal","volume":"46"},"uris":["http://www.mendeley.com/documents/?uuid=7dc333b2-e359-3899-89c5-0a0781e2f664"]}],"mendeley":{"formattedCitation":"(98)","plainTextFormattedCitation":"(98)","previouslyFormattedCitation":"(98)"},"properties":{"noteIndex":0},"schema":"https://github.com/citation-style-language/schema/raw/master/csl-citation.json"}</w:instrText>
      </w:r>
      <w:r w:rsidR="008524BD">
        <w:rPr>
          <w:rFonts w:eastAsiaTheme="minorEastAsia"/>
          <w:color w:val="000000" w:themeColor="text1"/>
        </w:rPr>
        <w:fldChar w:fldCharType="separate"/>
      </w:r>
      <w:r w:rsidR="00030235" w:rsidRPr="00030235">
        <w:rPr>
          <w:rFonts w:eastAsiaTheme="minorEastAsia"/>
          <w:noProof/>
          <w:color w:val="000000" w:themeColor="text1"/>
        </w:rPr>
        <w:t>(98)</w:t>
      </w:r>
      <w:r w:rsidR="008524BD">
        <w:rPr>
          <w:rFonts w:eastAsiaTheme="minorEastAsia"/>
          <w:color w:val="000000" w:themeColor="text1"/>
        </w:rPr>
        <w:fldChar w:fldCharType="end"/>
      </w:r>
      <w:r w:rsidRPr="007602BA">
        <w:rPr>
          <w:rFonts w:eastAsiaTheme="minorEastAsia"/>
          <w:color w:val="000000" w:themeColor="text1"/>
        </w:rPr>
        <w:t xml:space="preserve">. This is </w:t>
      </w:r>
      <w:r w:rsidR="00777217">
        <w:rPr>
          <w:rFonts w:eastAsiaTheme="minorEastAsia"/>
          <w:color w:val="000000" w:themeColor="text1"/>
        </w:rPr>
        <w:t>another example of</w:t>
      </w:r>
      <w:r w:rsidRPr="007602BA">
        <w:rPr>
          <w:rFonts w:eastAsiaTheme="minorEastAsia"/>
          <w:color w:val="000000" w:themeColor="text1"/>
        </w:rPr>
        <w:t xml:space="preserve"> natural </w:t>
      </w:r>
      <w:proofErr w:type="gramStart"/>
      <w:r w:rsidRPr="007602BA">
        <w:rPr>
          <w:rFonts w:eastAsiaTheme="minorEastAsia"/>
          <w:color w:val="000000" w:themeColor="text1"/>
        </w:rPr>
        <w:t>product</w:t>
      </w:r>
      <w:r w:rsidR="00367EEC">
        <w:rPr>
          <w:rFonts w:eastAsiaTheme="minorEastAsia"/>
          <w:color w:val="000000" w:themeColor="text1"/>
        </w:rPr>
        <w:t>s</w:t>
      </w:r>
      <w:proofErr w:type="gramEnd"/>
      <w:r w:rsidRPr="007602BA">
        <w:rPr>
          <w:rFonts w:eastAsiaTheme="minorEastAsia"/>
          <w:color w:val="000000" w:themeColor="text1"/>
        </w:rPr>
        <w:t xml:space="preserve"> chemistry, </w:t>
      </w:r>
      <w:r w:rsidR="00ED609E" w:rsidRPr="007602BA">
        <w:rPr>
          <w:rFonts w:eastAsiaTheme="minorEastAsia"/>
          <w:color w:val="000000" w:themeColor="text1"/>
        </w:rPr>
        <w:t>as the</w:t>
      </w:r>
      <w:r w:rsidRPr="007602BA">
        <w:rPr>
          <w:rFonts w:eastAsiaTheme="minorEastAsia"/>
          <w:color w:val="000000" w:themeColor="text1"/>
        </w:rPr>
        <w:t xml:space="preserve"> natural products definition not only encompasses plants but any material or substance that derives from an organism. Amphibian skin secretion </w:t>
      </w:r>
      <w:r w:rsidR="00777217">
        <w:rPr>
          <w:rFonts w:eastAsiaTheme="minorEastAsia"/>
          <w:color w:val="000000" w:themeColor="text1"/>
        </w:rPr>
        <w:t>was</w:t>
      </w:r>
      <w:r w:rsidRPr="007602BA">
        <w:rPr>
          <w:rFonts w:eastAsiaTheme="minorEastAsia"/>
          <w:color w:val="000000" w:themeColor="text1"/>
        </w:rPr>
        <w:t xml:space="preserve"> analysed with </w:t>
      </w:r>
      <w:r w:rsidRPr="007602BA">
        <w:rPr>
          <w:color w:val="000000" w:themeColor="text1"/>
          <w:shd w:val="clear" w:color="auto" w:fill="FFFFFF"/>
          <w:vertAlign w:val="superscript"/>
        </w:rPr>
        <w:t>1</w:t>
      </w:r>
      <w:r w:rsidRPr="007602BA">
        <w:rPr>
          <w:color w:val="000000" w:themeColor="text1"/>
          <w:shd w:val="clear" w:color="auto" w:fill="FFFFFF"/>
        </w:rPr>
        <w:t>H</w:t>
      </w:r>
      <w:r w:rsidRPr="007602BA">
        <w:rPr>
          <w:color w:val="000000" w:themeColor="text1"/>
          <w:vertAlign w:val="superscript"/>
        </w:rPr>
        <w:t xml:space="preserve"> </w:t>
      </w:r>
      <w:r w:rsidRPr="007602BA">
        <w:rPr>
          <w:rFonts w:eastAsiaTheme="minorEastAsia"/>
          <w:color w:val="000000" w:themeColor="text1"/>
        </w:rPr>
        <w:t>NMR spectroscopy</w:t>
      </w:r>
      <w:r w:rsidR="00777217">
        <w:rPr>
          <w:rFonts w:eastAsiaTheme="minorEastAsia"/>
          <w:color w:val="000000" w:themeColor="text1"/>
        </w:rPr>
        <w:t xml:space="preserve"> and</w:t>
      </w:r>
      <w:r w:rsidRPr="007602BA">
        <w:rPr>
          <w:rFonts w:eastAsiaTheme="minorEastAsia"/>
          <w:color w:val="000000" w:themeColor="text1"/>
        </w:rPr>
        <w:t xml:space="preserve"> it revealed the presence of </w:t>
      </w:r>
      <w:r w:rsidR="004F492C">
        <w:rPr>
          <w:rFonts w:eastAsiaTheme="minorEastAsia"/>
          <w:color w:val="000000" w:themeColor="text1"/>
        </w:rPr>
        <w:t xml:space="preserve">DMT, </w:t>
      </w:r>
      <w:r w:rsidR="007602BA" w:rsidRPr="007602BA">
        <w:rPr>
          <w:color w:val="000000" w:themeColor="text1"/>
        </w:rPr>
        <w:t>bufotenin</w:t>
      </w:r>
      <w:r w:rsidR="00085B14">
        <w:rPr>
          <w:color w:val="000000" w:themeColor="text1"/>
        </w:rPr>
        <w:t>e</w:t>
      </w:r>
      <w:r w:rsidR="00ED609E" w:rsidRPr="007602BA">
        <w:rPr>
          <w:color w:val="000000" w:themeColor="text1"/>
        </w:rPr>
        <w:t xml:space="preserve"> </w:t>
      </w:r>
      <w:r w:rsidR="00085B14" w:rsidRPr="007602BA">
        <w:rPr>
          <w:color w:val="000000" w:themeColor="text1"/>
        </w:rPr>
        <w:t>(</w:t>
      </w:r>
      <w:r w:rsidR="00085B14" w:rsidRPr="006F36B5">
        <w:rPr>
          <w:shd w:val="clear" w:color="auto" w:fill="FFFFFF"/>
        </w:rPr>
        <w:t>5-hydroxy-dimethyltryptamine</w:t>
      </w:r>
      <w:r w:rsidR="00085B14">
        <w:rPr>
          <w:shd w:val="clear" w:color="auto" w:fill="FFFFFF"/>
        </w:rPr>
        <w:t xml:space="preserve">; </w:t>
      </w:r>
      <w:r w:rsidR="00085B14" w:rsidRPr="007602BA">
        <w:rPr>
          <w:color w:val="000000" w:themeColor="text1"/>
          <w:shd w:val="clear" w:color="auto" w:fill="FFFFFF"/>
        </w:rPr>
        <w:t>5-HO-DMT</w:t>
      </w:r>
      <w:r w:rsidR="00085B14" w:rsidRPr="007602BA">
        <w:rPr>
          <w:color w:val="000000" w:themeColor="text1"/>
        </w:rPr>
        <w:t>)</w:t>
      </w:r>
      <w:r w:rsidR="004F492C">
        <w:rPr>
          <w:color w:val="000000" w:themeColor="text1"/>
        </w:rPr>
        <w:t xml:space="preserve"> and 5-HT; all </w:t>
      </w:r>
      <w:r w:rsidR="00085B14">
        <w:rPr>
          <w:color w:val="000000" w:themeColor="text1"/>
        </w:rPr>
        <w:t>molecule</w:t>
      </w:r>
      <w:r w:rsidR="004F492C">
        <w:rPr>
          <w:color w:val="000000" w:themeColor="text1"/>
        </w:rPr>
        <w:t>s</w:t>
      </w:r>
      <w:r w:rsidR="00085B14" w:rsidRPr="007602BA">
        <w:rPr>
          <w:color w:val="000000" w:themeColor="text1"/>
        </w:rPr>
        <w:t xml:space="preserve"> </w:t>
      </w:r>
      <w:r w:rsidR="004F492C">
        <w:rPr>
          <w:color w:val="000000" w:themeColor="text1"/>
        </w:rPr>
        <w:t>that belong to the</w:t>
      </w:r>
      <w:r w:rsidR="00085B14">
        <w:rPr>
          <w:color w:val="000000" w:themeColor="text1"/>
        </w:rPr>
        <w:t xml:space="preserve"> tryptamine class</w:t>
      </w:r>
      <w:r w:rsidR="004F492C">
        <w:rPr>
          <w:color w:val="000000" w:themeColor="text1"/>
        </w:rPr>
        <w:t xml:space="preserve">. </w:t>
      </w:r>
      <w:r w:rsidR="00085B14">
        <w:rPr>
          <w:color w:val="000000" w:themeColor="text1"/>
        </w:rPr>
        <w:t>Overall, this</w:t>
      </w:r>
      <w:r w:rsidR="007602BA">
        <w:rPr>
          <w:color w:val="000000" w:themeColor="text1"/>
        </w:rPr>
        <w:t xml:space="preserve"> paper was useful in </w:t>
      </w:r>
      <w:r w:rsidRPr="007602BA">
        <w:rPr>
          <w:color w:val="000000" w:themeColor="text1"/>
        </w:rPr>
        <w:t>broaden</w:t>
      </w:r>
      <w:r w:rsidR="007602BA">
        <w:rPr>
          <w:color w:val="000000" w:themeColor="text1"/>
        </w:rPr>
        <w:t xml:space="preserve">ing </w:t>
      </w:r>
      <w:r w:rsidRPr="007602BA">
        <w:rPr>
          <w:color w:val="000000" w:themeColor="text1"/>
        </w:rPr>
        <w:t>the knowledge of potential sources of naturally abundant psychedelic molecules</w:t>
      </w:r>
      <w:r w:rsidR="00BC5D33">
        <w:rPr>
          <w:color w:val="000000" w:themeColor="text1"/>
        </w:rPr>
        <w:t xml:space="preserve">. </w:t>
      </w:r>
      <w:r w:rsidR="00777217">
        <w:rPr>
          <w:color w:val="000000" w:themeColor="text1"/>
        </w:rPr>
        <w:t xml:space="preserve">Moreover, </w:t>
      </w:r>
      <w:r w:rsidR="00085B14">
        <w:rPr>
          <w:color w:val="000000" w:themeColor="text1"/>
        </w:rPr>
        <w:t xml:space="preserve">the paper </w:t>
      </w:r>
      <w:r w:rsidR="007602BA">
        <w:rPr>
          <w:color w:val="000000" w:themeColor="text1"/>
        </w:rPr>
        <w:t>also improv</w:t>
      </w:r>
      <w:r w:rsidR="00777217">
        <w:rPr>
          <w:color w:val="000000" w:themeColor="text1"/>
        </w:rPr>
        <w:t>es</w:t>
      </w:r>
      <w:r w:rsidR="007602BA">
        <w:rPr>
          <w:color w:val="000000" w:themeColor="text1"/>
        </w:rPr>
        <w:t xml:space="preserve"> the molecular understanding of toad </w:t>
      </w:r>
      <w:r w:rsidR="00082B9C">
        <w:rPr>
          <w:color w:val="000000" w:themeColor="text1"/>
        </w:rPr>
        <w:t>secretion</w:t>
      </w:r>
      <w:r w:rsidR="00085B14">
        <w:rPr>
          <w:color w:val="000000" w:themeColor="text1"/>
        </w:rPr>
        <w:t xml:space="preserve"> which </w:t>
      </w:r>
      <w:r w:rsidR="00777217">
        <w:rPr>
          <w:color w:val="000000" w:themeColor="text1"/>
        </w:rPr>
        <w:t xml:space="preserve">could be potential complementary </w:t>
      </w:r>
      <w:r w:rsidR="00085B14">
        <w:rPr>
          <w:color w:val="000000" w:themeColor="text1"/>
        </w:rPr>
        <w:t>reference</w:t>
      </w:r>
      <w:r w:rsidR="00777217">
        <w:rPr>
          <w:color w:val="000000" w:themeColor="text1"/>
        </w:rPr>
        <w:t xml:space="preserve"> for </w:t>
      </w:r>
      <w:r w:rsidR="00BC5D33">
        <w:rPr>
          <w:color w:val="000000" w:themeColor="text1"/>
        </w:rPr>
        <w:t xml:space="preserve">studies on </w:t>
      </w:r>
      <w:r w:rsidR="00777217">
        <w:rPr>
          <w:color w:val="000000" w:themeColor="text1"/>
        </w:rPr>
        <w:t xml:space="preserve">5-MeO-DMT </w:t>
      </w:r>
      <w:r w:rsidR="00BC5D33">
        <w:rPr>
          <w:color w:val="000000" w:themeColor="text1"/>
        </w:rPr>
        <w:t xml:space="preserve">derived from </w:t>
      </w:r>
      <w:r w:rsidR="00777217">
        <w:rPr>
          <w:color w:val="000000" w:themeColor="text1"/>
        </w:rPr>
        <w:t>toad secretion</w:t>
      </w:r>
      <w:r w:rsidR="007602BA">
        <w:rPr>
          <w:color w:val="000000" w:themeColor="text1"/>
        </w:rPr>
        <w:t xml:space="preserve">. </w:t>
      </w:r>
    </w:p>
    <w:p w14:paraId="0937CBF3" w14:textId="77777777" w:rsidR="00E24597" w:rsidRDefault="00E24597" w:rsidP="00E50706">
      <w:pPr>
        <w:rPr>
          <w:color w:val="000000" w:themeColor="text1"/>
        </w:rPr>
      </w:pPr>
    </w:p>
    <w:p w14:paraId="4781F13F" w14:textId="77777777" w:rsidR="00E50706" w:rsidRDefault="00E50706" w:rsidP="00E50706">
      <w:pPr>
        <w:rPr>
          <w:b/>
          <w:bCs/>
          <w:color w:val="000000" w:themeColor="text1"/>
          <w:shd w:val="clear" w:color="auto" w:fill="FFFFFF"/>
          <w:vertAlign w:val="superscript"/>
        </w:rPr>
      </w:pPr>
    </w:p>
    <w:p w14:paraId="1093F6FE" w14:textId="346FFE77" w:rsidR="00FE21BC" w:rsidRDefault="00FE21BC" w:rsidP="00E50706">
      <w:pPr>
        <w:rPr>
          <w:rFonts w:eastAsiaTheme="minorEastAsia"/>
          <w:b/>
          <w:bCs/>
          <w:color w:val="000000"/>
        </w:rPr>
      </w:pPr>
      <w:r w:rsidRPr="00C64B2F">
        <w:rPr>
          <w:b/>
          <w:bCs/>
          <w:color w:val="000000" w:themeColor="text1"/>
          <w:shd w:val="clear" w:color="auto" w:fill="FFFFFF"/>
          <w:vertAlign w:val="superscript"/>
        </w:rPr>
        <w:t>1</w:t>
      </w:r>
      <w:r w:rsidRPr="00C64B2F">
        <w:rPr>
          <w:b/>
          <w:bCs/>
          <w:color w:val="000000" w:themeColor="text1"/>
          <w:shd w:val="clear" w:color="auto" w:fill="FFFFFF"/>
        </w:rPr>
        <w:t>H</w:t>
      </w:r>
      <w:r w:rsidRPr="00C64B2F">
        <w:rPr>
          <w:b/>
          <w:bCs/>
          <w:vertAlign w:val="superscript"/>
        </w:rPr>
        <w:t xml:space="preserve"> </w:t>
      </w:r>
      <w:r w:rsidRPr="00C64B2F">
        <w:rPr>
          <w:rFonts w:eastAsiaTheme="minorEastAsia"/>
          <w:b/>
          <w:bCs/>
          <w:color w:val="000000"/>
        </w:rPr>
        <w:t>NMR can</w:t>
      </w:r>
      <w:r w:rsidR="00C10351">
        <w:rPr>
          <w:rFonts w:eastAsiaTheme="minorEastAsia"/>
          <w:b/>
          <w:bCs/>
          <w:color w:val="000000"/>
        </w:rPr>
        <w:t xml:space="preserve"> investigate</w:t>
      </w:r>
      <w:r w:rsidR="00B5189D">
        <w:rPr>
          <w:rFonts w:eastAsiaTheme="minorEastAsia"/>
          <w:b/>
          <w:bCs/>
          <w:color w:val="000000"/>
        </w:rPr>
        <w:t xml:space="preserve"> metabolites related to</w:t>
      </w:r>
      <w:r w:rsidRPr="00C64B2F">
        <w:rPr>
          <w:rFonts w:eastAsiaTheme="minorEastAsia"/>
          <w:b/>
          <w:bCs/>
          <w:color w:val="000000"/>
        </w:rPr>
        <w:t xml:space="preserve"> </w:t>
      </w:r>
      <w:proofErr w:type="spellStart"/>
      <w:r w:rsidR="004B67A4">
        <w:rPr>
          <w:rFonts w:eastAsiaTheme="minorEastAsia"/>
          <w:b/>
          <w:bCs/>
          <w:color w:val="000000"/>
        </w:rPr>
        <w:t>psilocybe</w:t>
      </w:r>
      <w:proofErr w:type="spellEnd"/>
      <w:r w:rsidR="004B67A4">
        <w:rPr>
          <w:rFonts w:eastAsiaTheme="minorEastAsia"/>
          <w:b/>
          <w:bCs/>
          <w:color w:val="000000"/>
        </w:rPr>
        <w:t xml:space="preserve"> mushroom</w:t>
      </w:r>
      <w:r w:rsidR="00B5189D">
        <w:rPr>
          <w:rFonts w:eastAsiaTheme="minorEastAsia"/>
          <w:b/>
          <w:bCs/>
          <w:color w:val="000000"/>
        </w:rPr>
        <w:t>s.</w:t>
      </w:r>
    </w:p>
    <w:p w14:paraId="1C7E31D7" w14:textId="77777777" w:rsidR="002007F2" w:rsidRDefault="002007F2" w:rsidP="00E50706">
      <w:pPr>
        <w:rPr>
          <w:rFonts w:eastAsiaTheme="minorEastAsia"/>
          <w:color w:val="000000"/>
        </w:rPr>
      </w:pPr>
    </w:p>
    <w:p w14:paraId="13954DE4" w14:textId="1717E98C" w:rsidR="00AF320E" w:rsidRDefault="003233A2" w:rsidP="00E50706">
      <w:pPr>
        <w:rPr>
          <w:rFonts w:eastAsiaTheme="minorEastAsia"/>
          <w:color w:val="000000" w:themeColor="text1"/>
        </w:rPr>
      </w:pPr>
      <w:r>
        <w:rPr>
          <w:rFonts w:eastAsiaTheme="minorEastAsia"/>
          <w:color w:val="000000"/>
        </w:rPr>
        <w:t xml:space="preserve">There are over 200 types of taxonomically classified </w:t>
      </w:r>
      <w:proofErr w:type="spellStart"/>
      <w:r>
        <w:rPr>
          <w:rFonts w:eastAsiaTheme="minorEastAsia"/>
          <w:color w:val="000000"/>
        </w:rPr>
        <w:t>psilocybe</w:t>
      </w:r>
      <w:proofErr w:type="spellEnd"/>
      <w:r>
        <w:rPr>
          <w:rFonts w:eastAsiaTheme="minorEastAsia"/>
          <w:color w:val="000000"/>
        </w:rPr>
        <w:t xml:space="preserve"> mushrooms</w:t>
      </w:r>
      <w:r>
        <w:rPr>
          <w:rFonts w:eastAsiaTheme="minorEastAsia"/>
          <w:color w:val="000000"/>
        </w:rPr>
        <w:fldChar w:fldCharType="begin" w:fldLock="1"/>
      </w:r>
      <w:r w:rsidR="00112529">
        <w:rPr>
          <w:rFonts w:eastAsiaTheme="minorEastAsia"/>
          <w:color w:val="000000"/>
        </w:rPr>
        <w:instrText>ADDIN CSL_CITATION {"citationItems":[{"id":"ITEM-1","itemData":{"author":[{"dropping-particle":"","family":"Guzmán","given":"Gastón","non-dropping-particle":"","parse-names":false,"suffix":""},{"dropping-particle":"","family":"Guzmán","given":"Gastón","non-dropping-particle":"","parse-names":false,"suffix":""},{"dropping-particle":"","family":"Allen","given":"John W.","non-dropping-particle":"","parse-names":false,"suffix":""},{"dropping-particle":"","family":"Gartz","given":"Jochen","non-dropping-particle":"","parse-names":false,"suffix":""}],"id":"ITEM-1","issued":{"date-parts":[["0"]]},"title":"A Worldwide geographical distribution of the Neurotropic Fungi, an analysis and discussion","type":"article-journal"},"uris":["http://www.mendeley.com/documents/?uuid=dc48c83a-78a8-365a-9898-9b71609abc66"]}],"mendeley":{"formattedCitation":"(132)","plainTextFormattedCitation":"(132)","previouslyFormattedCitation":"(132)"},"properties":{"noteIndex":0},"schema":"https://github.com/citation-style-language/schema/raw/master/csl-citation.json"}</w:instrText>
      </w:r>
      <w:r>
        <w:rPr>
          <w:rFonts w:eastAsiaTheme="minorEastAsia"/>
          <w:color w:val="000000"/>
        </w:rPr>
        <w:fldChar w:fldCharType="separate"/>
      </w:r>
      <w:r w:rsidR="00133B53" w:rsidRPr="00133B53">
        <w:rPr>
          <w:rFonts w:eastAsiaTheme="minorEastAsia"/>
          <w:noProof/>
          <w:color w:val="000000"/>
        </w:rPr>
        <w:t>(132)</w:t>
      </w:r>
      <w:r>
        <w:rPr>
          <w:rFonts w:eastAsiaTheme="minorEastAsia"/>
          <w:color w:val="000000"/>
        </w:rPr>
        <w:fldChar w:fldCharType="end"/>
      </w:r>
      <w:r>
        <w:rPr>
          <w:rFonts w:eastAsiaTheme="minorEastAsia"/>
          <w:color w:val="000000"/>
        </w:rPr>
        <w:t xml:space="preserve">, </w:t>
      </w:r>
      <w:r w:rsidR="00BC5D33">
        <w:rPr>
          <w:rFonts w:eastAsiaTheme="minorEastAsia"/>
          <w:color w:val="000000"/>
        </w:rPr>
        <w:t>and t</w:t>
      </w:r>
      <w:r>
        <w:rPr>
          <w:rFonts w:eastAsiaTheme="minorEastAsia"/>
          <w:color w:val="000000"/>
        </w:rPr>
        <w:t xml:space="preserve">here </w:t>
      </w:r>
      <w:r w:rsidR="00085B14">
        <w:rPr>
          <w:rFonts w:eastAsiaTheme="minorEastAsia"/>
          <w:color w:val="000000"/>
        </w:rPr>
        <w:t>wer</w:t>
      </w:r>
      <w:r>
        <w:rPr>
          <w:rFonts w:eastAsiaTheme="minorEastAsia"/>
          <w:color w:val="000000"/>
        </w:rPr>
        <w:t xml:space="preserve">e three papers in this review that utilised </w:t>
      </w:r>
      <w:r w:rsidRPr="00F00BA9">
        <w:rPr>
          <w:color w:val="000000" w:themeColor="text1"/>
          <w:shd w:val="clear" w:color="auto" w:fill="FFFFFF"/>
          <w:vertAlign w:val="superscript"/>
        </w:rPr>
        <w:t>1</w:t>
      </w:r>
      <w:r w:rsidRPr="00F00BA9">
        <w:rPr>
          <w:color w:val="000000" w:themeColor="text1"/>
          <w:shd w:val="clear" w:color="auto" w:fill="FFFFFF"/>
        </w:rPr>
        <w:t>H</w:t>
      </w:r>
      <w:r w:rsidRPr="00F00BA9">
        <w:rPr>
          <w:color w:val="000000" w:themeColor="text1"/>
          <w:vertAlign w:val="superscript"/>
        </w:rPr>
        <w:t xml:space="preserve"> </w:t>
      </w:r>
      <w:r w:rsidRPr="00F00BA9">
        <w:rPr>
          <w:rFonts w:eastAsiaTheme="minorEastAsia"/>
          <w:color w:val="000000" w:themeColor="text1"/>
        </w:rPr>
        <w:t>NMR</w:t>
      </w:r>
      <w:r>
        <w:rPr>
          <w:rFonts w:eastAsiaTheme="minorEastAsia"/>
          <w:color w:val="000000" w:themeColor="text1"/>
        </w:rPr>
        <w:t xml:space="preserve"> spectroscopy to investigate the</w:t>
      </w:r>
      <w:r w:rsidR="002C7794">
        <w:rPr>
          <w:rFonts w:eastAsiaTheme="minorEastAsia"/>
          <w:color w:val="000000" w:themeColor="text1"/>
        </w:rPr>
        <w:t xml:space="preserve"> molecules associated with the</w:t>
      </w:r>
      <w:r>
        <w:rPr>
          <w:rFonts w:eastAsiaTheme="minorEastAsia"/>
          <w:color w:val="000000" w:themeColor="text1"/>
        </w:rPr>
        <w:t xml:space="preserve"> </w:t>
      </w:r>
      <w:proofErr w:type="spellStart"/>
      <w:r>
        <w:rPr>
          <w:rFonts w:eastAsiaTheme="minorEastAsia"/>
          <w:color w:val="000000" w:themeColor="text1"/>
        </w:rPr>
        <w:t>psilocybe</w:t>
      </w:r>
      <w:proofErr w:type="spellEnd"/>
      <w:r>
        <w:rPr>
          <w:rFonts w:eastAsiaTheme="minorEastAsia"/>
          <w:color w:val="000000" w:themeColor="text1"/>
        </w:rPr>
        <w:t xml:space="preserve"> mushroom in greater detail</w:t>
      </w:r>
      <w:r w:rsidRPr="000B2D36">
        <w:rPr>
          <w:rFonts w:eastAsiaTheme="minorEastAsia"/>
          <w:color w:val="000000" w:themeColor="text1"/>
        </w:rPr>
        <w:t xml:space="preserve">. </w:t>
      </w:r>
      <w:r w:rsidR="00744931" w:rsidRPr="000B2D36">
        <w:rPr>
          <w:rFonts w:eastAsiaTheme="minorEastAsia"/>
          <w:color w:val="000000"/>
        </w:rPr>
        <w:t>Blei</w:t>
      </w:r>
      <w:r w:rsidR="00744931" w:rsidRPr="000B2D36">
        <w:rPr>
          <w:rFonts w:eastAsiaTheme="minorEastAsia"/>
          <w:i/>
          <w:iCs/>
          <w:color w:val="000000"/>
        </w:rPr>
        <w:t xml:space="preserve"> et al.</w:t>
      </w:r>
      <w:r w:rsidR="008524BD" w:rsidRPr="000B2D36">
        <w:rPr>
          <w:rFonts w:eastAsiaTheme="minorEastAsia"/>
          <w:color w:val="000000"/>
        </w:rPr>
        <w:fldChar w:fldCharType="begin" w:fldLock="1"/>
      </w:r>
      <w:r w:rsidR="00030235">
        <w:rPr>
          <w:rFonts w:eastAsiaTheme="minorEastAsia"/>
          <w:color w:val="000000"/>
        </w:rPr>
        <w:instrText>ADDIN CSL_CITATION {"citationItems":[{"id":"ITEM-1","itemData":{"DOI":"10.1002/chem.201904363","ISSN":"15213765","PMID":"31729089","abstract":"The psychotropic effects of Psilocybe “magic” mushrooms are caused by the l-tryptophan-derived alkaloid psilocybin. Despite their significance, the secondary metabolome of these fungi is poorly understood in general. Our analysis of four Psilocybe species identified harmane, harmine, and a range of other l-tryptophan-derived β-carbolines as their natural products, which was confirmed by 1D and 2D NMR spectroscopy. Stable-isotope labeling with 13C11-l-tryptophan verified the β-carbolines as biosynthetic products of these fungi. In addition, MALDI-MS imaging showed that β-carbolines accumulate toward the hyphal apices. As potent inhibitors of monoamine oxidases, β-carbolines are neuroactive compounds and interfere with psilocybin degradation. Therefore, our findings represent an unprecedented scenario of natural product pathways that diverge from the same building block and produce dissimilar compounds, yet contribute directly or indirectly to the same pharmacological effects.","author":[{"dropping-particle":"","family":"Blei","given":"Felix","non-dropping-particle":"","parse-names":false,"suffix":""},{"dropping-particle":"","family":"Dörner","given":"Sebastian","non-dropping-particle":"","parse-names":false,"suffix":""},{"dropping-particle":"","family":"Fricke","given":"Janis","non-dropping-particle":"","parse-names":false,"suffix":""},{"dropping-particle":"","family":"Baldeweg","given":"Florian","non-dropping-particle":"","parse-names":false,"suffix":""},{"dropping-particle":"","family":"Trottmann","given":"Felix","non-dropping-particle":"","parse-names":false,"suffix":""},{"dropping-particle":"","family":"Komor","given":"Anna","non-dropping-particle":"","parse-names":false,"suffix":""},{"dropping-particle":"","family":"Meyer","given":"Florian","non-dropping-particle":"","parse-names":false,"suffix":""},{"dropping-particle":"","family":"Hertweck","given":"Christian","non-dropping-particle":"","parse-names":false,"suffix":""},{"dropping-particle":"","family":"Hoffmeister","given":"Dirk","non-dropping-particle":"","parse-names":false,"suffix":""}],"container-title":"Chemistry - A European Journal","id":"ITEM-1","issue":"3","issued":{"date-parts":[["2020","1","13"]]},"page":"729-734","publisher":"Wiley-VCH Verlag","title":"Simultaneous Production of Psilocybin and a Cocktail of β-Carboline Monoamine Oxidase Inhibitors in “Magic” Mushrooms","type":"article-journal","volume":"26"},"uris":["http://www.mendeley.com/documents/?uuid=80e292a2-9ebd-3f2f-82bc-171c3365ba23"]}],"mendeley":{"formattedCitation":"(95)","plainTextFormattedCitation":"(95)","previouslyFormattedCitation":"(95)"},"properties":{"noteIndex":0},"schema":"https://github.com/citation-style-language/schema/raw/master/csl-citation.json"}</w:instrText>
      </w:r>
      <w:r w:rsidR="008524BD" w:rsidRPr="000B2D36">
        <w:rPr>
          <w:rFonts w:eastAsiaTheme="minorEastAsia"/>
          <w:color w:val="000000"/>
        </w:rPr>
        <w:fldChar w:fldCharType="separate"/>
      </w:r>
      <w:r w:rsidR="00030235" w:rsidRPr="00030235">
        <w:rPr>
          <w:rFonts w:eastAsiaTheme="minorEastAsia"/>
          <w:noProof/>
          <w:color w:val="000000"/>
        </w:rPr>
        <w:t>(95)</w:t>
      </w:r>
      <w:r w:rsidR="008524BD" w:rsidRPr="000B2D36">
        <w:rPr>
          <w:rFonts w:eastAsiaTheme="minorEastAsia"/>
          <w:color w:val="000000"/>
        </w:rPr>
        <w:fldChar w:fldCharType="end"/>
      </w:r>
      <w:r w:rsidR="00744931" w:rsidRPr="000B2D36">
        <w:rPr>
          <w:rFonts w:eastAsiaTheme="minorEastAsia"/>
          <w:color w:val="000000"/>
        </w:rPr>
        <w:t xml:space="preserve"> managed to identify</w:t>
      </w:r>
      <w:r w:rsidR="000B2D36" w:rsidRPr="000B2D36">
        <w:rPr>
          <w:rFonts w:eastAsiaTheme="minorEastAsia"/>
          <w:color w:val="000000"/>
        </w:rPr>
        <w:t xml:space="preserve"> </w:t>
      </w:r>
      <w:r w:rsidR="000B2D36" w:rsidRPr="000B2D36">
        <w:rPr>
          <w:rStyle w:val="Emphasis"/>
          <w:i w:val="0"/>
          <w:iCs w:val="0"/>
          <w:color w:val="000000" w:themeColor="text1"/>
          <w:shd w:val="clear" w:color="auto" w:fill="FFFFFF"/>
        </w:rPr>
        <w:t xml:space="preserve">in the </w:t>
      </w:r>
      <w:proofErr w:type="spellStart"/>
      <w:r w:rsidR="000B2D36" w:rsidRPr="000B2D36">
        <w:rPr>
          <w:rStyle w:val="Emphasis"/>
          <w:i w:val="0"/>
          <w:iCs w:val="0"/>
          <w:color w:val="000000" w:themeColor="text1"/>
          <w:shd w:val="clear" w:color="auto" w:fill="FFFFFF"/>
        </w:rPr>
        <w:t>psilocybe</w:t>
      </w:r>
      <w:proofErr w:type="spellEnd"/>
      <w:r w:rsidR="000B2D36" w:rsidRPr="000B2D36">
        <w:rPr>
          <w:rStyle w:val="Emphasis"/>
          <w:i w:val="0"/>
          <w:iCs w:val="0"/>
          <w:color w:val="000000" w:themeColor="text1"/>
          <w:shd w:val="clear" w:color="auto" w:fill="FFFFFF"/>
        </w:rPr>
        <w:t xml:space="preserve"> mushroom</w:t>
      </w:r>
      <w:r w:rsidR="00744931" w:rsidRPr="000B2D36">
        <w:rPr>
          <w:rFonts w:eastAsiaTheme="minorEastAsia"/>
          <w:color w:val="000000"/>
        </w:rPr>
        <w:t xml:space="preserve"> the molecules harmane, </w:t>
      </w:r>
      <w:proofErr w:type="spellStart"/>
      <w:r w:rsidR="00744931" w:rsidRPr="000B2D36">
        <w:rPr>
          <w:rFonts w:eastAsiaTheme="minorEastAsia"/>
          <w:color w:val="000000"/>
        </w:rPr>
        <w:t>harmine</w:t>
      </w:r>
      <w:proofErr w:type="spellEnd"/>
      <w:r w:rsidR="00744931" w:rsidRPr="000B2D36">
        <w:rPr>
          <w:rFonts w:eastAsiaTheme="minorEastAsia"/>
          <w:color w:val="000000"/>
        </w:rPr>
        <w:t xml:space="preserve"> and a variety of</w:t>
      </w:r>
      <w:r w:rsidR="00744931" w:rsidRPr="000B2D36">
        <w:rPr>
          <w:rFonts w:eastAsiaTheme="minorEastAsia"/>
          <w:color w:val="000000" w:themeColor="text1"/>
        </w:rPr>
        <w:t xml:space="preserve"> </w:t>
      </w:r>
      <w:r w:rsidR="00744931" w:rsidRPr="000B2D36">
        <w:rPr>
          <w:rStyle w:val="Emphasis"/>
          <w:i w:val="0"/>
          <w:iCs w:val="0"/>
          <w:color w:val="000000" w:themeColor="text1"/>
          <w:shd w:val="clear" w:color="auto" w:fill="FFFFFF"/>
        </w:rPr>
        <w:t xml:space="preserve">β-carbolines. </w:t>
      </w:r>
      <w:r w:rsidR="00B5189D" w:rsidRPr="000B2D36">
        <w:rPr>
          <w:rStyle w:val="Emphasis"/>
          <w:i w:val="0"/>
          <w:iCs w:val="0"/>
          <w:color w:val="000000" w:themeColor="text1"/>
          <w:shd w:val="clear" w:color="auto" w:fill="FFFFFF"/>
        </w:rPr>
        <w:t xml:space="preserve">In the Lenz </w:t>
      </w:r>
      <w:r w:rsidR="00B5189D" w:rsidRPr="000B2D36">
        <w:rPr>
          <w:rStyle w:val="Emphasis"/>
          <w:color w:val="000000" w:themeColor="text1"/>
          <w:shd w:val="clear" w:color="auto" w:fill="FFFFFF"/>
        </w:rPr>
        <w:t>et al.</w:t>
      </w:r>
      <w:r w:rsidR="008524BD" w:rsidRPr="000B2D36">
        <w:rPr>
          <w:rStyle w:val="Emphasis"/>
          <w:i w:val="0"/>
          <w:iCs w:val="0"/>
          <w:color w:val="000000" w:themeColor="text1"/>
          <w:shd w:val="clear" w:color="auto" w:fill="FFFFFF"/>
        </w:rPr>
        <w:fldChar w:fldCharType="begin" w:fldLock="1"/>
      </w:r>
      <w:r w:rsidR="00030235">
        <w:rPr>
          <w:rStyle w:val="Emphasis"/>
          <w:i w:val="0"/>
          <w:iCs w:val="0"/>
          <w:color w:val="000000" w:themeColor="text1"/>
          <w:shd w:val="clear" w:color="auto" w:fill="FFFFFF"/>
        </w:rPr>
        <w:instrText>ADDIN CSL_CITATION {"citationItems":[{"id":"ITEM-1","itemData":{"DOI":"10.1002/anie.201910175","ISSN":"15213773","PMID":"31725937","abstract":"Upon injury, psychotropic psilocybin-producing mushrooms instantly develop an intense blue color, the chemical basis and mode of formation of which has remained elusive. We report two enzymes from Psilocybe cubensis that carry out a two-step cascade to prepare psilocybin for oxidative oligomerization that leads to blue products. The phosphatase PsiP removes the 4-O-phosphate group to yield psilocin, while PsiL oxidizes its 4-hydroxy group. The PsiL reaction was monitored by in situ 13C NMR spectroscopy, which indicated that oxidative coupling of psilocyl residues occurs primarily via C-5. MS and IR spectroscopy indicated the formation of a heterogeneous mixture of preferentially psilocyl 3- to 13-mers and suggest multiple oligomerization routes, depending on oxidative power and substrate concentration. The results also imply that phosphate ester of psilocybin serves a reversible protective function.","author":[{"dropping-particle":"","family":"Lenz","given":"Claudius","non-dropping-particle":"","parse-names":false,"suffix":""},{"dropping-particle":"","family":"Wick","given":"Jonas","non-dropping-particle":"","parse-names":false,"suffix":""},{"dropping-particle":"","family":"Braga","given":"Daniel","non-dropping-particle":"","parse-names":false,"suffix":""},{"dropping-particle":"","family":"García-Altares","given":"María","non-dropping-particle":"","parse-names":false,"suffix":""},{"dropping-particle":"","family":"Lackner","given":"Gerald","non-dropping-particle":"","parse-names":false,"suffix":""},{"dropping-particle":"","family":"Hertweck","given":"Christian","non-dropping-particle":"","parse-names":false,"suffix":""},{"dropping-particle":"","family":"Gressler","given":"Markus","non-dropping-particle":"","parse-names":false,"suffix":""},{"dropping-particle":"","family":"Hoffmeister","given":"Dirk","non-dropping-particle":"","parse-names":false,"suffix":""}],"container-title":"Angewandte Chemie - International Edition","id":"ITEM-1","issue":"4","issued":{"date-parts":[["2020","1","20"]]},"page":"1450-1454","publisher":"Wiley-VCH Verlag","title":"Injury-Triggered Blueing Reactions of Psilocybe “Magic” Mushrooms","type":"article-journal","volume":"59"},"uris":["http://www.mendeley.com/documents/?uuid=d848bad5-e74b-3958-85eb-3b37db2918d2"]}],"mendeley":{"formattedCitation":"(94)","plainTextFormattedCitation":"(94)","previouslyFormattedCitation":"(94)"},"properties":{"noteIndex":0},"schema":"https://github.com/citation-style-language/schema/raw/master/csl-citation.json"}</w:instrText>
      </w:r>
      <w:r w:rsidR="008524BD" w:rsidRPr="000B2D36">
        <w:rPr>
          <w:rStyle w:val="Emphasis"/>
          <w:i w:val="0"/>
          <w:iCs w:val="0"/>
          <w:color w:val="000000" w:themeColor="text1"/>
          <w:shd w:val="clear" w:color="auto" w:fill="FFFFFF"/>
        </w:rPr>
        <w:fldChar w:fldCharType="separate"/>
      </w:r>
      <w:r w:rsidR="00030235" w:rsidRPr="00030235">
        <w:rPr>
          <w:rStyle w:val="Emphasis"/>
          <w:i w:val="0"/>
          <w:iCs w:val="0"/>
          <w:noProof/>
          <w:color w:val="000000" w:themeColor="text1"/>
          <w:shd w:val="clear" w:color="auto" w:fill="FFFFFF"/>
        </w:rPr>
        <w:t>(94)</w:t>
      </w:r>
      <w:r w:rsidR="008524BD" w:rsidRPr="000B2D36">
        <w:rPr>
          <w:rStyle w:val="Emphasis"/>
          <w:i w:val="0"/>
          <w:iCs w:val="0"/>
          <w:color w:val="000000" w:themeColor="text1"/>
          <w:shd w:val="clear" w:color="auto" w:fill="FFFFFF"/>
        </w:rPr>
        <w:fldChar w:fldCharType="end"/>
      </w:r>
      <w:r w:rsidR="00B5189D" w:rsidRPr="000B2D36">
        <w:rPr>
          <w:rStyle w:val="Emphasis"/>
          <w:i w:val="0"/>
          <w:iCs w:val="0"/>
          <w:color w:val="000000" w:themeColor="text1"/>
          <w:shd w:val="clear" w:color="auto" w:fill="FFFFFF"/>
        </w:rPr>
        <w:t xml:space="preserve"> study,</w:t>
      </w:r>
      <w:r w:rsidR="000B2D36" w:rsidRPr="000B2D36">
        <w:rPr>
          <w:rStyle w:val="Emphasis"/>
          <w:i w:val="0"/>
          <w:iCs w:val="0"/>
          <w:color w:val="000000" w:themeColor="text1"/>
          <w:shd w:val="clear" w:color="auto" w:fill="FFFFFF"/>
        </w:rPr>
        <w:t xml:space="preserve"> two</w:t>
      </w:r>
      <w:r w:rsidR="00B5189D" w:rsidRPr="000B2D36">
        <w:rPr>
          <w:rStyle w:val="Emphasis"/>
          <w:i w:val="0"/>
          <w:iCs w:val="0"/>
          <w:color w:val="000000" w:themeColor="text1"/>
          <w:shd w:val="clear" w:color="auto" w:fill="FFFFFF"/>
        </w:rPr>
        <w:t xml:space="preserve"> </w:t>
      </w:r>
      <w:r w:rsidR="00B5189D" w:rsidRPr="000B2D36">
        <w:rPr>
          <w:rFonts w:eastAsiaTheme="minorEastAsia"/>
          <w:color w:val="000000" w:themeColor="text1"/>
        </w:rPr>
        <w:t>enzymes</w:t>
      </w:r>
      <w:r w:rsidR="000B2D36" w:rsidRPr="000B2D36">
        <w:rPr>
          <w:rFonts w:eastAsiaTheme="minorEastAsia"/>
          <w:color w:val="000000" w:themeColor="text1"/>
        </w:rPr>
        <w:t xml:space="preserve"> were</w:t>
      </w:r>
      <w:r w:rsidR="00B5189D" w:rsidRPr="000B2D36">
        <w:rPr>
          <w:rFonts w:eastAsiaTheme="minorEastAsia"/>
          <w:color w:val="000000" w:themeColor="text1"/>
        </w:rPr>
        <w:t xml:space="preserve"> found in the </w:t>
      </w:r>
      <w:proofErr w:type="spellStart"/>
      <w:r w:rsidR="00B5189D" w:rsidRPr="000B2D36">
        <w:rPr>
          <w:rFonts w:eastAsiaTheme="minorEastAsia"/>
          <w:color w:val="000000" w:themeColor="text1"/>
        </w:rPr>
        <w:t>psilocy</w:t>
      </w:r>
      <w:r w:rsidR="000B2D36" w:rsidRPr="000B2D36">
        <w:rPr>
          <w:rFonts w:eastAsiaTheme="minorEastAsia"/>
          <w:color w:val="000000" w:themeColor="text1"/>
        </w:rPr>
        <w:t>be</w:t>
      </w:r>
      <w:proofErr w:type="spellEnd"/>
      <w:r w:rsidR="00B5189D" w:rsidRPr="000B2D36">
        <w:rPr>
          <w:rFonts w:eastAsiaTheme="minorEastAsia"/>
          <w:color w:val="000000" w:themeColor="text1"/>
        </w:rPr>
        <w:t xml:space="preserve"> mushroom that w</w:t>
      </w:r>
      <w:r w:rsidR="000B2D36" w:rsidRPr="000B2D36">
        <w:rPr>
          <w:rFonts w:eastAsiaTheme="minorEastAsia"/>
          <w:color w:val="000000" w:themeColor="text1"/>
        </w:rPr>
        <w:t>ere</w:t>
      </w:r>
      <w:r w:rsidR="00B5189D" w:rsidRPr="000B2D36">
        <w:rPr>
          <w:rFonts w:eastAsiaTheme="minorEastAsia"/>
          <w:color w:val="000000" w:themeColor="text1"/>
        </w:rPr>
        <w:t xml:space="preserve"> responsible for converting psilocybin into psilocin when the mushroom experienced traumatic injury. Alternatively,</w:t>
      </w:r>
      <w:r w:rsidR="00AF320E" w:rsidRPr="000B2D36">
        <w:rPr>
          <w:rFonts w:eastAsiaTheme="minorEastAsia"/>
          <w:color w:val="000000" w:themeColor="text1"/>
        </w:rPr>
        <w:t xml:space="preserve"> Shod</w:t>
      </w:r>
      <w:r w:rsidR="008524BD" w:rsidRPr="000B2D36">
        <w:rPr>
          <w:rFonts w:eastAsiaTheme="minorEastAsia"/>
          <w:color w:val="000000" w:themeColor="text1"/>
        </w:rPr>
        <w:t>a</w:t>
      </w:r>
      <w:r w:rsidR="00AF320E" w:rsidRPr="000B2D36">
        <w:rPr>
          <w:rFonts w:eastAsiaTheme="minorEastAsia"/>
          <w:color w:val="000000" w:themeColor="text1"/>
        </w:rPr>
        <w:t xml:space="preserve"> </w:t>
      </w:r>
      <w:r w:rsidR="00AF320E" w:rsidRPr="000B2D36">
        <w:rPr>
          <w:rFonts w:eastAsiaTheme="minorEastAsia"/>
          <w:i/>
          <w:iCs/>
          <w:color w:val="000000" w:themeColor="text1"/>
        </w:rPr>
        <w:t>et al</w:t>
      </w:r>
      <w:r w:rsidR="00AF320E" w:rsidRPr="000B2D36">
        <w:rPr>
          <w:rFonts w:eastAsiaTheme="minorEastAsia"/>
          <w:color w:val="000000" w:themeColor="text1"/>
        </w:rPr>
        <w:t>.</w:t>
      </w:r>
      <w:r w:rsidR="008524BD" w:rsidRPr="000B2D36">
        <w:rPr>
          <w:rFonts w:eastAsiaTheme="minorEastAsia"/>
          <w:color w:val="000000" w:themeColor="text1"/>
        </w:rPr>
        <w:fldChar w:fldCharType="begin" w:fldLock="1"/>
      </w:r>
      <w:r w:rsidR="00030235">
        <w:rPr>
          <w:rFonts w:eastAsiaTheme="minorEastAsia"/>
          <w:color w:val="000000" w:themeColor="text1"/>
        </w:rPr>
        <w:instrText>ADDIN CSL_CITATION {"citationItems":[{"id":"ITEM-1","itemData":{"DOI":"10.1002/dta.244","ISSN":"19427603","PMID":"21960543","abstract":"An enzyme-assisted synthesis of psilocin glucuronide (PCG), a metabolite excreted in the urine of magic mushroom (MM) users, is described. In the presence of Aroclor 1254 pretreated rat liver microsomes, psilocin and the cofactor UDPGA were incubated for 20 h. Purification by HPLC gave PCG in 19% yield (3.6 mg). The compound structure was characterized by MS and NMR. The milligram amounts of PCG produced by this method will allow the direct identification and quantification of PCG in the urine of MM users. © 2011 John Wiley &amp; Sons, Ltd.","author":[{"dropping-particle":"","family":"Shoda","given":"Takuji","non-dropping-particle":"","parse-names":false,"suffix":""},{"dropping-particle":"","family":"Fukuhara","given":"Kiyoshi","non-dropping-particle":"","parse-names":false,"suffix":""},{"dropping-particle":"","family":"Goda","given":"Yukihiro","non-dropping-particle":"","parse-names":false,"suffix":""},{"dropping-particle":"","family":"Okuda","given":"Haruhiro","non-dropping-particle":"","parse-names":false,"suffix":""}],"container-title":"Drug Testing and Analysis","id":"ITEM-1","issue":"9","issued":{"date-parts":[["2011","9"]]},"page":"594-596","publisher":"Drug Test Anal","title":"Enzyme-assisted synthesis of the glucuronide conjugate of psilocin, an hallucinogenic component of magic mushrooms","type":"article-journal","volume":"3"},"uris":["http://www.mendeley.com/documents/?uuid=7efabf22-9608-34e6-bd25-a69882b60ee2"]}],"mendeley":{"formattedCitation":"(96)","plainTextFormattedCitation":"(96)","previouslyFormattedCitation":"(96)"},"properties":{"noteIndex":0},"schema":"https://github.com/citation-style-language/schema/raw/master/csl-citation.json"}</w:instrText>
      </w:r>
      <w:r w:rsidR="008524BD" w:rsidRPr="000B2D36">
        <w:rPr>
          <w:rFonts w:eastAsiaTheme="minorEastAsia"/>
          <w:color w:val="000000" w:themeColor="text1"/>
        </w:rPr>
        <w:fldChar w:fldCharType="separate"/>
      </w:r>
      <w:r w:rsidR="00030235" w:rsidRPr="00030235">
        <w:rPr>
          <w:rFonts w:eastAsiaTheme="minorEastAsia"/>
          <w:noProof/>
          <w:color w:val="000000" w:themeColor="text1"/>
        </w:rPr>
        <w:t>(96)</w:t>
      </w:r>
      <w:r w:rsidR="008524BD" w:rsidRPr="000B2D36">
        <w:rPr>
          <w:rFonts w:eastAsiaTheme="minorEastAsia"/>
          <w:color w:val="000000" w:themeColor="text1"/>
        </w:rPr>
        <w:fldChar w:fldCharType="end"/>
      </w:r>
      <w:r w:rsidR="00AF320E" w:rsidRPr="000B2D36">
        <w:rPr>
          <w:rFonts w:eastAsiaTheme="minorEastAsia"/>
          <w:color w:val="000000" w:themeColor="text1"/>
        </w:rPr>
        <w:t xml:space="preserve"> </w:t>
      </w:r>
      <w:r w:rsidR="00B5189D" w:rsidRPr="000B2D36">
        <w:rPr>
          <w:rFonts w:eastAsiaTheme="minorEastAsia"/>
          <w:color w:val="000000" w:themeColor="text1"/>
        </w:rPr>
        <w:t>produce</w:t>
      </w:r>
      <w:r w:rsidR="000B2D36" w:rsidRPr="000B2D36">
        <w:rPr>
          <w:rFonts w:eastAsiaTheme="minorEastAsia"/>
          <w:color w:val="000000" w:themeColor="text1"/>
        </w:rPr>
        <w:t xml:space="preserve">d </w:t>
      </w:r>
      <w:r w:rsidR="00B5189D" w:rsidRPr="000B2D36">
        <w:rPr>
          <w:rFonts w:eastAsiaTheme="minorEastAsia"/>
          <w:color w:val="000000" w:themeColor="text1"/>
        </w:rPr>
        <w:t xml:space="preserve">an analytical profile for the molecule </w:t>
      </w:r>
      <w:r w:rsidR="00B5189D" w:rsidRPr="000B2D36">
        <w:t xml:space="preserve">psilocin glucuronide (PCG), a metabolite that is found in the urine of </w:t>
      </w:r>
      <w:proofErr w:type="spellStart"/>
      <w:r w:rsidR="00B5189D" w:rsidRPr="000B2D36">
        <w:t>psilocybe</w:t>
      </w:r>
      <w:proofErr w:type="spellEnd"/>
      <w:r w:rsidR="00B5189D" w:rsidRPr="000B2D36">
        <w:t xml:space="preserve"> mushroom users.</w:t>
      </w:r>
      <w:r w:rsidR="00B5189D">
        <w:t xml:space="preserve"> </w:t>
      </w:r>
      <w:r w:rsidR="00B5189D" w:rsidRPr="00F00BA9">
        <w:rPr>
          <w:color w:val="000000" w:themeColor="text1"/>
          <w:shd w:val="clear" w:color="auto" w:fill="FFFFFF"/>
          <w:vertAlign w:val="superscript"/>
        </w:rPr>
        <w:t>1</w:t>
      </w:r>
      <w:r w:rsidR="00B5189D" w:rsidRPr="00F00BA9">
        <w:rPr>
          <w:color w:val="000000" w:themeColor="text1"/>
          <w:shd w:val="clear" w:color="auto" w:fill="FFFFFF"/>
        </w:rPr>
        <w:t>H</w:t>
      </w:r>
      <w:r w:rsidR="00B5189D" w:rsidRPr="00F00BA9">
        <w:rPr>
          <w:color w:val="000000" w:themeColor="text1"/>
          <w:vertAlign w:val="superscript"/>
        </w:rPr>
        <w:t xml:space="preserve"> </w:t>
      </w:r>
      <w:r w:rsidR="00B5189D" w:rsidRPr="00F00BA9">
        <w:rPr>
          <w:rFonts w:eastAsiaTheme="minorEastAsia"/>
          <w:color w:val="000000" w:themeColor="text1"/>
        </w:rPr>
        <w:t>NMR</w:t>
      </w:r>
      <w:r w:rsidR="00B5189D">
        <w:rPr>
          <w:rFonts w:eastAsiaTheme="minorEastAsia"/>
          <w:color w:val="000000" w:themeColor="text1"/>
        </w:rPr>
        <w:t xml:space="preserve"> was not used directly on the </w:t>
      </w:r>
      <w:r w:rsidR="00C50687">
        <w:rPr>
          <w:rFonts w:eastAsiaTheme="minorEastAsia"/>
          <w:color w:val="000000" w:themeColor="text1"/>
        </w:rPr>
        <w:t>urine;</w:t>
      </w:r>
      <w:r w:rsidR="00B5189D">
        <w:rPr>
          <w:rFonts w:eastAsiaTheme="minorEastAsia"/>
          <w:color w:val="000000" w:themeColor="text1"/>
        </w:rPr>
        <w:t xml:space="preserve"> it was only used </w:t>
      </w:r>
      <w:r w:rsidR="000B2D36">
        <w:rPr>
          <w:rFonts w:eastAsiaTheme="minorEastAsia"/>
          <w:color w:val="000000" w:themeColor="text1"/>
        </w:rPr>
        <w:t>on the synthesised molecule of</w:t>
      </w:r>
      <w:r w:rsidR="00B5189D">
        <w:rPr>
          <w:rFonts w:eastAsiaTheme="minorEastAsia"/>
          <w:color w:val="000000" w:themeColor="text1"/>
        </w:rPr>
        <w:t xml:space="preserve"> PCG. </w:t>
      </w:r>
      <w:r w:rsidR="000B2D36">
        <w:rPr>
          <w:rFonts w:eastAsiaTheme="minorEastAsia"/>
          <w:color w:val="000000" w:themeColor="text1"/>
        </w:rPr>
        <w:t xml:space="preserve">All three studies were able to improve the molecular knowledge of the </w:t>
      </w:r>
      <w:proofErr w:type="spellStart"/>
      <w:r w:rsidR="000B2D36">
        <w:rPr>
          <w:rFonts w:eastAsiaTheme="minorEastAsia"/>
          <w:color w:val="000000" w:themeColor="text1"/>
        </w:rPr>
        <w:t>psilocybe</w:t>
      </w:r>
      <w:proofErr w:type="spellEnd"/>
      <w:r w:rsidR="000B2D36">
        <w:rPr>
          <w:rFonts w:eastAsiaTheme="minorEastAsia"/>
          <w:color w:val="000000" w:themeColor="text1"/>
        </w:rPr>
        <w:t xml:space="preserve"> mushroom </w:t>
      </w:r>
      <w:proofErr w:type="gramStart"/>
      <w:r w:rsidR="000B2D36">
        <w:rPr>
          <w:rFonts w:eastAsiaTheme="minorEastAsia"/>
          <w:color w:val="000000" w:themeColor="text1"/>
        </w:rPr>
        <w:t>through the use of</w:t>
      </w:r>
      <w:proofErr w:type="gramEnd"/>
      <w:r w:rsidR="000B2D36">
        <w:rPr>
          <w:rFonts w:eastAsiaTheme="minorEastAsia"/>
          <w:color w:val="000000" w:themeColor="text1"/>
        </w:rPr>
        <w:t xml:space="preserve"> </w:t>
      </w:r>
      <w:r w:rsidR="000B2D36" w:rsidRPr="00F00BA9">
        <w:rPr>
          <w:color w:val="000000" w:themeColor="text1"/>
          <w:shd w:val="clear" w:color="auto" w:fill="FFFFFF"/>
          <w:vertAlign w:val="superscript"/>
        </w:rPr>
        <w:t>1</w:t>
      </w:r>
      <w:r w:rsidR="000B2D36" w:rsidRPr="00F00BA9">
        <w:rPr>
          <w:color w:val="000000" w:themeColor="text1"/>
          <w:shd w:val="clear" w:color="auto" w:fill="FFFFFF"/>
        </w:rPr>
        <w:t>H</w:t>
      </w:r>
      <w:r w:rsidR="000B2D36" w:rsidRPr="00F00BA9">
        <w:rPr>
          <w:color w:val="000000" w:themeColor="text1"/>
          <w:vertAlign w:val="superscript"/>
        </w:rPr>
        <w:t xml:space="preserve"> </w:t>
      </w:r>
      <w:r w:rsidR="000B2D36" w:rsidRPr="00F00BA9">
        <w:rPr>
          <w:rFonts w:eastAsiaTheme="minorEastAsia"/>
          <w:color w:val="000000" w:themeColor="text1"/>
        </w:rPr>
        <w:t>NMR</w:t>
      </w:r>
      <w:r w:rsidR="000B2D36">
        <w:rPr>
          <w:rFonts w:eastAsiaTheme="minorEastAsia"/>
          <w:color w:val="000000" w:themeColor="text1"/>
        </w:rPr>
        <w:t xml:space="preserve"> spectroscopy. </w:t>
      </w:r>
    </w:p>
    <w:p w14:paraId="7D7059A4" w14:textId="77777777" w:rsidR="00AF320E" w:rsidRDefault="00AF320E" w:rsidP="00E50706">
      <w:pPr>
        <w:rPr>
          <w:rFonts w:eastAsiaTheme="minorEastAsia"/>
          <w:color w:val="000000" w:themeColor="text1"/>
        </w:rPr>
      </w:pPr>
    </w:p>
    <w:p w14:paraId="634B76A5" w14:textId="46ADDA28" w:rsidR="00744931" w:rsidRPr="00C544B3" w:rsidRDefault="00A6309D" w:rsidP="00E50706">
      <w:pPr>
        <w:rPr>
          <w:rFonts w:eastAsiaTheme="minorEastAsia"/>
          <w:color w:val="000000" w:themeColor="text1"/>
        </w:rPr>
      </w:pPr>
      <w:r>
        <w:rPr>
          <w:rFonts w:eastAsiaTheme="minorEastAsia"/>
          <w:color w:val="000000" w:themeColor="text1"/>
        </w:rPr>
        <w:t xml:space="preserve">There is a need to investigate the composition </w:t>
      </w:r>
      <w:r w:rsidR="00B5189D">
        <w:rPr>
          <w:rFonts w:eastAsiaTheme="minorEastAsia"/>
          <w:color w:val="000000" w:themeColor="text1"/>
        </w:rPr>
        <w:t xml:space="preserve">of </w:t>
      </w:r>
      <w:proofErr w:type="spellStart"/>
      <w:r w:rsidR="00B5189D">
        <w:rPr>
          <w:rFonts w:eastAsiaTheme="minorEastAsia"/>
          <w:color w:val="000000" w:themeColor="text1"/>
        </w:rPr>
        <w:t>psilocybe</w:t>
      </w:r>
      <w:proofErr w:type="spellEnd"/>
      <w:r w:rsidR="00B5189D">
        <w:rPr>
          <w:rFonts w:eastAsiaTheme="minorEastAsia"/>
          <w:color w:val="000000" w:themeColor="text1"/>
        </w:rPr>
        <w:t xml:space="preserve"> mushroom</w:t>
      </w:r>
      <w:r>
        <w:rPr>
          <w:rFonts w:eastAsiaTheme="minorEastAsia"/>
          <w:color w:val="000000" w:themeColor="text1"/>
        </w:rPr>
        <w:t>s</w:t>
      </w:r>
      <w:r w:rsidR="00B5189D">
        <w:rPr>
          <w:rFonts w:eastAsiaTheme="minorEastAsia"/>
          <w:color w:val="000000" w:themeColor="text1"/>
        </w:rPr>
        <w:t xml:space="preserve"> a</w:t>
      </w:r>
      <w:r>
        <w:rPr>
          <w:rFonts w:eastAsiaTheme="minorEastAsia"/>
          <w:color w:val="000000" w:themeColor="text1"/>
        </w:rPr>
        <w:t xml:space="preserve">s </w:t>
      </w:r>
      <w:r w:rsidR="00B5189D">
        <w:rPr>
          <w:rFonts w:eastAsiaTheme="minorEastAsia"/>
          <w:color w:val="000000" w:themeColor="text1"/>
        </w:rPr>
        <w:t xml:space="preserve">the common administration of the psilocin is through the oral consumption of the whole </w:t>
      </w:r>
      <w:proofErr w:type="spellStart"/>
      <w:r w:rsidR="00B5189D">
        <w:rPr>
          <w:rFonts w:eastAsiaTheme="minorEastAsia"/>
          <w:color w:val="000000" w:themeColor="text1"/>
        </w:rPr>
        <w:t>psilocybe</w:t>
      </w:r>
      <w:proofErr w:type="spellEnd"/>
      <w:r w:rsidR="00B5189D">
        <w:rPr>
          <w:rFonts w:eastAsiaTheme="minorEastAsia"/>
          <w:color w:val="000000" w:themeColor="text1"/>
        </w:rPr>
        <w:t xml:space="preserve"> mushroom. </w:t>
      </w:r>
      <w:r w:rsidR="00C544B3">
        <w:rPr>
          <w:rFonts w:eastAsiaTheme="minorEastAsia"/>
          <w:color w:val="000000" w:themeColor="text1"/>
        </w:rPr>
        <w:t>It has been reported that there is a</w:t>
      </w:r>
      <w:r w:rsidR="003550F2">
        <w:rPr>
          <w:rFonts w:eastAsiaTheme="minorEastAsia"/>
          <w:color w:val="000000" w:themeColor="text1"/>
        </w:rPr>
        <w:t xml:space="preserve"> strong</w:t>
      </w:r>
      <w:r w:rsidR="00C544B3">
        <w:rPr>
          <w:rFonts w:eastAsiaTheme="minorEastAsia"/>
          <w:color w:val="000000" w:themeColor="text1"/>
        </w:rPr>
        <w:t xml:space="preserve"> synergistic </w:t>
      </w:r>
      <w:r w:rsidR="00B5189D">
        <w:rPr>
          <w:rFonts w:eastAsiaTheme="minorEastAsia"/>
          <w:color w:val="000000" w:themeColor="text1"/>
        </w:rPr>
        <w:t xml:space="preserve">interaction </w:t>
      </w:r>
      <w:r w:rsidR="00C544B3">
        <w:rPr>
          <w:rFonts w:eastAsiaTheme="minorEastAsia"/>
          <w:color w:val="000000" w:themeColor="text1"/>
        </w:rPr>
        <w:t xml:space="preserve">between the </w:t>
      </w:r>
      <w:r w:rsidR="002C7794">
        <w:rPr>
          <w:rFonts w:eastAsiaTheme="minorEastAsia"/>
          <w:color w:val="000000" w:themeColor="text1"/>
        </w:rPr>
        <w:t xml:space="preserve">endogenous </w:t>
      </w:r>
      <w:r w:rsidR="003829E8">
        <w:rPr>
          <w:rFonts w:eastAsiaTheme="minorEastAsia"/>
          <w:color w:val="000000" w:themeColor="text1"/>
        </w:rPr>
        <w:t>molecules</w:t>
      </w:r>
      <w:r w:rsidR="00C544B3">
        <w:rPr>
          <w:rFonts w:eastAsiaTheme="minorEastAsia"/>
          <w:color w:val="000000" w:themeColor="text1"/>
        </w:rPr>
        <w:t xml:space="preserve"> </w:t>
      </w:r>
      <w:r w:rsidR="003550F2">
        <w:rPr>
          <w:rFonts w:eastAsiaTheme="minorEastAsia"/>
          <w:color w:val="000000" w:themeColor="text1"/>
        </w:rPr>
        <w:t>in</w:t>
      </w:r>
      <w:r w:rsidR="00C544B3">
        <w:rPr>
          <w:rFonts w:eastAsiaTheme="minorEastAsia"/>
          <w:color w:val="000000" w:themeColor="text1"/>
        </w:rPr>
        <w:t xml:space="preserve"> </w:t>
      </w:r>
      <w:r w:rsidR="003550F2">
        <w:rPr>
          <w:rFonts w:eastAsiaTheme="minorEastAsia"/>
          <w:color w:val="000000" w:themeColor="text1"/>
        </w:rPr>
        <w:t xml:space="preserve">the </w:t>
      </w:r>
      <w:proofErr w:type="spellStart"/>
      <w:r w:rsidR="002C7794">
        <w:rPr>
          <w:rFonts w:eastAsiaTheme="minorEastAsia"/>
          <w:color w:val="000000" w:themeColor="text1"/>
        </w:rPr>
        <w:t>psilocybe</w:t>
      </w:r>
      <w:proofErr w:type="spellEnd"/>
      <w:r w:rsidR="002C7794">
        <w:rPr>
          <w:rFonts w:eastAsiaTheme="minorEastAsia"/>
          <w:color w:val="000000" w:themeColor="text1"/>
        </w:rPr>
        <w:t xml:space="preserve"> </w:t>
      </w:r>
      <w:r w:rsidR="00C544B3">
        <w:rPr>
          <w:rFonts w:eastAsiaTheme="minorEastAsia"/>
          <w:color w:val="000000" w:themeColor="text1"/>
        </w:rPr>
        <w:t>mushroom</w:t>
      </w:r>
      <w:r w:rsidR="002B2DDC">
        <w:rPr>
          <w:rFonts w:eastAsiaTheme="minorEastAsia"/>
          <w:color w:val="000000" w:themeColor="text1"/>
        </w:rPr>
        <w:fldChar w:fldCharType="begin" w:fldLock="1"/>
      </w:r>
      <w:r w:rsidR="00112529">
        <w:rPr>
          <w:rFonts w:eastAsiaTheme="minorEastAsia"/>
          <w:color w:val="000000" w:themeColor="text1"/>
        </w:rPr>
        <w:instrText>ADDIN CSL_CITATION {"citationItems":[{"id":"ITEM-1","itemData":{"DOI":"10.3390/toxins7041018","ISSN":"20726651","PMID":"25826052","abstract":"The pharmacological activities and acute toxicity of the psilocin (PC) and dried residues of the crude extracts of psychotropic mushrooms were investigated in mice. The hallucinogenic substances were effectively isolated, by using methanol, from the species of Psilocybe semilanceata and Pholiotina cyanopus, that were collected in the north-east region of Poland. The chemical analysis of these extracts, which was performed by liquid chromatography with mass spectrometry detection (LC-MS), indicated the presence of psilocin and other hallucinogenic substances, including indolealkylamines and their phosphorylated analogues. When the pure psilocin or fungal extracts were used, slight differences in determined LD50 values were observed. However, the application of PC evoked the highest level of toxicity (293.07 mg/kg) compared to the activity of extracts from Ph. cyanopus and P. semilanceata, where the level of LD50 was 316.87 mg/kg and 324.37 mg/kg, respectively. Furthermore, the behavioral test, which considered the head-twitching response (HTR), was used to assess the effects of the studied psychotropic factors on the serotonergic system. Both, the fungal extracts and psilocin evoked characteristic serotoninergic effects depending on the dose administered to mice, acting as an agonist/partial agonist on the serotonergic system. A dose of 200 mg/kg 5-hydroxytryptophan (5-HTP) induced spontaneous head-twitching in mice (100% effect), as a result of the formation of 5-hydroxytryptamine (5-HT) in the brain. Compared to the activity of 5-HTP, the intraperitoneal administration of 1mg/kg of psilocin or hallucinogenic extracts of studied mushrooms (Ph. cyanopus and P. semilanceata) reduced the number of head-twitch responses of about 46% and 30%, respectively. In contrast, the administration of PC exhibited a reduction of about 60% in HTR numbers.","author":[{"dropping-particle":"","family":"Zhuk","given":"Olga","non-dropping-particle":"","parse-names":false,"suffix":""},{"dropping-particle":"","family":"Jasicka-Misiak","given":"Izabela","non-dropping-particle":"","parse-names":false,"suffix":""},{"dropping-particle":"","family":"Poliwoda","given":"Anna","non-dropping-particle":"","parse-names":false,"suffix":""},{"dropping-particle":"","family":"Kazakova","given":"Anastasia","non-dropping-particle":"","parse-names":false,"suffix":""},{"dropping-particle":"V.","family":"Godovan","given":"Vladlena","non-dropping-particle":"","parse-names":false,"suffix":""},{"dropping-particle":"","family":"Halama","given":"Marek","non-dropping-particle":"","parse-names":false,"suffix":""},{"dropping-particle":"","family":"Wieczorek","given":"Piotr P.","non-dropping-particle":"","parse-names":false,"suffix":""}],"container-title":"Toxins","id":"ITEM-1","issue":"4","issued":{"date-parts":[["2015","3","27"]]},"page":"1018-1029","publisher":"MDPI AG","title":"Research on acute toxicity and the behavioral effects of methanolic extract from psilocybin mushrooms and psilocin in mice","type":"article-journal","volume":"7"},"uris":["http://www.mendeley.com/documents/?uuid=a0fefb4b-047e-3b75-9486-5d7771aa0267"]}],"mendeley":{"formattedCitation":"(133)","plainTextFormattedCitation":"(133)","previouslyFormattedCitation":"(133)"},"properties":{"noteIndex":0},"schema":"https://github.com/citation-style-language/schema/raw/master/csl-citation.json"}</w:instrText>
      </w:r>
      <w:r w:rsidR="002B2DDC">
        <w:rPr>
          <w:rFonts w:eastAsiaTheme="minorEastAsia"/>
          <w:color w:val="000000" w:themeColor="text1"/>
        </w:rPr>
        <w:fldChar w:fldCharType="separate"/>
      </w:r>
      <w:r w:rsidR="00133B53" w:rsidRPr="00133B53">
        <w:rPr>
          <w:rFonts w:eastAsiaTheme="minorEastAsia"/>
          <w:noProof/>
          <w:color w:val="000000" w:themeColor="text1"/>
        </w:rPr>
        <w:t>(133)</w:t>
      </w:r>
      <w:r w:rsidR="002B2DDC">
        <w:rPr>
          <w:rFonts w:eastAsiaTheme="minorEastAsia"/>
          <w:color w:val="000000" w:themeColor="text1"/>
        </w:rPr>
        <w:fldChar w:fldCharType="end"/>
      </w:r>
      <w:r w:rsidR="002B2DDC">
        <w:rPr>
          <w:rFonts w:eastAsiaTheme="minorEastAsia"/>
          <w:color w:val="000000" w:themeColor="text1"/>
        </w:rPr>
        <w:t>, which might also signify potential entourage effect</w:t>
      </w:r>
      <w:r w:rsidR="003550F2">
        <w:rPr>
          <w:rFonts w:eastAsiaTheme="minorEastAsia"/>
          <w:color w:val="000000" w:themeColor="text1"/>
        </w:rPr>
        <w:t>.</w:t>
      </w:r>
      <w:r w:rsidR="002B2DDC">
        <w:rPr>
          <w:rFonts w:eastAsiaTheme="minorEastAsia"/>
          <w:color w:val="000000" w:themeColor="text1"/>
        </w:rPr>
        <w:t xml:space="preserve"> This is mirrored in </w:t>
      </w:r>
      <w:r w:rsidR="00B5189D">
        <w:rPr>
          <w:rFonts w:eastAsiaTheme="minorEastAsia"/>
          <w:color w:val="000000" w:themeColor="text1"/>
        </w:rPr>
        <w:t>the marijuana plant</w:t>
      </w:r>
      <w:r w:rsidR="003550F2">
        <w:rPr>
          <w:rFonts w:eastAsiaTheme="minorEastAsia"/>
          <w:color w:val="000000" w:themeColor="text1"/>
        </w:rPr>
        <w:t>,</w:t>
      </w:r>
      <w:r w:rsidR="00B5189D">
        <w:rPr>
          <w:rFonts w:eastAsiaTheme="minorEastAsia"/>
          <w:color w:val="000000" w:themeColor="text1"/>
        </w:rPr>
        <w:t xml:space="preserve"> whereby </w:t>
      </w:r>
      <w:r>
        <w:rPr>
          <w:rFonts w:eastAsiaTheme="minorEastAsia"/>
          <w:color w:val="000000" w:themeColor="text1"/>
        </w:rPr>
        <w:t xml:space="preserve">the </w:t>
      </w:r>
      <w:r w:rsidR="00B5189D">
        <w:rPr>
          <w:rFonts w:eastAsiaTheme="minorEastAsia"/>
          <w:color w:val="000000" w:themeColor="text1"/>
        </w:rPr>
        <w:t xml:space="preserve">cannabidiol (CBD) molecule </w:t>
      </w:r>
      <w:r w:rsidR="00D1388B">
        <w:rPr>
          <w:rFonts w:eastAsiaTheme="minorEastAsia"/>
          <w:color w:val="000000" w:themeColor="text1"/>
        </w:rPr>
        <w:t xml:space="preserve">interacts with the </w:t>
      </w:r>
      <w:proofErr w:type="spellStart"/>
      <w:r w:rsidR="00B5189D">
        <w:rPr>
          <w:rFonts w:eastAsiaTheme="minorEastAsia"/>
          <w:color w:val="000000" w:themeColor="text1"/>
        </w:rPr>
        <w:t>tetrahydrocannabidiol</w:t>
      </w:r>
      <w:proofErr w:type="spellEnd"/>
      <w:r w:rsidR="00B5189D">
        <w:rPr>
          <w:rFonts w:eastAsiaTheme="minorEastAsia"/>
          <w:color w:val="000000" w:themeColor="text1"/>
        </w:rPr>
        <w:t xml:space="preserve"> (THC) molecule </w:t>
      </w:r>
      <w:r w:rsidR="00D1388B">
        <w:rPr>
          <w:rFonts w:eastAsiaTheme="minorEastAsia"/>
          <w:color w:val="000000" w:themeColor="text1"/>
        </w:rPr>
        <w:t xml:space="preserve">to modulate the </w:t>
      </w:r>
      <w:r w:rsidR="00B5189D">
        <w:rPr>
          <w:rFonts w:eastAsiaTheme="minorEastAsia"/>
          <w:color w:val="000000" w:themeColor="text1"/>
        </w:rPr>
        <w:t>psychological experience</w:t>
      </w:r>
      <w:r w:rsidR="00C544B3">
        <w:rPr>
          <w:rFonts w:eastAsiaTheme="minorEastAsia"/>
          <w:color w:val="000000" w:themeColor="text1"/>
        </w:rPr>
        <w:t xml:space="preserve"> and reduce </w:t>
      </w:r>
      <w:r w:rsidR="003550F2">
        <w:rPr>
          <w:rFonts w:eastAsiaTheme="minorEastAsia"/>
          <w:color w:val="000000" w:themeColor="text1"/>
        </w:rPr>
        <w:t>the social withdrawal side effect</w:t>
      </w:r>
      <w:r w:rsidR="00232E67">
        <w:rPr>
          <w:rFonts w:eastAsiaTheme="minorEastAsia"/>
          <w:color w:val="000000" w:themeColor="text1"/>
        </w:rPr>
        <w:t xml:space="preserve"> caused by THC</w:t>
      </w:r>
      <w:r w:rsidR="00232E67">
        <w:rPr>
          <w:rFonts w:eastAsiaTheme="minorEastAsia"/>
          <w:color w:val="000000" w:themeColor="text1"/>
        </w:rPr>
        <w:fldChar w:fldCharType="begin" w:fldLock="1"/>
      </w:r>
      <w:r w:rsidR="00112529">
        <w:rPr>
          <w:rFonts w:eastAsiaTheme="minorEastAsia"/>
          <w:color w:val="000000" w:themeColor="text1"/>
        </w:rPr>
        <w:instrText>ADDIN CSL_CITATION {"citationItems":[{"id":"ITEM-1","itemData":{"DOI":"10.1016/j.pbb.2009.04.010","ISSN":"00913057","PMID":"19393686","abstract":"While Δ9-tetrahydrocannabinol (THC) is the main psychoactive constituent of the cannabis plant, a non-psychoactive constituent is cannabidiol (CBD). CBD has been implicated as a potential treatment of a number of disorders including schizophrenia and epilepsy and has been included with THC in a 1:1 combination for the treatment of conditions such as neuropathic pain. This study investigated the effect of THC and CBD, alone or in combination, on some objective behaviours of rats in the open field. Pairs of rats were injected with CBD or vehicle followed by THC or vehicle and behaviour in the open field was assessed for 10 min. In vehicle pretreated rats THC (1 mg/kg) significantly reduced social interaction between rat pairs. Treatment with CBD had no significant effect alone, but pretreatment with CBD (20 mg/kg) reversed the THC-induced decreases in social interaction. A higher dose of THC (10 mg/kg) produced no significant effect on social interaction. However, the combination of high dose CBD and high dose THC significantly reduced social interaction between rat pairs, as well as producing a significant decrease in locomotor activity. This data suggests that CBD can reverse social withdrawal induced by low dose THC, but the combination of high dose THC and CBD impairs social interaction, possibly by decreasing locomotor activity. Crown Copyright © 2009.","author":[{"dropping-particle":"","family":"Malone","given":"Daniel Thomas","non-dropping-particle":"","parse-names":false,"suffix":""},{"dropping-particle":"","family":"Jongejan","given":"Dennis","non-dropping-particle":"","parse-names":false,"suffix":""},{"dropping-particle":"","family":"Taylor","given":"David Alan","non-dropping-particle":"","parse-names":false,"suffix":""}],"container-title":"Pharmacology Biochemistry and Behavior","id":"ITEM-1","issue":"2","issued":{"date-parts":[["2009","8"]]},"page":"91-96","publisher":"Pharmacol Biochem Behav","title":"Cannabidiol reverses the reduction in social interaction produced by low dose Δ9-tetrahydrocannabinol in rats","type":"article-journal","volume":"93"},"uris":["http://www.mendeley.com/documents/?uuid=7850ed9f-98f6-3610-94d0-75c4eb697d1f"]},{"id":"ITEM-2","itemData":{"DOI":"10.1177/2045125319881916","ISSN":"2045-1253","PMID":"31741731","abstract":"Psychotic disorders such as schizophrenia are heterogeneous and often debilitating conditions that contribute substantially to the global burden of disease. The introduction of dopamine D2 receptor antagonists in the 1950s revolutionised the treatment of psychotic disorders and they remain the mainstay of our treatment arsenal for psychosis. However, traditional antipsychotics are associated with a number of side effects and a significant proportion of patients do not achieve an adequate remission of symptoms. There is therefore a need for novel interventions, particularly those with a non-D2 antagonist mechanism of action. Cannabidiol (CBD), a non-intoxicating constituent of the cannabis plant, has emerged as a potential novel class of antipsychotic with a unique mechanism of action. In this review, we set out the prospects of CBD as a potential novel treatment for psychotic disorders. We first review the evidence from the perspective of preclinical work and human experimental and neuroimaging studies. We then synthesise the current evidence regarding the clinical efficacy of CBD in terms of positive, negative and cognitive symptoms, safety and tolerability, and potential mechanisms by which CBD may have antipsychotic effects.","author":[{"dropping-particle":"","family":"Davies","given":"Cathy","non-dropping-particle":"","parse-names":false,"suffix":""},{"dropping-particle":"","family":"Bhattacharyya","given":"Sagnik","non-dropping-particle":"","parse-names":false,"suffix":""}],"container-title":"Therapeutic Advances in Psychopharmacology","id":"ITEM-2","issued":{"date-parts":[["2019","1"]]},"page":"204512531988191","publisher":"SAGE Publications","title":"Cannabidiol as a potential treatment for psychosis","type":"article-journal","volume":"9"},"uris":["http://www.mendeley.com/documents/?uuid=86e881b8-ce5f-3bb0-af31-cda88d15ba78"]}],"mendeley":{"formattedCitation":"(134,135)","plainTextFormattedCitation":"(134,135)","previouslyFormattedCitation":"(134,135)"},"properties":{"noteIndex":0},"schema":"https://github.com/citation-style-language/schema/raw/master/csl-citation.json"}</w:instrText>
      </w:r>
      <w:r w:rsidR="00232E67">
        <w:rPr>
          <w:rFonts w:eastAsiaTheme="minorEastAsia"/>
          <w:color w:val="000000" w:themeColor="text1"/>
        </w:rPr>
        <w:fldChar w:fldCharType="separate"/>
      </w:r>
      <w:r w:rsidR="00133B53" w:rsidRPr="00133B53">
        <w:rPr>
          <w:rFonts w:eastAsiaTheme="minorEastAsia"/>
          <w:noProof/>
          <w:color w:val="000000" w:themeColor="text1"/>
        </w:rPr>
        <w:t>(134,135)</w:t>
      </w:r>
      <w:r w:rsidR="00232E67">
        <w:rPr>
          <w:rFonts w:eastAsiaTheme="minorEastAsia"/>
          <w:color w:val="000000" w:themeColor="text1"/>
        </w:rPr>
        <w:fldChar w:fldCharType="end"/>
      </w:r>
      <w:r w:rsidR="00232E67">
        <w:rPr>
          <w:rFonts w:eastAsiaTheme="minorEastAsia"/>
          <w:color w:val="000000" w:themeColor="text1"/>
        </w:rPr>
        <w:t xml:space="preserve">. </w:t>
      </w:r>
      <w:r w:rsidR="00B5189D">
        <w:rPr>
          <w:rFonts w:eastAsiaTheme="minorEastAsia"/>
          <w:color w:val="000000" w:themeColor="text1"/>
        </w:rPr>
        <w:t xml:space="preserve">A </w:t>
      </w:r>
      <w:r w:rsidR="00671605">
        <w:rPr>
          <w:rFonts w:eastAsiaTheme="minorEastAsia"/>
          <w:color w:val="000000" w:themeColor="text1"/>
        </w:rPr>
        <w:t>psychedelic</w:t>
      </w:r>
      <w:r w:rsidR="00B5189D">
        <w:rPr>
          <w:rFonts w:eastAsiaTheme="minorEastAsia"/>
          <w:color w:val="000000" w:themeColor="text1"/>
        </w:rPr>
        <w:t xml:space="preserve"> example</w:t>
      </w:r>
      <w:r w:rsidR="00850F1B">
        <w:rPr>
          <w:rFonts w:eastAsiaTheme="minorEastAsia"/>
          <w:color w:val="000000" w:themeColor="text1"/>
        </w:rPr>
        <w:t xml:space="preserve"> of</w:t>
      </w:r>
      <w:r w:rsidR="00FB4777">
        <w:rPr>
          <w:rFonts w:eastAsiaTheme="minorEastAsia"/>
          <w:color w:val="000000" w:themeColor="text1"/>
        </w:rPr>
        <w:t xml:space="preserve"> a similar</w:t>
      </w:r>
      <w:r w:rsidR="00850F1B">
        <w:rPr>
          <w:rFonts w:eastAsiaTheme="minorEastAsia"/>
          <w:color w:val="000000" w:themeColor="text1"/>
        </w:rPr>
        <w:t xml:space="preserve"> molecular interaction</w:t>
      </w:r>
      <w:r w:rsidR="00B5189D">
        <w:rPr>
          <w:rFonts w:eastAsiaTheme="minorEastAsia"/>
          <w:color w:val="000000" w:themeColor="text1"/>
        </w:rPr>
        <w:t xml:space="preserve"> can be observed with the ayahuasca beverage that requires </w:t>
      </w:r>
      <w:r w:rsidR="00B5189D" w:rsidRPr="004465EE">
        <w:rPr>
          <w:rStyle w:val="Emphasis"/>
          <w:i w:val="0"/>
          <w:iCs w:val="0"/>
          <w:color w:val="000000" w:themeColor="text1"/>
          <w:shd w:val="clear" w:color="auto" w:fill="FFFFFF"/>
        </w:rPr>
        <w:t>β</w:t>
      </w:r>
      <w:r w:rsidR="00B5189D">
        <w:rPr>
          <w:rStyle w:val="Emphasis"/>
          <w:i w:val="0"/>
          <w:iCs w:val="0"/>
          <w:color w:val="000000" w:themeColor="text1"/>
          <w:shd w:val="clear" w:color="auto" w:fill="FFFFFF"/>
        </w:rPr>
        <w:t xml:space="preserve">-carbolines as a </w:t>
      </w:r>
      <w:r w:rsidR="006902F3">
        <w:rPr>
          <w:rStyle w:val="Emphasis"/>
          <w:i w:val="0"/>
          <w:iCs w:val="0"/>
          <w:color w:val="000000" w:themeColor="text1"/>
          <w:shd w:val="clear" w:color="auto" w:fill="FFFFFF"/>
        </w:rPr>
        <w:t>MAOI</w:t>
      </w:r>
      <w:r w:rsidR="00BC5D33">
        <w:rPr>
          <w:rStyle w:val="Emphasis"/>
          <w:i w:val="0"/>
          <w:iCs w:val="0"/>
          <w:color w:val="000000" w:themeColor="text1"/>
          <w:shd w:val="clear" w:color="auto" w:fill="FFFFFF"/>
        </w:rPr>
        <w:t xml:space="preserve"> </w:t>
      </w:r>
      <w:r w:rsidR="002B2DDC">
        <w:rPr>
          <w:rStyle w:val="Emphasis"/>
          <w:i w:val="0"/>
          <w:iCs w:val="0"/>
          <w:color w:val="000000" w:themeColor="text1"/>
          <w:shd w:val="clear" w:color="auto" w:fill="FFFFFF"/>
        </w:rPr>
        <w:t>to allow</w:t>
      </w:r>
      <w:r w:rsidR="00B5189D">
        <w:rPr>
          <w:rStyle w:val="Emphasis"/>
          <w:i w:val="0"/>
          <w:iCs w:val="0"/>
          <w:color w:val="000000" w:themeColor="text1"/>
          <w:shd w:val="clear" w:color="auto" w:fill="FFFFFF"/>
        </w:rPr>
        <w:t xml:space="preserve"> DMT to be absorbed in the gut and exert an effect on the CNS</w:t>
      </w:r>
      <w:r w:rsidR="002A1DC6">
        <w:rPr>
          <w:rStyle w:val="Emphasis"/>
          <w:i w:val="0"/>
          <w:iCs w:val="0"/>
          <w:color w:val="000000" w:themeColor="text1"/>
          <w:shd w:val="clear" w:color="auto" w:fill="FFFFFF"/>
        </w:rPr>
        <w:fldChar w:fldCharType="begin" w:fldLock="1"/>
      </w:r>
      <w:r w:rsidR="00112529">
        <w:rPr>
          <w:rStyle w:val="Emphasis"/>
          <w:i w:val="0"/>
          <w:iCs w:val="0"/>
          <w:color w:val="000000" w:themeColor="text1"/>
          <w:shd w:val="clear" w:color="auto" w:fill="FFFFFF"/>
        </w:rPr>
        <w:instrText>ADDIN CSL_CITATION {"citationItems":[{"id":"ITEM-1","itemData":{"DOI":"10.1016/0378-8741(84)90003-5","ISSN":"03788741","PMID":"6587171","abstract":"Ayahuasca is a hallucinogenic beverage derived by boiling the bark of the Malpighiaceous liana Banisteriopsis caapi together with the leaves of various admixture plants, viz. Psychotria viridis, Psychotria carthagenensis, or Diplopterys cabrerana. B. caapi contains harmine, harmaline, and tetrahydroharmine while the admixtures contain N,N-dimethyltryptamine (DMT). DMT, a potent hallucinogen, is inactive orally due to degradation by visceral monoamine oxidase (MAO). The β-carbolines, however, are highly active reversible inhibitors of MAO and may protect the DMT from deamination by MAO and render it orally active. This mechanism has been proposed to underlie the oral activity of ayahuasca but has not been experimentally confirmed. In the present study the constituents of the admixture plants and the alkaloids of eight ayahuasca samples from Peru were qualitatively and quantitatively analyzed using two-dimensional thin-layer chromatography (TLC), high pressure liquid chromatography (HPLC) and gas chromatography/mass spectrometry (GC/MS). Several B. caapi cultivars were quantitatively compared for variations in alkaloid content. Three admixture plants used rarely in the manufacture of ayahuasca were also screened for alkaloids. A selected sample of β-carbolines were screened for activity as MAO inhibitors using an in vitro assay system, and structure/activity relationships were compared. Inhibition observed with single compounds was compared with the activity of selected samples of ayahuasca which were screened in the system and also with the activity of mixtures of β-carbolines. The levels of DMT and β-carbolines found in the ayahuasca samples examined in the present study were an order of magnitude greater than the levels reported in a previous study. Ayahuasca was found to be an extremely effective inhibitor of MAO in vitro and the degree of inhibition was directly correlated with the concentration of MAO-inhibiting β-carbolines. Inhibition experiments using mixtures of β-carbolines indicated that their effects in combination are additive, rather than synergistic or antagonistic. Implications of the results in understanding the pharmacology of ayahuasca are discussed. © 1984.","author":[{"dropping-particle":"","family":"McKenna","given":"Dennis J.","non-dropping-particle":"","parse-names":false,"suffix":""},{"dropping-particle":"","family":"Towers","given":"G. H.N.","non-dropping-particle":"","parse-names":false,"suffix":""},{"dropping-particle":"","family":"Abbott","given":"F.","non-dropping-particle":"","parse-names":false,"suffix":""}],"container-title":"Journal of Ethnopharmacology","id":"ITEM-1","issue":"2","issued":{"date-parts":[["1984"]]},"page":"195-223","publisher":"J Ethnopharmacol","title":"Monoamine oxidase inhibitors in South American hallucinogenic plants: Tryptamine and β-carboline constituents of Ayahuasca","type":"article-journal","volume":"10"},"uris":["http://www.mendeley.com/documents/?uuid=9db46485-cefc-3b29-ab84-15d83aeea709"]},{"id":"ITEM-2","itemData":{"DOI":"10.1007/s13659-019-0210-5","ISSN":"21922209","PMID":"31134518","abstract":"Abstract: Ayahuasca (caapi, yajé), is a psychoactive brew from the Amazon Basin region of South America traditionally considered a “master plant.” It is prepared as a decoction from Banisteriopsis caapi and Psychotria viridis, which it is thought that it stimulates creative thinking and visual creativity. Native healers of the Orinoco and Amazon basins have used traditionally ayahuasca as a healing tool for multiple purposes, particularly to treat psychological disorders in the patients, with some beneficial effects experimentally and clinically validated. Recently, several syncretic religions, as the “União de Vegetal” (UDV) group in Brazil, have been spread around the world. The use of ayahuasca has been popularized by internet and smart-shops, bringing the psychoactive substance to new highs, emerging new “ayahuasqueros.” Ayahuasca has alkaloids as β-carbolines and dimethyltryptamines, which inhibit the monoamine oxidase and active the 5-HT2A (5-hydroxytryptamine) receptor, respectively, resulting in hallucinations in the users. Ayahuasca induces a psychedelic change in the anteroposterior coupling of the electrophysiological brain oscillations in humans. Traditional ayahuasca beverage is generating pharmacological, commercial and spiritual interest among the scientific community, government people, and different populations worldwide. The goal of this article is to report about the uses, chemistry and biological activities of ayahuasca. Graphical Abstract: [Figure not available: see fulltext.].","author":[{"dropping-particle":"","family":"Estrella-Parra","given":"Edgar Antonio","non-dropping-particle":"","parse-names":false,"suffix":""},{"dropping-particle":"","family":"Almanza-Pérez","given":"Julio Cesar","non-dropping-particle":"","parse-names":false,"suffix":""},{"dropping-particle":"","family":"Alarcón-Aguilar","given":"Francisco Javier","non-dropping-particle":"","parse-names":false,"suffix":""}],"container-title":"Natural Products and Bioprospecting","id":"ITEM-2","issue":"4","issued":{"date-parts":[["2019","8","1"]]},"page":"251-265","publisher":"Springer","title":"Ayahuasca: Uses, Phytochemical and Biological Activities","type":"article","volume":"9"},"uris":["http://www.mendeley.com/documents/?uuid=5af6596c-cd0d-3baf-8006-d12710b3d468"]}],"mendeley":{"formattedCitation":"(136,137)","plainTextFormattedCitation":"(136,137)","previouslyFormattedCitation":"(136,137)"},"properties":{"noteIndex":0},"schema":"https://github.com/citation-style-language/schema/raw/master/csl-citation.json"}</w:instrText>
      </w:r>
      <w:r w:rsidR="002A1DC6">
        <w:rPr>
          <w:rStyle w:val="Emphasis"/>
          <w:i w:val="0"/>
          <w:iCs w:val="0"/>
          <w:color w:val="000000" w:themeColor="text1"/>
          <w:shd w:val="clear" w:color="auto" w:fill="FFFFFF"/>
        </w:rPr>
        <w:fldChar w:fldCharType="separate"/>
      </w:r>
      <w:r w:rsidR="00133B53" w:rsidRPr="00133B53">
        <w:rPr>
          <w:rStyle w:val="Emphasis"/>
          <w:i w:val="0"/>
          <w:iCs w:val="0"/>
          <w:noProof/>
          <w:color w:val="000000" w:themeColor="text1"/>
          <w:shd w:val="clear" w:color="auto" w:fill="FFFFFF"/>
        </w:rPr>
        <w:t>(136,137)</w:t>
      </w:r>
      <w:r w:rsidR="002A1DC6">
        <w:rPr>
          <w:rStyle w:val="Emphasis"/>
          <w:i w:val="0"/>
          <w:iCs w:val="0"/>
          <w:color w:val="000000" w:themeColor="text1"/>
          <w:shd w:val="clear" w:color="auto" w:fill="FFFFFF"/>
        </w:rPr>
        <w:fldChar w:fldCharType="end"/>
      </w:r>
      <w:r w:rsidR="00B5189D">
        <w:rPr>
          <w:rStyle w:val="Emphasis"/>
          <w:i w:val="0"/>
          <w:iCs w:val="0"/>
          <w:color w:val="000000" w:themeColor="text1"/>
          <w:shd w:val="clear" w:color="auto" w:fill="FFFFFF"/>
        </w:rPr>
        <w:t>.</w:t>
      </w:r>
      <w:r w:rsidR="00237C96">
        <w:rPr>
          <w:rStyle w:val="Emphasis"/>
          <w:i w:val="0"/>
          <w:iCs w:val="0"/>
          <w:color w:val="000000" w:themeColor="text1"/>
          <w:shd w:val="clear" w:color="auto" w:fill="FFFFFF"/>
        </w:rPr>
        <w:t xml:space="preserve"> </w:t>
      </w:r>
      <w:r w:rsidR="002B2DDC">
        <w:rPr>
          <w:rStyle w:val="Emphasis"/>
          <w:i w:val="0"/>
          <w:iCs w:val="0"/>
          <w:color w:val="000000" w:themeColor="text1"/>
          <w:shd w:val="clear" w:color="auto" w:fill="FFFFFF"/>
        </w:rPr>
        <w:t xml:space="preserve">Interestingly, </w:t>
      </w:r>
      <w:r w:rsidR="00237C96" w:rsidRPr="004465EE">
        <w:rPr>
          <w:rStyle w:val="Emphasis"/>
          <w:i w:val="0"/>
          <w:iCs w:val="0"/>
          <w:color w:val="000000" w:themeColor="text1"/>
          <w:shd w:val="clear" w:color="auto" w:fill="FFFFFF"/>
        </w:rPr>
        <w:t>β</w:t>
      </w:r>
      <w:r w:rsidR="00237C96">
        <w:rPr>
          <w:rStyle w:val="Emphasis"/>
          <w:i w:val="0"/>
          <w:iCs w:val="0"/>
          <w:color w:val="000000" w:themeColor="text1"/>
          <w:shd w:val="clear" w:color="auto" w:fill="FFFFFF"/>
        </w:rPr>
        <w:t xml:space="preserve">-carbolines were </w:t>
      </w:r>
      <w:r w:rsidR="002B2DDC">
        <w:rPr>
          <w:rStyle w:val="Emphasis"/>
          <w:i w:val="0"/>
          <w:iCs w:val="0"/>
          <w:color w:val="000000" w:themeColor="text1"/>
          <w:shd w:val="clear" w:color="auto" w:fill="FFFFFF"/>
        </w:rPr>
        <w:t xml:space="preserve">also </w:t>
      </w:r>
      <w:r w:rsidR="00237C96">
        <w:rPr>
          <w:rStyle w:val="Emphasis"/>
          <w:i w:val="0"/>
          <w:iCs w:val="0"/>
          <w:color w:val="000000" w:themeColor="text1"/>
          <w:shd w:val="clear" w:color="auto" w:fill="FFFFFF"/>
        </w:rPr>
        <w:t xml:space="preserve">found in </w:t>
      </w:r>
      <w:proofErr w:type="spellStart"/>
      <w:r w:rsidR="00237C96">
        <w:rPr>
          <w:rStyle w:val="Emphasis"/>
          <w:i w:val="0"/>
          <w:iCs w:val="0"/>
          <w:color w:val="000000" w:themeColor="text1"/>
          <w:shd w:val="clear" w:color="auto" w:fill="FFFFFF"/>
        </w:rPr>
        <w:t>psilocybe</w:t>
      </w:r>
      <w:proofErr w:type="spellEnd"/>
      <w:r w:rsidR="00237C96">
        <w:rPr>
          <w:rStyle w:val="Emphasis"/>
          <w:i w:val="0"/>
          <w:iCs w:val="0"/>
          <w:color w:val="000000" w:themeColor="text1"/>
          <w:shd w:val="clear" w:color="auto" w:fill="FFFFFF"/>
        </w:rPr>
        <w:t xml:space="preserve"> mushrooms</w:t>
      </w:r>
      <w:r w:rsidR="002A1DC6">
        <w:rPr>
          <w:rStyle w:val="Emphasis"/>
          <w:i w:val="0"/>
          <w:iCs w:val="0"/>
          <w:color w:val="000000" w:themeColor="text1"/>
          <w:shd w:val="clear" w:color="auto" w:fill="FFFFFF"/>
        </w:rPr>
        <w:fldChar w:fldCharType="begin" w:fldLock="1"/>
      </w:r>
      <w:r w:rsidR="00030235">
        <w:rPr>
          <w:rStyle w:val="Emphasis"/>
          <w:i w:val="0"/>
          <w:iCs w:val="0"/>
          <w:color w:val="000000" w:themeColor="text1"/>
          <w:shd w:val="clear" w:color="auto" w:fill="FFFFFF"/>
        </w:rPr>
        <w:instrText>ADDIN CSL_CITATION {"citationItems":[{"id":"ITEM-1","itemData":{"DOI":"10.1002/chem.201904363","ISSN":"15213765","PMID":"31729089","abstract":"The psychotropic effects of Psilocybe “magic” mushrooms are caused by the l-tryptophan-derived alkaloid psilocybin. Despite their significance, the secondary metabolome of these fungi is poorly understood in general. Our analysis of four Psilocybe species identified harmane, harmine, and a range of other l-tryptophan-derived β-carbolines as their natural products, which was confirmed by 1D and 2D NMR spectroscopy. Stable-isotope labeling with 13C11-l-tryptophan verified the β-carbolines as biosynthetic products of these fungi. In addition, MALDI-MS imaging showed that β-carbolines accumulate toward the hyphal apices. As potent inhibitors of monoamine oxidases, β-carbolines are neuroactive compounds and interfere with psilocybin degradation. Therefore, our findings represent an unprecedented scenario of natural product pathways that diverge from the same building block and produce dissimilar compounds, yet contribute directly or indirectly to the same pharmacological effects.","author":[{"dropping-particle":"","family":"Blei","given":"Felix","non-dropping-particle":"","parse-names":false,"suffix":""},{"dropping-particle":"","family":"Dörner","given":"Sebastian","non-dropping-particle":"","parse-names":false,"suffix":""},{"dropping-particle":"","family":"Fricke","given":"Janis","non-dropping-particle":"","parse-names":false,"suffix":""},{"dropping-particle":"","family":"Baldeweg","given":"Florian","non-dropping-particle":"","parse-names":false,"suffix":""},{"dropping-particle":"","family":"Trottmann","given":"Felix","non-dropping-particle":"","parse-names":false,"suffix":""},{"dropping-particle":"","family":"Komor","given":"Anna","non-dropping-particle":"","parse-names":false,"suffix":""},{"dropping-particle":"","family":"Meyer","given":"Florian","non-dropping-particle":"","parse-names":false,"suffix":""},{"dropping-particle":"","family":"Hertweck","given":"Christian","non-dropping-particle":"","parse-names":false,"suffix":""},{"dropping-particle":"","family":"Hoffmeister","given":"Dirk","non-dropping-particle":"","parse-names":false,"suffix":""}],"container-title":"Chemistry - A European Journal","id":"ITEM-1","issue":"3","issued":{"date-parts":[["2020","1","13"]]},"page":"729-734","publisher":"Wiley-VCH Verlag","title":"Simultaneous Production of Psilocybin and a Cocktail of β-Carboline Monoamine Oxidase Inhibitors in “Magic” Mushrooms","type":"article-journal","volume":"26"},"uris":["http://www.mendeley.com/documents/?uuid=80e292a2-9ebd-3f2f-82bc-171c3365ba23"]}],"mendeley":{"formattedCitation":"(95)","plainTextFormattedCitation":"(95)","previouslyFormattedCitation":"(95)"},"properties":{"noteIndex":0},"schema":"https://github.com/citation-style-language/schema/raw/master/csl-citation.json"}</w:instrText>
      </w:r>
      <w:r w:rsidR="002A1DC6">
        <w:rPr>
          <w:rStyle w:val="Emphasis"/>
          <w:i w:val="0"/>
          <w:iCs w:val="0"/>
          <w:color w:val="000000" w:themeColor="text1"/>
          <w:shd w:val="clear" w:color="auto" w:fill="FFFFFF"/>
        </w:rPr>
        <w:fldChar w:fldCharType="separate"/>
      </w:r>
      <w:r w:rsidR="00030235" w:rsidRPr="00030235">
        <w:rPr>
          <w:rStyle w:val="Emphasis"/>
          <w:i w:val="0"/>
          <w:iCs w:val="0"/>
          <w:noProof/>
          <w:color w:val="000000" w:themeColor="text1"/>
          <w:shd w:val="clear" w:color="auto" w:fill="FFFFFF"/>
        </w:rPr>
        <w:t>(95)</w:t>
      </w:r>
      <w:r w:rsidR="002A1DC6">
        <w:rPr>
          <w:rStyle w:val="Emphasis"/>
          <w:i w:val="0"/>
          <w:iCs w:val="0"/>
          <w:color w:val="000000" w:themeColor="text1"/>
          <w:shd w:val="clear" w:color="auto" w:fill="FFFFFF"/>
        </w:rPr>
        <w:fldChar w:fldCharType="end"/>
      </w:r>
      <w:r w:rsidR="00237C96">
        <w:rPr>
          <w:rStyle w:val="Emphasis"/>
          <w:i w:val="0"/>
          <w:iCs w:val="0"/>
          <w:color w:val="000000" w:themeColor="text1"/>
          <w:shd w:val="clear" w:color="auto" w:fill="FFFFFF"/>
        </w:rPr>
        <w:t xml:space="preserve"> </w:t>
      </w:r>
      <w:r w:rsidR="002A1DC6">
        <w:rPr>
          <w:rStyle w:val="Emphasis"/>
          <w:i w:val="0"/>
          <w:iCs w:val="0"/>
          <w:color w:val="000000" w:themeColor="text1"/>
          <w:shd w:val="clear" w:color="auto" w:fill="FFFFFF"/>
        </w:rPr>
        <w:t>and</w:t>
      </w:r>
      <w:r w:rsidR="002B2DDC">
        <w:rPr>
          <w:rStyle w:val="Emphasis"/>
          <w:i w:val="0"/>
          <w:iCs w:val="0"/>
          <w:color w:val="000000" w:themeColor="text1"/>
          <w:shd w:val="clear" w:color="auto" w:fill="FFFFFF"/>
        </w:rPr>
        <w:t xml:space="preserve"> so</w:t>
      </w:r>
      <w:r w:rsidR="005C3131">
        <w:rPr>
          <w:rStyle w:val="Emphasis"/>
          <w:i w:val="0"/>
          <w:iCs w:val="0"/>
          <w:color w:val="000000" w:themeColor="text1"/>
          <w:shd w:val="clear" w:color="auto" w:fill="FFFFFF"/>
        </w:rPr>
        <w:t xml:space="preserve"> further</w:t>
      </w:r>
      <w:r w:rsidR="002A1DC6">
        <w:rPr>
          <w:rStyle w:val="Emphasis"/>
          <w:i w:val="0"/>
          <w:iCs w:val="0"/>
          <w:color w:val="000000" w:themeColor="text1"/>
          <w:shd w:val="clear" w:color="auto" w:fill="FFFFFF"/>
        </w:rPr>
        <w:t xml:space="preserve"> </w:t>
      </w:r>
      <w:r w:rsidR="00237C96">
        <w:rPr>
          <w:rStyle w:val="Emphasis"/>
          <w:i w:val="0"/>
          <w:iCs w:val="0"/>
          <w:color w:val="000000" w:themeColor="text1"/>
          <w:shd w:val="clear" w:color="auto" w:fill="FFFFFF"/>
        </w:rPr>
        <w:t>investigati</w:t>
      </w:r>
      <w:r w:rsidR="005C3131">
        <w:rPr>
          <w:rStyle w:val="Emphasis"/>
          <w:i w:val="0"/>
          <w:iCs w:val="0"/>
          <w:color w:val="000000" w:themeColor="text1"/>
          <w:shd w:val="clear" w:color="auto" w:fill="FFFFFF"/>
        </w:rPr>
        <w:t>on</w:t>
      </w:r>
      <w:r w:rsidR="00237C96">
        <w:rPr>
          <w:rStyle w:val="Emphasis"/>
          <w:i w:val="0"/>
          <w:iCs w:val="0"/>
          <w:color w:val="000000" w:themeColor="text1"/>
          <w:shd w:val="clear" w:color="auto" w:fill="FFFFFF"/>
        </w:rPr>
        <w:t xml:space="preserve"> </w:t>
      </w:r>
      <w:r w:rsidR="00C544B3">
        <w:rPr>
          <w:rStyle w:val="Emphasis"/>
          <w:i w:val="0"/>
          <w:iCs w:val="0"/>
          <w:color w:val="000000" w:themeColor="text1"/>
          <w:shd w:val="clear" w:color="auto" w:fill="FFFFFF"/>
        </w:rPr>
        <w:t>could be warranted</w:t>
      </w:r>
      <w:r w:rsidR="00237C96">
        <w:rPr>
          <w:rStyle w:val="Emphasis"/>
          <w:i w:val="0"/>
          <w:iCs w:val="0"/>
          <w:color w:val="000000" w:themeColor="text1"/>
          <w:shd w:val="clear" w:color="auto" w:fill="FFFFFF"/>
        </w:rPr>
        <w:t>. These examples highlight</w:t>
      </w:r>
      <w:r w:rsidR="00822ABC">
        <w:rPr>
          <w:rStyle w:val="Emphasis"/>
          <w:i w:val="0"/>
          <w:iCs w:val="0"/>
          <w:color w:val="000000" w:themeColor="text1"/>
          <w:shd w:val="clear" w:color="auto" w:fill="FFFFFF"/>
        </w:rPr>
        <w:t xml:space="preserve"> the importance of using </w:t>
      </w:r>
      <w:r w:rsidR="00822ABC" w:rsidRPr="00F00BA9">
        <w:rPr>
          <w:color w:val="000000" w:themeColor="text1"/>
          <w:shd w:val="clear" w:color="auto" w:fill="FFFFFF"/>
          <w:vertAlign w:val="superscript"/>
        </w:rPr>
        <w:t>1</w:t>
      </w:r>
      <w:r w:rsidR="00822ABC" w:rsidRPr="00F00BA9">
        <w:rPr>
          <w:color w:val="000000" w:themeColor="text1"/>
          <w:shd w:val="clear" w:color="auto" w:fill="FFFFFF"/>
        </w:rPr>
        <w:t>H</w:t>
      </w:r>
      <w:r w:rsidR="00822ABC" w:rsidRPr="00F00BA9">
        <w:rPr>
          <w:color w:val="000000" w:themeColor="text1"/>
          <w:vertAlign w:val="superscript"/>
        </w:rPr>
        <w:t xml:space="preserve"> </w:t>
      </w:r>
      <w:r w:rsidR="00822ABC" w:rsidRPr="00F00BA9">
        <w:rPr>
          <w:rFonts w:eastAsiaTheme="minorEastAsia"/>
          <w:color w:val="000000" w:themeColor="text1"/>
        </w:rPr>
        <w:t>NMR</w:t>
      </w:r>
      <w:r w:rsidR="00822ABC">
        <w:rPr>
          <w:rFonts w:eastAsiaTheme="minorEastAsia"/>
          <w:color w:val="000000" w:themeColor="text1"/>
        </w:rPr>
        <w:t xml:space="preserve"> spectroscopy</w:t>
      </w:r>
      <w:r w:rsidR="00237C96">
        <w:rPr>
          <w:rFonts w:eastAsiaTheme="minorEastAsia"/>
          <w:color w:val="000000" w:themeColor="text1"/>
        </w:rPr>
        <w:t xml:space="preserve"> for the </w:t>
      </w:r>
      <w:r w:rsidR="002A1DC6">
        <w:rPr>
          <w:rFonts w:eastAsiaTheme="minorEastAsia"/>
          <w:color w:val="000000" w:themeColor="text1"/>
        </w:rPr>
        <w:t xml:space="preserve">complete </w:t>
      </w:r>
      <w:r w:rsidR="00237C96">
        <w:rPr>
          <w:rFonts w:eastAsiaTheme="minorEastAsia"/>
          <w:color w:val="000000" w:themeColor="text1"/>
        </w:rPr>
        <w:t xml:space="preserve">detection of molecules in the </w:t>
      </w:r>
      <w:proofErr w:type="spellStart"/>
      <w:r w:rsidR="00237C96">
        <w:rPr>
          <w:rFonts w:eastAsiaTheme="minorEastAsia"/>
          <w:color w:val="000000" w:themeColor="text1"/>
        </w:rPr>
        <w:t>psilocybe</w:t>
      </w:r>
      <w:proofErr w:type="spellEnd"/>
      <w:r w:rsidR="00237C96">
        <w:rPr>
          <w:rFonts w:eastAsiaTheme="minorEastAsia"/>
          <w:color w:val="000000" w:themeColor="text1"/>
        </w:rPr>
        <w:t xml:space="preserve"> mushroom</w:t>
      </w:r>
      <w:r w:rsidR="00C544B3">
        <w:rPr>
          <w:rFonts w:eastAsiaTheme="minorEastAsia"/>
          <w:color w:val="000000" w:themeColor="text1"/>
        </w:rPr>
        <w:t xml:space="preserve"> in psychedelic research</w:t>
      </w:r>
      <w:r>
        <w:rPr>
          <w:rFonts w:eastAsiaTheme="minorEastAsia"/>
          <w:color w:val="000000" w:themeColor="text1"/>
        </w:rPr>
        <w:t xml:space="preserve"> and this approach</w:t>
      </w:r>
      <w:r w:rsidR="00BA03AC">
        <w:rPr>
          <w:rFonts w:eastAsiaTheme="minorEastAsia"/>
          <w:color w:val="000000" w:themeColor="text1"/>
        </w:rPr>
        <w:t xml:space="preserve"> could</w:t>
      </w:r>
      <w:r>
        <w:rPr>
          <w:rFonts w:eastAsiaTheme="minorEastAsia"/>
          <w:color w:val="000000" w:themeColor="text1"/>
        </w:rPr>
        <w:t xml:space="preserve"> be used to</w:t>
      </w:r>
      <w:r w:rsidR="00BA03AC">
        <w:rPr>
          <w:rFonts w:eastAsiaTheme="minorEastAsia"/>
          <w:color w:val="000000" w:themeColor="text1"/>
        </w:rPr>
        <w:t xml:space="preserve"> clarify the nature of the molecular interactions</w:t>
      </w:r>
      <w:r w:rsidR="00C544B3">
        <w:rPr>
          <w:rFonts w:eastAsiaTheme="minorEastAsia"/>
          <w:color w:val="000000" w:themeColor="text1"/>
        </w:rPr>
        <w:t>.</w:t>
      </w:r>
    </w:p>
    <w:p w14:paraId="13CC313D" w14:textId="77777777" w:rsidR="002C7794" w:rsidRDefault="002C7794" w:rsidP="00E50706">
      <w:pPr>
        <w:rPr>
          <w:rFonts w:eastAsiaTheme="minorEastAsia"/>
          <w:color w:val="000000"/>
        </w:rPr>
      </w:pPr>
    </w:p>
    <w:p w14:paraId="27332996" w14:textId="77777777" w:rsidR="00E50706" w:rsidRDefault="00E50706" w:rsidP="00E50706">
      <w:pPr>
        <w:rPr>
          <w:b/>
          <w:bCs/>
          <w:color w:val="000000" w:themeColor="text1"/>
          <w:shd w:val="clear" w:color="auto" w:fill="FFFFFF"/>
          <w:vertAlign w:val="superscript"/>
        </w:rPr>
      </w:pPr>
    </w:p>
    <w:p w14:paraId="29A21454" w14:textId="5F10EBCE" w:rsidR="00AB0EB1" w:rsidRDefault="00AB0EB1" w:rsidP="00E50706">
      <w:pPr>
        <w:rPr>
          <w:rFonts w:eastAsiaTheme="minorEastAsia"/>
          <w:b/>
          <w:bCs/>
          <w:color w:val="000000"/>
        </w:rPr>
      </w:pPr>
      <w:r w:rsidRPr="00C64B2F">
        <w:rPr>
          <w:b/>
          <w:bCs/>
          <w:color w:val="000000" w:themeColor="text1"/>
          <w:shd w:val="clear" w:color="auto" w:fill="FFFFFF"/>
          <w:vertAlign w:val="superscript"/>
        </w:rPr>
        <w:t>1</w:t>
      </w:r>
      <w:r w:rsidRPr="00C64B2F">
        <w:rPr>
          <w:b/>
          <w:bCs/>
          <w:color w:val="000000" w:themeColor="text1"/>
          <w:shd w:val="clear" w:color="auto" w:fill="FFFFFF"/>
        </w:rPr>
        <w:t>H</w:t>
      </w:r>
      <w:r w:rsidRPr="00C64B2F">
        <w:rPr>
          <w:b/>
          <w:bCs/>
          <w:vertAlign w:val="superscript"/>
        </w:rPr>
        <w:t xml:space="preserve"> </w:t>
      </w:r>
      <w:r w:rsidRPr="00C64B2F">
        <w:rPr>
          <w:rFonts w:eastAsiaTheme="minorEastAsia"/>
          <w:b/>
          <w:bCs/>
          <w:color w:val="000000"/>
        </w:rPr>
        <w:t xml:space="preserve">NMR can </w:t>
      </w:r>
      <w:r w:rsidR="002C7794">
        <w:rPr>
          <w:rFonts w:eastAsiaTheme="minorEastAsia"/>
          <w:b/>
          <w:bCs/>
          <w:color w:val="000000"/>
        </w:rPr>
        <w:t>analytically characterise</w:t>
      </w:r>
      <w:r w:rsidR="002C7794" w:rsidRPr="00C10351">
        <w:rPr>
          <w:rFonts w:eastAsiaTheme="minorEastAsia"/>
          <w:b/>
          <w:bCs/>
          <w:color w:val="000000"/>
        </w:rPr>
        <w:t xml:space="preserve"> </w:t>
      </w:r>
      <w:r>
        <w:rPr>
          <w:rFonts w:eastAsiaTheme="minorEastAsia"/>
          <w:b/>
          <w:bCs/>
          <w:color w:val="000000"/>
        </w:rPr>
        <w:t xml:space="preserve">psychedelic </w:t>
      </w:r>
      <w:r w:rsidRPr="00C64B2F">
        <w:rPr>
          <w:rFonts w:eastAsiaTheme="minorEastAsia"/>
          <w:b/>
          <w:bCs/>
          <w:color w:val="000000"/>
        </w:rPr>
        <w:t xml:space="preserve">molecules in </w:t>
      </w:r>
      <w:r>
        <w:rPr>
          <w:rFonts w:eastAsiaTheme="minorEastAsia"/>
          <w:b/>
          <w:bCs/>
          <w:color w:val="000000"/>
        </w:rPr>
        <w:t>their salt form</w:t>
      </w:r>
      <w:r w:rsidR="00F14BAD">
        <w:rPr>
          <w:rFonts w:eastAsiaTheme="minorEastAsia"/>
          <w:b/>
          <w:bCs/>
          <w:color w:val="000000"/>
        </w:rPr>
        <w:t>.</w:t>
      </w:r>
    </w:p>
    <w:p w14:paraId="7A9C2668" w14:textId="77777777" w:rsidR="00D85640" w:rsidRDefault="00D85640" w:rsidP="00E50706">
      <w:pPr>
        <w:rPr>
          <w:rFonts w:eastAsiaTheme="minorEastAsia"/>
          <w:color w:val="000000"/>
        </w:rPr>
      </w:pPr>
    </w:p>
    <w:p w14:paraId="05663595" w14:textId="68791381" w:rsidR="00EA7C13" w:rsidRPr="00BC5D33" w:rsidRDefault="008D508C" w:rsidP="00E50706">
      <w:pPr>
        <w:rPr>
          <w:color w:val="000000" w:themeColor="text1"/>
          <w:shd w:val="clear" w:color="auto" w:fill="FFFFFF"/>
          <w:vertAlign w:val="superscript"/>
        </w:rPr>
      </w:pPr>
      <w:r>
        <w:rPr>
          <w:rFonts w:eastAsiaTheme="minorEastAsia"/>
          <w:color w:val="000000"/>
        </w:rPr>
        <w:t>There were two papers in this review that aimed to create salt form</w:t>
      </w:r>
      <w:r w:rsidR="000B0349">
        <w:rPr>
          <w:rFonts w:eastAsiaTheme="minorEastAsia"/>
          <w:color w:val="000000"/>
        </w:rPr>
        <w:t xml:space="preserve">s of psychedelic </w:t>
      </w:r>
      <w:r w:rsidR="00392975">
        <w:rPr>
          <w:rFonts w:eastAsiaTheme="minorEastAsia"/>
          <w:color w:val="000000"/>
        </w:rPr>
        <w:t>substance</w:t>
      </w:r>
      <w:r w:rsidR="00894D35">
        <w:rPr>
          <w:rFonts w:eastAsiaTheme="minorEastAsia"/>
          <w:color w:val="000000"/>
        </w:rPr>
        <w:t>s</w:t>
      </w:r>
      <w:r w:rsidR="007B198C">
        <w:rPr>
          <w:rFonts w:eastAsiaTheme="minorEastAsia"/>
          <w:color w:val="000000"/>
        </w:rPr>
        <w:t xml:space="preserve">. </w:t>
      </w:r>
      <w:r w:rsidR="00D87224" w:rsidRPr="00A36890">
        <w:t>Cozzi and Daley (2020)</w:t>
      </w:r>
      <w:r w:rsidR="00D87224">
        <w:t xml:space="preserve"> </w:t>
      </w:r>
      <w:r w:rsidR="009D5B8F">
        <w:t xml:space="preserve">made DMT </w:t>
      </w:r>
      <w:proofErr w:type="spellStart"/>
      <w:r w:rsidR="009D5B8F">
        <w:t>hemifumurate</w:t>
      </w:r>
      <w:proofErr w:type="spellEnd"/>
      <w:r w:rsidR="009D5B8F">
        <w:t xml:space="preserve"> salt</w:t>
      </w:r>
      <w:r w:rsidR="00F53C1B">
        <w:t xml:space="preserve"> and Sherwood </w:t>
      </w:r>
      <w:r w:rsidR="00F53C1B" w:rsidRPr="00AF43D1">
        <w:rPr>
          <w:i/>
          <w:iCs/>
        </w:rPr>
        <w:t xml:space="preserve">et al </w:t>
      </w:r>
      <w:r w:rsidR="00F53C1B">
        <w:lastRenderedPageBreak/>
        <w:t>(2020) made 5-MeO-DMT succinate salt</w:t>
      </w:r>
      <w:r w:rsidR="00A6309D">
        <w:t>;</w:t>
      </w:r>
      <w:r w:rsidR="009D5B8F">
        <w:t xml:space="preserve"> </w:t>
      </w:r>
      <w:r w:rsidR="00392975">
        <w:t>these are both molecules that ha</w:t>
      </w:r>
      <w:r w:rsidR="00412046">
        <w:t xml:space="preserve">ve been used significantly less in </w:t>
      </w:r>
      <w:r w:rsidR="005F3130">
        <w:t>clinical trials</w:t>
      </w:r>
      <w:r w:rsidR="000A3FFB">
        <w:t xml:space="preserve"> compared to psilocybin</w:t>
      </w:r>
      <w:r w:rsidR="005F3130">
        <w:t xml:space="preserve">. </w:t>
      </w:r>
      <w:r w:rsidR="00BC5D33">
        <w:t>Previous research investigating consumption of</w:t>
      </w:r>
      <w:r w:rsidR="005F3130">
        <w:t xml:space="preserve"> </w:t>
      </w:r>
      <w:r w:rsidR="00F53C1B">
        <w:t xml:space="preserve">DMT and 5-MeO-DMT </w:t>
      </w:r>
      <w:r w:rsidR="00BC5D33">
        <w:t>in a</w:t>
      </w:r>
      <w:r w:rsidR="00F53C1B">
        <w:t xml:space="preserve"> naturalistic setting </w:t>
      </w:r>
      <w:r w:rsidR="00BC5D33">
        <w:t>noted that</w:t>
      </w:r>
      <w:r w:rsidR="008939F7">
        <w:t xml:space="preserve"> the administration for these </w:t>
      </w:r>
      <w:r w:rsidR="004F7C9C">
        <w:t>substances</w:t>
      </w:r>
      <w:r w:rsidR="008939F7">
        <w:t xml:space="preserve"> have primarily been through </w:t>
      </w:r>
      <w:r w:rsidR="0025565C">
        <w:t>oral administration</w:t>
      </w:r>
      <w:r w:rsidR="003D2BF3">
        <w:t xml:space="preserve"> of ayahuasca for DMT</w:t>
      </w:r>
      <w:r w:rsidR="00715D01">
        <w:fldChar w:fldCharType="begin" w:fldLock="1"/>
      </w:r>
      <w:r w:rsidR="00112529">
        <w:instrText>ADDIN CSL_CITATION {"citationItems":[{"id":"ITEM-1","itemData":{"DOI":"10.1007/s00213-018-4988-3","ISSN":"14322072","PMID":"30105399","abstract":"Rationale: Ayahuasca is a psychotropic plant tea from South America used for religious purposes by indigenous people of the Amazon. Increasing evidence indicates that ayahuasca may have therapeutic potential in the treatment of mental health disorders and can enhance mindfulness-related capacities. Most research so far has focused on acute and sub-acute effects of ayahuasca on mental health-related parameters and less on long-term effects. Objectives: The present study aimed to assess sub-acute and long-term effects of ayahuasca on well-being and cognitive thinking style. The second objective was to assess whether sub-acute and long-term effects of ayahuasca depend on the degree of ego dissolution that was experienced after consumption of ayahuasca. Results: Ayahuasca ceremony attendants (N = 57) in the Netherlands and Colombia were assessed before, the day after, and 4 weeks following the ritual. Relative to baseline, ratings of depression and stress significantly decreased after the ayahuasca ceremony and these changes persisted for 4 weeks. Likewise, convergent thinking improved post-ayahuasca ceremony up until the 4 weeks follow-up. Satisfaction with life and several aspects of mindfulness increased the day after the ceremony, but these changes failed to reach significance 4 weeks after. Changes in affect, satisfaction with life, and mindfulness were significantly correlated to the level of ego dissolution experienced during the ayahuasca ceremony and were unrelated to previous experience with ayahuasca. Conclusion: It is concluded that ayahuasca produces sub-acute and long-term improvements in affect and cognitive thinking style in non-pathological users. These data highlight the therapeutic potential of ayahuasca in the treatment of mental health disorders, such as depression.","author":[{"dropping-particle":"V.","family":"Uthaug","given":"M.","non-dropping-particle":"","parse-names":false,"suffix":""},{"dropping-particle":"","family":"Oorsouw","given":"K.","non-dropping-particle":"van","parse-names":false,"suffix":""},{"dropping-particle":"","family":"Kuypers","given":"K. P.C.","non-dropping-particle":"","parse-names":false,"suffix":""},{"dropping-particle":"","family":"Boxtel","given":"M.","non-dropping-particle":"van","parse-names":false,"suffix":""},{"dropping-particle":"","family":"Broers","given":"N. J.","non-dropping-particle":"","parse-names":false,"suffix":""},{"dropping-particle":"","family":"Mason","given":"N. L.","non-dropping-particle":"","parse-names":false,"suffix":""},{"dropping-particle":"","family":"Toennes","given":"S. W.","non-dropping-particle":"","parse-names":false,"suffix":""},{"dropping-particle":"","family":"Riba","given":"J.","non-dropping-particle":"","parse-names":false,"suffix":""},{"dropping-particle":"","family":"Ramaekers","given":"J. G.","non-dropping-particle":"","parse-names":false,"suffix":""}],"container-title":"Psychopharmacology","id":"ITEM-1","issue":"10","issued":{"date-parts":[["2018","10","1"]]},"page":"2979-2989","publisher":"Springer Verlag","title":"Sub-acute and long-term effects of ayahuasca on affect and cognitive thinking style and their association with ego dissolution","type":"article-journal","volume":"235"},"uris":["http://www.mendeley.com/documents/?uuid=a61f8df4-5866-3891-9c5e-a23e7e7171b0"]}],"mendeley":{"formattedCitation":"(138)","plainTextFormattedCitation":"(138)","previouslyFormattedCitation":"(138)"},"properties":{"noteIndex":0},"schema":"https://github.com/citation-style-language/schema/raw/master/csl-citation.json"}</w:instrText>
      </w:r>
      <w:r w:rsidR="00715D01">
        <w:fldChar w:fldCharType="separate"/>
      </w:r>
      <w:r w:rsidR="00133B53" w:rsidRPr="00133B53">
        <w:rPr>
          <w:noProof/>
        </w:rPr>
        <w:t>(138)</w:t>
      </w:r>
      <w:r w:rsidR="00715D01">
        <w:fldChar w:fldCharType="end"/>
      </w:r>
      <w:r w:rsidR="00715D01">
        <w:t xml:space="preserve"> </w:t>
      </w:r>
      <w:r w:rsidR="003D2BF3">
        <w:t>and the inhalation of vapour for 5-MeO-DMT</w:t>
      </w:r>
      <w:r w:rsidR="00715D01">
        <w:fldChar w:fldCharType="begin" w:fldLock="1"/>
      </w:r>
      <w:r w:rsidR="00112529">
        <w:instrText>ADDIN CSL_CITATION {"citationItems":[{"id":"ITEM-1","itemData":{"DOI":"10.1007/s00213-019-05236-w","ISSN":"14322072","PMID":"30982127","abstract":"Background: 5-methoxy-N,N-dimethyltryptamine (hereinafter referred to as 5-MeO-DMT) is a psychedelic substance found in the secretion from the parotoid glands of the Bufo alvarius toad. Inhalation of vapor from toad secretion containing 5-MeO-DMT has become popular in naturalistic settings as a treatment of mental health problems or as a means for spiritual exploration. However, knowledge of the effects of 5-MeO-DMT in humans is limited. Aims: The first objective of this study was to assess sub-acute and long-term effects of inhaling vapor from dried toad secretion containing 5-MeO-DMT on affect and cognition. The second objective was to assess whether any changes were associated with the psychedelic experience. Methods: Assessments at baseline, within 24 h and 4 weeks following intake, were made in 42 individuals who inhaled vapor from dried toad secretion at several European locations. Results: Relative to baseline, ratings of satisfaction with life and convergent thinking significantly increased right after intake and were maintained at follow-up 4 weeks later. Ratings of mindfulness also increased over time and reached statistical significance at 4 weeks. Ratings of depression, anxiety, and stress decreased after the session, and reached significance at 4 weeks. Participants that experienced high levels of ego dissolution or oceanic boundlessness during the session displayed higher ratings of satisfaction with life and lower ratings of depression and stress. Conclusion: A single inhalation of vapor from dried toad secretion containing 5-MeO-DMT produces sub-acute and long-term changes in affect and cognition in volunteers. These results warrant exploratory research into therapeutic applications of 5-MeO-DMT.","author":[{"dropping-particle":"V.","family":"Uthaug","given":"M.","non-dropping-particle":"","parse-names":false,"suffix":""},{"dropping-particle":"","family":"Lancelotta","given":"R.","non-dropping-particle":"","parse-names":false,"suffix":""},{"dropping-particle":"","family":"Oorsouw","given":"K.","non-dropping-particle":"van","parse-names":false,"suffix":""},{"dropping-particle":"","family":"Kuypers","given":"K. P.C.","non-dropping-particle":"","parse-names":false,"suffix":""},{"dropping-particle":"","family":"Mason","given":"N.","non-dropping-particle":"","parse-names":false,"suffix":""},{"dropping-particle":"","family":"Rak","given":"J.","non-dropping-particle":"","parse-names":false,"suffix":""},{"dropping-particle":"","family":"Šuláková","given":"A.","non-dropping-particle":"","parse-names":false,"suffix":""},{"dropping-particle":"","family":"Jurok","given":"R.","non-dropping-particle":"","parse-names":false,"suffix":""},{"dropping-particle":"","family":"Maryška","given":"M.","non-dropping-particle":"","parse-names":false,"suffix":""},{"dropping-particle":"","family":"Kuchař","given":"M.","non-dropping-particle":"","parse-names":false,"suffix":""},{"dropping-particle":"","family":"Páleníček","given":"T.","non-dropping-particle":"","parse-names":false,"suffix":""},{"dropping-particle":"","family":"Riba","given":"J.","non-dropping-particle":"","parse-names":false,"suffix":""},{"dropping-particle":"","family":"Ramaekers","given":"J. G.","non-dropping-particle":"","parse-names":false,"suffix":""}],"container-title":"Psychopharmacology","id":"ITEM-1","issue":"9","issued":{"date-parts":[["2019","9","1"]]},"page":"2653-2666","publisher":"Springer Verlag","title":"A single inhalation of vapor from dried toad secretion containing 5-methoxy-N,N-dimethyltryptamine (5-MeO-DMT) in a naturalistic setting is related to sustained enhancement of satisfaction with life, mindfulness-related capacities, and a decrement of psychopathological symptoms","type":"article-journal","volume":"236"},"uris":["http://www.mendeley.com/documents/?uuid=2def2773-2561-34b2-9d8d-80fef9d036ce"]},{"id":"ITEM-2","itemData":{"DOI":"10.1007/s00213-019-05414-w","ISSN":"14322072","PMID":"31822925","abstract":"Rationale: 5-methoxy-N,N-dimethyltryptamine is a psychotropic substance found in various plant and animal species and is synthetically produced. 5-methoxy-N,N-dimethyltryptamine is used in naturalistic settings for spiritual exploration, recreation, or to address negative affect and mood problems. However, scientific knowledge on the effects of 5-methoxy-N,N-dimethyltryptamine in humans is scarce. Objectives: The first objective was to assess the effects of inhalation of vaporized synthetic 5-methoxy-N,N-dimethyltryptamine on neuroendocrine markers. The second objective was to assess effects of the substance on affect and mindfulness. In addition, we assessed whether ratings of subjective measures were associated with changes in stress biomarkers (i.e., cortisol) and immune response (i.e., IL-6, CRP, IL-1β), as well as the acute psychedelic experience. Methods: Assessments (baseline, immediately post-session, and 7-day follow-up) were made in 11 participants. Salivary samples were collected at baseline and post-session and analyzed by high-sensitivity enzyme-linked immunosorbent assay (ELISA). Results: 5-methoxy-N,N-dimethyltryptamine significantly increased cortisol levels and decreased IL-6 concentrations in saliva immediately post-session. These changes were not correlated to ratings of mental health or the psychedelic experience. Relative to baseline, ratings of non-judgment significantly increased, and ratings of depression decreased immediately post-session and at follow-up. Ratings of anxiety and stress decreased from baseline to 7-day follow-up. Participant ratings of the psychedelic experience correlated negatively with ratings of affect and positively with ratings of non-judgment. Conclusion: Inhalation of vaporized synthetic 5-methoxy-N,N-dimethyltryptamine produced significant changes in inflammatory markers, improved affect, and non-judgment in volunteers. Future research should examine the effect of 5-methoxy-N,N-dimethyltryptamineamine with healthy volunteers in a controlled laboratory setting.","author":[{"dropping-particle":"V.","family":"Uthaug","given":"Malin","non-dropping-particle":"","parse-names":false,"suffix":""},{"dropping-particle":"","family":"Lancelotta","given":"Rafael","non-dropping-particle":"","parse-names":false,"suffix":""},{"dropping-particle":"","family":"Szabo","given":"Attila","non-dropping-particle":"","parse-names":false,"suffix":""},{"dropping-particle":"","family":"Davis","given":"Alan K.","non-dropping-particle":"","parse-names":false,"suffix":""},{"dropping-particle":"","family":"Riba","given":"Jordi","non-dropping-particle":"","parse-names":false,"suffix":""},{"dropping-particle":"","family":"Ramaekers","given":"Johannes G.","non-dropping-particle":"","parse-names":false,"suffix":""}],"container-title":"Psychopharmacology","id":"ITEM-2","issue":"3","issued":{"date-parts":[["2020","3","1"]]},"page":"773-785","publisher":"Springer","title":"Prospective examination of synthetic 5-methoxy-N,N-dimethyltryptamine inhalation: effects on salivary IL-6, cortisol levels, affect, and non-judgment","type":"article-journal","volume":"237"},"uris":["http://www.mendeley.com/documents/?uuid=25d15021-d8ea-3a3e-b4b5-b8f3d9daebc0"]}],"mendeley":{"formattedCitation":"(130,131)","plainTextFormattedCitation":"(130,131)","previouslyFormattedCitation":"(130,131)"},"properties":{"noteIndex":0},"schema":"https://github.com/citation-style-language/schema/raw/master/csl-citation.json"}</w:instrText>
      </w:r>
      <w:r w:rsidR="00715D01">
        <w:fldChar w:fldCharType="separate"/>
      </w:r>
      <w:r w:rsidR="00133B53" w:rsidRPr="00133B53">
        <w:rPr>
          <w:noProof/>
        </w:rPr>
        <w:t>(130,131)</w:t>
      </w:r>
      <w:r w:rsidR="00715D01">
        <w:fldChar w:fldCharType="end"/>
      </w:r>
      <w:r w:rsidR="0025565C">
        <w:t>.</w:t>
      </w:r>
      <w:r w:rsidR="00354B0F">
        <w:t xml:space="preserve"> </w:t>
      </w:r>
      <w:r w:rsidR="00BC5D33">
        <w:t>If clinical trials were to be conducted with these psychedelics, the</w:t>
      </w:r>
      <w:r w:rsidR="00354B0F">
        <w:t xml:space="preserve"> </w:t>
      </w:r>
      <w:r w:rsidR="00BC5D33">
        <w:t xml:space="preserve">existence of the salt forms is useful because it means there are more options </w:t>
      </w:r>
      <w:r w:rsidR="00085B14" w:rsidRPr="00140B2D">
        <w:t>regarding</w:t>
      </w:r>
      <w:r w:rsidR="00085B14">
        <w:t xml:space="preserve"> </w:t>
      </w:r>
      <w:r w:rsidR="00BC5D33">
        <w:t>the route of administration.</w:t>
      </w:r>
      <w:r w:rsidR="00085B14">
        <w:t xml:space="preserve"> For example,</w:t>
      </w:r>
      <w:r w:rsidR="00BC5D33">
        <w:t xml:space="preserve"> IM or IV injections may be advantageous depending on the trial design.</w:t>
      </w:r>
      <w:r w:rsidR="002C7794">
        <w:t xml:space="preserve"> </w:t>
      </w:r>
      <w:r w:rsidR="0025565C" w:rsidRPr="004465EE">
        <w:rPr>
          <w:color w:val="000000" w:themeColor="text1"/>
          <w:shd w:val="clear" w:color="auto" w:fill="FFFFFF"/>
          <w:vertAlign w:val="superscript"/>
        </w:rPr>
        <w:t>1</w:t>
      </w:r>
      <w:r w:rsidR="0025565C" w:rsidRPr="004465EE">
        <w:rPr>
          <w:color w:val="000000" w:themeColor="text1"/>
          <w:shd w:val="clear" w:color="auto" w:fill="FFFFFF"/>
        </w:rPr>
        <w:t xml:space="preserve">H </w:t>
      </w:r>
      <w:r w:rsidR="0025565C">
        <w:rPr>
          <w:color w:val="000000" w:themeColor="text1"/>
          <w:shd w:val="clear" w:color="auto" w:fill="FFFFFF"/>
        </w:rPr>
        <w:t>NMR</w:t>
      </w:r>
      <w:r w:rsidR="0025565C">
        <w:rPr>
          <w:rFonts w:eastAsiaTheme="minorEastAsia"/>
          <w:color w:val="000000"/>
        </w:rPr>
        <w:t xml:space="preserve"> spectroscopy has </w:t>
      </w:r>
      <w:r w:rsidR="00D674D6">
        <w:rPr>
          <w:rFonts w:eastAsiaTheme="minorEastAsia"/>
          <w:color w:val="000000"/>
        </w:rPr>
        <w:t>played an important role in determining the drug purity of these salt forms</w:t>
      </w:r>
      <w:r w:rsidR="00A6309D">
        <w:rPr>
          <w:rFonts w:eastAsiaTheme="minorEastAsia"/>
          <w:color w:val="000000"/>
        </w:rPr>
        <w:t>. T</w:t>
      </w:r>
      <w:r w:rsidR="006145DD">
        <w:rPr>
          <w:rFonts w:eastAsiaTheme="minorEastAsia"/>
          <w:color w:val="000000"/>
        </w:rPr>
        <w:t xml:space="preserve">his is a relevant application of the spectroscopic tool in psychedelic research and could be </w:t>
      </w:r>
      <w:r w:rsidR="00F2770C">
        <w:rPr>
          <w:rFonts w:eastAsiaTheme="minorEastAsia"/>
          <w:color w:val="000000"/>
        </w:rPr>
        <w:t xml:space="preserve">used for other psychedelic molecule that have a natural substance source and would benefit from being administered </w:t>
      </w:r>
      <w:r w:rsidR="002C7794">
        <w:rPr>
          <w:rFonts w:eastAsiaTheme="minorEastAsia"/>
          <w:color w:val="000000"/>
        </w:rPr>
        <w:t>through injections</w:t>
      </w:r>
      <w:r w:rsidR="00F2770C">
        <w:rPr>
          <w:rFonts w:eastAsiaTheme="minorEastAsia"/>
          <w:color w:val="000000"/>
        </w:rPr>
        <w:t xml:space="preserve">. Another benefit of having </w:t>
      </w:r>
      <w:r w:rsidR="008D283B">
        <w:rPr>
          <w:rFonts w:eastAsiaTheme="minorEastAsia"/>
          <w:color w:val="000000"/>
        </w:rPr>
        <w:t xml:space="preserve">these papers </w:t>
      </w:r>
      <w:r w:rsidR="00CD1DDB">
        <w:rPr>
          <w:rFonts w:eastAsiaTheme="minorEastAsia"/>
          <w:color w:val="000000"/>
        </w:rPr>
        <w:t xml:space="preserve">is that </w:t>
      </w:r>
      <w:r w:rsidR="008D283B">
        <w:rPr>
          <w:color w:val="000000" w:themeColor="text1"/>
          <w:shd w:val="clear" w:color="auto" w:fill="FFFFFF"/>
        </w:rPr>
        <w:t>the spectra</w:t>
      </w:r>
      <w:r w:rsidR="00383315">
        <w:rPr>
          <w:color w:val="000000" w:themeColor="text1"/>
          <w:shd w:val="clear" w:color="auto" w:fill="FFFFFF"/>
        </w:rPr>
        <w:t xml:space="preserve"> and analytical data</w:t>
      </w:r>
      <w:r w:rsidR="008D283B">
        <w:rPr>
          <w:color w:val="000000" w:themeColor="text1"/>
          <w:shd w:val="clear" w:color="auto" w:fill="FFFFFF"/>
        </w:rPr>
        <w:t xml:space="preserve"> produced </w:t>
      </w:r>
      <w:r w:rsidR="00CD1DDB">
        <w:rPr>
          <w:color w:val="000000" w:themeColor="text1"/>
          <w:shd w:val="clear" w:color="auto" w:fill="FFFFFF"/>
        </w:rPr>
        <w:t xml:space="preserve">by </w:t>
      </w:r>
      <w:r w:rsidR="00CD1DDB" w:rsidRPr="004465EE">
        <w:rPr>
          <w:color w:val="000000" w:themeColor="text1"/>
          <w:shd w:val="clear" w:color="auto" w:fill="FFFFFF"/>
          <w:vertAlign w:val="superscript"/>
        </w:rPr>
        <w:t>1</w:t>
      </w:r>
      <w:r w:rsidR="00CD1DDB" w:rsidRPr="004465EE">
        <w:rPr>
          <w:color w:val="000000" w:themeColor="text1"/>
          <w:shd w:val="clear" w:color="auto" w:fill="FFFFFF"/>
        </w:rPr>
        <w:t xml:space="preserve">H </w:t>
      </w:r>
      <w:r w:rsidR="00CD1DDB">
        <w:rPr>
          <w:color w:val="000000" w:themeColor="text1"/>
          <w:shd w:val="clear" w:color="auto" w:fill="FFFFFF"/>
        </w:rPr>
        <w:t>NMR c</w:t>
      </w:r>
      <w:r w:rsidR="008D283B">
        <w:rPr>
          <w:color w:val="000000" w:themeColor="text1"/>
          <w:shd w:val="clear" w:color="auto" w:fill="FFFFFF"/>
        </w:rPr>
        <w:t xml:space="preserve">an be </w:t>
      </w:r>
      <w:r w:rsidR="00383315">
        <w:rPr>
          <w:color w:val="000000" w:themeColor="text1"/>
          <w:shd w:val="clear" w:color="auto" w:fill="FFFFFF"/>
        </w:rPr>
        <w:t>catalogued for future use a</w:t>
      </w:r>
      <w:r w:rsidR="00CD1DDB">
        <w:rPr>
          <w:color w:val="000000" w:themeColor="text1"/>
          <w:shd w:val="clear" w:color="auto" w:fill="FFFFFF"/>
        </w:rPr>
        <w:t>nd</w:t>
      </w:r>
      <w:r w:rsidR="00383315">
        <w:rPr>
          <w:color w:val="000000" w:themeColor="text1"/>
          <w:shd w:val="clear" w:color="auto" w:fill="FFFFFF"/>
        </w:rPr>
        <w:t xml:space="preserve"> may provide </w:t>
      </w:r>
      <w:r w:rsidR="007B4BC8">
        <w:rPr>
          <w:color w:val="000000" w:themeColor="text1"/>
          <w:shd w:val="clear" w:color="auto" w:fill="FFFFFF"/>
        </w:rPr>
        <w:t xml:space="preserve">essential information if </w:t>
      </w:r>
      <w:r w:rsidR="007B4BC8" w:rsidRPr="004465EE">
        <w:rPr>
          <w:color w:val="000000" w:themeColor="text1"/>
          <w:shd w:val="clear" w:color="auto" w:fill="FFFFFF"/>
          <w:vertAlign w:val="superscript"/>
        </w:rPr>
        <w:t>1</w:t>
      </w:r>
      <w:r w:rsidR="007B4BC8" w:rsidRPr="004465EE">
        <w:rPr>
          <w:color w:val="000000" w:themeColor="text1"/>
          <w:shd w:val="clear" w:color="auto" w:fill="FFFFFF"/>
        </w:rPr>
        <w:t xml:space="preserve">H </w:t>
      </w:r>
      <w:r w:rsidR="007B4BC8">
        <w:rPr>
          <w:color w:val="000000" w:themeColor="text1"/>
          <w:shd w:val="clear" w:color="auto" w:fill="FFFFFF"/>
        </w:rPr>
        <w:t xml:space="preserve">NMR spectroscopy would be used to analyse the biofluids collected from clinical trials experimenting with these </w:t>
      </w:r>
      <w:r w:rsidR="00CD1DDB">
        <w:rPr>
          <w:color w:val="000000" w:themeColor="text1"/>
          <w:shd w:val="clear" w:color="auto" w:fill="FFFFFF"/>
        </w:rPr>
        <w:t>salt form</w:t>
      </w:r>
      <w:r w:rsidR="0060531A">
        <w:rPr>
          <w:color w:val="000000" w:themeColor="text1"/>
          <w:shd w:val="clear" w:color="auto" w:fill="FFFFFF"/>
        </w:rPr>
        <w:t>s</w:t>
      </w:r>
      <w:r w:rsidR="00CD1DDB">
        <w:rPr>
          <w:color w:val="000000" w:themeColor="text1"/>
          <w:shd w:val="clear" w:color="auto" w:fill="FFFFFF"/>
        </w:rPr>
        <w:t>.</w:t>
      </w:r>
    </w:p>
    <w:p w14:paraId="4235F8AB" w14:textId="77777777" w:rsidR="00E24597" w:rsidRDefault="00E24597" w:rsidP="00E50706">
      <w:pPr>
        <w:rPr>
          <w:rFonts w:eastAsiaTheme="minorEastAsia"/>
        </w:rPr>
      </w:pPr>
    </w:p>
    <w:p w14:paraId="543CB893" w14:textId="77777777" w:rsidR="00E50706" w:rsidRDefault="00E50706" w:rsidP="00E50706">
      <w:pPr>
        <w:rPr>
          <w:rFonts w:eastAsiaTheme="minorEastAsia"/>
          <w:b/>
          <w:bCs/>
        </w:rPr>
      </w:pPr>
    </w:p>
    <w:p w14:paraId="27081790" w14:textId="70CF1A9C" w:rsidR="00130AD2" w:rsidRPr="001248D4" w:rsidRDefault="001248D4" w:rsidP="00E50706">
      <w:pPr>
        <w:rPr>
          <w:rFonts w:eastAsiaTheme="minorEastAsia"/>
          <w:b/>
          <w:bCs/>
        </w:rPr>
      </w:pPr>
      <w:r w:rsidRPr="001248D4">
        <w:rPr>
          <w:rFonts w:eastAsiaTheme="minorEastAsia"/>
          <w:b/>
          <w:bCs/>
        </w:rPr>
        <w:t xml:space="preserve">Comparison between </w:t>
      </w:r>
      <w:r w:rsidRPr="001248D4">
        <w:rPr>
          <w:b/>
          <w:bCs/>
          <w:color w:val="000000" w:themeColor="text1"/>
          <w:shd w:val="clear" w:color="auto" w:fill="FFFFFF"/>
          <w:vertAlign w:val="superscript"/>
        </w:rPr>
        <w:t>1</w:t>
      </w:r>
      <w:r w:rsidRPr="001248D4">
        <w:rPr>
          <w:b/>
          <w:bCs/>
          <w:color w:val="000000" w:themeColor="text1"/>
          <w:shd w:val="clear" w:color="auto" w:fill="FFFFFF"/>
        </w:rPr>
        <w:t>H</w:t>
      </w:r>
      <w:r w:rsidRPr="001248D4">
        <w:rPr>
          <w:b/>
          <w:bCs/>
          <w:color w:val="000000" w:themeColor="text1"/>
          <w:vertAlign w:val="superscript"/>
        </w:rPr>
        <w:t xml:space="preserve"> </w:t>
      </w:r>
      <w:r w:rsidRPr="001248D4">
        <w:rPr>
          <w:rFonts w:eastAsiaTheme="minorEastAsia"/>
          <w:b/>
          <w:bCs/>
          <w:color w:val="000000" w:themeColor="text1"/>
        </w:rPr>
        <w:t>NMR and MS</w:t>
      </w:r>
      <w:r w:rsidR="00C10351">
        <w:rPr>
          <w:rFonts w:eastAsiaTheme="minorEastAsia"/>
          <w:b/>
          <w:bCs/>
          <w:color w:val="000000" w:themeColor="text1"/>
        </w:rPr>
        <w:t xml:space="preserve"> </w:t>
      </w:r>
      <w:r w:rsidR="00491C26">
        <w:rPr>
          <w:rFonts w:eastAsiaTheme="minorEastAsia"/>
          <w:b/>
          <w:bCs/>
          <w:color w:val="000000" w:themeColor="text1"/>
        </w:rPr>
        <w:t xml:space="preserve">for </w:t>
      </w:r>
      <w:proofErr w:type="spellStart"/>
      <w:r w:rsidR="00491C26">
        <w:rPr>
          <w:rFonts w:eastAsiaTheme="minorEastAsia"/>
          <w:b/>
          <w:bCs/>
          <w:color w:val="000000" w:themeColor="text1"/>
        </w:rPr>
        <w:t>Metabonomics</w:t>
      </w:r>
      <w:proofErr w:type="spellEnd"/>
    </w:p>
    <w:p w14:paraId="55ABC379" w14:textId="77777777" w:rsidR="00130AD2" w:rsidRDefault="00130AD2" w:rsidP="00E50706">
      <w:pPr>
        <w:rPr>
          <w:rFonts w:eastAsiaTheme="minorEastAsia"/>
        </w:rPr>
      </w:pPr>
    </w:p>
    <w:p w14:paraId="7A004C3D" w14:textId="144A8E78" w:rsidR="00CA692E" w:rsidRDefault="00085B14" w:rsidP="00E50706">
      <w:pPr>
        <w:rPr>
          <w:color w:val="000000" w:themeColor="text1"/>
        </w:rPr>
      </w:pPr>
      <w:r w:rsidRPr="00140B2D">
        <w:rPr>
          <w:color w:val="000000" w:themeColor="text1"/>
        </w:rPr>
        <w:t xml:space="preserve">The second </w:t>
      </w:r>
      <w:r w:rsidR="002C7794" w:rsidRPr="00140B2D">
        <w:rPr>
          <w:color w:val="000000" w:themeColor="text1"/>
        </w:rPr>
        <w:t>aim</w:t>
      </w:r>
      <w:r w:rsidR="002C7794">
        <w:rPr>
          <w:color w:val="000000" w:themeColor="text1"/>
        </w:rPr>
        <w:t xml:space="preserve"> of this review was </w:t>
      </w:r>
      <w:r w:rsidR="002C7794">
        <w:rPr>
          <w:color w:val="000000"/>
        </w:rPr>
        <w:t xml:space="preserve">to </w:t>
      </w:r>
      <w:r w:rsidR="002C7794" w:rsidRPr="00E86528">
        <w:t>assess the potential benefit</w:t>
      </w:r>
      <w:r w:rsidR="002C7794">
        <w:t xml:space="preserve">s and limitations associated with </w:t>
      </w:r>
      <w:r w:rsidR="002C7794" w:rsidRPr="00144F61">
        <w:rPr>
          <w:color w:val="000000" w:themeColor="text1"/>
          <w:shd w:val="clear" w:color="auto" w:fill="FFFFFF"/>
          <w:vertAlign w:val="superscript"/>
        </w:rPr>
        <w:t>1</w:t>
      </w:r>
      <w:r w:rsidR="002C7794" w:rsidRPr="00144F61">
        <w:rPr>
          <w:color w:val="000000" w:themeColor="text1"/>
          <w:shd w:val="clear" w:color="auto" w:fill="FFFFFF"/>
        </w:rPr>
        <w:t>H</w:t>
      </w:r>
      <w:r w:rsidR="002C7794" w:rsidRPr="00144F61">
        <w:rPr>
          <w:vertAlign w:val="superscript"/>
        </w:rPr>
        <w:t xml:space="preserve"> </w:t>
      </w:r>
      <w:r w:rsidR="002C7794" w:rsidRPr="00144F61">
        <w:rPr>
          <w:color w:val="000000"/>
        </w:rPr>
        <w:t>NMR</w:t>
      </w:r>
      <w:r w:rsidR="002C7794">
        <w:rPr>
          <w:color w:val="000000"/>
        </w:rPr>
        <w:t xml:space="preserve"> spectroscopy within the field of psychedelic research</w:t>
      </w:r>
      <w:r w:rsidR="002C7794">
        <w:rPr>
          <w:rFonts w:eastAsiaTheme="minorEastAsia"/>
        </w:rPr>
        <w:t xml:space="preserve">. </w:t>
      </w:r>
      <w:r w:rsidR="00B30B2C">
        <w:rPr>
          <w:rFonts w:eastAsiaTheme="minorEastAsia"/>
        </w:rPr>
        <w:t>From</w:t>
      </w:r>
      <w:r w:rsidR="00431675">
        <w:rPr>
          <w:rFonts w:eastAsiaTheme="minorEastAsia"/>
        </w:rPr>
        <w:t xml:space="preserve"> this review </w:t>
      </w:r>
      <w:proofErr w:type="gramStart"/>
      <w:r w:rsidR="00431675">
        <w:rPr>
          <w:rFonts w:eastAsiaTheme="minorEastAsia"/>
        </w:rPr>
        <w:t>i</w:t>
      </w:r>
      <w:r w:rsidR="00B30B2C">
        <w:rPr>
          <w:rFonts w:eastAsiaTheme="minorEastAsia"/>
        </w:rPr>
        <w:t xml:space="preserve">t is clear </w:t>
      </w:r>
      <w:r w:rsidR="00431675">
        <w:rPr>
          <w:rFonts w:eastAsiaTheme="minorEastAsia"/>
        </w:rPr>
        <w:t xml:space="preserve">that </w:t>
      </w:r>
      <w:r w:rsidR="00F00BA9" w:rsidRPr="00F00BA9">
        <w:rPr>
          <w:color w:val="000000" w:themeColor="text1"/>
          <w:shd w:val="clear" w:color="auto" w:fill="FFFFFF"/>
          <w:vertAlign w:val="superscript"/>
        </w:rPr>
        <w:t>1</w:t>
      </w:r>
      <w:r w:rsidR="00F00BA9" w:rsidRPr="00F00BA9">
        <w:rPr>
          <w:color w:val="000000" w:themeColor="text1"/>
          <w:shd w:val="clear" w:color="auto" w:fill="FFFFFF"/>
        </w:rPr>
        <w:t>H</w:t>
      </w:r>
      <w:proofErr w:type="gramEnd"/>
      <w:r w:rsidR="00F00BA9" w:rsidRPr="00F00BA9">
        <w:rPr>
          <w:color w:val="000000" w:themeColor="text1"/>
          <w:vertAlign w:val="superscript"/>
        </w:rPr>
        <w:t xml:space="preserve"> </w:t>
      </w:r>
      <w:r w:rsidR="00F00BA9" w:rsidRPr="00F00BA9">
        <w:rPr>
          <w:rFonts w:eastAsiaTheme="minorEastAsia"/>
          <w:color w:val="000000" w:themeColor="text1"/>
        </w:rPr>
        <w:t>NMR</w:t>
      </w:r>
      <w:r w:rsidR="00F00BA9">
        <w:rPr>
          <w:color w:val="000000" w:themeColor="text1"/>
        </w:rPr>
        <w:t xml:space="preserve"> is</w:t>
      </w:r>
      <w:r w:rsidR="00083910">
        <w:rPr>
          <w:color w:val="000000" w:themeColor="text1"/>
        </w:rPr>
        <w:t xml:space="preserve"> </w:t>
      </w:r>
      <w:r w:rsidR="0078152C">
        <w:rPr>
          <w:color w:val="000000" w:themeColor="text1"/>
        </w:rPr>
        <w:t>not</w:t>
      </w:r>
      <w:r w:rsidR="00083910">
        <w:rPr>
          <w:color w:val="000000" w:themeColor="text1"/>
        </w:rPr>
        <w:t xml:space="preserve"> the preferred technique for </w:t>
      </w:r>
      <w:r w:rsidR="00AE2A7E" w:rsidRPr="00F00BA9">
        <w:rPr>
          <w:color w:val="000000" w:themeColor="text1"/>
        </w:rPr>
        <w:t>metabolically analys</w:t>
      </w:r>
      <w:r w:rsidR="00083910">
        <w:rPr>
          <w:color w:val="000000" w:themeColor="text1"/>
        </w:rPr>
        <w:t>ing</w:t>
      </w:r>
      <w:r w:rsidR="00AE2A7E" w:rsidRPr="00F00BA9">
        <w:rPr>
          <w:color w:val="000000" w:themeColor="text1"/>
        </w:rPr>
        <w:t xml:space="preserve"> biofluids</w:t>
      </w:r>
      <w:r w:rsidR="00431675">
        <w:rPr>
          <w:color w:val="000000" w:themeColor="text1"/>
        </w:rPr>
        <w:t xml:space="preserve"> in psychedelic research</w:t>
      </w:r>
      <w:r w:rsidR="0078152C">
        <w:rPr>
          <w:color w:val="000000" w:themeColor="text1"/>
        </w:rPr>
        <w:t xml:space="preserve"> </w:t>
      </w:r>
      <w:r w:rsidR="00C76A85">
        <w:rPr>
          <w:color w:val="000000" w:themeColor="text1"/>
        </w:rPr>
        <w:t>at</w:t>
      </w:r>
      <w:r w:rsidR="009625FA">
        <w:rPr>
          <w:color w:val="000000" w:themeColor="text1"/>
        </w:rPr>
        <w:t xml:space="preserve"> this moment</w:t>
      </w:r>
      <w:r w:rsidR="00F00BA9">
        <w:rPr>
          <w:color w:val="000000" w:themeColor="text1"/>
        </w:rPr>
        <w:t xml:space="preserve">. </w:t>
      </w:r>
      <w:r w:rsidR="00AB0EB1">
        <w:rPr>
          <w:color w:val="000000" w:themeColor="text1"/>
        </w:rPr>
        <w:t>Th</w:t>
      </w:r>
      <w:r w:rsidR="00550E1A">
        <w:rPr>
          <w:color w:val="000000" w:themeColor="text1"/>
        </w:rPr>
        <w:t>ese</w:t>
      </w:r>
      <w:r w:rsidR="00AB0EB1">
        <w:rPr>
          <w:color w:val="000000" w:themeColor="text1"/>
        </w:rPr>
        <w:t xml:space="preserve"> </w:t>
      </w:r>
      <w:r w:rsidR="002C7794">
        <w:rPr>
          <w:color w:val="000000" w:themeColor="text1"/>
        </w:rPr>
        <w:t xml:space="preserve">database searches </w:t>
      </w:r>
      <w:r w:rsidR="00AB0EB1">
        <w:rPr>
          <w:color w:val="000000" w:themeColor="text1"/>
        </w:rPr>
        <w:t>w</w:t>
      </w:r>
      <w:r w:rsidR="002C7794">
        <w:rPr>
          <w:color w:val="000000" w:themeColor="text1"/>
        </w:rPr>
        <w:t>ere</w:t>
      </w:r>
      <w:r w:rsidR="00AB0EB1">
        <w:rPr>
          <w:color w:val="000000" w:themeColor="text1"/>
        </w:rPr>
        <w:t xml:space="preserve"> not able to find any publications of this </w:t>
      </w:r>
      <w:r w:rsidR="002C7794">
        <w:rPr>
          <w:color w:val="000000" w:themeColor="text1"/>
        </w:rPr>
        <w:t>nature</w:t>
      </w:r>
      <w:r w:rsidR="00AB0EB1">
        <w:rPr>
          <w:color w:val="000000" w:themeColor="text1"/>
        </w:rPr>
        <w:t>.</w:t>
      </w:r>
      <w:r w:rsidR="002C7794">
        <w:rPr>
          <w:color w:val="000000"/>
        </w:rPr>
        <w:t xml:space="preserve"> </w:t>
      </w:r>
      <w:r w:rsidR="00F00BA9">
        <w:rPr>
          <w:color w:val="000000" w:themeColor="text1"/>
        </w:rPr>
        <w:t xml:space="preserve">The application of </w:t>
      </w:r>
      <w:r w:rsidR="00A2684A" w:rsidRPr="00F00BA9">
        <w:rPr>
          <w:color w:val="000000" w:themeColor="text1"/>
        </w:rPr>
        <w:t xml:space="preserve">MS </w:t>
      </w:r>
      <w:r w:rsidR="009072F4">
        <w:rPr>
          <w:color w:val="000000" w:themeColor="text1"/>
        </w:rPr>
        <w:t xml:space="preserve">and </w:t>
      </w:r>
      <w:r w:rsidR="00A2684A" w:rsidRPr="00F00BA9">
        <w:rPr>
          <w:color w:val="000000" w:themeColor="text1"/>
        </w:rPr>
        <w:t xml:space="preserve">chromatography </w:t>
      </w:r>
      <w:r w:rsidR="00F00BA9">
        <w:rPr>
          <w:color w:val="000000" w:themeColor="text1"/>
        </w:rPr>
        <w:t xml:space="preserve">techniques </w:t>
      </w:r>
      <w:r w:rsidR="00FA3FA6">
        <w:rPr>
          <w:color w:val="000000" w:themeColor="text1"/>
        </w:rPr>
        <w:t>are</w:t>
      </w:r>
      <w:r w:rsidR="00044E0C">
        <w:rPr>
          <w:color w:val="000000" w:themeColor="text1"/>
        </w:rPr>
        <w:t xml:space="preserve"> </w:t>
      </w:r>
      <w:r w:rsidR="00FA3FA6">
        <w:rPr>
          <w:color w:val="000000" w:themeColor="text1"/>
        </w:rPr>
        <w:t xml:space="preserve">primarily used </w:t>
      </w:r>
      <w:r w:rsidR="00F00BA9">
        <w:rPr>
          <w:color w:val="000000" w:themeColor="text1"/>
        </w:rPr>
        <w:t>to analyse biofluids for concentrations of psychoactive substances</w:t>
      </w:r>
      <w:r w:rsidR="00044E0C">
        <w:rPr>
          <w:color w:val="000000" w:themeColor="text1"/>
        </w:rPr>
        <w:fldChar w:fldCharType="begin" w:fldLock="1"/>
      </w:r>
      <w:r w:rsidR="00112529">
        <w:rPr>
          <w:color w:val="000000" w:themeColor="text1"/>
        </w:rPr>
        <w:instrText>ADDIN CSL_CITATION {"citationItems":[{"id":"ITEM-1","itemData":{"DOI":"10.1016/j.talanta.2017.08.063","ISSN":"00399140","PMID":"28917801","abstract":"The WHO annually reports an increasing abuse of new psychoactive substances (NPS), which are a heterogeneous group of synthetic drugs and are consumed as substitute for controlled drugs of abuse. In this work, we focused on highly potent derivatives such those of phenethylamine (2C), N-2-methoxybenzyl phenethylamine (NBOMes), lysergic acid diethylamide (LSD), and fentanyl. Severe to fatal intoxications were described due to their high potency. Therefore, they have to be taken at very low doses resulting in low blood concentration in the low ng/mL range, which is a challenge for reliable analytical detection and quantification. The aim of this work was therefore to design a simple, robust, and fast method for simultaneous detection and quantification of multiple substances of the different classes in human blood plasma using liquid chromatography (LC) high resolution (HR) mass spectrometry (MS) with alternating HR full-scan (HRFS) MS and “All-ions fragmentation” (AIF) MS. The paper contains results of the method validation according to the EMA guideline, including intra-/interday accuracy and precision, matrix effects, storage and benchtop analyte stability as well as selectivity and carryover. All validation criteria were fulfilled for most tested compounds except for the NBOMe derivatives, one out of ten 2C-derivatives and butyryl fentanyl, which failed at accuracy and/or precision or at the acceptance criteria for matrix effect. Reasons for this are discussed and solutions presented. Despite some limitations, the HRFS + AIFMS analysis allowed detection of most of the analytes down to 0.1 ng/mL, seamless integration of new or unexpected analytes, identification and quantification with no limitations on the number of monitored compounds, and reevaluation of the acquired data also concerning metabolism studies using group-indicating fragment ions.","author":[{"dropping-particle":"","family":"Caspar","given":"Achim T.","non-dropping-particle":"","parse-names":false,"suffix":""},{"dropping-particle":"","family":"Kollas","given":"Andreas B.","non-dropping-particle":"","parse-names":false,"suffix":""},{"dropping-particle":"","family":"Maurer","given":"Hans H.","non-dropping-particle":"","parse-names":false,"suffix":""},{"dropping-particle":"","family":"Meyer","given":"Markus R.","non-dropping-particle":"","parse-names":false,"suffix":""}],"container-title":"Talanta","id":"ITEM-1","issued":{"date-parts":[["2018","1","1"]]},"page":"635-645","publisher":"Elsevier B.V.","title":"Development of a quantitative approach in blood plasma for low-dosed hallucinogens and opioids using LC-high resolution mass spectrometry","type":"article-journal","volume":"176"},"uris":["http://www.mendeley.com/documents/?uuid=283a73c7-3bac-33d2-b192-27add817916b"]},{"id":"ITEM-2","itemData":{"DOI":"10.1002/dta.2042","ISSN":"19427611","PMID":"27422082","abstract":"Lysergic acid diethylamide (LSD) is a semi-synthetic hallucinogen that has gained popularity as a recreational drug and has been investigated as an adjunct to psychotherapy. Analysis of LSD represents a major challenge in forensic toxicology due to its instability, low drug concentrations, and short detection windows in biological samples. A new, fast, and sensitive microflow liquid chromatography (MFLC) tandem mass spectrometry method for the validated quantification of LSD, iso-LSD, 2-oxo 3-hydroxy-LSD (oxo-HO-LSD), and N-desmethyl-LSD (nor-LSD) was developed in plasma and applied to a controlled pharmacokinetic (PK) study in humans to test whether LSD metabolites would offer for longer detection windows. Five hundred microlitres of plasma were extracted by solid phase extraction. Analysis was performed on a Sciex Eksigent MFLC system coupled to a Sciex 5500 QTrap. The method was validated according to (inter)-national guidelines. MFLC allowed for separation of the mentioned analytes within 3 minutes and limits of quantification of 0.01 ng/mL. Validation criteria were fulfilled for all analytes. PK data could be calculated for LSD, iso-LSD, and oxo-HO-LSD in all participants. Additionally, hydroxy-LSD (HO-LSD) and HO-LSD glucuronide could be qualitatively detected and PK determined in 11 and 8 subjects, respectively. Nor-LSD was only sporadically detected. Elimination half-lives of iso-LSD (median 12 h) and LSD metabolites (median 9, 7.4, 12, and 11 h for oxo-HO-LSD, HO-LSD, HO-LSD-gluc, and nor-LSD, respectively) exceeded those of LSD (median 4.2 h). However, screening for metabolites to increase detection windows in plasma seems not to be constructive due to their very low concentrations. Copyright © 2016 John Wiley &amp; Sons, Ltd.","author":[{"dropping-particle":"","family":"Steuer","given":"Andrea E.","non-dropping-particle":"","parse-names":false,"suffix":""},{"dropping-particle":"","family":"Poetzsch","given":"Michael","non-dropping-particle":"","parse-names":false,"suffix":""},{"dropping-particle":"","family":"Stock","given":"Lorena","non-dropping-particle":"","parse-names":false,"suffix":""},{"dropping-particle":"","family":"Eisenbeiss","given":"Lisa","non-dropping-particle":"","parse-names":false,"suffix":""},{"dropping-particle":"","family":"Schmid","given":"Yasmin","non-dropping-particle":"","parse-names":false,"suffix":""},{"dropping-particle":"","family":"Liechti","given":"Matthias E.","non-dropping-particle":"","parse-names":false,"suffix":""},{"dropping-particle":"","family":"Kraemer","given":"Thomas","non-dropping-particle":"","parse-names":false,"suffix":""}],"container-title":"Drug Testing and Analysis","id":"ITEM-2","issue":"5","issued":{"date-parts":[["2017","5","1"]]},"page":"788-797","publisher":"John Wiley and Sons Ltd","title":"Development and validation of an ultra-fast and sensitive microflow liquid chromatography-tandem mass spectrometry (MFLC-MS/MS) method for quantification of LSD and its metabolites in plasma and application to a controlled LSD administration study in humans","type":"article-journal","volume":"9"},"uris":["http://www.mendeley.com/documents/?uuid=5be88bb7-be9a-3566-91b5-1b34b067060e"]},{"id":"ITEM-3","itemData":{"DOI":"10.1007/s40262-017-0540-6","ISSN":"11791926","PMID":"28353056","abstract":"Introduction: Psilocybin is a psychedelic tryptamine that has shown promise in recent clinical trials for the treatment of depression and substance use disorders. This open-label study of the pharmacokinetics of psilocybin was performed to describe the pharmacokinetics and safety profile of psilocybin in sequential, escalating oral doses of 0.3, 0.45, and 0.6 mg/kg in 12 healthy adults. Methods: Eligible healthy adults received 6–8 h of preparatory counseling in anticipation of the first dose of psilocybin. The escalating oral psilocybin doses were administered at approximately monthly intervals in a controlled setting and subjects were monitored for 24 h. Blood and urine samples were collected over 24 h and assayed by a validated liquid chromatography-tandem mass spectrometry (LC–MS/MS) assay for psilocybin and psilocin, the active metabolite. The pharmacokinetics of psilocin were determined using both compartmental (NONMEM) and noncompartmental (WinNonlin) methods. Results: No psilocybin was found in plasma or urine, and renal clearance of intact psilocin accounted for less than 2% of the total clearance. The pharmacokinetics of psilocin were linear within the twofold range of doses, and the elimination half-life of psilocin was 3 h (standard deviation 1.1). An extended elimination phase in some subjects suggests hydrolysis of the psilocin glucuronide metabolite. Variation in psilocin clearance was not predicted by body weight, and no serious adverse events occurred in the subjects studied. Conclusions: The small amount of psilocin renally excreted suggests that no dose reduction is needed for subjects with mild–moderate renal impairment. Simulation of fixed doses using the pharmacokinetic parameters suggest that an oral dose of 25 mg should approximate the drug exposure of a 0.3 mg/kg oral dose of psilocybin. Although doses of 0.6 mg/kg are in excess of likely therapeutic doses, no serious physical or psychological events occurred during or within 30 days of any dose. Clinical Trials Identifier: NCT02163707.","author":[{"dropping-particle":"","family":"Brown","given":"Randall T.","non-dropping-particle":"","parse-names":false,"suffix":""},{"dropping-particle":"","family":"Nicholas","given":"Christopher R.","non-dropping-particle":"","parse-names":false,"suffix":""},{"dropping-particle":"V.","family":"Cozzi","given":"Nicholas","non-dropping-particle":"","parse-names":false,"suffix":""},{"dropping-particle":"","family":"Gassman","given":"Michele C.","non-dropping-particle":"","parse-names":false,"suffix":""},{"dropping-particle":"","family":"Cooper","given":"Karen M.","non-dropping-particle":"","parse-names":false,"suffix":""},{"dropping-particle":"","family":"Muller","given":"Daniel","non-dropping-particle":"","parse-names":false,"suffix":""},{"dropping-particle":"","family":"Thomas","given":"Chantelle D.","non-dropping-particle":"","parse-names":false,"suffix":""},{"dropping-particle":"","family":"Hetzel","given":"Scott J.","non-dropping-particle":"","parse-names":false,"suffix":""},{"dropping-particle":"","family":"Henriquez","given":"Kelsey M.","non-dropping-particle":"","parse-names":false,"suffix":""},{"dropping-particle":"","family":"Ribaudo","given":"Alexandra S.","non-dropping-particle":"","parse-names":false,"suffix":""},{"dropping-particle":"","family":"Hutson","given":"Paul R.","non-dropping-particle":"","parse-names":false,"suffix":""}],"container-title":"Clinical Pharmacokinetics","id":"ITEM-3","issue":"12","issued":{"date-parts":[["2017","12","1"]]},"page":"1543-1554","publisher":"Springer International Publishing","title":"Pharmacokinetics of Escalating Doses of Oral Psilocybin in Healthy Adults","type":"article-journal","volume":"56"},"uris":["http://www.mendeley.com/documents/?uuid=fedd4e75-168e-3894-b9e3-22d750481b56"]},{"id":"ITEM-4","itemData":{"DOI":"10.1016/j.chroma.2013.06.028","ISSN":"00219673","PMID":"23838299","abstract":"A novel analytical toxicology method has been developed for the analysis of drugs of abuse in human urine by using a high resolution and high mass accuracy hybrid linear ion trap-Orbitrap mass spectrometer (LTQ-Orbitrap-MS). This method allows for the detection of different drugs of abuse, including amphetamines, cocaine, opiate alkaloids, cannabinoids, hallucinogens and their metabolites. After solid-phase extraction with Oasis HLB cartridges, spiked urine samples were analysed by HPLC/LTQ-Orbitrap-MS using an electrospray interface in positive ionisation mode, with resolving power of 30,000 full width at half maximum (FWHM). Gradient elution off of a Hypersil Gold PFP column (50mm×2.1mm) allowed to resolve 65 target compounds and 3 internal standards in a total chromatographic run time of 20min. Validation of this method consisted of confirmation of identity, selectivity, linearity, limit of detection (LOD), lowest limits of quantification (LLOQ), accuracy, precision, extraction recovery and matrix effect. The regression coefficients (r2) for the calibration curves (LLOQ - 100ng/mL) in the study were ≥0.99. The LODs for 65 validated compounds were better than 5ng/ml except for 4 compounds. The relative standard deviation (RSD), which was used to estimate repeatability at three concentrations, was always less than 15%. The recovery of extraction and matrix effects were above 50 and 70%, respectively. Mass accuracy was always better than 2ppm, corresponding to a maximum mass error of 0.8 millimass units (mmu). The accurate masses of characteristic fragments were obtained by collisional experiments for a more reliable identification of the analytes. Automated data analysis and reporting were performed using ToxID software with an exact mass database. This procedure was then successfully applied to analyse drugs of abuse in a real urine sample from subject who was assumed to be drug addict. © 2013.","author":[{"dropping-particle":"","family":"Li","given":"Xiaowen","non-dropping-particle":"","parse-names":false,"suffix":""},{"dropping-particle":"","family":"Shen","given":"Baohua","non-dropping-particle":"","parse-names":false,"suffix":""},{"dropping-particle":"","family":"Jiang","given":"Zheng","non-dropping-particle":"","parse-names":false,"suffix":""},{"dropping-particle":"","family":"Huang","given":"Yi","non-dropping-particle":"","parse-names":false,"suffix":""},{"dropping-particle":"","family":"Zhuo","given":"Xianyi","non-dropping-particle":"","parse-names":false,"suffix":""}],"container-title":"Journal of Chromatography A","id":"ITEM-4","issued":{"date-parts":[["2013","8","9"]]},"page":"95-104","publisher":"Elsevier","title":"Rapid screening of drugs of abuse in human urine by high-performance liquid chromatography coupled with high resolution and high mass accuracy hybrid linear ion trap-Orbitrap mass spectrometry","type":"article-journal","volume":"1302"},"uris":["http://www.mendeley.com/documents/?uuid=62d6d5c9-d39c-3c84-a65c-8dc8ee40dd04"]}],"mendeley":{"formattedCitation":"(139–142)","plainTextFormattedCitation":"(139–142)","previouslyFormattedCitation":"(139–142)"},"properties":{"noteIndex":0},"schema":"https://github.com/citation-style-language/schema/raw/master/csl-citation.json"}</w:instrText>
      </w:r>
      <w:r w:rsidR="00044E0C">
        <w:rPr>
          <w:color w:val="000000" w:themeColor="text1"/>
        </w:rPr>
        <w:fldChar w:fldCharType="separate"/>
      </w:r>
      <w:r w:rsidR="00133B53" w:rsidRPr="00133B53">
        <w:rPr>
          <w:noProof/>
          <w:color w:val="000000" w:themeColor="text1"/>
        </w:rPr>
        <w:t>(139–142)</w:t>
      </w:r>
      <w:r w:rsidR="00044E0C">
        <w:rPr>
          <w:color w:val="000000" w:themeColor="text1"/>
        </w:rPr>
        <w:fldChar w:fldCharType="end"/>
      </w:r>
      <w:r w:rsidR="00CF4203">
        <w:rPr>
          <w:color w:val="00B0F0"/>
        </w:rPr>
        <w:t>.</w:t>
      </w:r>
      <w:r w:rsidR="00AC46E8">
        <w:rPr>
          <w:color w:val="000000" w:themeColor="text1"/>
        </w:rPr>
        <w:t xml:space="preserve"> </w:t>
      </w:r>
      <w:r w:rsidR="00083910">
        <w:rPr>
          <w:color w:val="000000" w:themeColor="text1"/>
        </w:rPr>
        <w:t>However, this should not infer that NMR has no place in this research field</w:t>
      </w:r>
      <w:r w:rsidR="0013745F">
        <w:rPr>
          <w:color w:val="000000" w:themeColor="text1"/>
        </w:rPr>
        <w:t xml:space="preserve">. </w:t>
      </w:r>
      <w:r w:rsidR="004E1004">
        <w:rPr>
          <w:color w:val="000000" w:themeColor="text1"/>
        </w:rPr>
        <w:t xml:space="preserve">MS </w:t>
      </w:r>
      <w:r w:rsidR="00083910">
        <w:rPr>
          <w:color w:val="000000" w:themeColor="text1"/>
        </w:rPr>
        <w:t xml:space="preserve">and NMR </w:t>
      </w:r>
      <w:r w:rsidR="004E1004">
        <w:rPr>
          <w:color w:val="000000" w:themeColor="text1"/>
        </w:rPr>
        <w:t>are two</w:t>
      </w:r>
      <w:r w:rsidR="00083910">
        <w:rPr>
          <w:color w:val="000000" w:themeColor="text1"/>
        </w:rPr>
        <w:t xml:space="preserve"> of the</w:t>
      </w:r>
      <w:r w:rsidR="00813F00">
        <w:rPr>
          <w:color w:val="000000" w:themeColor="text1"/>
        </w:rPr>
        <w:t xml:space="preserve"> most</w:t>
      </w:r>
      <w:r w:rsidR="004E1004">
        <w:rPr>
          <w:color w:val="000000" w:themeColor="text1"/>
        </w:rPr>
        <w:t xml:space="preserve"> </w:t>
      </w:r>
      <w:r w:rsidR="00CC0B30">
        <w:rPr>
          <w:color w:val="000000" w:themeColor="text1"/>
        </w:rPr>
        <w:t>popular</w:t>
      </w:r>
      <w:r w:rsidR="004E1004">
        <w:rPr>
          <w:color w:val="000000" w:themeColor="text1"/>
        </w:rPr>
        <w:t xml:space="preserve"> techniques for metabolic </w:t>
      </w:r>
      <w:r w:rsidR="00CC0B30">
        <w:rPr>
          <w:color w:val="000000" w:themeColor="text1"/>
        </w:rPr>
        <w:t>studies, both of which bring their own advantages and disadvantages</w:t>
      </w:r>
      <w:r w:rsidR="00813F00">
        <w:rPr>
          <w:color w:val="000000" w:themeColor="text1"/>
        </w:rPr>
        <w:t>,</w:t>
      </w:r>
      <w:r w:rsidR="00CC0B30">
        <w:rPr>
          <w:color w:val="000000" w:themeColor="text1"/>
        </w:rPr>
        <w:t xml:space="preserve"> </w:t>
      </w:r>
      <w:r w:rsidR="00813F00">
        <w:rPr>
          <w:color w:val="000000" w:themeColor="text1"/>
        </w:rPr>
        <w:t xml:space="preserve">as seen in </w:t>
      </w:r>
      <w:r w:rsidR="0082526D">
        <w:rPr>
          <w:color w:val="000000" w:themeColor="text1"/>
        </w:rPr>
        <w:t>T</w:t>
      </w:r>
      <w:r w:rsidR="00813F00">
        <w:rPr>
          <w:color w:val="000000" w:themeColor="text1"/>
        </w:rPr>
        <w:t>able 2</w:t>
      </w:r>
      <w:r w:rsidR="00813F00">
        <w:rPr>
          <w:color w:val="000000" w:themeColor="text1"/>
        </w:rPr>
        <w:fldChar w:fldCharType="begin" w:fldLock="1"/>
      </w:r>
      <w:r w:rsidR="00112529">
        <w:rPr>
          <w:color w:val="000000" w:themeColor="text1"/>
        </w:rPr>
        <w:instrText>ADDIN CSL_CITATION {"citationItems":[{"id":"ITEM-1","itemData":{"DOI":"10.1007/978-1-4939-2377-9_13","ISSN":"10643745","PMID":"25677154","abstract":"Mass spectrometry (MS) and nuclear magnetic resonance (NMR) have evolved as the most common techniques in metabolomics studies, and each brings its own advantages and limitations. Unlike MS spectrometry, NMR spectroscopy is quantitative and does not require extra steps for sample preparation, such as separation or derivatization. Although the sensitivity of NMR spectroscopy has increased enormously and improvements continue to emerge steadily, this remains a weak point for NMR compared with MS. MS-based metabolomics provides an excellent approach that can offer a combined sensitivity and selectivity platform for metabolomics research. Moreover, different MS approaches such as different ionization techniques and mass analyzer technology can be used in order to increase the number of metabolites that can be detected. In this chapter, the advantages, limitations, strengths, and weaknesses of NMR and MS as tools applicable to metabolomics research are highlighted.","author":[{"dropping-particle":"","family":"Emwas","given":"Abdul Hamid M.","non-dropping-particle":"","parse-names":false,"suffix":""}],"container-title":"Methods in Molecular Biology","id":"ITEM-1","issued":{"date-parts":[["2015"]]},"page":"161-193","publisher":"Humana Press Inc.","title":"The strengths and weaknesses of NMR spectroscopy and mass spectrometry with particular focus on metabolomics research","type":"article-journal","volume":"1277"},"uris":["http://www.mendeley.com/documents/?uuid=e02344e8-f542-3539-89f8-6ce5fbd7f163"]},{"id":"ITEM-2","itemData":{"DOI":"10.1039/b906712b","ISSN":"14604744","PMID":"20717559","abstract":"The study of biological systems in a holistic manner (systems biology) is increasingly being viewed as a necessity to provide qualitative and quantitative descriptions of the emergent properties of the complete system. Systems biology performs studies focussed on the complex interactions of system components; emphasising the whole system rather than the individual parts. Many perturbations to mammalian systems (diet, disease, drugs) are multi-factorial and the study of small parts of the system is insufficient to understand the complete phenotypic changes induced. Metabolomics is one functional level tool being employed to investigate the complex interactions of metabolites with other metabolites (metabolism) but also the regulatory role metabolites provide through interaction with genes, transcripts and proteins (e.g. allosteric regulation). Technological developments are the driving force behind advances in scientific knowledge. Recent advances in the two analytical platforms of mass spectrometry (MS) and nuclear magnetic resonance (NMR) spectroscopy have driven forward the discipline of metabolomics. In this critical review, an introduction to metabolites, metabolomes, metabolomics and the role of MS and NMR spectroscopy will be provided. The applications of metabolomics in mammalian systems biology for the study of the health–disease continuum, drug efficacy and toxicity and dietary effects on mammalian health will be reviewed. The current limitations and future goals of metabolomics in systems biology will also be discussed (374 references). © 2011 The Royal Society of Chemistry.","author":[{"dropping-particle":"","family":"Dunn","given":"Warwick B.","non-dropping-particle":"","parse-names":false,"suffix":""},{"dropping-particle":"","family":"Broadhurst","given":"David I.","non-dropping-particle":"","parse-names":false,"suffix":""},{"dropping-particle":"","family":"Atherton","given":"Helen J.","non-dropping-particle":"","parse-names":false,"suffix":""},{"dropping-particle":"","family":"Goodacre","given":"Royston","non-dropping-particle":"","parse-names":false,"suffix":""},{"dropping-particle":"","family":"Griffin","given":"Julian L.","non-dropping-particle":"","parse-names":false,"suffix":""}],"container-title":"Chemical Society Reviews","id":"ITEM-2","issue":"1","issued":{"date-parts":[["2011","12","15"]]},"page":"387-426","publisher":"Chem Soc Rev","title":"Systems level studies of mammalian metabolomes: The roles of mass spectrometry and nuclear magnetic resonance spectroscopy","type":"article-journal","volume":"40"},"uris":["http://www.mendeley.com/documents/?uuid=3f01c86c-67e6-3ba8-b61d-e57f27e136d5"]},{"id":"ITEM-3","itemData":{"DOI":"10.3390/metabo9070123","ISSN":"22181989","abstract":"Over the past two decades, nuclear magnetic resonance (NMR) has emerged as one of the three principal analytical techniques used in metabolomics (the other two being gas chromatography coupled to mass spectrometry (GC-MS) and liquid chromatography coupled with single-stage mass spectrometry (LC-MS)). The relative ease of sample preparation, the ability to quantify metabolite levels, the high level of experimental reproducibility, and the inherently nondestructive nature of NMR spectroscopy have made it the preferred platform for long-term or large-scale clinical metabolomic studies. These advantages, however, are often outweighed by the fact that most other analytical techniques, including both LC-MS and GC-MS, are inherently more sensitive than NMR, with lower limits of detection typically being 10 to 100 times better. This review is intended to introduce readers to the field of NMR-based metabolomics and to highlight both the advantages and disadvantages of NMR spectroscopy for metabolomic studies. It will also explore some of the unique strengths of NMR-based metabolomics, particularly with regard to isotope selection/detection, mixture deconvolution via 2D spectroscopy, automation, and the ability to noninvasively analyze native tissue specimens. Finally, this review will highlight a number of emerging NMR techniques and technologies that are being used to strengthen its utility and overcome its inherent limitations in metabolomic applications.","author":[{"dropping-particle":"","family":"Emwas","given":"Abdul Hamid","non-dropping-particle":"","parse-names":false,"suffix":""},{"dropping-particle":"","family":"Roy","given":"Raja","non-dropping-particle":"","parse-names":false,"suffix":""},{"dropping-particle":"","family":"McKay","given":"Ryan T.","non-dropping-particle":"","parse-names":false,"suffix":""},{"dropping-particle":"","family":"Tenori","given":"Leonardo","non-dropping-particle":"","parse-names":false,"suffix":""},{"dropping-particle":"","family":"Saccenti","given":"Edoardo","non-dropping-particle":"","parse-names":false,"suffix":""},{"dropping-particle":"","family":"Nagana Gowda","given":"G. A.","non-dropping-particle":"","parse-names":false,"suffix":""},{"dropping-particle":"","family":"Raftery","given":"Daniel","non-dropping-particle":"","parse-names":false,"suffix":""},{"dropping-particle":"","family":"Alahmari","given":"Fatimah","non-dropping-particle":"","parse-names":false,"suffix":""},{"dropping-particle":"","family":"Jaremko","given":"Lukasz","non-dropping-particle":"","parse-names":false,"suffix":""},{"dropping-particle":"","family":"Jaremko","given":"Mariusz","non-dropping-particle":"","parse-names":false,"suffix":""},{"dropping-particle":"","family":"Wishart","given":"David S.","non-dropping-particle":"","parse-names":false,"suffix":""}],"container-title":"Metabolites","id":"ITEM-3","issue":"7","issued":{"date-parts":[["2019","7","1"]]},"publisher":"MDPI AG","title":"Nmr spectroscopy for metabolomics research","type":"article","volume":"9"},"uris":["http://www.mendeley.com/documents/?uuid=fec33eb4-3248-3e4e-bbd4-416c9eecf593"]}],"mendeley":{"formattedCitation":"(143–145)","plainTextFormattedCitation":"(143–145)","previouslyFormattedCitation":"(143–145)"},"properties":{"noteIndex":0},"schema":"https://github.com/citation-style-language/schema/raw/master/csl-citation.json"}</w:instrText>
      </w:r>
      <w:r w:rsidR="00813F00">
        <w:rPr>
          <w:color w:val="000000" w:themeColor="text1"/>
        </w:rPr>
        <w:fldChar w:fldCharType="separate"/>
      </w:r>
      <w:r w:rsidR="00133B53" w:rsidRPr="00133B53">
        <w:rPr>
          <w:noProof/>
          <w:color w:val="000000" w:themeColor="text1"/>
        </w:rPr>
        <w:t>(143–145)</w:t>
      </w:r>
      <w:r w:rsidR="00813F00">
        <w:rPr>
          <w:color w:val="000000" w:themeColor="text1"/>
        </w:rPr>
        <w:fldChar w:fldCharType="end"/>
      </w:r>
      <w:r w:rsidR="002C7794">
        <w:rPr>
          <w:color w:val="000000"/>
        </w:rPr>
        <w:t xml:space="preserve">. </w:t>
      </w:r>
      <w:r w:rsidR="0059471B">
        <w:rPr>
          <w:color w:val="000000" w:themeColor="text1"/>
        </w:rPr>
        <w:t xml:space="preserve">The choice </w:t>
      </w:r>
      <w:r w:rsidR="00F73837">
        <w:rPr>
          <w:color w:val="000000" w:themeColor="text1"/>
        </w:rPr>
        <w:t>of techniques is largely dependent o</w:t>
      </w:r>
      <w:r w:rsidR="00550E1A">
        <w:rPr>
          <w:color w:val="000000" w:themeColor="text1"/>
        </w:rPr>
        <w:t xml:space="preserve">n </w:t>
      </w:r>
      <w:r w:rsidR="00F73837">
        <w:rPr>
          <w:color w:val="000000" w:themeColor="text1"/>
        </w:rPr>
        <w:t xml:space="preserve">the research aim and the nature of the samples, as well as access to </w:t>
      </w:r>
      <w:r w:rsidR="0013745F">
        <w:rPr>
          <w:color w:val="000000" w:themeColor="text1"/>
        </w:rPr>
        <w:t>instruments</w:t>
      </w:r>
      <w:r w:rsidR="00F73837">
        <w:rPr>
          <w:color w:val="000000" w:themeColor="text1"/>
        </w:rPr>
        <w:t xml:space="preserve"> that the laboratory may or may not have.</w:t>
      </w:r>
      <w:r w:rsidR="00A84D8A">
        <w:rPr>
          <w:color w:val="000000" w:themeColor="text1"/>
        </w:rPr>
        <w:t xml:space="preserve"> </w:t>
      </w:r>
      <w:r w:rsidR="0074434F">
        <w:rPr>
          <w:color w:val="000000" w:themeColor="text1"/>
        </w:rPr>
        <w:t xml:space="preserve">MS is more widely used </w:t>
      </w:r>
      <w:r w:rsidR="00083910">
        <w:rPr>
          <w:color w:val="000000" w:themeColor="text1"/>
        </w:rPr>
        <w:t>due to its</w:t>
      </w:r>
      <w:r w:rsidR="0074434F">
        <w:rPr>
          <w:color w:val="000000" w:themeColor="text1"/>
        </w:rPr>
        <w:t xml:space="preserve"> extreme sensitiv</w:t>
      </w:r>
      <w:r w:rsidR="00083910">
        <w:rPr>
          <w:color w:val="000000" w:themeColor="text1"/>
        </w:rPr>
        <w:t>ity to detect molecules</w:t>
      </w:r>
      <w:r w:rsidR="0013745F">
        <w:rPr>
          <w:color w:val="000000" w:themeColor="text1"/>
        </w:rPr>
        <w:t xml:space="preserve">; </w:t>
      </w:r>
      <w:r w:rsidR="00CD3727">
        <w:rPr>
          <w:color w:val="000000" w:themeColor="text1"/>
        </w:rPr>
        <w:t xml:space="preserve">from a </w:t>
      </w:r>
      <w:r w:rsidR="0074434F">
        <w:rPr>
          <w:color w:val="000000" w:themeColor="text1"/>
        </w:rPr>
        <w:t>small sample of biofluid it can analyse a vast number of metabolites.</w:t>
      </w:r>
      <w:r w:rsidR="006A3B82">
        <w:rPr>
          <w:color w:val="000000" w:themeColor="text1"/>
        </w:rPr>
        <w:t xml:space="preserve"> Sample volumes can be as low as 10ul serum/</w:t>
      </w:r>
      <w:proofErr w:type="gramStart"/>
      <w:r w:rsidR="006A3B82">
        <w:rPr>
          <w:color w:val="000000" w:themeColor="text1"/>
        </w:rPr>
        <w:t>plasma</w:t>
      </w:r>
      <w:proofErr w:type="gramEnd"/>
      <w:r w:rsidR="00083910">
        <w:rPr>
          <w:color w:val="000000" w:themeColor="text1"/>
        </w:rPr>
        <w:t xml:space="preserve"> and this</w:t>
      </w:r>
      <w:r w:rsidR="006A3B82">
        <w:rPr>
          <w:color w:val="000000" w:themeColor="text1"/>
        </w:rPr>
        <w:t xml:space="preserve"> is </w:t>
      </w:r>
      <w:r w:rsidR="00431675">
        <w:rPr>
          <w:color w:val="000000" w:themeColor="text1"/>
        </w:rPr>
        <w:t>advantageous</w:t>
      </w:r>
      <w:r w:rsidR="006A3B82">
        <w:rPr>
          <w:color w:val="000000" w:themeColor="text1"/>
        </w:rPr>
        <w:t xml:space="preserve"> in situations where only a small volume</w:t>
      </w:r>
      <w:r w:rsidR="00431675">
        <w:rPr>
          <w:color w:val="000000" w:themeColor="text1"/>
        </w:rPr>
        <w:t xml:space="preserve"> of biofluid</w:t>
      </w:r>
      <w:r w:rsidR="006A3B82">
        <w:rPr>
          <w:color w:val="000000" w:themeColor="text1"/>
        </w:rPr>
        <w:t xml:space="preserve"> was able to be collected in the experiment or if </w:t>
      </w:r>
      <w:r w:rsidR="00D057B6">
        <w:rPr>
          <w:color w:val="000000" w:themeColor="text1"/>
        </w:rPr>
        <w:t>one larger</w:t>
      </w:r>
      <w:r w:rsidR="006A3B82">
        <w:rPr>
          <w:color w:val="000000" w:themeColor="text1"/>
        </w:rPr>
        <w:t xml:space="preserve"> sample has to be separated</w:t>
      </w:r>
      <w:r w:rsidR="00D057B6">
        <w:rPr>
          <w:color w:val="000000" w:themeColor="text1"/>
        </w:rPr>
        <w:t xml:space="preserve"> into smaller volumes.</w:t>
      </w:r>
      <w:r w:rsidR="006A3B82">
        <w:rPr>
          <w:color w:val="000000" w:themeColor="text1"/>
        </w:rPr>
        <w:t xml:space="preserve"> Additionally, MS can quantify metabolites at nanomolar and picomolar concentrations</w:t>
      </w:r>
      <w:r w:rsidR="006A3B82">
        <w:rPr>
          <w:color w:val="000000" w:themeColor="text1"/>
        </w:rPr>
        <w:fldChar w:fldCharType="begin" w:fldLock="1"/>
      </w:r>
      <w:r w:rsidR="00112529">
        <w:rPr>
          <w:color w:val="000000" w:themeColor="text1"/>
        </w:rPr>
        <w:instrText>ADDIN CSL_CITATION {"citationItems":[{"id":"ITEM-1","itemData":{"DOI":"10.1007/978-1-4939-2377-9_13","ISSN":"10643745","PMID":"25677154","abstract":"Mass spectrometry (MS) and nuclear magnetic resonance (NMR) have evolved as the most common techniques in metabolomics studies, and each brings its own advantages and limitations. Unlike MS spectrometry, NMR spectroscopy is quantitative and does not require extra steps for sample preparation, such as separation or derivatization. Although the sensitivity of NMR spectroscopy has increased enormously and improvements continue to emerge steadily, this remains a weak point for NMR compared with MS. MS-based metabolomics provides an excellent approach that can offer a combined sensitivity and selectivity platform for metabolomics research. Moreover, different MS approaches such as different ionization techniques and mass analyzer technology can be used in order to increase the number of metabolites that can be detected. In this chapter, the advantages, limitations, strengths, and weaknesses of NMR and MS as tools applicable to metabolomics research are highlighted.","author":[{"dropping-particle":"","family":"Emwas","given":"Abdul Hamid M.","non-dropping-particle":"","parse-names":false,"suffix":""}],"container-title":"Methods in Molecular Biology","id":"ITEM-1","issued":{"date-parts":[["2015"]]},"page":"161-193","publisher":"Humana Press Inc.","title":"The strengths and weaknesses of NMR spectroscopy and mass spectrometry with particular focus on metabolomics research","type":"article-journal","volume":"1277"},"uris":["http://www.mendeley.com/documents/?uuid=e02344e8-f542-3539-89f8-6ce5fbd7f163"]}],"mendeley":{"formattedCitation":"(143)","plainTextFormattedCitation":"(143)","previouslyFormattedCitation":"(143)"},"properties":{"noteIndex":0},"schema":"https://github.com/citation-style-language/schema/raw/master/csl-citation.json"}</w:instrText>
      </w:r>
      <w:r w:rsidR="006A3B82">
        <w:rPr>
          <w:color w:val="000000" w:themeColor="text1"/>
        </w:rPr>
        <w:fldChar w:fldCharType="separate"/>
      </w:r>
      <w:r w:rsidR="00133B53" w:rsidRPr="00133B53">
        <w:rPr>
          <w:noProof/>
          <w:color w:val="000000" w:themeColor="text1"/>
        </w:rPr>
        <w:t>(143)</w:t>
      </w:r>
      <w:r w:rsidR="006A3B82">
        <w:rPr>
          <w:color w:val="000000" w:themeColor="text1"/>
        </w:rPr>
        <w:fldChar w:fldCharType="end"/>
      </w:r>
      <w:r w:rsidR="006A3B82">
        <w:rPr>
          <w:color w:val="000000" w:themeColor="text1"/>
        </w:rPr>
        <w:t xml:space="preserve">, which is </w:t>
      </w:r>
      <w:r w:rsidR="00550E1A">
        <w:rPr>
          <w:color w:val="000000" w:themeColor="text1"/>
        </w:rPr>
        <w:t>more sensitive than NMR spectroscopy.</w:t>
      </w:r>
    </w:p>
    <w:p w14:paraId="7CC3199E" w14:textId="77777777" w:rsidR="00CA692E" w:rsidRDefault="00CA692E" w:rsidP="00E50706">
      <w:pPr>
        <w:rPr>
          <w:color w:val="000000" w:themeColor="text1"/>
        </w:rPr>
      </w:pPr>
    </w:p>
    <w:p w14:paraId="58FD8C38" w14:textId="618B1C81" w:rsidR="00D057B6" w:rsidRDefault="00AA78DE" w:rsidP="00E50706">
      <w:pPr>
        <w:rPr>
          <w:color w:val="000000" w:themeColor="text1"/>
        </w:rPr>
      </w:pPr>
      <w:r>
        <w:rPr>
          <w:color w:val="000000" w:themeColor="text1"/>
        </w:rPr>
        <w:t xml:space="preserve">The advantages of MS are very compelling for </w:t>
      </w:r>
      <w:r w:rsidR="001667BB">
        <w:rPr>
          <w:color w:val="000000" w:themeColor="text1"/>
        </w:rPr>
        <w:t>research,</w:t>
      </w:r>
      <w:r>
        <w:rPr>
          <w:color w:val="000000" w:themeColor="text1"/>
        </w:rPr>
        <w:t xml:space="preserve"> but </w:t>
      </w:r>
      <w:r w:rsidR="00550E1A">
        <w:rPr>
          <w:color w:val="000000" w:themeColor="text1"/>
        </w:rPr>
        <w:t>the approach has some</w:t>
      </w:r>
      <w:r>
        <w:rPr>
          <w:color w:val="000000" w:themeColor="text1"/>
        </w:rPr>
        <w:t xml:space="preserve"> limitations</w:t>
      </w:r>
      <w:r w:rsidR="00550E1A">
        <w:rPr>
          <w:color w:val="000000" w:themeColor="text1"/>
        </w:rPr>
        <w:t>, and</w:t>
      </w:r>
      <w:r>
        <w:rPr>
          <w:color w:val="000000" w:themeColor="text1"/>
        </w:rPr>
        <w:t xml:space="preserve"> NMR can be utilised in situations where MS </w:t>
      </w:r>
      <w:r w:rsidR="00BC5D33">
        <w:rPr>
          <w:color w:val="000000" w:themeColor="text1"/>
        </w:rPr>
        <w:t xml:space="preserve">approaches </w:t>
      </w:r>
      <w:r>
        <w:rPr>
          <w:color w:val="000000" w:themeColor="text1"/>
        </w:rPr>
        <w:t>fall short. The most apparent downside to</w:t>
      </w:r>
      <w:r w:rsidR="00757E11">
        <w:rPr>
          <w:color w:val="000000" w:themeColor="text1"/>
        </w:rPr>
        <w:t xml:space="preserve"> MS is that i</w:t>
      </w:r>
      <w:r w:rsidR="005B2D1D">
        <w:rPr>
          <w:color w:val="000000" w:themeColor="text1"/>
        </w:rPr>
        <w:t>t</w:t>
      </w:r>
      <w:r w:rsidR="00757E11">
        <w:rPr>
          <w:color w:val="000000" w:themeColor="text1"/>
        </w:rPr>
        <w:t xml:space="preserve"> suffers from batch effect</w:t>
      </w:r>
      <w:r w:rsidR="002C7794">
        <w:rPr>
          <w:color w:val="000000" w:themeColor="text1"/>
        </w:rPr>
        <w:t>s</w:t>
      </w:r>
      <w:r w:rsidR="005B2D1D">
        <w:rPr>
          <w:color w:val="000000" w:themeColor="text1"/>
        </w:rPr>
        <w:t xml:space="preserve"> (</w:t>
      </w:r>
      <w:proofErr w:type="gramStart"/>
      <w:r w:rsidR="00B30B2C">
        <w:rPr>
          <w:color w:val="000000" w:themeColor="text1"/>
        </w:rPr>
        <w:t>i.e.</w:t>
      </w:r>
      <w:proofErr w:type="gramEnd"/>
      <w:r w:rsidR="00B30B2C">
        <w:rPr>
          <w:color w:val="000000" w:themeColor="text1"/>
        </w:rPr>
        <w:t xml:space="preserve"> the </w:t>
      </w:r>
      <w:r w:rsidR="00317769">
        <w:rPr>
          <w:color w:val="000000" w:themeColor="text1"/>
        </w:rPr>
        <w:t>variability to detect metabolites over long periods of time</w:t>
      </w:r>
      <w:r w:rsidR="005B2D1D">
        <w:rPr>
          <w:color w:val="000000" w:themeColor="text1"/>
        </w:rPr>
        <w:t>)</w:t>
      </w:r>
      <w:r w:rsidR="00317769">
        <w:rPr>
          <w:color w:val="000000" w:themeColor="text1"/>
        </w:rPr>
        <w:t>.</w:t>
      </w:r>
      <w:r w:rsidR="003829E8" w:rsidRPr="003829E8">
        <w:rPr>
          <w:color w:val="000000" w:themeColor="text1"/>
        </w:rPr>
        <w:t xml:space="preserve"> </w:t>
      </w:r>
      <w:r w:rsidR="003829E8">
        <w:rPr>
          <w:color w:val="000000" w:themeColor="text1"/>
        </w:rPr>
        <w:t>Advantageously, NMR does not suffer from batch effect</w:t>
      </w:r>
      <w:r w:rsidR="002C7794">
        <w:rPr>
          <w:color w:val="000000" w:themeColor="text1"/>
        </w:rPr>
        <w:t>s</w:t>
      </w:r>
      <w:r w:rsidR="00550E1A">
        <w:rPr>
          <w:color w:val="000000" w:themeColor="text1"/>
        </w:rPr>
        <w:t xml:space="preserve"> to any great extent</w:t>
      </w:r>
      <w:r w:rsidR="002C7794">
        <w:rPr>
          <w:color w:val="000000" w:themeColor="text1"/>
        </w:rPr>
        <w:t>,</w:t>
      </w:r>
      <w:r w:rsidR="003829E8">
        <w:rPr>
          <w:color w:val="000000" w:themeColor="text1"/>
        </w:rPr>
        <w:t xml:space="preserve"> and it therefore makes it a more appropriate technique in the use of clinical trials. This is because it often requires repeated measurements study settings and the lack of batch effects from NMR makes this optimal. </w:t>
      </w:r>
      <w:r w:rsidR="00611B2F">
        <w:rPr>
          <w:color w:val="000000" w:themeColor="text1"/>
        </w:rPr>
        <w:t>MS</w:t>
      </w:r>
      <w:r w:rsidR="005D3D09">
        <w:rPr>
          <w:color w:val="000000" w:themeColor="text1"/>
        </w:rPr>
        <w:t xml:space="preserve"> sample</w:t>
      </w:r>
      <w:r w:rsidR="00611B2F">
        <w:rPr>
          <w:color w:val="000000" w:themeColor="text1"/>
        </w:rPr>
        <w:t>s</w:t>
      </w:r>
      <w:r w:rsidR="005D3D09">
        <w:rPr>
          <w:color w:val="000000" w:themeColor="text1"/>
        </w:rPr>
        <w:t xml:space="preserve"> </w:t>
      </w:r>
      <w:r w:rsidR="00611B2F">
        <w:rPr>
          <w:color w:val="000000" w:themeColor="text1"/>
        </w:rPr>
        <w:t xml:space="preserve">also </w:t>
      </w:r>
      <w:r w:rsidR="005D3D09">
        <w:rPr>
          <w:color w:val="000000" w:themeColor="text1"/>
        </w:rPr>
        <w:t>ha</w:t>
      </w:r>
      <w:r w:rsidR="00611B2F">
        <w:rPr>
          <w:color w:val="000000" w:themeColor="text1"/>
        </w:rPr>
        <w:t xml:space="preserve">ve to </w:t>
      </w:r>
      <w:r w:rsidR="005D3D09">
        <w:rPr>
          <w:color w:val="000000" w:themeColor="text1"/>
        </w:rPr>
        <w:t>come into direct contact with the instrument leading to changes in the measured analyte response over time</w:t>
      </w:r>
      <w:r w:rsidR="005D3D09">
        <w:rPr>
          <w:color w:val="000000" w:themeColor="text1"/>
        </w:rPr>
        <w:fldChar w:fldCharType="begin" w:fldLock="1"/>
      </w:r>
      <w:r w:rsidR="00112529">
        <w:rPr>
          <w:color w:val="000000" w:themeColor="text1"/>
        </w:rPr>
        <w:instrText>ADDIN CSL_CITATION {"citationItems":[{"id":"ITEM-1","itemData":{"DOI":"10.1039/b906712b","ISSN":"14604744","PMID":"20717559","abstract":"The study of biological systems in a holistic manner (systems biology) is increasingly being viewed as a necessity to provide qualitative and quantitative descriptions of the emergent properties of the complete system. Systems biology performs studies focussed on the complex interactions of system components; emphasising the whole system rather than the individual parts. Many perturbations to mammalian systems (diet, disease, drugs) are multi-factorial and the study of small parts of the system is insufficient to understand the complete phenotypic changes induced. Metabolomics is one functional level tool being employed to investigate the complex interactions of metabolites with other metabolites (metabolism) but also the regulatory role metabolites provide through interaction with genes, transcripts and proteins (e.g. allosteric regulation). Technological developments are the driving force behind advances in scientific knowledge. Recent advances in the two analytical platforms of mass spectrometry (MS) and nuclear magnetic resonance (NMR) spectroscopy have driven forward the discipline of metabolomics. In this critical review, an introduction to metabolites, metabolomes, metabolomics and the role of MS and NMR spectroscopy will be provided. The applications of metabolomics in mammalian systems biology for the study of the health–disease continuum, drug efficacy and toxicity and dietary effects on mammalian health will be reviewed. The current limitations and future goals of metabolomics in systems biology will also be discussed (374 references). © 2011 The Royal Society of Chemistry.","author":[{"dropping-particle":"","family":"Dunn","given":"Warwick B.","non-dropping-particle":"","parse-names":false,"suffix":""},{"dropping-particle":"","family":"Broadhurst","given":"David I.","non-dropping-particle":"","parse-names":false,"suffix":""},{"dropping-particle":"","family":"Atherton","given":"Helen J.","non-dropping-particle":"","parse-names":false,"suffix":""},{"dropping-particle":"","family":"Goodacre","given":"Royston","non-dropping-particle":"","parse-names":false,"suffix":""},{"dropping-particle":"","family":"Griffin","given":"Julian L.","non-dropping-particle":"","parse-names":false,"suffix":""}],"container-title":"Chemical Society Reviews","id":"ITEM-1","issue":"1","issued":{"date-parts":[["2011","12","15"]]},"page":"387-426","publisher":"Chem Soc Rev","title":"Systems level studies of mammalian metabolomes: The roles of mass spectrometry and nuclear magnetic resonance spectroscopy","type":"article-journal","volume":"40"},"uris":["http://www.mendeley.com/documents/?uuid=3f01c86c-67e6-3ba8-b61d-e57f27e136d5"]}],"mendeley":{"formattedCitation":"(144)","plainTextFormattedCitation":"(144)","previouslyFormattedCitation":"(144)"},"properties":{"noteIndex":0},"schema":"https://github.com/citation-style-language/schema/raw/master/csl-citation.json"}</w:instrText>
      </w:r>
      <w:r w:rsidR="005D3D09">
        <w:rPr>
          <w:color w:val="000000" w:themeColor="text1"/>
        </w:rPr>
        <w:fldChar w:fldCharType="separate"/>
      </w:r>
      <w:r w:rsidR="00133B53" w:rsidRPr="00133B53">
        <w:rPr>
          <w:noProof/>
          <w:color w:val="000000" w:themeColor="text1"/>
        </w:rPr>
        <w:t>(144)</w:t>
      </w:r>
      <w:r w:rsidR="005D3D09">
        <w:rPr>
          <w:color w:val="000000" w:themeColor="text1"/>
        </w:rPr>
        <w:fldChar w:fldCharType="end"/>
      </w:r>
      <w:r w:rsidR="005D3D09">
        <w:rPr>
          <w:color w:val="000000" w:themeColor="text1"/>
        </w:rPr>
        <w:t xml:space="preserve">, the unavoidable contact occurs when MS is coupled with another chromatography technique which is </w:t>
      </w:r>
      <w:r w:rsidR="009625FA">
        <w:rPr>
          <w:color w:val="000000" w:themeColor="text1"/>
        </w:rPr>
        <w:t>the standard procedure.</w:t>
      </w:r>
      <w:r w:rsidR="005D3D09">
        <w:rPr>
          <w:color w:val="000000" w:themeColor="text1"/>
        </w:rPr>
        <w:t xml:space="preserve"> </w:t>
      </w:r>
      <w:r w:rsidR="003829E8">
        <w:rPr>
          <w:color w:val="000000" w:themeColor="text1"/>
        </w:rPr>
        <w:t>Additionally, MS requires the metabolite to be ionisable if it is to be detected and NMR does not have th</w:t>
      </w:r>
      <w:r w:rsidR="00611B2F">
        <w:rPr>
          <w:color w:val="000000" w:themeColor="text1"/>
        </w:rPr>
        <w:t>ese</w:t>
      </w:r>
      <w:r w:rsidR="003829E8">
        <w:rPr>
          <w:color w:val="000000" w:themeColor="text1"/>
        </w:rPr>
        <w:t xml:space="preserve"> requirement</w:t>
      </w:r>
      <w:r w:rsidR="00611B2F">
        <w:rPr>
          <w:color w:val="000000" w:themeColor="text1"/>
        </w:rPr>
        <w:t>s</w:t>
      </w:r>
      <w:r w:rsidR="003829E8">
        <w:rPr>
          <w:color w:val="000000" w:themeColor="text1"/>
        </w:rPr>
        <w:t>.</w:t>
      </w:r>
    </w:p>
    <w:p w14:paraId="2034234B" w14:textId="77777777" w:rsidR="00D057B6" w:rsidRDefault="00D057B6" w:rsidP="00E50706">
      <w:pPr>
        <w:rPr>
          <w:color w:val="000000" w:themeColor="text1"/>
        </w:rPr>
      </w:pPr>
    </w:p>
    <w:p w14:paraId="6336973D" w14:textId="77CA4861" w:rsidR="00C76A85" w:rsidRDefault="00C37310" w:rsidP="00E50706">
      <w:pPr>
        <w:rPr>
          <w:color w:val="000000" w:themeColor="text1"/>
        </w:rPr>
      </w:pPr>
      <w:r>
        <w:rPr>
          <w:color w:val="000000" w:themeColor="text1"/>
        </w:rPr>
        <w:lastRenderedPageBreak/>
        <w:t xml:space="preserve">There have been a few studies that have used </w:t>
      </w:r>
      <w:r w:rsidR="00340177" w:rsidRPr="00BA03AC">
        <w:rPr>
          <w:color w:val="000000" w:themeColor="text1"/>
        </w:rPr>
        <w:t>NMR</w:t>
      </w:r>
      <w:r w:rsidR="00DF6DFF" w:rsidRPr="00BA03AC">
        <w:rPr>
          <w:color w:val="000000" w:themeColor="text1"/>
        </w:rPr>
        <w:t xml:space="preserve">-based </w:t>
      </w:r>
      <w:proofErr w:type="spellStart"/>
      <w:r w:rsidR="00DF6DFF" w:rsidRPr="00BA03AC">
        <w:rPr>
          <w:color w:val="000000" w:themeColor="text1"/>
        </w:rPr>
        <w:t>metabo</w:t>
      </w:r>
      <w:r w:rsidR="00611B2F">
        <w:rPr>
          <w:color w:val="000000" w:themeColor="text1"/>
        </w:rPr>
        <w:t>n</w:t>
      </w:r>
      <w:r w:rsidR="00DF6DFF" w:rsidRPr="00BA03AC">
        <w:rPr>
          <w:color w:val="000000" w:themeColor="text1"/>
        </w:rPr>
        <w:t>omics</w:t>
      </w:r>
      <w:proofErr w:type="spellEnd"/>
      <w:r w:rsidR="00DF6DFF" w:rsidRPr="00BA03AC">
        <w:rPr>
          <w:color w:val="000000" w:themeColor="text1"/>
        </w:rPr>
        <w:t xml:space="preserve"> to </w:t>
      </w:r>
      <w:r w:rsidR="007C3E36" w:rsidRPr="00BA03AC">
        <w:rPr>
          <w:color w:val="000000" w:themeColor="text1"/>
        </w:rPr>
        <w:t xml:space="preserve">analyse </w:t>
      </w:r>
      <w:r w:rsidR="005A765B">
        <w:rPr>
          <w:color w:val="000000" w:themeColor="text1"/>
        </w:rPr>
        <w:t xml:space="preserve">human </w:t>
      </w:r>
      <w:r w:rsidR="007C3E36" w:rsidRPr="00BA03AC">
        <w:rPr>
          <w:color w:val="000000" w:themeColor="text1"/>
        </w:rPr>
        <w:t>biofluids</w:t>
      </w:r>
      <w:r w:rsidR="005A765B">
        <w:rPr>
          <w:color w:val="000000" w:themeColor="text1"/>
        </w:rPr>
        <w:t xml:space="preserve"> in response to </w:t>
      </w:r>
      <w:r w:rsidR="00BC3477">
        <w:rPr>
          <w:color w:val="000000" w:themeColor="text1"/>
        </w:rPr>
        <w:t xml:space="preserve">drugs. For example </w:t>
      </w:r>
      <w:r w:rsidR="00F23FF8">
        <w:rPr>
          <w:color w:val="000000" w:themeColor="text1"/>
        </w:rPr>
        <w:t>one study</w:t>
      </w:r>
      <w:r w:rsidR="00BC3477">
        <w:rPr>
          <w:color w:val="000000" w:themeColor="text1"/>
        </w:rPr>
        <w:t xml:space="preserve"> use</w:t>
      </w:r>
      <w:r w:rsidR="00F23FF8">
        <w:rPr>
          <w:color w:val="000000" w:themeColor="text1"/>
        </w:rPr>
        <w:t>d</w:t>
      </w:r>
      <w:r w:rsidR="00BC3477">
        <w:rPr>
          <w:color w:val="000000" w:themeColor="text1"/>
        </w:rPr>
        <w:t xml:space="preserve"> </w:t>
      </w:r>
      <w:r w:rsidR="00BC3477" w:rsidRPr="00144F61">
        <w:rPr>
          <w:color w:val="000000" w:themeColor="text1"/>
          <w:shd w:val="clear" w:color="auto" w:fill="FFFFFF"/>
          <w:vertAlign w:val="superscript"/>
        </w:rPr>
        <w:t>1</w:t>
      </w:r>
      <w:r w:rsidR="00BC3477" w:rsidRPr="00144F61">
        <w:rPr>
          <w:color w:val="000000" w:themeColor="text1"/>
          <w:shd w:val="clear" w:color="auto" w:fill="FFFFFF"/>
        </w:rPr>
        <w:t>H</w:t>
      </w:r>
      <w:r w:rsidR="00BC3477" w:rsidRPr="00144F61">
        <w:rPr>
          <w:vertAlign w:val="superscript"/>
        </w:rPr>
        <w:t xml:space="preserve"> </w:t>
      </w:r>
      <w:r w:rsidR="00BC3477" w:rsidRPr="00144F61">
        <w:rPr>
          <w:color w:val="000000"/>
        </w:rPr>
        <w:t>NMR</w:t>
      </w:r>
      <w:r w:rsidR="00BC3477">
        <w:rPr>
          <w:color w:val="000000"/>
        </w:rPr>
        <w:t xml:space="preserve"> spectroscopy</w:t>
      </w:r>
      <w:r w:rsidR="00AA4AD4">
        <w:rPr>
          <w:color w:val="000000" w:themeColor="text1"/>
        </w:rPr>
        <w:t xml:space="preserve"> to examine </w:t>
      </w:r>
      <w:r w:rsidR="008D4C33">
        <w:rPr>
          <w:color w:val="000000" w:themeColor="text1"/>
        </w:rPr>
        <w:t>biofluids</w:t>
      </w:r>
      <w:r w:rsidR="00AA4AD4">
        <w:rPr>
          <w:color w:val="000000" w:themeColor="text1"/>
        </w:rPr>
        <w:t xml:space="preserve"> taken from</w:t>
      </w:r>
      <w:r w:rsidR="008D4C33">
        <w:rPr>
          <w:color w:val="000000" w:themeColor="text1"/>
        </w:rPr>
        <w:t xml:space="preserve"> participants that had been </w:t>
      </w:r>
      <w:r w:rsidR="003A60A7">
        <w:rPr>
          <w:color w:val="000000" w:themeColor="text1"/>
        </w:rPr>
        <w:t>poison</w:t>
      </w:r>
      <w:r w:rsidR="008D4C33">
        <w:rPr>
          <w:color w:val="000000" w:themeColor="text1"/>
        </w:rPr>
        <w:t>ed with</w:t>
      </w:r>
      <w:r w:rsidR="003A60A7">
        <w:rPr>
          <w:color w:val="000000" w:themeColor="text1"/>
        </w:rPr>
        <w:t xml:space="preserve"> </w:t>
      </w:r>
      <w:r w:rsidR="0050454C">
        <w:rPr>
          <w:color w:val="000000" w:themeColor="text1"/>
        </w:rPr>
        <w:t>xenobiotics</w:t>
      </w:r>
      <w:r w:rsidR="003A60A7">
        <w:rPr>
          <w:color w:val="000000" w:themeColor="text1"/>
        </w:rPr>
        <w:t xml:space="preserve"> such as </w:t>
      </w:r>
      <w:r w:rsidR="00D36715">
        <w:rPr>
          <w:color w:val="000000" w:themeColor="text1"/>
        </w:rPr>
        <w:t>sal</w:t>
      </w:r>
      <w:r w:rsidR="009162A2">
        <w:rPr>
          <w:color w:val="000000" w:themeColor="text1"/>
        </w:rPr>
        <w:t>icyl</w:t>
      </w:r>
      <w:r w:rsidR="00D36715">
        <w:rPr>
          <w:color w:val="000000" w:themeColor="text1"/>
        </w:rPr>
        <w:t>ate</w:t>
      </w:r>
      <w:r w:rsidR="009162A2">
        <w:rPr>
          <w:color w:val="000000" w:themeColor="text1"/>
        </w:rPr>
        <w:t>, tetrahydrofuran, par</w:t>
      </w:r>
      <w:r w:rsidR="007443F2">
        <w:rPr>
          <w:color w:val="000000" w:themeColor="text1"/>
        </w:rPr>
        <w:t xml:space="preserve">aquat and valproic acid </w:t>
      </w:r>
      <w:r w:rsidR="00133B53">
        <w:rPr>
          <w:color w:val="000000" w:themeColor="text1"/>
        </w:rPr>
        <w:fldChar w:fldCharType="begin" w:fldLock="1"/>
      </w:r>
      <w:r w:rsidR="00112529">
        <w:rPr>
          <w:color w:val="000000" w:themeColor="text1"/>
        </w:rPr>
        <w:instrText>ADDIN CSL_CITATION {"citationItems":[{"id":"ITEM-1","itemData":{"DOI":"10.1016/S0379-0738(03)00059-8","ISSN":"0379-0738","abstract":"In order to analyse a wide range of xenobiotics and their metabolites present in biological fluids, NMR spectroscopy can be used. A large variety of xenobiotics (therapeutic agents, pesticides, solvents, alcohols) can be characterized and quantitated directly, without sample preparation. NMR investigations were applied to acute poisoning cases, involving drugs such as salicylates and valproic acid (VPA). In a salicylate poisoning case, the three major metabolites of acetylsalicylic acid have been detected in crude urine, and rapid identification of lysine revealed the origin of the intoxication, namely lysine acetylsalicylate (Aspegic®). Valproic acid as its glucuronide was identified in urine samples from two poisoned patients. 1H NMR was also used to identify and quantitate paraquat (Gramoxone®) in urine owing to its two aromatic signals at 8.49 and 9.02ppm, in two acutely poisoned patients (183 and 93mg/l). An intentional poisoning case with tetrahydrofuran (THF) was also investigated. Serum and urine samples were collected. THF was characterized by its resonances at 1.90 and 3.76ppm, and quantified at 813 and 850mg/l in the two biological fluids, respectively. Moreover, two other compounds were detected: lactate and γ-hydroxybutyric acid (GHB). 1H NMR spectroscopic analysis of serum samples from three poisoned patients revealed methanol in one case and ethylene glycol in the two others. Moreover, in the same spectrum, the corresponding metabolites formate and glycolate were found. Compared with the reference chromatographic or spectrophotometric methods, requiring time-consuming extraction and/or derivatization steps, NMR spectroscopy allows the determination of many exogenous and endogenous compounds, without any pre-selection of the analytes. © 2003 Elsevier Science Ireland Ltd. All rights reserved.","author":[{"dropping-particle":"","family":"Imbenotte","given":"M.","non-dropping-particle":"","parse-names":false,"suffix":""},{"dropping-particle":"","family":"Azaroual","given":"N.","non-dropping-particle":"","parse-names":false,"suffix":""},{"dropping-particle":"","family":"Cartigny","given":"B.","non-dropping-particle":"","parse-names":false,"suffix":""},{"dropping-particle":"","family":"Vermeersch","given":"G.","non-dropping-particle":"","parse-names":false,"suffix":""},{"dropping-particle":"","family":"Lhermitte","given":"M.","non-dropping-particle":"","parse-names":false,"suffix":""}],"container-title":"Forensic Science International","id":"ITEM-1","issue":"1-2","issued":{"date-parts":[["2003","4","23"]]},"page":"132-135","publisher":"Elsevier","title":"Identification and quantitation of xenobiotics by 1H NMR spectroscopy in poisoning cases","type":"article-journal","volume":"133"},"uris":["http://www.mendeley.com/documents/?uuid=5acd0c7a-7cd6-3975-bf1b-e68b03c2fa4a"]}],"mendeley":{"formattedCitation":"(146)","plainTextFormattedCitation":"(146)","previouslyFormattedCitation":"(146)"},"properties":{"noteIndex":0},"schema":"https://github.com/citation-style-language/schema/raw/master/csl-citation.json"}</w:instrText>
      </w:r>
      <w:r w:rsidR="00133B53">
        <w:rPr>
          <w:color w:val="000000" w:themeColor="text1"/>
        </w:rPr>
        <w:fldChar w:fldCharType="separate"/>
      </w:r>
      <w:r w:rsidR="00133B53" w:rsidRPr="00133B53">
        <w:rPr>
          <w:noProof/>
          <w:color w:val="000000" w:themeColor="text1"/>
        </w:rPr>
        <w:t>(146)</w:t>
      </w:r>
      <w:r w:rsidR="00133B53">
        <w:rPr>
          <w:color w:val="000000" w:themeColor="text1"/>
        </w:rPr>
        <w:fldChar w:fldCharType="end"/>
      </w:r>
      <w:r w:rsidR="00AA4AD4">
        <w:rPr>
          <w:color w:val="000000" w:themeColor="text1"/>
        </w:rPr>
        <w:t xml:space="preserve">. Xenobiotics </w:t>
      </w:r>
      <w:r w:rsidR="00AC096A">
        <w:rPr>
          <w:color w:val="000000" w:themeColor="text1"/>
        </w:rPr>
        <w:t xml:space="preserve">are exogenous molecules to the human body and </w:t>
      </w:r>
      <w:r w:rsidR="00F3302D">
        <w:rPr>
          <w:color w:val="000000" w:themeColor="text1"/>
        </w:rPr>
        <w:t xml:space="preserve">are metabolically broken down, therefore these molecules were detectable in urine by </w:t>
      </w:r>
      <w:r w:rsidR="00F3302D" w:rsidRPr="00144F61">
        <w:rPr>
          <w:color w:val="000000" w:themeColor="text1"/>
          <w:shd w:val="clear" w:color="auto" w:fill="FFFFFF"/>
          <w:vertAlign w:val="superscript"/>
        </w:rPr>
        <w:t>1</w:t>
      </w:r>
      <w:r w:rsidR="00F3302D" w:rsidRPr="00144F61">
        <w:rPr>
          <w:color w:val="000000" w:themeColor="text1"/>
          <w:shd w:val="clear" w:color="auto" w:fill="FFFFFF"/>
        </w:rPr>
        <w:t>H</w:t>
      </w:r>
      <w:r w:rsidR="00F3302D" w:rsidRPr="00144F61">
        <w:rPr>
          <w:vertAlign w:val="superscript"/>
        </w:rPr>
        <w:t xml:space="preserve"> </w:t>
      </w:r>
      <w:r w:rsidR="00F3302D" w:rsidRPr="00144F61">
        <w:rPr>
          <w:color w:val="000000"/>
        </w:rPr>
        <w:t>NMR</w:t>
      </w:r>
      <w:r w:rsidR="00F3302D">
        <w:rPr>
          <w:color w:val="000000"/>
        </w:rPr>
        <w:t xml:space="preserve">. In terms of psychoactive substance, </w:t>
      </w:r>
      <w:r w:rsidR="00F3302D" w:rsidRPr="00144F61">
        <w:rPr>
          <w:color w:val="000000" w:themeColor="text1"/>
          <w:shd w:val="clear" w:color="auto" w:fill="FFFFFF"/>
          <w:vertAlign w:val="superscript"/>
        </w:rPr>
        <w:t>1</w:t>
      </w:r>
      <w:r w:rsidR="00F3302D" w:rsidRPr="00144F61">
        <w:rPr>
          <w:color w:val="000000" w:themeColor="text1"/>
          <w:shd w:val="clear" w:color="auto" w:fill="FFFFFF"/>
        </w:rPr>
        <w:t>H</w:t>
      </w:r>
      <w:r w:rsidR="00F3302D" w:rsidRPr="00144F61">
        <w:rPr>
          <w:vertAlign w:val="superscript"/>
        </w:rPr>
        <w:t xml:space="preserve"> </w:t>
      </w:r>
      <w:r w:rsidR="00F3302D" w:rsidRPr="00144F61">
        <w:rPr>
          <w:color w:val="000000"/>
        </w:rPr>
        <w:t>NMR</w:t>
      </w:r>
      <w:r w:rsidR="00F3302D">
        <w:rPr>
          <w:color w:val="000000"/>
        </w:rPr>
        <w:t xml:space="preserve"> spectroscopy has been used </w:t>
      </w:r>
      <w:r w:rsidR="00484EB6">
        <w:rPr>
          <w:color w:val="000000"/>
        </w:rPr>
        <w:t>for the</w:t>
      </w:r>
      <w:r w:rsidR="00720126">
        <w:rPr>
          <w:color w:val="000000"/>
        </w:rPr>
        <w:t xml:space="preserve"> successful</w:t>
      </w:r>
      <w:r w:rsidR="00484EB6">
        <w:rPr>
          <w:color w:val="000000"/>
        </w:rPr>
        <w:t xml:space="preserve"> </w:t>
      </w:r>
      <w:r w:rsidR="007C3E36" w:rsidRPr="00BA03AC">
        <w:rPr>
          <w:color w:val="000000" w:themeColor="text1"/>
        </w:rPr>
        <w:t xml:space="preserve">metabolic analysis </w:t>
      </w:r>
      <w:r w:rsidR="00D057B6" w:rsidRPr="00BA03AC">
        <w:rPr>
          <w:color w:val="000000" w:themeColor="text1"/>
        </w:rPr>
        <w:t xml:space="preserve">of </w:t>
      </w:r>
      <w:r w:rsidR="007C3E36" w:rsidRPr="00BA03AC">
        <w:rPr>
          <w:color w:val="000000" w:themeColor="text1"/>
        </w:rPr>
        <w:t>human urine fo</w:t>
      </w:r>
      <w:r w:rsidR="00DF6DFF" w:rsidRPr="00BA03AC">
        <w:rPr>
          <w:color w:val="000000" w:themeColor="text1"/>
        </w:rPr>
        <w:t>llowing the ingestion of</w:t>
      </w:r>
      <w:r w:rsidR="00BA03AC" w:rsidRPr="00BA03AC">
        <w:rPr>
          <w:color w:val="000000" w:themeColor="text1"/>
        </w:rPr>
        <w:t xml:space="preserve"> </w:t>
      </w:r>
      <w:r w:rsidR="00BA03AC" w:rsidRPr="00BA03AC">
        <w:rPr>
          <w:color w:val="000000" w:themeColor="text1"/>
          <w:shd w:val="clear" w:color="auto" w:fill="FFFFFF"/>
        </w:rPr>
        <w:t>3,4-</w:t>
      </w:r>
      <w:r w:rsidR="00BA03AC">
        <w:rPr>
          <w:color w:val="000000" w:themeColor="text1"/>
          <w:shd w:val="clear" w:color="auto" w:fill="FFFFFF"/>
        </w:rPr>
        <w:t>m</w:t>
      </w:r>
      <w:r w:rsidR="00BA03AC" w:rsidRPr="00BA03AC">
        <w:rPr>
          <w:color w:val="000000" w:themeColor="text1"/>
          <w:shd w:val="clear" w:color="auto" w:fill="FFFFFF"/>
        </w:rPr>
        <w:t>ethyl​</w:t>
      </w:r>
      <w:proofErr w:type="spellStart"/>
      <w:r w:rsidR="00BA03AC" w:rsidRPr="00BA03AC">
        <w:rPr>
          <w:color w:val="000000" w:themeColor="text1"/>
          <w:shd w:val="clear" w:color="auto" w:fill="FFFFFF"/>
        </w:rPr>
        <w:t>enedioxy</w:t>
      </w:r>
      <w:proofErr w:type="spellEnd"/>
      <w:r w:rsidR="00BA03AC" w:rsidRPr="00BA03AC">
        <w:rPr>
          <w:color w:val="000000" w:themeColor="text1"/>
          <w:shd w:val="clear" w:color="auto" w:fill="FFFFFF"/>
        </w:rPr>
        <w:t>​methamphetamine</w:t>
      </w:r>
      <w:r w:rsidR="007C3E36" w:rsidRPr="00BA03AC">
        <w:rPr>
          <w:color w:val="000000" w:themeColor="text1"/>
        </w:rPr>
        <w:t xml:space="preserve"> </w:t>
      </w:r>
      <w:r w:rsidR="00BA03AC">
        <w:rPr>
          <w:color w:val="000000" w:themeColor="text1"/>
        </w:rPr>
        <w:t>(</w:t>
      </w:r>
      <w:r w:rsidR="00340177" w:rsidRPr="00BA03AC">
        <w:rPr>
          <w:color w:val="000000" w:themeColor="text1"/>
        </w:rPr>
        <w:t>MDMA</w:t>
      </w:r>
      <w:r w:rsidR="00BA03AC">
        <w:rPr>
          <w:color w:val="000000" w:themeColor="text1"/>
        </w:rPr>
        <w:t>)</w:t>
      </w:r>
      <w:r w:rsidR="007C3E36" w:rsidRPr="00BA03AC">
        <w:rPr>
          <w:color w:val="000000" w:themeColor="text1"/>
        </w:rPr>
        <w:fldChar w:fldCharType="begin" w:fldLock="1"/>
      </w:r>
      <w:r w:rsidR="00133B53">
        <w:rPr>
          <w:color w:val="000000" w:themeColor="text1"/>
        </w:rPr>
        <w:instrText>ADDIN CSL_CITATION {"citationItems":[{"id":"ITEM-1","itemData":{"DOI":"10.1016/j.forsciint.2009.10.022","ISSN":"03790738","PMID":"19926414","abstract":"Identification of 3,4-methylenedioxy-N-methylamphetamine (MDMA, ecstasy) in five cases of intoxication using nuclear magnetic resonance (NMR) spectroscopy of human urine is reported. A new water suppression technique PURGE (Presaturation Utilizing Relaxation Gradients and Echoes) was used. A calibration curve was obtained using spiked samples. The method gave a linear response (correlation coefficient of 0.992) over the range 0.01-1 mg/mL. Subsequently, quantitation of the amount of MDMA present in the samples was performed. The benefit and reliability of NMR investigations of human urine for cases of intoxication with MDMA are discussed.","author":[{"dropping-particle":"","family":"Liu","given":"Jonathan","non-dropping-particle":"","parse-names":false,"suffix":""},{"dropping-particle":"","family":"Decatur","given":"John","non-dropping-particle":"","parse-names":false,"suffix":""},{"dropping-particle":"","family":"Proni","given":"Gloria","non-dropping-particle":"","parse-names":false,"suffix":""},{"dropping-particle":"","family":"Champeil","given":"Elise","non-dropping-particle":"","parse-names":false,"suffix":""}],"container-title":"Forensic Science International","id":"ITEM-1","issue":"1-3","issued":{"date-parts":[["2010","1","30"]]},"page":"103-107","publisher":"Forensic Sci Int","title":"Identification and quantitation of 3,4-methylenedioxy-N-methylamphetamine (MDMA, ecstasy) in human urine by 1H NMR spectroscopy. Application to five cases of intoxication","type":"article-journal","volume":"194"},"uris":["http://www.mendeley.com/documents/?uuid=6922cfda-6105-3635-ac41-7950d4430ec1"]}],"mendeley":{"formattedCitation":"(147)","plainTextFormattedCitation":"(147)","previouslyFormattedCitation":"(147)"},"properties":{"noteIndex":0},"schema":"https://github.com/citation-style-language/schema/raw/master/csl-citation.json"}</w:instrText>
      </w:r>
      <w:r w:rsidR="007C3E36" w:rsidRPr="00BA03AC">
        <w:rPr>
          <w:color w:val="000000" w:themeColor="text1"/>
        </w:rPr>
        <w:fldChar w:fldCharType="separate"/>
      </w:r>
      <w:r w:rsidR="00030235" w:rsidRPr="00030235">
        <w:rPr>
          <w:noProof/>
          <w:color w:val="000000" w:themeColor="text1"/>
        </w:rPr>
        <w:t>(147)</w:t>
      </w:r>
      <w:r w:rsidR="007C3E36" w:rsidRPr="00BA03AC">
        <w:rPr>
          <w:color w:val="000000" w:themeColor="text1"/>
        </w:rPr>
        <w:fldChar w:fldCharType="end"/>
      </w:r>
      <w:r w:rsidR="00340177" w:rsidRPr="00BA03AC">
        <w:rPr>
          <w:color w:val="000000" w:themeColor="text1"/>
        </w:rPr>
        <w:t xml:space="preserve"> and amphetamines</w:t>
      </w:r>
      <w:r w:rsidR="001404C6" w:rsidRPr="00BA03AC">
        <w:rPr>
          <w:color w:val="000000" w:themeColor="text1"/>
        </w:rPr>
        <w:t xml:space="preserve"> </w:t>
      </w:r>
      <w:r w:rsidR="007C3E36" w:rsidRPr="00BA03AC">
        <w:rPr>
          <w:color w:val="000000" w:themeColor="text1"/>
        </w:rPr>
        <w:fldChar w:fldCharType="begin" w:fldLock="1"/>
      </w:r>
      <w:r w:rsidR="00133B53">
        <w:rPr>
          <w:color w:val="000000" w:themeColor="text1"/>
        </w:rPr>
        <w:instrText>ADDIN CSL_CITATION {"citationItems":[{"id":"ITEM-1","itemData":{"DOI":"10.1007/s00723-013-0507-1","ISSN":"09379347","abstract":"In the recent years the so-called designer drugs have been diffused dramatically worldwide. Amphetamine psychostimulants are one of the major classes of illicit drugs consumed for recreational purposes in the world. The detection of the illegal substances is important both in the management of their misuse and in the forensic field. Urine matrix is a reliable biological matrix for verifying amphetamines intake in the short and medium term because the excretion of these drugs mainly occurs in urine, where substantial amounts of unchanged drug are present. In response to a growing demand for reliable evidence of amphetamine use, a method for identification and quantitation of amphetamine, methamphetamine, 3,4-methylenedioxy-N-methylamphetamine, 3,4-methylenedioxyamphetamine, 3,4-methylenedioxy-N-ethylamphetamine in urine has been developed by nuclear magnetic resonance spectroscopy, using electronic reference to access in vivo concentration method. The method showed good linearity. The limits of detection and quantitation of amphetamines analyzed ranging from 1.9-7.9 to 5.8-23.8 igmL-1, respectively. These data demonstrate that the present method is suitable for detection of these drugs in urine samples, allowing to quantitate the target analytes without any purification step of the matrix.","author":[{"dropping-particle":"","family":"Nieddu","given":"Maria","non-dropping-particle":"","parse-names":false,"suffix":""},{"dropping-particle":"","family":"Carta","given":"Antonio","non-dropping-particle":"","parse-names":false,"suffix":""},{"dropping-particle":"","family":"Burrai","given":"Lucia","non-dropping-particle":"","parse-names":false,"suffix":""},{"dropping-particle":"","family":"Porcu","given":"Maria Cristina","non-dropping-particle":"","parse-names":false,"suffix":""},{"dropping-particle":"","family":"Culeddu","given":"Nicola","non-dropping-particle":"","parse-names":false,"suffix":""},{"dropping-particle":"","family":"Pirisi","given":"Maria Antonietta","non-dropping-particle":"","parse-names":false,"suffix":""},{"dropping-particle":"","family":"Boatto","given":"Gianpiero","non-dropping-particle":"","parse-names":false,"suffix":""}],"container-title":"Applied Magnetic Resonance","id":"ITEM-1","issue":"2","issued":{"date-parts":[["2014","6","1"]]},"page":"135-144","publisher":"Springer-Verlag Wien","title":"Screening method for five commonly used amphetamines in urine by NMR spectroscopy","type":"article-journal","volume":"45"},"uris":["http://www.mendeley.com/documents/?uuid=795b7616-74f3-3759-8f95-d0ef8ca29cea"]}],"mendeley":{"formattedCitation":"(148)","plainTextFormattedCitation":"(148)","previouslyFormattedCitation":"(148)"},"properties":{"noteIndex":0},"schema":"https://github.com/citation-style-language/schema/raw/master/csl-citation.json"}</w:instrText>
      </w:r>
      <w:r w:rsidR="007C3E36" w:rsidRPr="00BA03AC">
        <w:rPr>
          <w:color w:val="000000" w:themeColor="text1"/>
        </w:rPr>
        <w:fldChar w:fldCharType="separate"/>
      </w:r>
      <w:r w:rsidR="00030235" w:rsidRPr="00030235">
        <w:rPr>
          <w:noProof/>
          <w:color w:val="000000" w:themeColor="text1"/>
        </w:rPr>
        <w:t>(148)</w:t>
      </w:r>
      <w:r w:rsidR="007C3E36" w:rsidRPr="00BA03AC">
        <w:rPr>
          <w:color w:val="000000" w:themeColor="text1"/>
        </w:rPr>
        <w:fldChar w:fldCharType="end"/>
      </w:r>
      <w:r w:rsidR="00347BFE">
        <w:rPr>
          <w:color w:val="000000" w:themeColor="text1"/>
        </w:rPr>
        <w:t>. B</w:t>
      </w:r>
      <w:r w:rsidR="00484EB6">
        <w:rPr>
          <w:color w:val="000000" w:themeColor="text1"/>
        </w:rPr>
        <w:t>oth are psychoactive substances that have been used recreationally</w:t>
      </w:r>
      <w:r w:rsidR="00347BFE">
        <w:rPr>
          <w:color w:val="000000" w:themeColor="text1"/>
        </w:rPr>
        <w:t xml:space="preserve"> by humans and though they are not of the same drug class as </w:t>
      </w:r>
      <w:r w:rsidR="00720126">
        <w:rPr>
          <w:color w:val="000000" w:themeColor="text1"/>
        </w:rPr>
        <w:t>tryptamine or phenethylamine psychedelics, the</w:t>
      </w:r>
      <w:r w:rsidR="00FE6396">
        <w:rPr>
          <w:color w:val="000000" w:themeColor="text1"/>
        </w:rPr>
        <w:t xml:space="preserve">y demonstrate a promising capacity for </w:t>
      </w:r>
      <w:r w:rsidR="00FE6396" w:rsidRPr="00144F61">
        <w:rPr>
          <w:color w:val="000000" w:themeColor="text1"/>
          <w:shd w:val="clear" w:color="auto" w:fill="FFFFFF"/>
          <w:vertAlign w:val="superscript"/>
        </w:rPr>
        <w:t>1</w:t>
      </w:r>
      <w:r w:rsidR="00FE6396" w:rsidRPr="00144F61">
        <w:rPr>
          <w:color w:val="000000" w:themeColor="text1"/>
          <w:shd w:val="clear" w:color="auto" w:fill="FFFFFF"/>
        </w:rPr>
        <w:t>H</w:t>
      </w:r>
      <w:r w:rsidR="00FE6396" w:rsidRPr="00144F61">
        <w:rPr>
          <w:vertAlign w:val="superscript"/>
        </w:rPr>
        <w:t xml:space="preserve"> </w:t>
      </w:r>
      <w:r w:rsidR="00FE6396" w:rsidRPr="00144F61">
        <w:rPr>
          <w:color w:val="000000"/>
        </w:rPr>
        <w:t>NMR</w:t>
      </w:r>
      <w:r w:rsidR="00FE6396">
        <w:rPr>
          <w:color w:val="000000"/>
        </w:rPr>
        <w:t xml:space="preserve"> spectroscopy to detect psychedelics in </w:t>
      </w:r>
      <w:r w:rsidR="00EA03D9">
        <w:rPr>
          <w:color w:val="000000"/>
        </w:rPr>
        <w:t>biofluids like urine</w:t>
      </w:r>
      <w:r w:rsidR="001404C6" w:rsidRPr="00BA03AC">
        <w:rPr>
          <w:color w:val="000000" w:themeColor="text1"/>
        </w:rPr>
        <w:t xml:space="preserve">. </w:t>
      </w:r>
      <w:r w:rsidR="00EA03D9">
        <w:rPr>
          <w:color w:val="000000" w:themeColor="text1"/>
        </w:rPr>
        <w:t>Overall, r</w:t>
      </w:r>
      <w:r w:rsidR="00A84D8A" w:rsidRPr="00BA03AC">
        <w:rPr>
          <w:color w:val="000000" w:themeColor="text1"/>
        </w:rPr>
        <w:t>ather than viewing NMR and MS as opposing techniques,</w:t>
      </w:r>
      <w:r w:rsidR="00BC5D33">
        <w:rPr>
          <w:color w:val="000000" w:themeColor="text1"/>
        </w:rPr>
        <w:t xml:space="preserve"> </w:t>
      </w:r>
      <w:r w:rsidR="00A84D8A" w:rsidRPr="00BA03AC">
        <w:rPr>
          <w:color w:val="000000" w:themeColor="text1"/>
        </w:rPr>
        <w:t xml:space="preserve">it is the employment of a combination of spectroscopic tools that yields the most comprehensive data. </w:t>
      </w:r>
      <w:r w:rsidR="00757E11" w:rsidRPr="00BA03AC">
        <w:rPr>
          <w:color w:val="000000" w:themeColor="text1"/>
        </w:rPr>
        <w:t>From this review, it can be concluded that this is the perspective that has been used in</w:t>
      </w:r>
      <w:r w:rsidR="00DF6353" w:rsidRPr="00BA03AC">
        <w:rPr>
          <w:color w:val="000000" w:themeColor="text1"/>
        </w:rPr>
        <w:t xml:space="preserve"> the</w:t>
      </w:r>
      <w:r w:rsidR="00757E11" w:rsidRPr="00BA03AC">
        <w:rPr>
          <w:color w:val="000000" w:themeColor="text1"/>
        </w:rPr>
        <w:t xml:space="preserve"> papers</w:t>
      </w:r>
      <w:r w:rsidR="00DF6353" w:rsidRPr="00BA03AC">
        <w:rPr>
          <w:color w:val="000000" w:themeColor="text1"/>
        </w:rPr>
        <w:t xml:space="preserve"> source</w:t>
      </w:r>
      <w:r w:rsidR="003432E2" w:rsidRPr="00BA03AC">
        <w:rPr>
          <w:color w:val="000000" w:themeColor="text1"/>
        </w:rPr>
        <w:t>d</w:t>
      </w:r>
      <w:r w:rsidR="00DF6353" w:rsidRPr="00BA03AC">
        <w:rPr>
          <w:color w:val="000000" w:themeColor="text1"/>
        </w:rPr>
        <w:t xml:space="preserve">. </w:t>
      </w:r>
      <w:r w:rsidR="00BC5D33">
        <w:rPr>
          <w:color w:val="000000" w:themeColor="text1"/>
        </w:rPr>
        <w:t>Most</w:t>
      </w:r>
      <w:r w:rsidR="00DF6353" w:rsidRPr="00BA03AC">
        <w:rPr>
          <w:color w:val="000000" w:themeColor="text1"/>
        </w:rPr>
        <w:t xml:space="preserve"> papers combined the use of two or more</w:t>
      </w:r>
      <w:r w:rsidR="00757E11" w:rsidRPr="00BA03AC">
        <w:rPr>
          <w:color w:val="000000" w:themeColor="text1"/>
        </w:rPr>
        <w:t xml:space="preserve"> spectroscopic tools</w:t>
      </w:r>
      <w:r w:rsidR="00DF6353" w:rsidRPr="00BA03AC">
        <w:rPr>
          <w:color w:val="000000" w:themeColor="text1"/>
        </w:rPr>
        <w:t xml:space="preserve"> when produc</w:t>
      </w:r>
      <w:r w:rsidR="002C7794">
        <w:rPr>
          <w:color w:val="000000" w:themeColor="text1"/>
        </w:rPr>
        <w:t>ing</w:t>
      </w:r>
      <w:r w:rsidR="00DF6353" w:rsidRPr="00BA03AC">
        <w:rPr>
          <w:color w:val="000000" w:themeColor="text1"/>
        </w:rPr>
        <w:t xml:space="preserve"> a structural profile for a molecule. </w:t>
      </w:r>
    </w:p>
    <w:p w14:paraId="63DA4F20" w14:textId="491A62CE" w:rsidR="00E50706" w:rsidRDefault="00E50706" w:rsidP="00E50706">
      <w:pPr>
        <w:rPr>
          <w:b/>
          <w:bCs/>
          <w:color w:val="000000" w:themeColor="text1"/>
        </w:rPr>
      </w:pPr>
    </w:p>
    <w:p w14:paraId="144D4D0F" w14:textId="77777777" w:rsidR="00E50706" w:rsidRDefault="00E50706" w:rsidP="00E50706">
      <w:pPr>
        <w:rPr>
          <w:b/>
          <w:bCs/>
          <w:color w:val="000000" w:themeColor="text1"/>
        </w:rPr>
      </w:pPr>
    </w:p>
    <w:p w14:paraId="1EC8C32E" w14:textId="7A342E98" w:rsidR="007E4B31" w:rsidRPr="00130AD2" w:rsidRDefault="00130AD2" w:rsidP="00E50706">
      <w:pPr>
        <w:rPr>
          <w:rFonts w:eastAsiaTheme="minorEastAsia"/>
          <w:b/>
          <w:bCs/>
          <w:color w:val="000000" w:themeColor="text1"/>
        </w:rPr>
      </w:pPr>
      <w:r w:rsidRPr="00130AD2">
        <w:rPr>
          <w:b/>
          <w:bCs/>
          <w:color w:val="000000" w:themeColor="text1"/>
        </w:rPr>
        <w:t>Future Directions for</w:t>
      </w:r>
      <w:r w:rsidRPr="00130AD2">
        <w:rPr>
          <w:b/>
          <w:bCs/>
          <w:color w:val="000000" w:themeColor="text1"/>
          <w:shd w:val="clear" w:color="auto" w:fill="FFFFFF"/>
          <w:vertAlign w:val="superscript"/>
        </w:rPr>
        <w:t xml:space="preserve"> 1</w:t>
      </w:r>
      <w:r w:rsidRPr="00130AD2">
        <w:rPr>
          <w:b/>
          <w:bCs/>
          <w:color w:val="000000" w:themeColor="text1"/>
          <w:shd w:val="clear" w:color="auto" w:fill="FFFFFF"/>
        </w:rPr>
        <w:t>H</w:t>
      </w:r>
      <w:r w:rsidRPr="00130AD2">
        <w:rPr>
          <w:b/>
          <w:bCs/>
          <w:color w:val="000000" w:themeColor="text1"/>
          <w:vertAlign w:val="superscript"/>
        </w:rPr>
        <w:t xml:space="preserve"> </w:t>
      </w:r>
      <w:r w:rsidRPr="00130AD2">
        <w:rPr>
          <w:rFonts w:eastAsiaTheme="minorEastAsia"/>
          <w:b/>
          <w:bCs/>
          <w:color w:val="000000" w:themeColor="text1"/>
        </w:rPr>
        <w:t>NMR in Psychedelic Research</w:t>
      </w:r>
    </w:p>
    <w:p w14:paraId="44C9EECF" w14:textId="77777777" w:rsidR="00130AD2" w:rsidRPr="00F00BA9" w:rsidRDefault="00130AD2" w:rsidP="00E50706">
      <w:pPr>
        <w:rPr>
          <w:color w:val="000000" w:themeColor="text1"/>
        </w:rPr>
      </w:pPr>
    </w:p>
    <w:p w14:paraId="0C573918" w14:textId="02D45BC7" w:rsidR="00B95B62" w:rsidRPr="009E3181" w:rsidRDefault="00340177" w:rsidP="00E50706">
      <w:pPr>
        <w:rPr>
          <w:color w:val="000000"/>
        </w:rPr>
      </w:pPr>
      <w:r>
        <w:rPr>
          <w:color w:val="000000" w:themeColor="text1"/>
        </w:rPr>
        <w:t xml:space="preserve">The comparison between NMR and MS raises an interesting point of contention, </w:t>
      </w:r>
      <w:r w:rsidR="00085B14">
        <w:rPr>
          <w:color w:val="000000" w:themeColor="text1"/>
        </w:rPr>
        <w:t xml:space="preserve">namely, </w:t>
      </w:r>
      <w:r>
        <w:rPr>
          <w:color w:val="000000" w:themeColor="text1"/>
        </w:rPr>
        <w:t xml:space="preserve">why is it worth pursing NMR when MS and other spectroscopic techniques can provide </w:t>
      </w:r>
      <w:r w:rsidR="006508EA">
        <w:rPr>
          <w:color w:val="000000" w:themeColor="text1"/>
        </w:rPr>
        <w:t>more sensitivity for the detection of many metabolite</w:t>
      </w:r>
      <w:r w:rsidR="007F0399">
        <w:rPr>
          <w:color w:val="000000" w:themeColor="text1"/>
        </w:rPr>
        <w:t>s</w:t>
      </w:r>
      <w:r>
        <w:rPr>
          <w:color w:val="000000" w:themeColor="text1"/>
        </w:rPr>
        <w:t xml:space="preserve">? </w:t>
      </w:r>
      <w:r w:rsidR="002C7794">
        <w:rPr>
          <w:color w:val="000000"/>
        </w:rPr>
        <w:t xml:space="preserve">The </w:t>
      </w:r>
      <w:r w:rsidR="009E3181">
        <w:rPr>
          <w:color w:val="000000"/>
        </w:rPr>
        <w:t xml:space="preserve">third </w:t>
      </w:r>
      <w:r w:rsidR="002C7794">
        <w:rPr>
          <w:color w:val="000000"/>
        </w:rPr>
        <w:t xml:space="preserve">aim of this review </w:t>
      </w:r>
      <w:r w:rsidR="00085B14">
        <w:rPr>
          <w:color w:val="000000"/>
        </w:rPr>
        <w:t>was</w:t>
      </w:r>
      <w:r w:rsidR="002C7794">
        <w:rPr>
          <w:color w:val="000000"/>
        </w:rPr>
        <w:t xml:space="preserve"> to suggest applications of </w:t>
      </w:r>
      <w:r w:rsidR="002C7794" w:rsidRPr="00144F61">
        <w:rPr>
          <w:color w:val="000000" w:themeColor="text1"/>
          <w:shd w:val="clear" w:color="auto" w:fill="FFFFFF"/>
          <w:vertAlign w:val="superscript"/>
        </w:rPr>
        <w:t>1</w:t>
      </w:r>
      <w:r w:rsidR="002C7794" w:rsidRPr="00144F61">
        <w:rPr>
          <w:color w:val="000000" w:themeColor="text1"/>
          <w:shd w:val="clear" w:color="auto" w:fill="FFFFFF"/>
        </w:rPr>
        <w:t>H</w:t>
      </w:r>
      <w:r w:rsidR="002C7794" w:rsidRPr="00144F61">
        <w:rPr>
          <w:vertAlign w:val="superscript"/>
        </w:rPr>
        <w:t xml:space="preserve"> </w:t>
      </w:r>
      <w:r w:rsidR="002C7794" w:rsidRPr="00144F61">
        <w:rPr>
          <w:color w:val="000000"/>
        </w:rPr>
        <w:t>NMR</w:t>
      </w:r>
      <w:r w:rsidR="002C7794">
        <w:rPr>
          <w:color w:val="000000"/>
        </w:rPr>
        <w:t xml:space="preserve"> that allow this tool to be used to its maximum potential in future studies and suggest novel approaches that may improve the analytical data retrieved from psychedelic research. </w:t>
      </w:r>
      <w:r w:rsidR="00CE28C7">
        <w:rPr>
          <w:color w:val="000000"/>
        </w:rPr>
        <w:t xml:space="preserve">Indeed, </w:t>
      </w:r>
      <w:r w:rsidR="00A674EA" w:rsidRPr="00144F61">
        <w:rPr>
          <w:color w:val="000000" w:themeColor="text1"/>
          <w:shd w:val="clear" w:color="auto" w:fill="FFFFFF"/>
          <w:vertAlign w:val="superscript"/>
        </w:rPr>
        <w:t>1</w:t>
      </w:r>
      <w:r w:rsidR="00A674EA" w:rsidRPr="00144F61">
        <w:rPr>
          <w:color w:val="000000" w:themeColor="text1"/>
          <w:shd w:val="clear" w:color="auto" w:fill="FFFFFF"/>
        </w:rPr>
        <w:t>H</w:t>
      </w:r>
      <w:r w:rsidR="00A674EA" w:rsidRPr="00144F61">
        <w:rPr>
          <w:vertAlign w:val="superscript"/>
        </w:rPr>
        <w:t xml:space="preserve"> </w:t>
      </w:r>
      <w:r w:rsidR="00A674EA" w:rsidRPr="00144F61">
        <w:rPr>
          <w:color w:val="000000"/>
        </w:rPr>
        <w:t>NMR</w:t>
      </w:r>
      <w:r w:rsidR="00A674EA">
        <w:rPr>
          <w:color w:val="000000"/>
        </w:rPr>
        <w:t xml:space="preserve"> has</w:t>
      </w:r>
      <w:r w:rsidR="00CF6190">
        <w:rPr>
          <w:color w:val="000000"/>
        </w:rPr>
        <w:t xml:space="preserve"> demonstrated to be essential in the structural elucidation of psychedelic molecules and so </w:t>
      </w:r>
      <w:r w:rsidR="007B4707">
        <w:rPr>
          <w:color w:val="000000"/>
        </w:rPr>
        <w:t xml:space="preserve">it </w:t>
      </w:r>
      <w:r w:rsidR="00BA09F3">
        <w:rPr>
          <w:color w:val="000000"/>
        </w:rPr>
        <w:t>could be highly useful in detecting novel drug metabolites</w:t>
      </w:r>
      <w:r w:rsidR="00511724">
        <w:rPr>
          <w:color w:val="000000"/>
        </w:rPr>
        <w:t>.</w:t>
      </w:r>
      <w:r w:rsidR="002732E9">
        <w:rPr>
          <w:color w:val="000000"/>
        </w:rPr>
        <w:t xml:space="preserve"> </w:t>
      </w:r>
      <w:r w:rsidR="00AD64BC">
        <w:rPr>
          <w:color w:val="000000"/>
        </w:rPr>
        <w:t xml:space="preserve">Aside from using </w:t>
      </w:r>
      <w:r w:rsidR="00AD64BC" w:rsidRPr="00144F61">
        <w:rPr>
          <w:color w:val="000000" w:themeColor="text1"/>
          <w:shd w:val="clear" w:color="auto" w:fill="FFFFFF"/>
          <w:vertAlign w:val="superscript"/>
        </w:rPr>
        <w:t>1</w:t>
      </w:r>
      <w:r w:rsidR="00AD64BC" w:rsidRPr="00144F61">
        <w:rPr>
          <w:color w:val="000000" w:themeColor="text1"/>
          <w:shd w:val="clear" w:color="auto" w:fill="FFFFFF"/>
        </w:rPr>
        <w:t>H</w:t>
      </w:r>
      <w:r w:rsidR="00AD64BC" w:rsidRPr="00144F61">
        <w:rPr>
          <w:vertAlign w:val="superscript"/>
        </w:rPr>
        <w:t xml:space="preserve"> </w:t>
      </w:r>
      <w:r w:rsidR="00AD64BC" w:rsidRPr="00144F61">
        <w:rPr>
          <w:color w:val="000000"/>
        </w:rPr>
        <w:t>NMR</w:t>
      </w:r>
      <w:r w:rsidR="00AD64BC">
        <w:rPr>
          <w:color w:val="000000"/>
        </w:rPr>
        <w:t xml:space="preserve"> </w:t>
      </w:r>
      <w:r w:rsidR="00C50956">
        <w:rPr>
          <w:color w:val="000000"/>
        </w:rPr>
        <w:t>for</w:t>
      </w:r>
      <w:r w:rsidR="00AD64BC">
        <w:rPr>
          <w:color w:val="000000"/>
        </w:rPr>
        <w:t xml:space="preserve"> natural products chemistry research, a </w:t>
      </w:r>
      <w:r w:rsidR="00C50956">
        <w:rPr>
          <w:color w:val="000000"/>
        </w:rPr>
        <w:t xml:space="preserve">clear research gap that has been highlighted in this review is using </w:t>
      </w:r>
      <w:r w:rsidR="00C50956" w:rsidRPr="00144F61">
        <w:rPr>
          <w:color w:val="000000" w:themeColor="text1"/>
          <w:shd w:val="clear" w:color="auto" w:fill="FFFFFF"/>
          <w:vertAlign w:val="superscript"/>
        </w:rPr>
        <w:t>1</w:t>
      </w:r>
      <w:r w:rsidR="00C50956" w:rsidRPr="00144F61">
        <w:rPr>
          <w:color w:val="000000" w:themeColor="text1"/>
          <w:shd w:val="clear" w:color="auto" w:fill="FFFFFF"/>
        </w:rPr>
        <w:t>H</w:t>
      </w:r>
      <w:r w:rsidR="00C50956" w:rsidRPr="00144F61">
        <w:rPr>
          <w:vertAlign w:val="superscript"/>
        </w:rPr>
        <w:t xml:space="preserve"> </w:t>
      </w:r>
      <w:r w:rsidR="00C50956" w:rsidRPr="00144F61">
        <w:rPr>
          <w:color w:val="000000"/>
        </w:rPr>
        <w:t>NMR</w:t>
      </w:r>
      <w:r w:rsidR="00C50956">
        <w:rPr>
          <w:color w:val="000000"/>
        </w:rPr>
        <w:t xml:space="preserve"> spectroscopy for metabolomic analysis. </w:t>
      </w:r>
      <w:r>
        <w:rPr>
          <w:color w:val="000000" w:themeColor="text1"/>
        </w:rPr>
        <w:t>The real incentive to use NMR</w:t>
      </w:r>
      <w:r w:rsidR="008A014D">
        <w:rPr>
          <w:color w:val="000000" w:themeColor="text1"/>
        </w:rPr>
        <w:t xml:space="preserve"> compared to other metabolomic techniques</w:t>
      </w:r>
      <w:r>
        <w:rPr>
          <w:color w:val="000000" w:themeColor="text1"/>
        </w:rPr>
        <w:t xml:space="preserve"> comes from</w:t>
      </w:r>
      <w:r w:rsidR="00AC730A">
        <w:rPr>
          <w:color w:val="000000" w:themeColor="text1"/>
        </w:rPr>
        <w:t xml:space="preserve"> the potential</w:t>
      </w:r>
      <w:r>
        <w:rPr>
          <w:color w:val="000000" w:themeColor="text1"/>
        </w:rPr>
        <w:t xml:space="preserve"> novel </w:t>
      </w:r>
      <w:r w:rsidR="00AC730A">
        <w:rPr>
          <w:color w:val="000000" w:themeColor="text1"/>
        </w:rPr>
        <w:t xml:space="preserve">techniques </w:t>
      </w:r>
      <w:r>
        <w:rPr>
          <w:color w:val="000000" w:themeColor="text1"/>
        </w:rPr>
        <w:t>that have branched off from this tool, the main two being real-time</w:t>
      </w:r>
      <w:r w:rsidR="00BA03AC" w:rsidRPr="00BA03AC">
        <w:rPr>
          <w:color w:val="000000" w:themeColor="text1"/>
        </w:rPr>
        <w:t xml:space="preserve"> </w:t>
      </w:r>
      <w:r>
        <w:rPr>
          <w:color w:val="000000" w:themeColor="text1"/>
        </w:rPr>
        <w:t xml:space="preserve">NMR and </w:t>
      </w:r>
      <w:r w:rsidRPr="00340177">
        <w:rPr>
          <w:i/>
          <w:iCs/>
          <w:color w:val="000000" w:themeColor="text1"/>
        </w:rPr>
        <w:t>in vivo</w:t>
      </w:r>
      <w:r w:rsidR="00BA03AC">
        <w:rPr>
          <w:i/>
          <w:iCs/>
          <w:color w:val="000000" w:themeColor="text1"/>
        </w:rPr>
        <w:t xml:space="preserve"> </w:t>
      </w:r>
      <w:r w:rsidR="00BA03AC" w:rsidRPr="00BA03AC">
        <w:rPr>
          <w:color w:val="000000" w:themeColor="text1"/>
          <w:shd w:val="clear" w:color="auto" w:fill="FFFFFF"/>
          <w:vertAlign w:val="superscript"/>
        </w:rPr>
        <w:t>1</w:t>
      </w:r>
      <w:r w:rsidR="00BA03AC" w:rsidRPr="00BA03AC">
        <w:rPr>
          <w:color w:val="000000" w:themeColor="text1"/>
          <w:shd w:val="clear" w:color="auto" w:fill="FFFFFF"/>
        </w:rPr>
        <w:t>H</w:t>
      </w:r>
      <w:r>
        <w:rPr>
          <w:color w:val="000000" w:themeColor="text1"/>
        </w:rPr>
        <w:t xml:space="preserve"> NMR (also referred to as </w:t>
      </w:r>
      <w:r w:rsidRPr="00340177">
        <w:rPr>
          <w:i/>
          <w:iCs/>
          <w:color w:val="000000" w:themeColor="text1"/>
        </w:rPr>
        <w:t xml:space="preserve">in vivo </w:t>
      </w:r>
      <w:r>
        <w:rPr>
          <w:color w:val="000000" w:themeColor="text1"/>
        </w:rPr>
        <w:t>magnetic resonance spectroscopy</w:t>
      </w:r>
      <w:r w:rsidR="001A5CAB">
        <w:rPr>
          <w:color w:val="000000" w:themeColor="text1"/>
        </w:rPr>
        <w:t xml:space="preserve"> </w:t>
      </w:r>
      <w:r w:rsidR="00BC5D33">
        <w:rPr>
          <w:color w:val="000000" w:themeColor="text1"/>
        </w:rPr>
        <w:t>[</w:t>
      </w:r>
      <w:r w:rsidR="001A5CAB">
        <w:rPr>
          <w:color w:val="000000" w:themeColor="text1"/>
        </w:rPr>
        <w:t>MRS</w:t>
      </w:r>
      <w:r w:rsidR="00BC5D33">
        <w:rPr>
          <w:color w:val="000000" w:themeColor="text1"/>
        </w:rPr>
        <w:t>]</w:t>
      </w:r>
      <w:r w:rsidRPr="005D3D09">
        <w:rPr>
          <w:color w:val="000000" w:themeColor="text1"/>
        </w:rPr>
        <w:t>)</w:t>
      </w:r>
      <w:r w:rsidR="002C7794">
        <w:rPr>
          <w:color w:val="000000" w:themeColor="text1"/>
        </w:rPr>
        <w:t>. Additionally, the psychedelic research field could also use</w:t>
      </w:r>
      <w:r w:rsidR="00AC730A">
        <w:rPr>
          <w:color w:val="000000" w:themeColor="text1"/>
        </w:rPr>
        <w:t xml:space="preserve"> </w:t>
      </w:r>
      <w:r w:rsidR="002C7794" w:rsidRPr="004465EE">
        <w:rPr>
          <w:color w:val="000000" w:themeColor="text1"/>
          <w:shd w:val="clear" w:color="auto" w:fill="FFFFFF"/>
          <w:vertAlign w:val="superscript"/>
        </w:rPr>
        <w:t>1</w:t>
      </w:r>
      <w:r w:rsidR="002C7794" w:rsidRPr="004465EE">
        <w:rPr>
          <w:color w:val="000000" w:themeColor="text1"/>
          <w:shd w:val="clear" w:color="auto" w:fill="FFFFFF"/>
        </w:rPr>
        <w:t xml:space="preserve">H </w:t>
      </w:r>
      <w:r w:rsidR="002C7794">
        <w:rPr>
          <w:color w:val="000000" w:themeColor="text1"/>
          <w:shd w:val="clear" w:color="auto" w:fill="FFFFFF"/>
        </w:rPr>
        <w:t>NMR</w:t>
      </w:r>
      <w:r w:rsidR="002C7794">
        <w:rPr>
          <w:color w:val="000000" w:themeColor="text1"/>
        </w:rPr>
        <w:t xml:space="preserve"> spectroscopy to investigate the effect the</w:t>
      </w:r>
      <w:r w:rsidR="00AC730A">
        <w:rPr>
          <w:color w:val="000000" w:themeColor="text1"/>
        </w:rPr>
        <w:t xml:space="preserve"> </w:t>
      </w:r>
      <w:r w:rsidR="002C7794">
        <w:rPr>
          <w:color w:val="000000" w:themeColor="text1"/>
        </w:rPr>
        <w:t>gut microbiota may have on the psychedelic experience.</w:t>
      </w:r>
    </w:p>
    <w:p w14:paraId="11DF206B" w14:textId="77777777" w:rsidR="00AC730A" w:rsidRDefault="00AC730A" w:rsidP="00E50706">
      <w:pPr>
        <w:rPr>
          <w:color w:val="000000" w:themeColor="text1"/>
        </w:rPr>
      </w:pPr>
    </w:p>
    <w:p w14:paraId="487C4B78" w14:textId="4AA769E5" w:rsidR="00D03BB3" w:rsidRDefault="006C3E18" w:rsidP="00E50706">
      <w:pPr>
        <w:rPr>
          <w:color w:val="000000" w:themeColor="text1"/>
        </w:rPr>
      </w:pPr>
      <w:r w:rsidRPr="005B0778">
        <w:rPr>
          <w:color w:val="000000" w:themeColor="text1"/>
        </w:rPr>
        <w:t xml:space="preserve">Real-time NMR spectroscopy is a novel approach </w:t>
      </w:r>
      <w:r w:rsidR="00550E1A">
        <w:rPr>
          <w:color w:val="000000" w:themeColor="text1"/>
        </w:rPr>
        <w:t>for</w:t>
      </w:r>
      <w:r w:rsidRPr="005B0778">
        <w:rPr>
          <w:color w:val="000000" w:themeColor="text1"/>
        </w:rPr>
        <w:t xml:space="preserve"> NMR</w:t>
      </w:r>
      <w:r w:rsidR="00550E1A">
        <w:rPr>
          <w:color w:val="000000" w:themeColor="text1"/>
        </w:rPr>
        <w:t>-based</w:t>
      </w:r>
      <w:r w:rsidRPr="005B0778">
        <w:rPr>
          <w:color w:val="000000" w:themeColor="text1"/>
        </w:rPr>
        <w:t xml:space="preserve"> </w:t>
      </w:r>
      <w:proofErr w:type="spellStart"/>
      <w:r w:rsidRPr="005B0778">
        <w:rPr>
          <w:color w:val="000000" w:themeColor="text1"/>
        </w:rPr>
        <w:t>metabonomics</w:t>
      </w:r>
      <w:proofErr w:type="spellEnd"/>
      <w:r w:rsidRPr="005B0778">
        <w:rPr>
          <w:color w:val="000000" w:themeColor="text1"/>
        </w:rPr>
        <w:t xml:space="preserve">. Typically, NMR spectroscopy will only be used once </w:t>
      </w:r>
      <w:r w:rsidR="00550E1A">
        <w:rPr>
          <w:color w:val="000000" w:themeColor="text1"/>
        </w:rPr>
        <w:t xml:space="preserve">as a ‘snapshot’ </w:t>
      </w:r>
      <w:r w:rsidRPr="005B0778">
        <w:rPr>
          <w:color w:val="000000" w:themeColor="text1"/>
        </w:rPr>
        <w:t>to provide metabolic data (consisting of different metabolites) in a</w:t>
      </w:r>
      <w:r w:rsidR="00085B14">
        <w:rPr>
          <w:color w:val="000000" w:themeColor="text1"/>
        </w:rPr>
        <w:t>ny chosen</w:t>
      </w:r>
      <w:r w:rsidRPr="005B0778">
        <w:rPr>
          <w:color w:val="000000" w:themeColor="text1"/>
        </w:rPr>
        <w:t xml:space="preserve"> biofluid at specific timepoint</w:t>
      </w:r>
      <w:r w:rsidR="00085B14">
        <w:rPr>
          <w:color w:val="000000" w:themeColor="text1"/>
        </w:rPr>
        <w:t>s</w:t>
      </w:r>
      <w:r w:rsidRPr="005B0778">
        <w:rPr>
          <w:color w:val="000000" w:themeColor="text1"/>
        </w:rPr>
        <w:t xml:space="preserve">. </w:t>
      </w:r>
      <w:r w:rsidRPr="002C7794">
        <w:rPr>
          <w:color w:val="000000" w:themeColor="text1"/>
        </w:rPr>
        <w:t>Real-time NMR is innovative because it has the capacity to collect metabolic data over several kinetic data points of up to 48 hours</w:t>
      </w:r>
      <w:r w:rsidR="00C0447B" w:rsidRPr="002C7794">
        <w:rPr>
          <w:color w:val="000000" w:themeColor="text1"/>
        </w:rPr>
        <w:fldChar w:fldCharType="begin" w:fldLock="1"/>
      </w:r>
      <w:r w:rsidR="00133B53">
        <w:rPr>
          <w:color w:val="000000" w:themeColor="text1"/>
        </w:rPr>
        <w:instrText>ADDIN CSL_CITATION {"citationItems":[{"id":"ITEM-1","itemData":{"DOI":"10.1002/ange.201912919","ISSN":"0044-8249","abstract":"Current metabolomics approaches utilizec ellular metabolite extracts,a re destructive,a nd require high cell numbers.W ei ntroduce here an approach that enables the monitoring of cellular metabolism at lower cell numbers by observing the consumption/production of different metabolites over several kinetic data points of up to 48 hours.O ur approach does not influence cellular viability,asweoptimized the cellular matrix in comparison to other materials used in avariety of in-cell NMR spectroscopyexperiments.Weare able to monitor real-time metabolism of primary patient cells,which are extremely sensitive to external stress.Measurements are set up in an interleaved manner with short acquisition times (approximately 7minutes per sample), which allows the monitoring of up to 15 patient samples simultaneously.Further, we implemented our approach for performing tracer-based assays.O ur approach will be important not only in the metabolomics fields,but also in individualizeddiagnostics. Over the last decade,m etabolomics,t he study of cellular metabolism, has become increasingly important. Metabolo-mic studies address how cells fulfil their energy needs: metabolic pathways for energy production are elucidated by quantification of metabolite concentration. Modes of metabolic rewiring that cells undergo to overcome nutrient deprivation and cellular stress can be detected. Recently,i th as been shown that changes in metabolism are av ulnerability that can be targeted in cancer cells (reviewed in ref.[1, 2]). In fact, the metabolism of malignant cells is different from healthy cells as these cells reprogram their metabolic pathways to fulfil the high energy demands of highly proliferating cells and to develop resistance to drug treatment. [3, 4] Metabolism targeting is becoming ac ore research area in therapeutics development for different cancers,including acute myeloid leukemia (AML), ahemato-logical malignancyt hat results in uncontrolled cellular proliferation. [5] In fact, several inhibitors of metabolism are currently being evaluated in clinical trials (l-asparaginase and CPI-613) [4,6-8] and some others have already been approved for AML treatment (Venetoclax and isocitrate dehydrogen-ase (IDH) inhibitors). [9,10] Nuclear magnetic resonance (NMR) spectroscopy and mass spectrometry are prime technologies to phenotype the metabolism of different cancer cell types.NMR spectroscopy provides remarkably reproducible results,g reat ease of sample preparation, and t…","author":[{"dropping-particle":"","family":"Alshamleh","given":"Islam","non-dropping-particle":"","parse-names":false,"suffix":""},{"dropping-particle":"","family":"Krause","given":"Nina","non-dropping-particle":"","parse-names":false,"suffix":""},{"dropping-particle":"","family":"Richter","given":"Christian","non-dropping-particle":"","parse-names":false,"suffix":""},{"dropping-particle":"","family":"Kurrle","given":"Nina","non-dropping-particle":"","parse-names":false,"suffix":""},{"dropping-particle":"","family":"Serve","given":"Hubert","non-dropping-particle":"","parse-names":false,"suffix":""},{"dropping-particle":"","family":"Günther","given":"Ulrich L.","non-dropping-particle":"","parse-names":false,"suffix":""},{"dropping-particle":"","family":"Schwalbe","given":"Harald","non-dropping-particle":"","parse-names":false,"suffix":""}],"container-title":"Angewandte Chemie","id":"ITEM-1","issue":"6","issued":{"date-parts":[["2020","2","3"]]},"page":"2324-2328","publisher":"Wiley","title":"Real‐Time NMR Spectroscopy for Studying Metabolism","type":"article-journal","volume":"132"},"uris":["http://www.mendeley.com/documents/?uuid=f6438dcc-4501-3b8a-af44-e06658676bc2"]}],"mendeley":{"formattedCitation":"(149)","plainTextFormattedCitation":"(149)","previouslyFormattedCitation":"(149)"},"properties":{"noteIndex":0},"schema":"https://github.com/citation-style-language/schema/raw/master/csl-citation.json"}</w:instrText>
      </w:r>
      <w:r w:rsidR="00C0447B" w:rsidRPr="002C7794">
        <w:rPr>
          <w:color w:val="000000" w:themeColor="text1"/>
        </w:rPr>
        <w:fldChar w:fldCharType="separate"/>
      </w:r>
      <w:r w:rsidR="00030235" w:rsidRPr="00030235">
        <w:rPr>
          <w:noProof/>
          <w:color w:val="000000" w:themeColor="text1"/>
        </w:rPr>
        <w:t>(149)</w:t>
      </w:r>
      <w:r w:rsidR="00C0447B" w:rsidRPr="002C7794">
        <w:rPr>
          <w:color w:val="000000" w:themeColor="text1"/>
        </w:rPr>
        <w:fldChar w:fldCharType="end"/>
      </w:r>
      <w:r w:rsidR="005B0778" w:rsidRPr="002C7794">
        <w:rPr>
          <w:color w:val="000000" w:themeColor="text1"/>
        </w:rPr>
        <w:t xml:space="preserve">. </w:t>
      </w:r>
      <w:r w:rsidR="005B0778" w:rsidRPr="005B0778">
        <w:rPr>
          <w:color w:val="000000" w:themeColor="text1"/>
        </w:rPr>
        <w:t xml:space="preserve">This could be beneficial to psychedelic </w:t>
      </w:r>
      <w:r w:rsidR="00C0447B" w:rsidRPr="005B0778">
        <w:rPr>
          <w:color w:val="000000" w:themeColor="text1"/>
        </w:rPr>
        <w:t>research</w:t>
      </w:r>
      <w:r w:rsidR="00BC5D33">
        <w:rPr>
          <w:color w:val="000000" w:themeColor="text1"/>
        </w:rPr>
        <w:t xml:space="preserve"> </w:t>
      </w:r>
      <w:r w:rsidR="005B0778" w:rsidRPr="005B0778">
        <w:rPr>
          <w:color w:val="000000" w:themeColor="text1"/>
        </w:rPr>
        <w:t>because psyche</w:t>
      </w:r>
      <w:r w:rsidR="00C0447B">
        <w:rPr>
          <w:color w:val="000000" w:themeColor="text1"/>
        </w:rPr>
        <w:t>del</w:t>
      </w:r>
      <w:r w:rsidR="005B0778" w:rsidRPr="005B0778">
        <w:rPr>
          <w:color w:val="000000" w:themeColor="text1"/>
        </w:rPr>
        <w:t xml:space="preserve">ic substances typically have a half-life in the body where they exert a psychological and </w:t>
      </w:r>
      <w:r w:rsidR="00C0447B" w:rsidRPr="005B0778">
        <w:rPr>
          <w:color w:val="000000" w:themeColor="text1"/>
        </w:rPr>
        <w:t>physiological</w:t>
      </w:r>
      <w:r w:rsidR="005B0778" w:rsidRPr="005B0778">
        <w:rPr>
          <w:color w:val="000000" w:themeColor="text1"/>
        </w:rPr>
        <w:t xml:space="preserve"> effect</w:t>
      </w:r>
      <w:r w:rsidR="00BA03AC">
        <w:rPr>
          <w:color w:val="000000" w:themeColor="text1"/>
        </w:rPr>
        <w:t xml:space="preserve"> and so it could be interesting</w:t>
      </w:r>
      <w:r w:rsidR="00611B2F">
        <w:rPr>
          <w:color w:val="000000" w:themeColor="text1"/>
        </w:rPr>
        <w:t xml:space="preserve"> to monitor</w:t>
      </w:r>
      <w:r w:rsidR="00BA03AC">
        <w:rPr>
          <w:color w:val="000000" w:themeColor="text1"/>
        </w:rPr>
        <w:t xml:space="preserve"> metabolite concentration</w:t>
      </w:r>
      <w:r w:rsidR="00611B2F">
        <w:rPr>
          <w:color w:val="000000" w:themeColor="text1"/>
        </w:rPr>
        <w:t xml:space="preserve"> </w:t>
      </w:r>
      <w:r w:rsidR="00BA03AC">
        <w:rPr>
          <w:color w:val="000000" w:themeColor="text1"/>
        </w:rPr>
        <w:t>change</w:t>
      </w:r>
      <w:r w:rsidR="00611B2F">
        <w:rPr>
          <w:color w:val="000000" w:themeColor="text1"/>
        </w:rPr>
        <w:t>s</w:t>
      </w:r>
      <w:r w:rsidR="00BA03AC">
        <w:rPr>
          <w:color w:val="000000" w:themeColor="text1"/>
        </w:rPr>
        <w:t xml:space="preserve"> over</w:t>
      </w:r>
      <w:r w:rsidR="001F77D7">
        <w:rPr>
          <w:color w:val="000000" w:themeColor="text1"/>
        </w:rPr>
        <w:t xml:space="preserve"> this</w:t>
      </w:r>
      <w:r w:rsidR="00BA03AC">
        <w:rPr>
          <w:color w:val="000000" w:themeColor="text1"/>
        </w:rPr>
        <w:t xml:space="preserve"> time</w:t>
      </w:r>
      <w:r w:rsidR="001F77D7">
        <w:rPr>
          <w:color w:val="000000" w:themeColor="text1"/>
        </w:rPr>
        <w:t xml:space="preserve"> period</w:t>
      </w:r>
      <w:r w:rsidR="00550E1A">
        <w:rPr>
          <w:color w:val="000000" w:themeColor="text1"/>
        </w:rPr>
        <w:t xml:space="preserve"> to see how these </w:t>
      </w:r>
      <w:proofErr w:type="gramStart"/>
      <w:r w:rsidR="00550E1A">
        <w:rPr>
          <w:color w:val="000000" w:themeColor="text1"/>
        </w:rPr>
        <w:t>two</w:t>
      </w:r>
      <w:r w:rsidR="004F4E8C">
        <w:rPr>
          <w:color w:val="000000" w:themeColor="text1"/>
        </w:rPr>
        <w:t xml:space="preserve"> t</w:t>
      </w:r>
      <w:r w:rsidR="00550E1A">
        <w:rPr>
          <w:color w:val="000000" w:themeColor="text1"/>
        </w:rPr>
        <w:t>ime</w:t>
      </w:r>
      <w:proofErr w:type="gramEnd"/>
      <w:r w:rsidR="004F4E8C">
        <w:rPr>
          <w:color w:val="000000" w:themeColor="text1"/>
        </w:rPr>
        <w:t xml:space="preserve"> </w:t>
      </w:r>
      <w:r w:rsidR="00550E1A">
        <w:rPr>
          <w:color w:val="000000" w:themeColor="text1"/>
        </w:rPr>
        <w:t>effects interact</w:t>
      </w:r>
      <w:r w:rsidR="005B0778" w:rsidRPr="005B0778">
        <w:rPr>
          <w:color w:val="000000" w:themeColor="text1"/>
        </w:rPr>
        <w:t xml:space="preserve">. The duration varies depending on the </w:t>
      </w:r>
      <w:r w:rsidR="00C0447B" w:rsidRPr="005B0778">
        <w:rPr>
          <w:color w:val="000000" w:themeColor="text1"/>
        </w:rPr>
        <w:t>psychedelic</w:t>
      </w:r>
      <w:r w:rsidR="005B0778" w:rsidRPr="005B0778">
        <w:rPr>
          <w:color w:val="000000" w:themeColor="text1"/>
        </w:rPr>
        <w:t xml:space="preserve"> and the route of administration. For example, when</w:t>
      </w:r>
      <w:r w:rsidR="00BC5D33">
        <w:rPr>
          <w:color w:val="000000" w:themeColor="text1"/>
        </w:rPr>
        <w:t xml:space="preserve"> ayahuasca with</w:t>
      </w:r>
      <w:r w:rsidR="005B0778" w:rsidRPr="005B0778">
        <w:rPr>
          <w:color w:val="000000" w:themeColor="text1"/>
        </w:rPr>
        <w:t xml:space="preserve"> </w:t>
      </w:r>
      <w:r w:rsidR="00F547CD">
        <w:rPr>
          <w:color w:val="000000" w:themeColor="text1"/>
        </w:rPr>
        <w:t>0.6-0.86 mg/kg</w:t>
      </w:r>
      <w:r w:rsidR="005B0778">
        <w:rPr>
          <w:color w:val="000000" w:themeColor="text1"/>
        </w:rPr>
        <w:t xml:space="preserve"> of </w:t>
      </w:r>
      <w:r w:rsidR="00F547CD">
        <w:rPr>
          <w:color w:val="000000" w:themeColor="text1"/>
        </w:rPr>
        <w:t>DMT</w:t>
      </w:r>
      <w:r w:rsidR="005B0778" w:rsidRPr="005B0778">
        <w:rPr>
          <w:color w:val="000000" w:themeColor="text1"/>
        </w:rPr>
        <w:t xml:space="preserve"> is orally administered it can have an effect on the individual for </w:t>
      </w:r>
      <w:r w:rsidR="00F547CD">
        <w:rPr>
          <w:color w:val="000000" w:themeColor="text1"/>
        </w:rPr>
        <w:t>4</w:t>
      </w:r>
      <w:r w:rsidR="005B0778" w:rsidRPr="005B0778">
        <w:rPr>
          <w:color w:val="000000" w:themeColor="text1"/>
        </w:rPr>
        <w:t xml:space="preserve"> hours </w:t>
      </w:r>
      <w:r w:rsidR="005B0778">
        <w:rPr>
          <w:color w:val="000000" w:themeColor="text1"/>
        </w:rPr>
        <w:t>but when less than 1</w:t>
      </w:r>
      <w:r w:rsidR="005B0778" w:rsidRPr="005B0778">
        <w:rPr>
          <w:color w:val="000000" w:themeColor="text1"/>
        </w:rPr>
        <w:t>00</w:t>
      </w:r>
      <w:r w:rsidR="00F547CD">
        <w:rPr>
          <w:color w:val="000000" w:themeColor="text1"/>
          <w:shd w:val="clear" w:color="auto" w:fill="FFFFFF"/>
        </w:rPr>
        <w:t>m</w:t>
      </w:r>
      <w:r w:rsidR="005B0778" w:rsidRPr="005B0778">
        <w:rPr>
          <w:color w:val="000000" w:themeColor="text1"/>
          <w:shd w:val="clear" w:color="auto" w:fill="FFFFFF"/>
        </w:rPr>
        <w:t>g</w:t>
      </w:r>
      <w:r w:rsidR="005B0778">
        <w:rPr>
          <w:color w:val="000000" w:themeColor="text1"/>
        </w:rPr>
        <w:t xml:space="preserve"> of DMT is smoked it can have an effect for approximately </w:t>
      </w:r>
      <w:r w:rsidR="00F547CD">
        <w:rPr>
          <w:color w:val="000000" w:themeColor="text1"/>
        </w:rPr>
        <w:t>30-45</w:t>
      </w:r>
      <w:r w:rsidR="005B0778">
        <w:rPr>
          <w:color w:val="000000" w:themeColor="text1"/>
        </w:rPr>
        <w:t xml:space="preserve"> minutes</w:t>
      </w:r>
      <w:r w:rsidR="00F40DDA">
        <w:rPr>
          <w:color w:val="000000" w:themeColor="text1"/>
        </w:rPr>
        <w:fldChar w:fldCharType="begin" w:fldLock="1"/>
      </w:r>
      <w:r w:rsidR="00133B53">
        <w:rPr>
          <w:color w:val="000000" w:themeColor="text1"/>
        </w:rPr>
        <w:instrText>ADDIN CSL_CITATION {"citationItems":[{"id":"ITEM-1","itemData":{"DOI":"10.3389/fnins.2018.00536","ISSN":"1662453X","abstract":"This report provides a historical overview of research concerning the endogenous hallucinogen N, N-dimethyltryptamine (DMT), focusing on data regarding its biosynthesis and metabolism in the brain and peripheral tissues, methods and results for DMT detection in body fluids and brain, new sites of action for DMT, and new data regarding its possible physiological and therapeutic roles. Research that further elaborates its consideration as a putative neurotransmitter is also addressed. Taking these studies together, the report proposes several new directions and experiments to ascertain the role of DMT in the brain, including brain mapping of enzymes responsible for the biosynthesis of DMT, further studies to elaborate its presence and role in the pineal gland, a reconsideration of binding site data, and new administration and imaging studies. The need to resolve the \"natural\" role of an endogenous hallucinogen from the effects observed from peripheral administration are also emphasized.","author":[{"dropping-particle":"","family":"Barker","given":"Steven A.","non-dropping-particle":"","parse-names":false,"suffix":""}],"container-title":"Frontiers in Neuroscience","id":"ITEM-1","issue":"AUG","issued":{"date-parts":[["2018","8","6"]]},"page":"536","publisher":"Frontiers Media S.A.","title":"N, N-dimethyltryptamine (DMT), an endogenous hallucinogen: Past, present, and future research to determine its role and function","type":"article","volume":"12"},"uris":["http://www.mendeley.com/documents/?uuid=ea9967bf-740c-3f8c-b858-7161bc26b508"]},{"id":"ITEM-2","itemData":{"DOI":"10.1016/j.drugalcdep.2010.03.015","ISSN":"03768716","PMID":"20570058","abstract":"Dimethyltryptamine (DMT) is an endogenous hallucinogen with traditional use as a sacrament in the orally active preparation of ayahuasca. Although the religious use of ayahuasca has been examined extensively, very little is known about the recreational use of DMT. In this study, Australian participants (n=121) reporting at least one lifetime use of DMT completed an online questionnaire recording patterns of use, subjective effects and attitudes towards their DMT use. Smoking DMT was by far the most common route of administration (98.3%) with a comparatively smaller proportion reporting use of ayahuasca (30.6%). The reasons for first trying DMT were out of a general interest in hallucinogenic drugs (46.6%) or curiosity about DMT's effects (41.7%), while almost one-third (31.1%) cited possible psychotherapeutic benefits of the drug. An increase in psychospiritual insight was the most commonly reported positive effect of both smoked DMT (75.5%) and ayahuasca (46.7%), a finding that is consistent with other studies examining the ritualised use of ayahuasca in a religious context. Although previous studies of DMT use have examined ayahuasca use exclusively, the present study demonstrates the ubiquity of smoking as the most prevalent route of administration among recreational DMT users. © 2010 Elsevier Ireland Ltd.","author":[{"dropping-particle":"","family":"Cakic","given":"Vince","non-dropping-particle":"","parse-names":false,"suffix":""},{"dropping-particle":"","family":"Potkonyak","given":"Jacob","non-dropping-particle":"","parse-names":false,"suffix":""},{"dropping-particle":"","family":"Marshall","given":"Alex","non-dropping-particle":"","parse-names":false,"suffix":""}],"container-title":"Drug and Alcohol Dependence","id":"ITEM-2","issue":"1-2","issued":{"date-parts":[["2010","9","1"]]},"page":"30-37","publisher":"Elsevier","title":"Dimethyltryptamine (DMT): Subjective effects and patterns of use among Australian recreational users","type":"article-journal","volume":"111"},"uris":["http://www.mendeley.com/documents/?uuid=e998febe-b45c-3e98-9ef3-999e3128ebf6"]}],"mendeley":{"formattedCitation":"(150,151)","plainTextFormattedCitation":"(150,151)","previouslyFormattedCitation":"(150,151)"},"properties":{"noteIndex":0},"schema":"https://github.com/citation-style-language/schema/raw/master/csl-citation.json"}</w:instrText>
      </w:r>
      <w:r w:rsidR="00F40DDA">
        <w:rPr>
          <w:color w:val="000000" w:themeColor="text1"/>
        </w:rPr>
        <w:fldChar w:fldCharType="separate"/>
      </w:r>
      <w:r w:rsidR="00030235" w:rsidRPr="00030235">
        <w:rPr>
          <w:noProof/>
          <w:color w:val="000000" w:themeColor="text1"/>
        </w:rPr>
        <w:t>(150,151)</w:t>
      </w:r>
      <w:r w:rsidR="00F40DDA">
        <w:rPr>
          <w:color w:val="000000" w:themeColor="text1"/>
        </w:rPr>
        <w:fldChar w:fldCharType="end"/>
      </w:r>
      <w:r w:rsidR="005B0778">
        <w:rPr>
          <w:color w:val="000000" w:themeColor="text1"/>
        </w:rPr>
        <w:t xml:space="preserve">. </w:t>
      </w:r>
      <w:proofErr w:type="gramStart"/>
      <w:r w:rsidR="001A7835">
        <w:rPr>
          <w:color w:val="000000" w:themeColor="text1"/>
        </w:rPr>
        <w:t>During the course of</w:t>
      </w:r>
      <w:proofErr w:type="gramEnd"/>
      <w:r w:rsidR="001A7835">
        <w:rPr>
          <w:color w:val="000000" w:themeColor="text1"/>
        </w:rPr>
        <w:t xml:space="preserve"> the drug effect, real</w:t>
      </w:r>
      <w:r w:rsidR="00131A35" w:rsidRPr="005B0778">
        <w:rPr>
          <w:color w:val="000000" w:themeColor="text1"/>
        </w:rPr>
        <w:t>-time</w:t>
      </w:r>
      <w:r w:rsidR="00131A35">
        <w:rPr>
          <w:color w:val="000000" w:themeColor="text1"/>
        </w:rPr>
        <w:t xml:space="preserve"> </w:t>
      </w:r>
      <w:r w:rsidR="00131A35" w:rsidRPr="00F00BA9">
        <w:rPr>
          <w:color w:val="000000" w:themeColor="text1"/>
          <w:shd w:val="clear" w:color="auto" w:fill="FFFFFF"/>
          <w:vertAlign w:val="superscript"/>
        </w:rPr>
        <w:t>1</w:t>
      </w:r>
      <w:r w:rsidR="00131A35" w:rsidRPr="00F00BA9">
        <w:rPr>
          <w:color w:val="000000" w:themeColor="text1"/>
          <w:shd w:val="clear" w:color="auto" w:fill="FFFFFF"/>
        </w:rPr>
        <w:t>H</w:t>
      </w:r>
      <w:r w:rsidR="00131A35" w:rsidRPr="005B0778">
        <w:rPr>
          <w:color w:val="000000" w:themeColor="text1"/>
        </w:rPr>
        <w:t xml:space="preserve"> NMR</w:t>
      </w:r>
      <w:r w:rsidR="00131A35">
        <w:rPr>
          <w:color w:val="000000" w:themeColor="text1"/>
        </w:rPr>
        <w:t xml:space="preserve"> </w:t>
      </w:r>
      <w:r w:rsidR="001A7835">
        <w:rPr>
          <w:color w:val="000000" w:themeColor="text1"/>
        </w:rPr>
        <w:t xml:space="preserve">could be implemented </w:t>
      </w:r>
      <w:r w:rsidR="00BC5D33">
        <w:rPr>
          <w:color w:val="000000" w:themeColor="text1"/>
        </w:rPr>
        <w:t xml:space="preserve">by collecting samples at </w:t>
      </w:r>
      <w:r w:rsidR="002C7794">
        <w:rPr>
          <w:color w:val="000000" w:themeColor="text1"/>
        </w:rPr>
        <w:t xml:space="preserve">every </w:t>
      </w:r>
      <w:r w:rsidR="00BC5D33">
        <w:rPr>
          <w:color w:val="000000" w:themeColor="text1"/>
        </w:rPr>
        <w:t>15- or 30-minute interva</w:t>
      </w:r>
      <w:r w:rsidR="002C7794">
        <w:rPr>
          <w:color w:val="000000" w:themeColor="text1"/>
        </w:rPr>
        <w:t>l.</w:t>
      </w:r>
      <w:r w:rsidR="001A7835">
        <w:rPr>
          <w:color w:val="000000" w:themeColor="text1"/>
        </w:rPr>
        <w:t xml:space="preserve"> Theoretically, this should produce enough kinetic data points to provide detailed information about metabolite </w:t>
      </w:r>
      <w:r w:rsidR="001A7835">
        <w:rPr>
          <w:color w:val="000000" w:themeColor="text1"/>
        </w:rPr>
        <w:lastRenderedPageBreak/>
        <w:t>concentration fluctuations, which could be especially useful when combined with</w:t>
      </w:r>
      <w:r w:rsidR="002C7794" w:rsidRPr="002C7794">
        <w:rPr>
          <w:color w:val="000000" w:themeColor="text1"/>
        </w:rPr>
        <w:t xml:space="preserve"> s</w:t>
      </w:r>
      <w:r w:rsidR="00131A35" w:rsidRPr="002C7794">
        <w:rPr>
          <w:color w:val="000000" w:themeColor="text1"/>
        </w:rPr>
        <w:t>tatistical analysis</w:t>
      </w:r>
      <w:r w:rsidR="001A7835">
        <w:rPr>
          <w:color w:val="000000" w:themeColor="text1"/>
        </w:rPr>
        <w:t xml:space="preserve">. </w:t>
      </w:r>
      <w:r w:rsidR="00CA48E0" w:rsidRPr="00CA48E0">
        <w:rPr>
          <w:color w:val="000000" w:themeColor="text1"/>
        </w:rPr>
        <w:t xml:space="preserve">Natural products </w:t>
      </w:r>
      <w:r w:rsidR="00131A35" w:rsidRPr="00CA48E0">
        <w:rPr>
          <w:color w:val="000000" w:themeColor="text1"/>
        </w:rPr>
        <w:t xml:space="preserve">like </w:t>
      </w:r>
      <w:proofErr w:type="spellStart"/>
      <w:r w:rsidR="00131A35" w:rsidRPr="00CA48E0">
        <w:rPr>
          <w:color w:val="000000" w:themeColor="text1"/>
        </w:rPr>
        <w:t>psilocybe</w:t>
      </w:r>
      <w:proofErr w:type="spellEnd"/>
      <w:r w:rsidR="00131A35" w:rsidRPr="00CA48E0">
        <w:rPr>
          <w:color w:val="000000" w:themeColor="text1"/>
        </w:rPr>
        <w:t xml:space="preserve"> mushrooms, </w:t>
      </w:r>
      <w:r w:rsidR="00BE2A3B" w:rsidRPr="00CA48E0">
        <w:rPr>
          <w:color w:val="000000" w:themeColor="text1"/>
        </w:rPr>
        <w:t>ayahuasca</w:t>
      </w:r>
      <w:r w:rsidR="00131A35" w:rsidRPr="00CA48E0">
        <w:rPr>
          <w:color w:val="000000" w:themeColor="text1"/>
        </w:rPr>
        <w:t xml:space="preserve"> or the peyote cactus</w:t>
      </w:r>
      <w:r w:rsidR="002C7794" w:rsidRPr="00CA48E0">
        <w:rPr>
          <w:color w:val="000000" w:themeColor="text1"/>
        </w:rPr>
        <w:t xml:space="preserve"> contain</w:t>
      </w:r>
      <w:r w:rsidR="00131A35" w:rsidRPr="00CA48E0">
        <w:rPr>
          <w:color w:val="000000" w:themeColor="text1"/>
        </w:rPr>
        <w:t xml:space="preserve"> </w:t>
      </w:r>
      <w:r w:rsidR="00CA48E0" w:rsidRPr="00CA48E0">
        <w:rPr>
          <w:color w:val="000000" w:themeColor="text1"/>
        </w:rPr>
        <w:t xml:space="preserve">a mixture of </w:t>
      </w:r>
      <w:r w:rsidR="00131A35" w:rsidRPr="00CA48E0">
        <w:rPr>
          <w:color w:val="000000" w:themeColor="text1"/>
        </w:rPr>
        <w:t>m</w:t>
      </w:r>
      <w:r w:rsidR="002C7794" w:rsidRPr="00CA48E0">
        <w:rPr>
          <w:color w:val="000000" w:themeColor="text1"/>
        </w:rPr>
        <w:t>olecules</w:t>
      </w:r>
      <w:r w:rsidR="00CA48E0" w:rsidRPr="00CA48E0">
        <w:rPr>
          <w:color w:val="000000" w:themeColor="text1"/>
        </w:rPr>
        <w:t xml:space="preserve"> alongside the psychedelic </w:t>
      </w:r>
      <w:proofErr w:type="spellStart"/>
      <w:r w:rsidR="00CA48E0" w:rsidRPr="00CA48E0">
        <w:rPr>
          <w:color w:val="000000" w:themeColor="text1"/>
        </w:rPr>
        <w:t>molcule</w:t>
      </w:r>
      <w:proofErr w:type="spellEnd"/>
      <w:r w:rsidR="002C7794" w:rsidRPr="00CA48E0">
        <w:rPr>
          <w:color w:val="000000" w:themeColor="text1"/>
        </w:rPr>
        <w:fldChar w:fldCharType="begin" w:fldLock="1"/>
      </w:r>
      <w:r w:rsidR="00133B53">
        <w:rPr>
          <w:color w:val="000000" w:themeColor="text1"/>
        </w:rPr>
        <w:instrText>ADDIN CSL_CITATION {"citationItems":[{"id":"ITEM-1","itemData":{"DOI":"10.1002/chem.201904363","ISSN":"15213765","PMID":"31729089","abstract":"The psychotropic effects of Psilocybe “magic” mushrooms are caused by the l-tryptophan-derived alkaloid psilocybin. Despite their significance, the secondary metabolome of these fungi is poorly understood in general. Our analysis of four Psilocybe species identified harmane, harmine, and a range of other l-tryptophan-derived β-carbolines as their natural products, which was confirmed by 1D and 2D NMR spectroscopy. Stable-isotope labeling with 13C11-l-tryptophan verified the β-carbolines as biosynthetic products of these fungi. In addition, MALDI-MS imaging showed that β-carbolines accumulate toward the hyphal apices. As potent inhibitors of monoamine oxidases, β-carbolines are neuroactive compounds and interfere with psilocybin degradation. Therefore, our findings represent an unprecedented scenario of natural product pathways that diverge from the same building block and produce dissimilar compounds, yet contribute directly or indirectly to the same pharmacological effects.","author":[{"dropping-particle":"","family":"Blei","given":"Felix","non-dropping-particle":"","parse-names":false,"suffix":""},{"dropping-particle":"","family":"Dörner","given":"Sebastian","non-dropping-particle":"","parse-names":false,"suffix":""},{"dropping-particle":"","family":"Fricke","given":"Janis","non-dropping-particle":"","parse-names":false,"suffix":""},{"dropping-particle":"","family":"Baldeweg","given":"Florian","non-dropping-particle":"","parse-names":false,"suffix":""},{"dropping-particle":"","family":"Trottmann","given":"Felix","non-dropping-particle":"","parse-names":false,"suffix":""},{"dropping-particle":"","family":"Komor","given":"Anna","non-dropping-particle":"","parse-names":false,"suffix":""},{"dropping-particle":"","family":"Meyer","given":"Florian","non-dropping-particle":"","parse-names":false,"suffix":""},{"dropping-particle":"","family":"Hertweck","given":"Christian","non-dropping-particle":"","parse-names":false,"suffix":""},{"dropping-particle":"","family":"Hoffmeister","given":"Dirk","non-dropping-particle":"","parse-names":false,"suffix":""}],"container-title":"Chemistry - A European Journal","id":"ITEM-1","issue":"3","issued":{"date-parts":[["2020","1","13"]]},"page":"729-734","publisher":"Wiley-VCH Verlag","title":"Simultaneous Production of Psilocybin and a Cocktail of β-Carboline Monoamine Oxidase Inhibitors in “Magic” Mushrooms","type":"article-journal","volume":"26"},"uris":["http://www.mendeley.com/documents/?uuid=80e292a2-9ebd-3f2f-82bc-171c3365ba23"]},{"id":"ITEM-2","itemData":{"DOI":"10.1590/1516-4446-2020-0884","ISSN":"1809452X","PMID":"32638916","abstract":"Ayahuasca is a South American psychoactive plant brew used as traditional medicine in spiritual and in cultural rituals. This is a review of the current understanding about the pharmacological mechanisms that may be interacting in ayahuasca. Searches were performed using PubMed, PsycINFO, and Web of Science databases and 16 papers were selected. As hypothesized, the primary narrative in existing research revolved around prevention of deamination of N,N-dimethyltryptamine (N,N-DMT, also referred to as DMT) by monoamine oxidase inhibitors (MAOIs) in ayahuasca. Two of the constituents, DMT and harmine, have been studied more than the secondary harmala alkaloids. At present, it is unclear whether the pharmacological interactions in ayahuasca act synergistically or additively to produce psychoactive drug effects. The included studies suggest that our current understanding of the preparation’s synergistic mechanisms is limited and that more complex processes may be involved; there is not yet enough data to determine any potential synergistic interaction between the known compounds in ayahuasca. Our pharmacological understanding of its compounds must be increased to avoid the potential risks of ayahuasca use.","author":[{"dropping-particle":"","family":"Ruffell","given":"Simon","non-dropping-particle":"","parse-names":false,"suffix":""},{"dropping-particle":"","family":"Netzband","given":"Nige","non-dropping-particle":"","parse-names":false,"suffix":""},{"dropping-particle":"","family":"Bird","given":"Catherine","non-dropping-particle":"","parse-names":false,"suffix":""},{"dropping-particle":"","family":"Young","given":"Allan H.","non-dropping-particle":"","parse-names":false,"suffix":""},{"dropping-particle":"","family":"Juruena","given":"Mario F.","non-dropping-particle":"","parse-names":false,"suffix":""}],"container-title":"Brazilian Journal of Psychiatry","id":"ITEM-2","issue":"6","issued":{"date-parts":[["2020","11","1"]]},"page":"646-656","publisher":"Associacao Brasileira de Psiquiatria","title":"The pharmacological interaction of compounds in ayahuasca: A systematic review","type":"article","volume":"42"},"uris":["http://www.mendeley.com/documents/?uuid=6ac3b33e-604c-3db3-805a-97b19cf79540"]},{"id":"ITEM-3","itemData":{"DOI":"10.2174/1874467211666181010154139","ISSN":"18744672","PMID":"30318013","abstract":"BACKGROUND: Mescaline (3,4,5-trimethoxyphenethylamine), mainly found in the Peyote cactus (Lophophora williamsii), is one of the oldest known hallucinogenic agents that influence human and animal behavior, but its psychoactive mechanisms remain poorly understood. OBJECTIVES: This article aims to fully review pharmacokinetics and pharmacodynamics of mescaline, focusing on the in vivo and in vitro metabolic profile of the drug and its implications for the variability of response. METHODS: Mescaline pharmacokinetic and pharmacodynamic aspects were searched in books and in PubMed (U.S. National Library of Medicine) without a limiting period. Biological effects of other compounds found in peyote were also reviewed. RESULTS: Although its illicit administration is less common, in comparison with cocaine and Cannabis, it has been extensively described in adolescents and young adults, and licit consumption often occurs in religious and therapeutic rituals practiced by the Native American Church. Its pharmacodynamic mechanisms of action are primarily attributed to the interaction with the serotonergic 5-HT2A-C receptors, and therefore clinical effects are similar to those elicited by other psychoactive substances, such as lysergic acid diethylamide (LSD) and psilocybin, which include euphoria, hallucinations, depersonalization and psychoses. Moreover, as a phenethylamine derivative, signs and symptoms are consistent with a sympathomimetic effect. Mescaline is mainly metabolized into trimethoxyphenylacetic acid by oxidative deamination but several minor metabolites with possible clinical and forensic repercussions have also been reported. CONCLUSION: Most reports concerning mescaline were described in a complete absence of exposure confirmation, since toxicological analysis is not widely available. Addiction and dependence are practically absent and it is clear that most intoxications appear to be mild and are unlikely to produce life-threatening symptoms, which favors the contemporary interest in the therapeutic potential of the drugs of the class.","author":[{"dropping-particle":"","family":"Dinis-Oliveira","given":"Ricardo Jorge","non-dropping-particle":"","parse-names":false,"suffix":""},{"dropping-particle":"","family":"Pereira","given":"Carolina Lança","non-dropping-particle":"","parse-names":false,"suffix":""},{"dropping-particle":"","family":"Silva","given":"Diana Dias","non-dropping-particle":"da","parse-names":false,"suffix":""}],"container-title":"Current Molecular Pharmacology","id":"ITEM-3","issue":"3","issued":{"date-parts":[["2018","10","15"]]},"page":"184-194","publisher":"Bentham Science Publishers Ltd.","title":"Pharmacokinetic and Pharmacodynamic Aspects of Peyote and Mescaline: Clinical and Forensic Repercussions","type":"article-journal","volume":"12"},"uris":["http://www.mendeley.com/documents/?uuid=6d2b2ca6-dab4-395e-8943-0eceb93df225"]}],"mendeley":{"formattedCitation":"(95,152,153)","plainTextFormattedCitation":"(95,152,153)","previouslyFormattedCitation":"(95,152,153)"},"properties":{"noteIndex":0},"schema":"https://github.com/citation-style-language/schema/raw/master/csl-citation.json"}</w:instrText>
      </w:r>
      <w:r w:rsidR="002C7794" w:rsidRPr="00CA48E0">
        <w:rPr>
          <w:color w:val="000000" w:themeColor="text1"/>
        </w:rPr>
        <w:fldChar w:fldCharType="separate"/>
      </w:r>
      <w:r w:rsidR="00030235" w:rsidRPr="00030235">
        <w:rPr>
          <w:noProof/>
          <w:color w:val="000000" w:themeColor="text1"/>
        </w:rPr>
        <w:t>(95,152,153)</w:t>
      </w:r>
      <w:r w:rsidR="002C7794" w:rsidRPr="00CA48E0">
        <w:rPr>
          <w:color w:val="000000" w:themeColor="text1"/>
        </w:rPr>
        <w:fldChar w:fldCharType="end"/>
      </w:r>
      <w:r w:rsidR="00CA48E0" w:rsidRPr="00CA48E0">
        <w:rPr>
          <w:color w:val="000000" w:themeColor="text1"/>
        </w:rPr>
        <w:t>,</w:t>
      </w:r>
      <w:r w:rsidR="00CA48E0">
        <w:rPr>
          <w:color w:val="000000" w:themeColor="text1"/>
        </w:rPr>
        <w:t xml:space="preserve"> and t</w:t>
      </w:r>
      <w:r w:rsidR="002C7794">
        <w:rPr>
          <w:color w:val="000000" w:themeColor="text1"/>
        </w:rPr>
        <w:t xml:space="preserve">hrough statistical </w:t>
      </w:r>
      <w:r w:rsidR="00085B14">
        <w:rPr>
          <w:color w:val="000000" w:themeColor="text1"/>
        </w:rPr>
        <w:t xml:space="preserve">(prediction) </w:t>
      </w:r>
      <w:r w:rsidR="002C7794">
        <w:rPr>
          <w:color w:val="000000" w:themeColor="text1"/>
        </w:rPr>
        <w:t xml:space="preserve">analysis it may be possible to identify a relationship between specific molecules in these </w:t>
      </w:r>
      <w:r w:rsidR="00CA48E0">
        <w:rPr>
          <w:color w:val="000000" w:themeColor="text1"/>
        </w:rPr>
        <w:t xml:space="preserve">products </w:t>
      </w:r>
      <w:r w:rsidR="002C7794">
        <w:rPr>
          <w:color w:val="000000" w:themeColor="text1"/>
        </w:rPr>
        <w:t xml:space="preserve">and changes in the psychological experience at different stages of the trip. </w:t>
      </w:r>
      <w:r w:rsidR="00BC5D33">
        <w:rPr>
          <w:color w:val="000000" w:themeColor="text1"/>
        </w:rPr>
        <w:t>T</w:t>
      </w:r>
      <w:r w:rsidR="00131A35">
        <w:rPr>
          <w:color w:val="000000" w:themeColor="text1"/>
        </w:rPr>
        <w:t xml:space="preserve">his would make real-time NMR </w:t>
      </w:r>
      <w:r w:rsidR="00550E1A">
        <w:rPr>
          <w:color w:val="000000" w:themeColor="text1"/>
        </w:rPr>
        <w:t>more applicable to</w:t>
      </w:r>
      <w:r w:rsidR="00131A35">
        <w:rPr>
          <w:color w:val="000000" w:themeColor="text1"/>
        </w:rPr>
        <w:t xml:space="preserve"> naturalistic </w:t>
      </w:r>
      <w:r w:rsidR="007F0399">
        <w:rPr>
          <w:color w:val="000000" w:themeColor="text1"/>
        </w:rPr>
        <w:t>observational</w:t>
      </w:r>
      <w:r w:rsidR="00131A35">
        <w:rPr>
          <w:color w:val="000000" w:themeColor="text1"/>
        </w:rPr>
        <w:t xml:space="preserve"> studies </w:t>
      </w:r>
      <w:r w:rsidR="007F0399">
        <w:rPr>
          <w:color w:val="000000" w:themeColor="text1"/>
        </w:rPr>
        <w:t>where the use of psychedelics in their</w:t>
      </w:r>
      <w:r w:rsidR="00131A35">
        <w:rPr>
          <w:color w:val="000000" w:themeColor="text1"/>
        </w:rPr>
        <w:t xml:space="preserve"> natural product form</w:t>
      </w:r>
      <w:r w:rsidR="007F0399">
        <w:rPr>
          <w:color w:val="000000" w:themeColor="text1"/>
        </w:rPr>
        <w:t xml:space="preserve"> is more common</w:t>
      </w:r>
      <w:r w:rsidR="00131A35">
        <w:rPr>
          <w:color w:val="000000" w:themeColor="text1"/>
        </w:rPr>
        <w:t xml:space="preserve">. </w:t>
      </w:r>
    </w:p>
    <w:p w14:paraId="2A7A5CC8" w14:textId="77777777" w:rsidR="00D03BB3" w:rsidRDefault="00D03BB3" w:rsidP="00E50706">
      <w:pPr>
        <w:rPr>
          <w:color w:val="000000" w:themeColor="text1"/>
        </w:rPr>
      </w:pPr>
    </w:p>
    <w:p w14:paraId="62C4A496" w14:textId="365567ED" w:rsidR="009E3181" w:rsidRDefault="00131A35" w:rsidP="00E50706">
      <w:pPr>
        <w:rPr>
          <w:color w:val="000000" w:themeColor="text1"/>
          <w:shd w:val="clear" w:color="auto" w:fill="FFFFFF"/>
        </w:rPr>
      </w:pPr>
      <w:r>
        <w:rPr>
          <w:color w:val="000000" w:themeColor="text1"/>
        </w:rPr>
        <w:t xml:space="preserve">The </w:t>
      </w:r>
      <w:r w:rsidR="0010580B">
        <w:rPr>
          <w:color w:val="000000" w:themeColor="text1"/>
        </w:rPr>
        <w:t xml:space="preserve">obvious </w:t>
      </w:r>
      <w:r>
        <w:rPr>
          <w:color w:val="000000" w:themeColor="text1"/>
        </w:rPr>
        <w:t xml:space="preserve">major set-back </w:t>
      </w:r>
      <w:r w:rsidR="0010580B">
        <w:rPr>
          <w:color w:val="000000" w:themeColor="text1"/>
        </w:rPr>
        <w:t>with</w:t>
      </w:r>
      <w:r>
        <w:rPr>
          <w:color w:val="000000" w:themeColor="text1"/>
        </w:rPr>
        <w:t xml:space="preserve"> r</w:t>
      </w:r>
      <w:r w:rsidRPr="005B0778">
        <w:rPr>
          <w:color w:val="000000" w:themeColor="text1"/>
        </w:rPr>
        <w:t>eal-time NMR spectroscopy</w:t>
      </w:r>
      <w:r>
        <w:rPr>
          <w:color w:val="000000" w:themeColor="text1"/>
        </w:rPr>
        <w:t xml:space="preserve"> is the </w:t>
      </w:r>
      <w:r w:rsidR="00BE2A3B">
        <w:rPr>
          <w:color w:val="000000" w:themeColor="text1"/>
        </w:rPr>
        <w:t>numerous</w:t>
      </w:r>
      <w:r>
        <w:rPr>
          <w:color w:val="000000" w:themeColor="text1"/>
        </w:rPr>
        <w:t xml:space="preserve"> biofluid collection</w:t>
      </w:r>
      <w:r w:rsidR="00BE2A3B">
        <w:rPr>
          <w:color w:val="000000" w:themeColor="text1"/>
        </w:rPr>
        <w:t>s</w:t>
      </w:r>
      <w:r>
        <w:rPr>
          <w:color w:val="000000" w:themeColor="text1"/>
        </w:rPr>
        <w:t xml:space="preserve"> </w:t>
      </w:r>
      <w:r w:rsidR="00BE2A3B">
        <w:rPr>
          <w:color w:val="000000" w:themeColor="text1"/>
        </w:rPr>
        <w:t>required</w:t>
      </w:r>
      <w:r>
        <w:rPr>
          <w:color w:val="000000" w:themeColor="text1"/>
        </w:rPr>
        <w:t xml:space="preserve"> to retrieve data at</w:t>
      </w:r>
      <w:r w:rsidR="00BE2A3B">
        <w:rPr>
          <w:color w:val="000000" w:themeColor="text1"/>
        </w:rPr>
        <w:t xml:space="preserve"> </w:t>
      </w:r>
      <w:r>
        <w:rPr>
          <w:color w:val="000000" w:themeColor="text1"/>
        </w:rPr>
        <w:t xml:space="preserve">different kinetic time points. </w:t>
      </w:r>
      <w:r w:rsidR="0084630A">
        <w:rPr>
          <w:color w:val="000000" w:themeColor="text1"/>
        </w:rPr>
        <w:t>Different methods of biofluid c</w:t>
      </w:r>
      <w:r>
        <w:rPr>
          <w:color w:val="000000" w:themeColor="text1"/>
        </w:rPr>
        <w:t xml:space="preserve">ollection </w:t>
      </w:r>
      <w:r w:rsidR="0084630A">
        <w:rPr>
          <w:color w:val="000000" w:themeColor="text1"/>
        </w:rPr>
        <w:t>exist and</w:t>
      </w:r>
      <w:r w:rsidR="00FB673F">
        <w:rPr>
          <w:color w:val="000000" w:themeColor="text1"/>
        </w:rPr>
        <w:t xml:space="preserve"> each</w:t>
      </w:r>
      <w:r w:rsidR="0084630A">
        <w:rPr>
          <w:color w:val="000000" w:themeColor="text1"/>
        </w:rPr>
        <w:t xml:space="preserve"> </w:t>
      </w:r>
      <w:r>
        <w:rPr>
          <w:color w:val="000000" w:themeColor="text1"/>
        </w:rPr>
        <w:t>vary in invasiveness</w:t>
      </w:r>
      <w:r w:rsidR="0084630A">
        <w:rPr>
          <w:color w:val="000000" w:themeColor="text1"/>
        </w:rPr>
        <w:t>; it is important t</w:t>
      </w:r>
      <w:r w:rsidR="00050D4E">
        <w:rPr>
          <w:color w:val="000000" w:themeColor="text1"/>
        </w:rPr>
        <w:t>o select</w:t>
      </w:r>
      <w:r w:rsidR="0084630A">
        <w:rPr>
          <w:color w:val="000000" w:themeColor="text1"/>
        </w:rPr>
        <w:t xml:space="preserve"> the correct collection method </w:t>
      </w:r>
      <w:r w:rsidR="002A50C0">
        <w:rPr>
          <w:color w:val="000000" w:themeColor="text1"/>
        </w:rPr>
        <w:t>to minimise</w:t>
      </w:r>
      <w:r w:rsidR="00050D4E">
        <w:rPr>
          <w:color w:val="000000" w:themeColor="text1"/>
        </w:rPr>
        <w:t xml:space="preserve"> </w:t>
      </w:r>
      <w:r w:rsidR="00FB673F">
        <w:rPr>
          <w:color w:val="000000" w:themeColor="text1"/>
        </w:rPr>
        <w:t>participant</w:t>
      </w:r>
      <w:r w:rsidR="00CD7F68">
        <w:rPr>
          <w:color w:val="000000" w:themeColor="text1"/>
        </w:rPr>
        <w:t xml:space="preserve"> stress</w:t>
      </w:r>
      <w:r w:rsidR="000554BD">
        <w:rPr>
          <w:color w:val="000000" w:themeColor="text1"/>
        </w:rPr>
        <w:t xml:space="preserve"> and/or discomfort</w:t>
      </w:r>
      <w:r w:rsidR="00050D4E">
        <w:rPr>
          <w:color w:val="000000" w:themeColor="text1"/>
        </w:rPr>
        <w:t>.</w:t>
      </w:r>
      <w:r w:rsidR="00CD7F68">
        <w:rPr>
          <w:color w:val="000000" w:themeColor="text1"/>
        </w:rPr>
        <w:t xml:space="preserve"> One viable option for </w:t>
      </w:r>
      <w:proofErr w:type="gramStart"/>
      <w:r w:rsidR="00CD7F68">
        <w:rPr>
          <w:color w:val="000000" w:themeColor="text1"/>
        </w:rPr>
        <w:t xml:space="preserve">collecting </w:t>
      </w:r>
      <w:r w:rsidR="00F9449B">
        <w:rPr>
          <w:color w:val="000000" w:themeColor="text1"/>
        </w:rPr>
        <w:t xml:space="preserve"> </w:t>
      </w:r>
      <w:r w:rsidR="00BC5D33">
        <w:rPr>
          <w:color w:val="000000" w:themeColor="text1"/>
        </w:rPr>
        <w:t>blood</w:t>
      </w:r>
      <w:proofErr w:type="gramEnd"/>
      <w:r w:rsidR="00BC5D33">
        <w:rPr>
          <w:color w:val="000000" w:themeColor="text1"/>
        </w:rPr>
        <w:t xml:space="preserve"> samples </w:t>
      </w:r>
      <w:r w:rsidR="003A0FFD">
        <w:rPr>
          <w:color w:val="000000" w:themeColor="text1"/>
        </w:rPr>
        <w:t>is through</w:t>
      </w:r>
      <w:r w:rsidR="00BC5D33">
        <w:rPr>
          <w:color w:val="000000" w:themeColor="text1"/>
        </w:rPr>
        <w:t xml:space="preserve"> using a can</w:t>
      </w:r>
      <w:r w:rsidR="002C7794">
        <w:rPr>
          <w:color w:val="000000" w:themeColor="text1"/>
        </w:rPr>
        <w:t>nu</w:t>
      </w:r>
      <w:r w:rsidR="00BC5D33">
        <w:rPr>
          <w:color w:val="000000" w:themeColor="text1"/>
        </w:rPr>
        <w:t>la</w:t>
      </w:r>
      <w:r w:rsidR="000C5671">
        <w:rPr>
          <w:color w:val="000000" w:themeColor="text1"/>
        </w:rPr>
        <w:t>, this</w:t>
      </w:r>
      <w:r w:rsidR="003A0FFD">
        <w:rPr>
          <w:color w:val="000000" w:themeColor="text1"/>
        </w:rPr>
        <w:t xml:space="preserve"> </w:t>
      </w:r>
      <w:r w:rsidR="00BC5D33">
        <w:rPr>
          <w:color w:val="000000" w:themeColor="text1"/>
        </w:rPr>
        <w:t>causes little discomfort because</w:t>
      </w:r>
      <w:r w:rsidR="000C5671">
        <w:rPr>
          <w:color w:val="000000" w:themeColor="text1"/>
        </w:rPr>
        <w:t xml:space="preserve"> it</w:t>
      </w:r>
      <w:r w:rsidR="00BC5D33">
        <w:rPr>
          <w:color w:val="000000" w:themeColor="text1"/>
        </w:rPr>
        <w:t xml:space="preserve"> only</w:t>
      </w:r>
      <w:r w:rsidR="000C5671">
        <w:rPr>
          <w:color w:val="000000" w:themeColor="text1"/>
        </w:rPr>
        <w:t xml:space="preserve"> requires</w:t>
      </w:r>
      <w:r w:rsidR="00BC5D33">
        <w:rPr>
          <w:color w:val="000000" w:themeColor="text1"/>
        </w:rPr>
        <w:t xml:space="preserve"> one insertion at the start of the experiment and samples are easily accessibl</w:t>
      </w:r>
      <w:r w:rsidR="002C7794">
        <w:rPr>
          <w:color w:val="000000" w:themeColor="text1"/>
        </w:rPr>
        <w:t>e</w:t>
      </w:r>
      <w:r w:rsidR="00B271FB">
        <w:rPr>
          <w:color w:val="000000" w:themeColor="text1"/>
        </w:rPr>
        <w:t>. The use of a cannula</w:t>
      </w:r>
      <w:r w:rsidR="00BC5D33">
        <w:rPr>
          <w:color w:val="000000" w:themeColor="text1"/>
        </w:rPr>
        <w:t xml:space="preserve"> is a good candidate for biofluid collection. </w:t>
      </w:r>
      <w:r w:rsidR="00866DCF">
        <w:rPr>
          <w:color w:val="000000" w:themeColor="text1"/>
        </w:rPr>
        <w:t xml:space="preserve">An alternative blood sample could be dried blood spots (DBS), </w:t>
      </w:r>
      <w:r w:rsidR="00FE6ACC">
        <w:rPr>
          <w:color w:val="000000" w:themeColor="text1"/>
        </w:rPr>
        <w:t>to collect this sample</w:t>
      </w:r>
      <w:r w:rsidR="00866DCF">
        <w:rPr>
          <w:color w:val="000000" w:themeColor="text1"/>
        </w:rPr>
        <w:t xml:space="preserve"> a prick of blood is taken from the finger or heel and transferred onto a filter paper to dry</w:t>
      </w:r>
      <w:r w:rsidR="00D03BB3">
        <w:rPr>
          <w:color w:val="000000" w:themeColor="text1"/>
        </w:rPr>
        <w:fldChar w:fldCharType="begin" w:fldLock="1"/>
      </w:r>
      <w:r w:rsidR="00133B53">
        <w:rPr>
          <w:color w:val="000000" w:themeColor="text1"/>
        </w:rPr>
        <w:instrText>ADDIN CSL_CITATION {"citationItems":[{"id":"ITEM-1","itemData":{"DOI":"10.4103/ijabmr.ijabmr_7_18","ISSN":"2229-516X","author":[{"dropping-particle":"","family":"Gupta","given":"Kapil","non-dropping-particle":"","parse-names":false,"suffix":""},{"dropping-particle":"","family":"Mahajan","given":"Rajiv","non-dropping-particle":"","parse-names":false,"suffix":""}],"container-title":"International Journal of Applied and Basic Medical Research","id":"ITEM-1","issue":"1","issued":{"date-parts":[["2018"]]},"page":"1","publisher":"Medknow","title":"Applications and diagnostic potential of dried blood spots","type":"article-journal","volume":"8"},"uris":["http://www.mendeley.com/documents/?uuid=83d614a1-73ec-3b09-b67f-3d03809a9afd"]}],"mendeley":{"formattedCitation":"(154)","plainTextFormattedCitation":"(154)","previouslyFormattedCitation":"(154)"},"properties":{"noteIndex":0},"schema":"https://github.com/citation-style-language/schema/raw/master/csl-citation.json"}</w:instrText>
      </w:r>
      <w:r w:rsidR="00D03BB3">
        <w:rPr>
          <w:color w:val="000000" w:themeColor="text1"/>
        </w:rPr>
        <w:fldChar w:fldCharType="separate"/>
      </w:r>
      <w:r w:rsidR="00030235" w:rsidRPr="00030235">
        <w:rPr>
          <w:noProof/>
          <w:color w:val="000000" w:themeColor="text1"/>
        </w:rPr>
        <w:t>(154)</w:t>
      </w:r>
      <w:r w:rsidR="00D03BB3">
        <w:rPr>
          <w:color w:val="000000" w:themeColor="text1"/>
        </w:rPr>
        <w:fldChar w:fldCharType="end"/>
      </w:r>
      <w:r w:rsidR="00866DCF">
        <w:rPr>
          <w:color w:val="000000" w:themeColor="text1"/>
        </w:rPr>
        <w:t>.</w:t>
      </w:r>
      <w:r w:rsidR="00761F89">
        <w:rPr>
          <w:color w:val="000000" w:themeColor="text1"/>
        </w:rPr>
        <w:t xml:space="preserve"> While DBS samples have been used before in psychedelic research before, to our knowledge the specific use of</w:t>
      </w:r>
      <w:r w:rsidR="00866DCF">
        <w:rPr>
          <w:color w:val="000000" w:themeColor="text1"/>
        </w:rPr>
        <w:t xml:space="preserve"> </w:t>
      </w:r>
      <w:r w:rsidR="00866DCF" w:rsidRPr="00B971C6">
        <w:rPr>
          <w:color w:val="000000" w:themeColor="text1"/>
          <w:shd w:val="clear" w:color="auto" w:fill="FFFFFF"/>
          <w:vertAlign w:val="superscript"/>
        </w:rPr>
        <w:t>1</w:t>
      </w:r>
      <w:r w:rsidR="00866DCF" w:rsidRPr="00B971C6">
        <w:rPr>
          <w:color w:val="000000" w:themeColor="text1"/>
          <w:shd w:val="clear" w:color="auto" w:fill="FFFFFF"/>
        </w:rPr>
        <w:t xml:space="preserve">H NMR spectroscopy </w:t>
      </w:r>
      <w:r w:rsidR="00761F89" w:rsidRPr="00B971C6">
        <w:rPr>
          <w:color w:val="000000" w:themeColor="text1"/>
          <w:shd w:val="clear" w:color="auto" w:fill="FFFFFF"/>
        </w:rPr>
        <w:t>of</w:t>
      </w:r>
      <w:r w:rsidR="00761F89">
        <w:rPr>
          <w:color w:val="000000" w:themeColor="text1"/>
          <w:shd w:val="clear" w:color="auto" w:fill="FFFFFF"/>
        </w:rPr>
        <w:t xml:space="preserve"> DBS samples has never been used in psychedelic research</w:t>
      </w:r>
      <w:r w:rsidR="00761F89" w:rsidRPr="00B971C6">
        <w:rPr>
          <w:color w:val="000000" w:themeColor="text1"/>
          <w:shd w:val="clear" w:color="auto" w:fill="FFFFFF"/>
        </w:rPr>
        <w:t xml:space="preserve">. </w:t>
      </w:r>
      <w:r w:rsidR="00761F89" w:rsidRPr="00B971C6">
        <w:rPr>
          <w:color w:val="000000" w:themeColor="text1"/>
          <w:shd w:val="clear" w:color="auto" w:fill="FFFFFF"/>
          <w:vertAlign w:val="superscript"/>
        </w:rPr>
        <w:t>1</w:t>
      </w:r>
      <w:r w:rsidR="00761F89" w:rsidRPr="00B971C6">
        <w:rPr>
          <w:color w:val="000000" w:themeColor="text1"/>
          <w:shd w:val="clear" w:color="auto" w:fill="FFFFFF"/>
        </w:rPr>
        <w:t xml:space="preserve">H NMR spectroscopy is capable of analysing </w:t>
      </w:r>
      <w:r w:rsidR="00866DCF" w:rsidRPr="00B971C6">
        <w:rPr>
          <w:color w:val="000000" w:themeColor="text1"/>
          <w:shd w:val="clear" w:color="auto" w:fill="FFFFFF"/>
        </w:rPr>
        <w:t xml:space="preserve">DBS </w:t>
      </w:r>
      <w:r w:rsidR="00D03BB3" w:rsidRPr="00B971C6">
        <w:rPr>
          <w:color w:val="000000" w:themeColor="text1"/>
          <w:shd w:val="clear" w:color="auto" w:fill="FFFFFF"/>
        </w:rPr>
        <w:fldChar w:fldCharType="begin" w:fldLock="1"/>
      </w:r>
      <w:r w:rsidR="00133B53">
        <w:rPr>
          <w:color w:val="000000" w:themeColor="text1"/>
          <w:shd w:val="clear" w:color="auto" w:fill="FFFFFF"/>
        </w:rPr>
        <w:instrText>ADDIN CSL_CITATION {"citationItems":[{"id":"ITEM-1","itemData":{"DOI":"10.1016/j.aca.2004.02.012","ISSN":"00032670","abstract":"NMR spectra of extracted blood spots were used to investigate the possibility for the development of a new method for mass screening concerning the diagnosis of inborn errors of metabolism (IEM). Blood spots were collected on filter papers from normal, phenylketonuric (PKU) and maple syrup urine disease (MSUD) subjects and their Carr-Purcell-Meiboom-Gill (CPMG) 1H NMR spectra were acquired. The spectra were reduced to a number of spectral descriptors and principal component analysis (PCA) was performed. The scores plot showed that PKU and MSUD samples were well discriminated from the main cluster of points. © 2004 Elsevier B.V. All rights reserved.","author":[{"dropping-particle":"","family":"Constantinou","given":"M. A.","non-dropping-particle":"","parse-names":false,"suffix":""},{"dropping-particle":"","family":"Papakonstantinou","given":"E.","non-dropping-particle":"","parse-names":false,"suffix":""},{"dropping-particle":"","family":"Benaki","given":"D.","non-dropping-particle":"","parse-names":false,"suffix":""},{"dropping-particle":"","family":"Spraul","given":"M.","non-dropping-particle":"","parse-names":false,"suffix":""},{"dropping-particle":"","family":"Shulpis","given":"K.","non-dropping-particle":"","parse-names":false,"suffix":""},{"dropping-particle":"","family":"Koupparis","given":"M. A.","non-dropping-particle":"","parse-names":false,"suffix":""},{"dropping-particle":"","family":"Mikros","given":"E.","non-dropping-particle":"","parse-names":false,"suffix":""}],"container-title":"Analytica Chimica Acta","id":"ITEM-1","issue":"2","issued":{"date-parts":[["2004","5","31"]]},"page":"303-312","title":"Application of nuclear magnetic resonance spectroscopy combined with principal component analysis in detecting inborn errors of metabolism using blood spots: A metabonomic approach","type":"article-journal","volume":"511"},"uris":["http://www.mendeley.com/documents/?uuid=6d6a4521-a998-353b-a5e1-099478251267"]}],"mendeley":{"formattedCitation":"(155)","plainTextFormattedCitation":"(155)","previouslyFormattedCitation":"(155)"},"properties":{"noteIndex":0},"schema":"https://github.com/citation-style-language/schema/raw/master/csl-citation.json"}</w:instrText>
      </w:r>
      <w:r w:rsidR="00D03BB3" w:rsidRPr="00B971C6">
        <w:rPr>
          <w:color w:val="000000" w:themeColor="text1"/>
          <w:shd w:val="clear" w:color="auto" w:fill="FFFFFF"/>
        </w:rPr>
        <w:fldChar w:fldCharType="separate"/>
      </w:r>
      <w:r w:rsidR="00030235" w:rsidRPr="00030235">
        <w:rPr>
          <w:noProof/>
          <w:color w:val="000000" w:themeColor="text1"/>
          <w:shd w:val="clear" w:color="auto" w:fill="FFFFFF"/>
        </w:rPr>
        <w:t>(155)</w:t>
      </w:r>
      <w:r w:rsidR="00D03BB3" w:rsidRPr="00B971C6">
        <w:rPr>
          <w:color w:val="000000" w:themeColor="text1"/>
          <w:shd w:val="clear" w:color="auto" w:fill="FFFFFF"/>
        </w:rPr>
        <w:fldChar w:fldCharType="end"/>
      </w:r>
      <w:r w:rsidR="00761F89">
        <w:rPr>
          <w:color w:val="000000" w:themeColor="text1"/>
          <w:shd w:val="clear" w:color="auto" w:fill="FFFFFF"/>
        </w:rPr>
        <w:t xml:space="preserve"> and so it </w:t>
      </w:r>
      <w:r w:rsidR="00BC5D33">
        <w:rPr>
          <w:color w:val="000000" w:themeColor="text1"/>
          <w:shd w:val="clear" w:color="auto" w:fill="FFFFFF"/>
        </w:rPr>
        <w:t>is</w:t>
      </w:r>
      <w:r w:rsidR="00D03BB3">
        <w:rPr>
          <w:color w:val="000000" w:themeColor="text1"/>
          <w:shd w:val="clear" w:color="auto" w:fill="FFFFFF"/>
        </w:rPr>
        <w:t xml:space="preserve"> worth investigating</w:t>
      </w:r>
      <w:r w:rsidR="00BC5D33">
        <w:rPr>
          <w:color w:val="000000" w:themeColor="text1"/>
          <w:shd w:val="clear" w:color="auto" w:fill="FFFFFF"/>
        </w:rPr>
        <w:t xml:space="preserve"> this collection method as it could be used for natural</w:t>
      </w:r>
      <w:r w:rsidR="00703038">
        <w:rPr>
          <w:color w:val="000000" w:themeColor="text1"/>
          <w:shd w:val="clear" w:color="auto" w:fill="FFFFFF"/>
        </w:rPr>
        <w:t xml:space="preserve"> product </w:t>
      </w:r>
      <w:r w:rsidR="009E3181">
        <w:rPr>
          <w:color w:val="000000" w:themeColor="text1"/>
          <w:shd w:val="clear" w:color="auto" w:fill="FFFFFF"/>
        </w:rPr>
        <w:t>observational</w:t>
      </w:r>
      <w:r w:rsidR="00BC5D33">
        <w:rPr>
          <w:color w:val="000000" w:themeColor="text1"/>
          <w:shd w:val="clear" w:color="auto" w:fill="FFFFFF"/>
        </w:rPr>
        <w:t xml:space="preserve"> studies</w:t>
      </w:r>
      <w:r w:rsidR="009E3181">
        <w:rPr>
          <w:color w:val="000000" w:themeColor="text1"/>
          <w:shd w:val="clear" w:color="auto" w:fill="FFFFFF"/>
        </w:rPr>
        <w:t xml:space="preserve"> on psychedelics</w:t>
      </w:r>
      <w:r w:rsidR="00BC5D33">
        <w:rPr>
          <w:color w:val="000000" w:themeColor="text1"/>
          <w:shd w:val="clear" w:color="auto" w:fill="FFFFFF"/>
        </w:rPr>
        <w:t xml:space="preserve"> where sophisticated assessment equipment could </w:t>
      </w:r>
      <w:r w:rsidR="00812A43">
        <w:rPr>
          <w:color w:val="000000" w:themeColor="text1"/>
          <w:shd w:val="clear" w:color="auto" w:fill="FFFFFF"/>
        </w:rPr>
        <w:t xml:space="preserve">not </w:t>
      </w:r>
      <w:r w:rsidR="00BC5D33">
        <w:rPr>
          <w:color w:val="000000" w:themeColor="text1"/>
          <w:shd w:val="clear" w:color="auto" w:fill="FFFFFF"/>
        </w:rPr>
        <w:t xml:space="preserve">be </w:t>
      </w:r>
      <w:r w:rsidR="009E3181">
        <w:rPr>
          <w:color w:val="000000" w:themeColor="text1"/>
          <w:shd w:val="clear" w:color="auto" w:fill="FFFFFF"/>
        </w:rPr>
        <w:t xml:space="preserve">used due to the nature of the setting. </w:t>
      </w:r>
      <w:r w:rsidR="00BC5D33">
        <w:rPr>
          <w:color w:val="000000" w:themeColor="text1"/>
          <w:shd w:val="clear" w:color="auto" w:fill="FFFFFF"/>
        </w:rPr>
        <w:t xml:space="preserve"> </w:t>
      </w:r>
    </w:p>
    <w:p w14:paraId="4AB4B87E" w14:textId="77777777" w:rsidR="009E3181" w:rsidRDefault="009E3181" w:rsidP="00E50706">
      <w:pPr>
        <w:rPr>
          <w:color w:val="000000" w:themeColor="text1"/>
          <w:shd w:val="clear" w:color="auto" w:fill="FFFFFF"/>
        </w:rPr>
      </w:pPr>
    </w:p>
    <w:p w14:paraId="597B88C0" w14:textId="032F330F" w:rsidR="006C3E18" w:rsidRDefault="00131A35" w:rsidP="00E50706">
      <w:pPr>
        <w:rPr>
          <w:color w:val="000000" w:themeColor="text1"/>
        </w:rPr>
      </w:pPr>
      <w:r>
        <w:rPr>
          <w:color w:val="000000" w:themeColor="text1"/>
        </w:rPr>
        <w:t xml:space="preserve">An example </w:t>
      </w:r>
      <w:r w:rsidR="009E3181">
        <w:rPr>
          <w:color w:val="000000" w:themeColor="text1"/>
        </w:rPr>
        <w:t xml:space="preserve">of </w:t>
      </w:r>
      <w:r w:rsidR="00DE732F">
        <w:rPr>
          <w:color w:val="000000" w:themeColor="text1"/>
        </w:rPr>
        <w:t xml:space="preserve">a </w:t>
      </w:r>
      <w:r w:rsidR="009E3181">
        <w:rPr>
          <w:color w:val="000000" w:themeColor="text1"/>
        </w:rPr>
        <w:t xml:space="preserve">non-invasive biofluid </w:t>
      </w:r>
      <w:r>
        <w:rPr>
          <w:color w:val="000000" w:themeColor="text1"/>
        </w:rPr>
        <w:t>collection</w:t>
      </w:r>
      <w:r w:rsidR="009E3181">
        <w:rPr>
          <w:color w:val="000000" w:themeColor="text1"/>
        </w:rPr>
        <w:t xml:space="preserve"> would be sampling</w:t>
      </w:r>
      <w:r>
        <w:rPr>
          <w:color w:val="000000" w:themeColor="text1"/>
        </w:rPr>
        <w:t xml:space="preserve"> of urine</w:t>
      </w:r>
      <w:r w:rsidR="009E3181">
        <w:rPr>
          <w:color w:val="000000" w:themeColor="text1"/>
        </w:rPr>
        <w:t xml:space="preserve">. </w:t>
      </w:r>
      <w:r w:rsidR="00F41F19">
        <w:rPr>
          <w:color w:val="000000" w:themeColor="text1"/>
        </w:rPr>
        <w:t xml:space="preserve">However, a </w:t>
      </w:r>
      <w:r w:rsidR="00761F89">
        <w:rPr>
          <w:color w:val="000000" w:themeColor="text1"/>
        </w:rPr>
        <w:t>notable</w:t>
      </w:r>
      <w:r w:rsidR="00F41F19">
        <w:rPr>
          <w:color w:val="000000" w:themeColor="text1"/>
        </w:rPr>
        <w:t xml:space="preserve"> </w:t>
      </w:r>
      <w:r w:rsidR="00761F89">
        <w:rPr>
          <w:color w:val="000000" w:themeColor="text1"/>
        </w:rPr>
        <w:t xml:space="preserve">problem </w:t>
      </w:r>
      <w:r w:rsidR="00F41F19">
        <w:rPr>
          <w:color w:val="000000" w:themeColor="text1"/>
        </w:rPr>
        <w:t xml:space="preserve">with </w:t>
      </w:r>
      <w:r w:rsidR="00246A72">
        <w:rPr>
          <w:color w:val="000000" w:themeColor="text1"/>
        </w:rPr>
        <w:t xml:space="preserve">urine sampling is that each participant will have differently diluted urine depending on </w:t>
      </w:r>
      <w:r w:rsidR="00B971C6">
        <w:rPr>
          <w:color w:val="000000" w:themeColor="text1"/>
        </w:rPr>
        <w:t>daily water intake and water loss through sweat</w:t>
      </w:r>
      <w:r w:rsidR="00246A72">
        <w:rPr>
          <w:color w:val="000000" w:themeColor="text1"/>
        </w:rPr>
        <w:t xml:space="preserve">. The dilution of urine is </w:t>
      </w:r>
      <w:r w:rsidR="00F41F19">
        <w:rPr>
          <w:color w:val="000000" w:themeColor="text1"/>
        </w:rPr>
        <w:t xml:space="preserve">a </w:t>
      </w:r>
      <w:r w:rsidR="00246A72">
        <w:rPr>
          <w:color w:val="000000" w:themeColor="text1"/>
        </w:rPr>
        <w:t xml:space="preserve">variable that is difficult to control, this produces complications as the concentrations of the metabolite may vary greatly </w:t>
      </w:r>
      <w:proofErr w:type="gramStart"/>
      <w:r w:rsidR="00246A72">
        <w:rPr>
          <w:color w:val="000000" w:themeColor="text1"/>
        </w:rPr>
        <w:t>as a result of</w:t>
      </w:r>
      <w:proofErr w:type="gramEnd"/>
      <w:r w:rsidR="00246A72">
        <w:rPr>
          <w:color w:val="000000" w:themeColor="text1"/>
        </w:rPr>
        <w:t xml:space="preserve"> the dilution and also the water molecule in the NMR spectra may produce a large and prominent peak that disrupts the analysis of other molecules in the spectra. While there are</w:t>
      </w:r>
      <w:r w:rsidR="00F41F19">
        <w:rPr>
          <w:color w:val="000000" w:themeColor="text1"/>
        </w:rPr>
        <w:t xml:space="preserve"> methods to compensate for dilution by normalising the spectra (</w:t>
      </w:r>
      <w:r w:rsidR="007A2D03">
        <w:rPr>
          <w:i/>
          <w:iCs/>
          <w:color w:val="000000" w:themeColor="text1"/>
        </w:rPr>
        <w:t>i.e.,</w:t>
      </w:r>
      <w:r w:rsidR="00F41F19">
        <w:rPr>
          <w:color w:val="000000" w:themeColor="text1"/>
        </w:rPr>
        <w:t xml:space="preserve"> bucketing/binning) </w:t>
      </w:r>
      <w:r w:rsidR="00761F89">
        <w:rPr>
          <w:color w:val="000000" w:themeColor="text1"/>
        </w:rPr>
        <w:t xml:space="preserve">and </w:t>
      </w:r>
      <w:r w:rsidR="00F41F19">
        <w:rPr>
          <w:color w:val="000000" w:themeColor="text1"/>
        </w:rPr>
        <w:t xml:space="preserve">minimise the disruption of the water molecule peak by </w:t>
      </w:r>
      <w:r w:rsidR="00761F89">
        <w:rPr>
          <w:color w:val="000000" w:themeColor="text1"/>
        </w:rPr>
        <w:t>eliminating</w:t>
      </w:r>
      <w:r w:rsidR="00F41F19">
        <w:rPr>
          <w:color w:val="000000" w:themeColor="text1"/>
        </w:rPr>
        <w:t xml:space="preserve"> the</w:t>
      </w:r>
      <w:r w:rsidR="007A2D03">
        <w:rPr>
          <w:color w:val="000000" w:themeColor="text1"/>
        </w:rPr>
        <w:t xml:space="preserve"> section</w:t>
      </w:r>
      <w:r w:rsidR="00F41F19">
        <w:rPr>
          <w:color w:val="000000" w:themeColor="text1"/>
        </w:rPr>
        <w:t xml:space="preserve"> of the spectra where it is present </w:t>
      </w:r>
      <w:r w:rsidR="00703038">
        <w:rPr>
          <w:color w:val="000000" w:themeColor="text1"/>
        </w:rPr>
        <w:t xml:space="preserve">using solvent suppression and/or subsequent data analysis, </w:t>
      </w:r>
      <w:r w:rsidR="00F41F19">
        <w:rPr>
          <w:color w:val="000000" w:themeColor="text1"/>
        </w:rPr>
        <w:t xml:space="preserve">the </w:t>
      </w:r>
      <w:r w:rsidR="00DE732F">
        <w:rPr>
          <w:color w:val="000000" w:themeColor="text1"/>
        </w:rPr>
        <w:t>sampling of urine may render the data analysis</w:t>
      </w:r>
      <w:r w:rsidR="00F41F19">
        <w:rPr>
          <w:color w:val="000000" w:themeColor="text1"/>
        </w:rPr>
        <w:t xml:space="preserve"> more</w:t>
      </w:r>
      <w:r w:rsidR="00DE732F">
        <w:rPr>
          <w:color w:val="000000" w:themeColor="text1"/>
        </w:rPr>
        <w:t xml:space="preserve"> difficult</w:t>
      </w:r>
      <w:r w:rsidR="00F41F19">
        <w:rPr>
          <w:color w:val="000000" w:themeColor="text1"/>
        </w:rPr>
        <w:t xml:space="preserve"> compared to other biofluids</w:t>
      </w:r>
      <w:r w:rsidR="00DE732F">
        <w:rPr>
          <w:color w:val="000000" w:themeColor="text1"/>
        </w:rPr>
        <w:t>.</w:t>
      </w:r>
      <w:r w:rsidR="00761F89">
        <w:rPr>
          <w:color w:val="000000" w:themeColor="text1"/>
        </w:rPr>
        <w:t xml:space="preserve"> Moreover, it can take time for metabolites to appear in urine, the data retrieved may not be ideal for studies investigating correlations with subjective reports (questionnaires).</w:t>
      </w:r>
      <w:r w:rsidR="00DE732F">
        <w:rPr>
          <w:color w:val="000000" w:themeColor="text1"/>
        </w:rPr>
        <w:t xml:space="preserve"> </w:t>
      </w:r>
      <w:r w:rsidR="00F41F19">
        <w:rPr>
          <w:color w:val="000000" w:themeColor="text1"/>
        </w:rPr>
        <w:t>Another complication is that it is difficult to control when participants need to urinate</w:t>
      </w:r>
      <w:r w:rsidR="004F4E8C">
        <w:rPr>
          <w:color w:val="000000" w:themeColor="text1"/>
        </w:rPr>
        <w:t>,</w:t>
      </w:r>
      <w:r w:rsidR="00F41F19">
        <w:rPr>
          <w:color w:val="000000" w:themeColor="text1"/>
        </w:rPr>
        <w:t xml:space="preserve"> and this would mean that kinetic points for </w:t>
      </w:r>
      <w:proofErr w:type="gramStart"/>
      <w:r w:rsidR="00F41F19">
        <w:rPr>
          <w:color w:val="000000" w:themeColor="text1"/>
        </w:rPr>
        <w:t>each individual</w:t>
      </w:r>
      <w:proofErr w:type="gramEnd"/>
      <w:r w:rsidR="00F41F19">
        <w:rPr>
          <w:color w:val="000000" w:themeColor="text1"/>
        </w:rPr>
        <w:t xml:space="preserve"> may very likely be at different times. </w:t>
      </w:r>
      <w:r w:rsidR="00D03BB3">
        <w:rPr>
          <w:color w:val="000000" w:themeColor="text1"/>
        </w:rPr>
        <w:t xml:space="preserve">The collection process could potentially be standardised if urine was collected at an approximate time before and after substance </w:t>
      </w:r>
      <w:r w:rsidR="00C557E4">
        <w:rPr>
          <w:color w:val="000000" w:themeColor="text1"/>
        </w:rPr>
        <w:t>administration,</w:t>
      </w:r>
      <w:r w:rsidR="00D03BB3">
        <w:rPr>
          <w:color w:val="000000" w:themeColor="text1"/>
        </w:rPr>
        <w:t xml:space="preserve"> but this would rule out the possibility of real-time NMR that require</w:t>
      </w:r>
      <w:r w:rsidR="00C557E4">
        <w:rPr>
          <w:color w:val="000000" w:themeColor="text1"/>
        </w:rPr>
        <w:t>s</w:t>
      </w:r>
      <w:r w:rsidR="00D03BB3">
        <w:rPr>
          <w:color w:val="000000" w:themeColor="text1"/>
        </w:rPr>
        <w:t xml:space="preserve"> multiple and time-specific samples</w:t>
      </w:r>
      <w:r w:rsidR="005C0C61">
        <w:rPr>
          <w:color w:val="000000" w:themeColor="text1"/>
        </w:rPr>
        <w:t xml:space="preserve">. </w:t>
      </w:r>
      <w:r w:rsidR="00DE732F">
        <w:rPr>
          <w:color w:val="000000" w:themeColor="text1"/>
        </w:rPr>
        <w:t xml:space="preserve">Therefore, a </w:t>
      </w:r>
      <w:r w:rsidR="005C0C61">
        <w:rPr>
          <w:color w:val="000000" w:themeColor="text1"/>
        </w:rPr>
        <w:t>more</w:t>
      </w:r>
      <w:r w:rsidR="00DE732F">
        <w:rPr>
          <w:color w:val="000000" w:themeColor="text1"/>
        </w:rPr>
        <w:t xml:space="preserve"> fitting</w:t>
      </w:r>
      <w:r w:rsidR="005C0C61">
        <w:rPr>
          <w:color w:val="000000" w:themeColor="text1"/>
        </w:rPr>
        <w:t xml:space="preserve"> biofluid </w:t>
      </w:r>
      <w:r w:rsidR="00DE732F">
        <w:rPr>
          <w:color w:val="000000" w:themeColor="text1"/>
        </w:rPr>
        <w:t xml:space="preserve">to collect </w:t>
      </w:r>
      <w:r w:rsidR="005C0C61">
        <w:rPr>
          <w:color w:val="000000" w:themeColor="text1"/>
        </w:rPr>
        <w:t>for r</w:t>
      </w:r>
      <w:r w:rsidR="005C0C61" w:rsidRPr="005B0778">
        <w:rPr>
          <w:color w:val="000000" w:themeColor="text1"/>
        </w:rPr>
        <w:t>eal-time NMR spectroscopy</w:t>
      </w:r>
      <w:r w:rsidR="00DE732F">
        <w:rPr>
          <w:color w:val="000000" w:themeColor="text1"/>
        </w:rPr>
        <w:t xml:space="preserve"> may be saliva, as such samples </w:t>
      </w:r>
      <w:r w:rsidR="005C0C61">
        <w:rPr>
          <w:color w:val="000000" w:themeColor="text1"/>
        </w:rPr>
        <w:t>can be collected at specified time points repeatedly</w:t>
      </w:r>
      <w:r w:rsidR="00DE732F">
        <w:rPr>
          <w:color w:val="000000" w:themeColor="text1"/>
        </w:rPr>
        <w:t>. In fact,</w:t>
      </w:r>
      <w:r w:rsidR="00F40DDA">
        <w:rPr>
          <w:color w:val="000000" w:themeColor="text1"/>
        </w:rPr>
        <w:t xml:space="preserve"> saliva </w:t>
      </w:r>
      <w:r w:rsidR="00F40DDA" w:rsidRPr="00F00BA9">
        <w:rPr>
          <w:color w:val="000000" w:themeColor="text1"/>
          <w:shd w:val="clear" w:color="auto" w:fill="FFFFFF"/>
          <w:vertAlign w:val="superscript"/>
        </w:rPr>
        <w:t>1</w:t>
      </w:r>
      <w:r w:rsidR="00F40DDA" w:rsidRPr="00F00BA9">
        <w:rPr>
          <w:color w:val="000000" w:themeColor="text1"/>
          <w:shd w:val="clear" w:color="auto" w:fill="FFFFFF"/>
        </w:rPr>
        <w:t>H</w:t>
      </w:r>
      <w:r w:rsidR="00F40DDA">
        <w:rPr>
          <w:color w:val="000000" w:themeColor="text1"/>
          <w:shd w:val="clear" w:color="auto" w:fill="FFFFFF"/>
        </w:rPr>
        <w:t xml:space="preserve"> NMR studies is an underutilised approach</w:t>
      </w:r>
      <w:r w:rsidR="00D03BB3">
        <w:rPr>
          <w:color w:val="000000" w:themeColor="text1"/>
          <w:shd w:val="clear" w:color="auto" w:fill="FFFFFF"/>
        </w:rPr>
        <w:t xml:space="preserve"> even outside psychedelic research despite </w:t>
      </w:r>
      <w:r w:rsidR="00C557E4">
        <w:rPr>
          <w:color w:val="000000" w:themeColor="text1"/>
          <w:shd w:val="clear" w:color="auto" w:fill="FFFFFF"/>
        </w:rPr>
        <w:t>demonstrating promising metabolite quantification</w:t>
      </w:r>
      <w:r w:rsidR="00866DCF">
        <w:rPr>
          <w:color w:val="000000" w:themeColor="text1"/>
          <w:shd w:val="clear" w:color="auto" w:fill="FFFFFF"/>
        </w:rPr>
        <w:fldChar w:fldCharType="begin" w:fldLock="1"/>
      </w:r>
      <w:r w:rsidR="00133B53">
        <w:rPr>
          <w:color w:val="000000" w:themeColor="text1"/>
          <w:shd w:val="clear" w:color="auto" w:fill="FFFFFF"/>
        </w:rPr>
        <w:instrText>ADDIN CSL_CITATION {"citationItems":[{"id":"ITEM-1","itemData":{"DOI":"10.1021/acs.jproteome.7b00847","ISSN":"15353907","PMID":"29498859","abstract":"Metabolic profiling by 1 H NMR spectroscopy is an underutilized technology in salivary research, although preliminary studies have identified promising results in multiple fields (diagnostics, nutrition, sports physiology). Translation of preliminary findings into validated, clinically approved knowledge is hindered by variability in protocol for the collection, storage, preparation, and analysis of saliva. This study aims to evaluate the effects of differing sample pretreatments on the 1 H NMR metabolic profile of saliva. Protocol considerations are highly varied in the current literature base, including centrifugation, freeze-thaw cycles, and different NMR quantification methods. Our findings suggest that the 1 H NMR metabolite profile of saliva is resilient to any change resulting from freezing, including freezing of saliva prior to centrifuging. However, centrifugation was necessary to remove an unidentified broad peak between 1.24 and 1.3 ppm, the intensity of which correlated strongly with saliva cellular content. This peak obscured the methyl peak from lactate and significantly affected quantification. Metabolite quantification was similar for saliva centrifuged between 750g to 15000g. Quantification of salivary metabolites was similar whether quantified using internal phosphate-buffered sodium trimethylsilyl-[2,2,3,3- 2 H 4 ]-propionate (TSP) or external TSP in a coaxial NMR tube placed inside the NMR tube containing the saliva sample. Our results suggest that the existing literature on salivary 1 H NMR will not have been adversely affected by variations of the common protocol; however, use of TSP as an internal standard without a buffered medium appears to affect metabolite quantification, notably for acetate and methanol. We include protocol recommendations to facilitate future NMR-based studies of saliva.","author":[{"dropping-particle":"","family":"Gardner","given":"Alexander","non-dropping-particle":"","parse-names":false,"suffix":""},{"dropping-particle":"","family":"Parkes","given":"Harold G.","non-dropping-particle":"","parse-names":false,"suffix":""},{"dropping-particle":"","family":"Carpenter","given":"Guy H.","non-dropping-particle":"","parse-names":false,"suffix":""},{"dropping-particle":"","family":"So","given":"Po Wah","non-dropping-particle":"","parse-names":false,"suffix":""}],"container-title":"Journal of Proteome Research","id":"ITEM-1","issue":"4","issued":{"date-parts":[["2018","4","6"]]},"page":"1521-1531","publisher":"American Chemical Society","title":"Developing and Standardizing a Protocol for Quantitative Proton Nuclear Magnetic Resonance ( 1 H NMR) Spectroscopy of Saliva","type":"article-journal","volume":"17"},"uris":["http://www.mendeley.com/documents/?uuid=bf825042-d305-3387-af26-d3e96b17c1c9"]}],"mendeley":{"formattedCitation":"(156)","plainTextFormattedCitation":"(156)","previouslyFormattedCitation":"(156)"},"properties":{"noteIndex":0},"schema":"https://github.com/citation-style-language/schema/raw/master/csl-citation.json"}</w:instrText>
      </w:r>
      <w:r w:rsidR="00866DCF">
        <w:rPr>
          <w:color w:val="000000" w:themeColor="text1"/>
          <w:shd w:val="clear" w:color="auto" w:fill="FFFFFF"/>
        </w:rPr>
        <w:fldChar w:fldCharType="separate"/>
      </w:r>
      <w:r w:rsidR="00030235" w:rsidRPr="00030235">
        <w:rPr>
          <w:noProof/>
          <w:color w:val="000000" w:themeColor="text1"/>
          <w:shd w:val="clear" w:color="auto" w:fill="FFFFFF"/>
        </w:rPr>
        <w:t>(156)</w:t>
      </w:r>
      <w:r w:rsidR="00866DCF">
        <w:rPr>
          <w:color w:val="000000" w:themeColor="text1"/>
          <w:shd w:val="clear" w:color="auto" w:fill="FFFFFF"/>
        </w:rPr>
        <w:fldChar w:fldCharType="end"/>
      </w:r>
      <w:r w:rsidR="00866DCF">
        <w:rPr>
          <w:color w:val="000000" w:themeColor="text1"/>
        </w:rPr>
        <w:t xml:space="preserve">. </w:t>
      </w:r>
      <w:r w:rsidR="00DE732F">
        <w:rPr>
          <w:color w:val="000000" w:themeColor="text1"/>
        </w:rPr>
        <w:t>Saliva samples are usually collected in tubes, but</w:t>
      </w:r>
      <w:r w:rsidR="00BC5D33">
        <w:rPr>
          <w:color w:val="000000" w:themeColor="text1"/>
        </w:rPr>
        <w:t xml:space="preserve"> using swabs may be a</w:t>
      </w:r>
      <w:r w:rsidR="00DE732F">
        <w:rPr>
          <w:color w:val="000000" w:themeColor="text1"/>
        </w:rPr>
        <w:t xml:space="preserve"> better</w:t>
      </w:r>
      <w:r w:rsidR="00BC5D33">
        <w:rPr>
          <w:color w:val="000000" w:themeColor="text1"/>
        </w:rPr>
        <w:t xml:space="preserve"> option</w:t>
      </w:r>
      <w:r w:rsidR="00DE732F">
        <w:rPr>
          <w:color w:val="000000" w:themeColor="text1"/>
        </w:rPr>
        <w:t xml:space="preserve">, especially during acute psychedelic effects as this would be less disruptive for the participants. </w:t>
      </w:r>
    </w:p>
    <w:p w14:paraId="507CBCC0" w14:textId="77777777" w:rsidR="00550E1A" w:rsidRDefault="00550E1A" w:rsidP="00E50706">
      <w:pPr>
        <w:rPr>
          <w:color w:val="000000" w:themeColor="text1"/>
        </w:rPr>
      </w:pPr>
    </w:p>
    <w:p w14:paraId="60B94F9B" w14:textId="667F670A" w:rsidR="00EF3E06" w:rsidRPr="003E53D0" w:rsidRDefault="00C557E4" w:rsidP="00E50706">
      <w:pPr>
        <w:rPr>
          <w:color w:val="000000" w:themeColor="text1"/>
        </w:rPr>
      </w:pPr>
      <w:r w:rsidRPr="009A7668">
        <w:rPr>
          <w:color w:val="000000" w:themeColor="text1"/>
        </w:rPr>
        <w:t>An</w:t>
      </w:r>
      <w:r w:rsidR="00966577">
        <w:rPr>
          <w:color w:val="000000" w:themeColor="text1"/>
        </w:rPr>
        <w:t xml:space="preserve"> alternative</w:t>
      </w:r>
      <w:r w:rsidRPr="009A7668">
        <w:rPr>
          <w:color w:val="000000" w:themeColor="text1"/>
        </w:rPr>
        <w:t xml:space="preserve"> avenue for NMR related research is </w:t>
      </w:r>
      <w:r w:rsidRPr="009A7668">
        <w:rPr>
          <w:i/>
          <w:iCs/>
          <w:color w:val="000000" w:themeColor="text1"/>
        </w:rPr>
        <w:t>i</w:t>
      </w:r>
      <w:r w:rsidR="0030684A" w:rsidRPr="009A7668">
        <w:rPr>
          <w:i/>
          <w:iCs/>
          <w:color w:val="000000" w:themeColor="text1"/>
        </w:rPr>
        <w:t>n vivo</w:t>
      </w:r>
      <w:r w:rsidR="0030684A" w:rsidRPr="009A7668">
        <w:rPr>
          <w:color w:val="000000" w:themeColor="text1"/>
        </w:rPr>
        <w:t xml:space="preserve"> </w:t>
      </w:r>
      <w:r w:rsidR="006076DF" w:rsidRPr="009A7668">
        <w:rPr>
          <w:color w:val="000000" w:themeColor="text1"/>
          <w:shd w:val="clear" w:color="auto" w:fill="FFFFFF"/>
          <w:vertAlign w:val="superscript"/>
        </w:rPr>
        <w:t>1</w:t>
      </w:r>
      <w:r w:rsidR="006076DF" w:rsidRPr="009A7668">
        <w:rPr>
          <w:color w:val="000000" w:themeColor="text1"/>
          <w:shd w:val="clear" w:color="auto" w:fill="FFFFFF"/>
        </w:rPr>
        <w:t>H</w:t>
      </w:r>
      <w:r w:rsidR="006076DF" w:rsidRPr="009A7668">
        <w:rPr>
          <w:color w:val="000000" w:themeColor="text1"/>
        </w:rPr>
        <w:t xml:space="preserve"> </w:t>
      </w:r>
      <w:r w:rsidR="0030684A" w:rsidRPr="009A7668">
        <w:rPr>
          <w:color w:val="000000" w:themeColor="text1"/>
        </w:rPr>
        <w:t>MRS</w:t>
      </w:r>
      <w:r w:rsidR="00EF3E06" w:rsidRPr="009A7668">
        <w:rPr>
          <w:color w:val="000000" w:themeColor="text1"/>
        </w:rPr>
        <w:t>,</w:t>
      </w:r>
      <w:r w:rsidR="0030684A" w:rsidRPr="003E53D0">
        <w:rPr>
          <w:color w:val="000000" w:themeColor="text1"/>
        </w:rPr>
        <w:t xml:space="preserve"> </w:t>
      </w:r>
      <w:r w:rsidR="00EF3E06" w:rsidRPr="003E53D0">
        <w:rPr>
          <w:color w:val="000000" w:themeColor="text1"/>
        </w:rPr>
        <w:t xml:space="preserve">this </w:t>
      </w:r>
      <w:r w:rsidR="009A7668">
        <w:rPr>
          <w:color w:val="000000" w:themeColor="text1"/>
        </w:rPr>
        <w:t xml:space="preserve">tool does not analyse biofluids but instead </w:t>
      </w:r>
      <w:r w:rsidR="0030684A" w:rsidRPr="003E53D0">
        <w:rPr>
          <w:color w:val="000000" w:themeColor="text1"/>
        </w:rPr>
        <w:t>measur</w:t>
      </w:r>
      <w:r w:rsidR="009A7668">
        <w:rPr>
          <w:color w:val="000000" w:themeColor="text1"/>
        </w:rPr>
        <w:t>es the</w:t>
      </w:r>
      <w:r w:rsidR="0030684A" w:rsidRPr="003E53D0">
        <w:rPr>
          <w:color w:val="000000" w:themeColor="text1"/>
        </w:rPr>
        <w:t xml:space="preserve"> biochemical changes </w:t>
      </w:r>
      <w:r w:rsidR="009A7668">
        <w:rPr>
          <w:color w:val="000000" w:themeColor="text1"/>
        </w:rPr>
        <w:t xml:space="preserve">directly </w:t>
      </w:r>
      <w:r w:rsidR="0030684A" w:rsidRPr="003E53D0">
        <w:rPr>
          <w:color w:val="000000" w:themeColor="text1"/>
        </w:rPr>
        <w:t>in the brain</w:t>
      </w:r>
      <w:r w:rsidR="0072187A">
        <w:rPr>
          <w:color w:val="000000" w:themeColor="text1"/>
        </w:rPr>
        <w:t>.</w:t>
      </w:r>
      <w:r w:rsidR="0030684A" w:rsidRPr="003E53D0">
        <w:rPr>
          <w:color w:val="000000" w:themeColor="text1"/>
        </w:rPr>
        <w:t xml:space="preserve"> </w:t>
      </w:r>
      <w:r w:rsidR="009A7668" w:rsidRPr="009A7668">
        <w:rPr>
          <w:color w:val="000000" w:themeColor="text1"/>
          <w:shd w:val="clear" w:color="auto" w:fill="FFFFFF"/>
          <w:vertAlign w:val="superscript"/>
        </w:rPr>
        <w:t>1</w:t>
      </w:r>
      <w:r w:rsidR="009A7668" w:rsidRPr="009A7668">
        <w:rPr>
          <w:color w:val="000000" w:themeColor="text1"/>
          <w:shd w:val="clear" w:color="auto" w:fill="FFFFFF"/>
        </w:rPr>
        <w:t>H</w:t>
      </w:r>
      <w:r w:rsidR="009A7668" w:rsidRPr="009A7668">
        <w:rPr>
          <w:color w:val="000000" w:themeColor="text1"/>
        </w:rPr>
        <w:t xml:space="preserve"> MRS</w:t>
      </w:r>
      <w:r w:rsidR="009A7668">
        <w:rPr>
          <w:color w:val="000000" w:themeColor="text1"/>
        </w:rPr>
        <w:t xml:space="preserve"> can be </w:t>
      </w:r>
      <w:r w:rsidR="009A7668">
        <w:rPr>
          <w:color w:val="000000" w:themeColor="text1"/>
        </w:rPr>
        <w:lastRenderedPageBreak/>
        <w:t>conducted by placing a participant in a magnetic resonance imaging</w:t>
      </w:r>
      <w:r w:rsidR="0072187A">
        <w:rPr>
          <w:color w:val="000000" w:themeColor="text1"/>
        </w:rPr>
        <w:t xml:space="preserve"> (MRI)</w:t>
      </w:r>
      <w:r w:rsidR="009A7668">
        <w:rPr>
          <w:color w:val="000000" w:themeColor="text1"/>
        </w:rPr>
        <w:t xml:space="preserve"> machine that has been set up </w:t>
      </w:r>
      <w:r w:rsidR="0088285F">
        <w:rPr>
          <w:color w:val="000000" w:themeColor="text1"/>
        </w:rPr>
        <w:t xml:space="preserve">with additional software and hardware </w:t>
      </w:r>
      <w:r w:rsidR="009A7668">
        <w:rPr>
          <w:color w:val="000000" w:themeColor="text1"/>
        </w:rPr>
        <w:t>for the acquisition of MRS data</w:t>
      </w:r>
      <w:r w:rsidR="00CD4922">
        <w:rPr>
          <w:color w:val="000000" w:themeColor="text1"/>
        </w:rPr>
        <w:fldChar w:fldCharType="begin" w:fldLock="1"/>
      </w:r>
      <w:r w:rsidR="00133B53">
        <w:rPr>
          <w:color w:val="000000" w:themeColor="text1"/>
        </w:rPr>
        <w:instrText>ADDIN CSL_CITATION {"citationItems":[{"id":"ITEM-1","itemData":{"DOI":"10.1007/s00249-009-0517-y","ISSN":"01757571","abstract":"The clinical use of in vivo magnetic resonance spectroscopy (MRS) has been limited for a long time, mainly due to its low sensitivity. However, with the advent of clinical MR systems with higher magnetic field strengths such as 3 Tesla, the development of better coils, and the design of optimized radio-frequency pulses, sensitivity has been considerably improved. Therefore, in vivo MRS has become a technique that is routinely used more and more in the clinic. In this review, the basic methodology of in vivo MRS is described-mainly focused on 1H MRS of the brain-with attention to hardware requirements, patient safety, acquisition methods, data post-processing, and quantification. Furthermore, examples of clinical applications of in vivo brain MRS in two interesting fields are described. First, together with a description of the major resonances present in brain MR spectra, several examples are presented of deviations from the normal spectral pattern associated with inborn errors of metabolism. Second, through examples of MR spectra of brain tumors, it is shown that MRS can play an important role in oncology. © 2009 The Author(s).","author":[{"dropping-particle":"","family":"Graaf","given":"Marinette","non-dropping-particle":"Van Der","parse-names":false,"suffix":""}],"container-title":"European Biophysics Journal","id":"ITEM-1","issue":"4","issued":{"date-parts":[["2010"]]},"title":"In vivo magnetic resonance spectroscopy: Basic methodology and clinical applications","type":"article","volume":"39"},"uris":["http://www.mendeley.com/documents/?uuid=271efa4f-878e-3be6-b20a-f1b2ca8cbb3c"]}],"mendeley":{"formattedCitation":"(157)","plainTextFormattedCitation":"(157)","previouslyFormattedCitation":"(157)"},"properties":{"noteIndex":0},"schema":"https://github.com/citation-style-language/schema/raw/master/csl-citation.json"}</w:instrText>
      </w:r>
      <w:r w:rsidR="00CD4922">
        <w:rPr>
          <w:color w:val="000000" w:themeColor="text1"/>
        </w:rPr>
        <w:fldChar w:fldCharType="separate"/>
      </w:r>
      <w:r w:rsidR="00030235" w:rsidRPr="00030235">
        <w:rPr>
          <w:noProof/>
          <w:color w:val="000000" w:themeColor="text1"/>
        </w:rPr>
        <w:t>(157)</w:t>
      </w:r>
      <w:r w:rsidR="00CD4922">
        <w:rPr>
          <w:color w:val="000000" w:themeColor="text1"/>
        </w:rPr>
        <w:fldChar w:fldCharType="end"/>
      </w:r>
      <w:r w:rsidR="009A7668">
        <w:rPr>
          <w:color w:val="000000" w:themeColor="text1"/>
        </w:rPr>
        <w:t>.</w:t>
      </w:r>
      <w:r w:rsidR="0072187A">
        <w:rPr>
          <w:color w:val="000000" w:themeColor="text1"/>
        </w:rPr>
        <w:t xml:space="preserve"> In MRI, water molecules are detected to produce a spatial map </w:t>
      </w:r>
      <w:r w:rsidR="005C3E28">
        <w:rPr>
          <w:color w:val="000000" w:themeColor="text1"/>
        </w:rPr>
        <w:t>of</w:t>
      </w:r>
      <w:r w:rsidR="0072187A">
        <w:rPr>
          <w:color w:val="000000" w:themeColor="text1"/>
        </w:rPr>
        <w:t xml:space="preserve"> the brain, but for MRS the focus is on detecting metabolite signals in specific brain region</w:t>
      </w:r>
      <w:r w:rsidR="002F5C6C">
        <w:rPr>
          <w:color w:val="000000" w:themeColor="text1"/>
        </w:rPr>
        <w:t xml:space="preserve">s </w:t>
      </w:r>
      <w:r w:rsidR="005C3E28">
        <w:rPr>
          <w:color w:val="000000" w:themeColor="text1"/>
        </w:rPr>
        <w:t>(</w:t>
      </w:r>
      <w:r w:rsidR="002F5C6C">
        <w:rPr>
          <w:color w:val="000000" w:themeColor="text1"/>
        </w:rPr>
        <w:t xml:space="preserve">typical </w:t>
      </w:r>
      <w:r w:rsidR="005C3E28">
        <w:rPr>
          <w:color w:val="000000" w:themeColor="text1"/>
        </w:rPr>
        <w:t>voxel size: 4-8cm</w:t>
      </w:r>
      <w:r w:rsidR="005C3E28">
        <w:rPr>
          <w:color w:val="000000" w:themeColor="text1"/>
          <w:vertAlign w:val="superscript"/>
        </w:rPr>
        <w:t>3</w:t>
      </w:r>
      <w:r w:rsidR="005C3E28">
        <w:rPr>
          <w:color w:val="000000" w:themeColor="text1"/>
        </w:rPr>
        <w:t>)</w:t>
      </w:r>
      <w:r w:rsidR="00CD4922">
        <w:rPr>
          <w:color w:val="000000" w:themeColor="text1"/>
        </w:rPr>
        <w:fldChar w:fldCharType="begin" w:fldLock="1"/>
      </w:r>
      <w:r w:rsidR="00133B53">
        <w:rPr>
          <w:color w:val="000000" w:themeColor="text1"/>
        </w:rPr>
        <w:instrText>ADDIN CSL_CITATION {"citationItems":[{"id":"ITEM-1","itemData":{"DOI":"10.1007/978-1-61737-992-5_9","ISSN":"10643745","abstract":"Magnetic resonance spectroscopy (MRS) and the related technique of magnetic resonance spectroscopic imaging (MRSI) are widely used in both clinical and preclinical research for the non-invasive evaluation of brain metabolism. They are also used in medical practice, although their ultimate clinical value continues to be a source of discussion. This chapter reviews the general information content of brain spectra and commonly used protocols for both MRS and MRSI and also touches on data analysis methods and quantitation. The main focus is on proton MRS for application in humans, but many of the methods are also applicable to other nuclei and studies of animal models as well. © 2011 Springer Science+Business Media, LLC.","author":[{"dropping-particle":"","family":"Zhu","given":"He","non-dropping-particle":"","parse-names":false,"suffix":""},{"dropping-particle":"","family":"Barker","given":"Peter B.","non-dropping-particle":"","parse-names":false,"suffix":""}],"container-title":"Methods in Molecular Biology","id":"ITEM-1","issued":{"date-parts":[["2010"]]},"title":"MR spectroscopy and spectroscopic imaging of the brain","type":"article","volume":"711"},"uris":["http://www.mendeley.com/documents/?uuid=b2581b8c-9eae-3c90-8d93-73b2f8c187fa"]}],"mendeley":{"formattedCitation":"(158)","plainTextFormattedCitation":"(158)","previouslyFormattedCitation":"(158)"},"properties":{"noteIndex":0},"schema":"https://github.com/citation-style-language/schema/raw/master/csl-citation.json"}</w:instrText>
      </w:r>
      <w:r w:rsidR="00CD4922">
        <w:rPr>
          <w:color w:val="000000" w:themeColor="text1"/>
        </w:rPr>
        <w:fldChar w:fldCharType="separate"/>
      </w:r>
      <w:r w:rsidR="00030235" w:rsidRPr="00030235">
        <w:rPr>
          <w:noProof/>
          <w:color w:val="000000" w:themeColor="text1"/>
        </w:rPr>
        <w:t>(158)</w:t>
      </w:r>
      <w:r w:rsidR="00CD4922">
        <w:rPr>
          <w:color w:val="000000" w:themeColor="text1"/>
        </w:rPr>
        <w:fldChar w:fldCharType="end"/>
      </w:r>
      <w:r w:rsidR="0088285F">
        <w:rPr>
          <w:color w:val="000000" w:themeColor="text1"/>
        </w:rPr>
        <w:t xml:space="preserve">; these </w:t>
      </w:r>
      <w:r w:rsidR="002F5C6C">
        <w:rPr>
          <w:color w:val="000000" w:themeColor="text1"/>
        </w:rPr>
        <w:t xml:space="preserve">metabolites can be </w:t>
      </w:r>
      <w:r w:rsidR="0072187A">
        <w:rPr>
          <w:color w:val="000000" w:themeColor="text1"/>
        </w:rPr>
        <w:t xml:space="preserve">neurotransmitters like </w:t>
      </w:r>
      <w:r w:rsidR="0072187A" w:rsidRPr="003E53D0">
        <w:rPr>
          <w:color w:val="000000" w:themeColor="text1"/>
        </w:rPr>
        <w:t>glutamate</w:t>
      </w:r>
      <w:r w:rsidR="0072187A" w:rsidRPr="003E53D0">
        <w:rPr>
          <w:color w:val="000000" w:themeColor="text1"/>
        </w:rPr>
        <w:fldChar w:fldCharType="begin" w:fldLock="1"/>
      </w:r>
      <w:r w:rsidR="00133B53">
        <w:rPr>
          <w:color w:val="000000" w:themeColor="text1"/>
        </w:rPr>
        <w:instrText>ADDIN CSL_CITATION {"citationItems":[{"id":"ITEM-1","itemData":{"DOI":"10.1038/s41380-018-0104-7","ISSN":"14765578","PMID":"29934548","abstract":"In schizophrenia, abnormal neural metabolite concentrations may arise from cortical damage following neuroinflammatory processes implicated in acute episodes. Inflammation is associated with increased glutamate, whereas the antioxidant glutathione may protect against inflammation-induced oxidative stress. We hypothesized that patients with stable schizophrenia would exhibit a reduction in glutathione, glutamate, and/or glutamine in the cerebral cortex, consistent with a post-inflammatory response, and that this reduction would be most marked in patients with “residual schizophrenia”, in whom an early stage with positive psychotic symptoms has progressed to a late stage characterized by long-term negative symptoms and impairments. We recruited 28 patients with stable schizophrenia and 45 healthy participants matched for age, gender, and parental socio-economic status. We measured glutathione, glutamate and glutamine concentrations in the anterior cingulate cortex (ACC), left insula, and visual cortex using 7T proton magnetic resonance spectroscopy (MRS). Glutathione and glutamate were significantly correlated in all three voxels. Glutamine concentrations across the three voxels were significantly correlated with each other. Principal components analysis (PCA) produced three clear components: an ACC glutathione–glutamate component; an insula-visual glutathione–glutamate component; and a glutamine component. Patients with stable schizophrenia had significantly lower scores on the ACC glutathione–glutamate component, an effect almost entirely leveraged by the sub-group of patients with residual schizophrenia. All three metabolite concentration values in the ACC were significantly reduced in this group. These findings are consistent with the hypothesis that excitotoxicity during the acute phase of illness leads to reduced glutathione and glutamate in the residual phase of the illness.","author":[{"dropping-particle":"","family":"Kumar","given":"Jyothika","non-dropping-particle":"","parse-names":false,"suffix":""},{"dropping-particle":"","family":"Liddle","given":"Elizabeth B.","non-dropping-particle":"","parse-names":false,"suffix":""},{"dropping-particle":"","family":"Fernandes","given":"Carolina C.","non-dropping-particle":"","parse-names":false,"suffix":""},{"dropping-particle":"","family":"Palaniyappan","given":"Lena","non-dropping-particle":"","parse-names":false,"suffix":""},{"dropping-particle":"","family":"Hall","given":"Emma L.","non-dropping-particle":"","parse-names":false,"suffix":""},{"dropping-particle":"","family":"Robson","given":"Siân E.","non-dropping-particle":"","parse-names":false,"suffix":""},{"dropping-particle":"","family":"Simmonite","given":"Molly","non-dropping-particle":"","parse-names":false,"suffix":""},{"dropping-particle":"","family":"Fiesal","given":"Jan","non-dropping-particle":"","parse-names":false,"suffix":""},{"dropping-particle":"","family":"Katshu","given":"Mohammad Z.","non-dropping-particle":"","parse-names":false,"suffix":""},{"dropping-particle":"","family":"Qureshi","given":"Ayaz","non-dropping-particle":"","parse-names":false,"suffix":""},{"dropping-particle":"","family":"Skelton","given":"Michael","non-dropping-particle":"","parse-names":false,"suffix":""},{"dropping-particle":"","family":"Christodoulou","given":"Nikolaos G.","non-dropping-particle":"","parse-names":false,"suffix":""},{"dropping-particle":"","family":"Brookes","given":"Matthew J.","non-dropping-particle":"","parse-names":false,"suffix":""},{"dropping-particle":"","family":"Morris","given":"Peter G.","non-dropping-particle":"","parse-names":false,"suffix":""},{"dropping-particle":"","family":"Liddle","given":"Peter F.","non-dropping-particle":"","parse-names":false,"suffix":""}],"container-title":"Molecular Psychiatry","id":"ITEM-1","issue":"4","issued":{"date-parts":[["2020","4","1"]]},"page":"873-882","publisher":"Springer Nature","title":"Glutathione and glutamate in schizophrenia: a 7T MRS study","type":"article-journal","volume":"25"},"uris":["http://www.mendeley.com/documents/?uuid=4a3c33af-9044-3aa0-8bb6-3c0e47f94c9b"]},{"id":"ITEM-2","itemData":{"DOI":"10.1002/nbm.3045","ISSN":"09523480","PMID":"24123328","abstract":"Our understanding of the roles that the amino acids glutamate (Glu) and glutamine (Gln) play in the mammalian central nervous system has increased rapidly in recent times. Many conditions are known to exhibit a disturbance in Glu-Gln equilibrium, and the exact relationships between these changed conditions and these amino acids are not fully understood. This has led to increased interest in Glu/Gln quantitation in the human brain in an array of conditions (e.g. mental illness, tumor, neuro-degeneration) as well as in normal brain function. Accordingly, this review has been undertaken to describe the increasing number of in vivo techniques available to study Glu and Gln separately, or pooled as 'Glx'. The present MRS methods used to assess Glu and Gln vary in approach, complexity, and outcome, thus the focus of this review is on a description of MRS acquisition approaches, and an indication of relative utility of each technique rather than brain pathologies associated with Glu and/or Gln perturbation. Consequently, this review focuses particularly on (1) one-dimensional 1H MRS, (2) two-dimensional 1H MRS, and (3) one-dimensional 13C MRS techniques. © 2013 John Wiley &amp; Sons, Ltd.","author":[{"dropping-particle":"","family":"Ramadan","given":"Saadallah","non-dropping-particle":"","parse-names":false,"suffix":""},{"dropping-particle":"","family":"Lin","given":"Alexander","non-dropping-particle":"","parse-names":false,"suffix":""},{"dropping-particle":"","family":"Stanwell","given":"Peter","non-dropping-particle":"","parse-names":false,"suffix":""}],"container-title":"NMR in Biomedicine","id":"ITEM-2","issue":"12","issued":{"date-parts":[["2013","12"]]},"page":"1630-1646","publisher":"NMR Biomed","title":"Glutamate and glutamine: A review of in vivo MRS in the human brain","type":"article","volume":"26"},"uris":["http://www.mendeley.com/documents/?uuid=a556242b-6c45-3720-8c55-0266ac643ef1"]},{"id":"ITEM-3","itemData":{"DOI":"10.1016/j.biopsych.2010.06.016","ISSN":"00063223","PMID":"20728076","abstract":"In mood disorders, there is growing evidence for glutamatergic abnormalities derived from peripheral measures of glutamatergic metabolites in patients, postmortem studies on glutamate-related markers, and animal studies on the mechanism of action of available treatments. Magnetic resonance spectroscopy (MRS) has the potential to corroborate and extend these findings with the advantage of in vivo assessment of glutamate-related metabolites in different disease states, in response to treatment, and in relation with functional imaging data. In this article, we first review the biological significance of glutamate, glutamine, and Glx (composed mainly of glutamate and glutamine). Next, we review the MRS literature in mood disorders, examining these glutamate-related metabolites. Here, we find a highly consistent pattern of Glx-level reductions in major depressive disorder and elevations in bipolar disorder. In addition, studies of depression, regardless of diagnosis, provide suggestive evidence for reduced glutamine/glutamate ratio and in mania for elevated glutamine/glutamate ratio. These patterns suggest that the glutamate-related metabolite pool (not all of it necessarily relevant to neurotransmission) is constricted in major depressive disorder and expanded in bipolar disorder. Depressive and manic episodes may be characterized by modulation of the glutamine/glutamate ratio in opposite directions, possibly suggesting reduced versus elevated glutamate conversion to glutamine by glial cells, respectively. We discuss the implications of these results for the pathophysiology of mood disorders and suggest future directions for MRS studies. © 2010 Society of Biological Psychiatry.","author":[{"dropping-particle":"","family":"Yksel","given":"Cagri","non-dropping-particle":"","parse-names":false,"suffix":""},{"dropping-particle":"","family":"Öngür","given":"Dost","non-dropping-particle":"","parse-names":false,"suffix":""}],"container-title":"Biological Psychiatry","id":"ITEM-3","issue":"9","issued":{"date-parts":[["2010","11","1"]]},"page":"785-794","publisher":"Elsevier","title":"Magnetic resonance spectroscopy studies of glutamate-related abnormalities in mood disorders","type":"article","volume":"68"},"uris":["http://www.mendeley.com/documents/?uuid=4e4a9636-772e-3e9d-82b7-9817542b48b6"]}],"mendeley":{"formattedCitation":"(159–161)","plainTextFormattedCitation":"(159–161)","previouslyFormattedCitation":"(159–161)"},"properties":{"noteIndex":0},"schema":"https://github.com/citation-style-language/schema/raw/master/csl-citation.json"}</w:instrText>
      </w:r>
      <w:r w:rsidR="0072187A" w:rsidRPr="003E53D0">
        <w:rPr>
          <w:color w:val="000000" w:themeColor="text1"/>
        </w:rPr>
        <w:fldChar w:fldCharType="separate"/>
      </w:r>
      <w:r w:rsidR="00030235" w:rsidRPr="00030235">
        <w:rPr>
          <w:noProof/>
          <w:color w:val="000000" w:themeColor="text1"/>
        </w:rPr>
        <w:t>(159–161)</w:t>
      </w:r>
      <w:r w:rsidR="0072187A" w:rsidRPr="003E53D0">
        <w:rPr>
          <w:color w:val="000000" w:themeColor="text1"/>
        </w:rPr>
        <w:fldChar w:fldCharType="end"/>
      </w:r>
      <w:r w:rsidR="0072187A" w:rsidRPr="003E53D0">
        <w:rPr>
          <w:color w:val="000000" w:themeColor="text1"/>
        </w:rPr>
        <w:t xml:space="preserve"> or </w:t>
      </w:r>
      <w:r w:rsidR="0072187A" w:rsidRPr="003E53D0">
        <w:rPr>
          <w:color w:val="000000" w:themeColor="text1"/>
          <w:shd w:val="clear" w:color="auto" w:fill="FFFFFF"/>
        </w:rPr>
        <w:t>γ-aminobutyric acid (GABA)</w:t>
      </w:r>
      <w:r w:rsidR="0072187A" w:rsidRPr="003E53D0">
        <w:rPr>
          <w:color w:val="000000" w:themeColor="text1"/>
          <w:shd w:val="clear" w:color="auto" w:fill="FFFFFF"/>
        </w:rPr>
        <w:fldChar w:fldCharType="begin" w:fldLock="1"/>
      </w:r>
      <w:r w:rsidR="00133B53">
        <w:rPr>
          <w:color w:val="000000" w:themeColor="text1"/>
          <w:shd w:val="clear" w:color="auto" w:fill="FFFFFF"/>
        </w:rPr>
        <w:instrText>ADDIN CSL_CITATION {"citationItems":[{"id":"ITEM-1","itemData":{"DOI":"10.1002/hbm.23244","ISSN":"10970193","PMID":"27145016","abstract":"The inhibitory gamma-aminobutyric acid (GABA) system is involved in the etiology of most psychiatric disorders, including schizophrenia, autism spectrum disorder (ASD) and major depressive disorder (MDD). It is therefore not surprising that proton magnetic resonance spectroscopy (1H-MRS) is increasingly used to investigate in vivo brain GABA levels. However, integration of the evidence for altered in vivo GABA levels across psychiatric disorders is lacking. We therefore systematically searched the clinical 1H-MRS literature and performed a meta-analysis. A total of 40 studies (N = 1,591) in seven different psychiatric disorders were included in the meta-analysis: MDD (N = 437), schizophrenia (N = 517), ASD (N = 150), bipolar disorder (N = 129), panic disorder (N = 81), posttraumatic stress disorder (PTSD) (N = 104), and attention deficit/hyperactivity disorder (ADHD) (N = 173). Brain GABA levels were lower in ASD (standardized mean difference [SMD] = −0.74, P = 0.001) and in depressed MDD patients (SMD = −0.52, P = 0.005), but not in remitted MDD patients (SMD = −0.24, P = 0.310) compared with controls. In schizophrenia this finding did not reach statistical significance (SMD = −0.23, P = 0.089). No significant differences in GABA levels were found in bipolar disorder, panic disorder, PTSD, and ADHD compared with controls. In conclusion, this meta-analysis provided evidence for lower brain GABA levels in ASD and in depressed (but not remitted) MDD patients compared with healthy controls. Findings in schizophrenia were more equivocal. Even though future 1H-MRS studies could greatly benefit from a longitudinal design and consensus on the preferred analytical approach, it is apparent that 1H-MRS studies have great potential in advancing our understanding of the role of the GABA system in the pathogenesis of psychiatric disorders. Hum Brain Mapp 37:3337–3352, 2016. © 2016 Wiley Periodicals, Inc.","author":[{"dropping-particle":"","family":"Schür","given":"Remmelt R.","non-dropping-particle":"","parse-names":false,"suffix":""},{"dropping-particle":"","family":"Draisma","given":"Luc W.R.","non-dropping-particle":"","parse-names":false,"suffix":""},{"dropping-particle":"","family":"Wijnen","given":"Jannie P.","non-dropping-particle":"","parse-names":false,"suffix":""},{"dropping-particle":"","family":"Boks","given":"Marco P.","non-dropping-particle":"","parse-names":false,"suffix":""},{"dropping-particle":"","family":"Koevoets","given":"Martijn G.J.C.","non-dropping-particle":"","parse-names":false,"suffix":""},{"dropping-particle":"","family":"Joëls","given":"Marian","non-dropping-particle":"","parse-names":false,"suffix":""},{"dropping-particle":"","family":"Klomp","given":"Dennis W.","non-dropping-particle":"","parse-names":false,"suffix":""},{"dropping-particle":"","family":"Kahn","given":"René S.","non-dropping-particle":"","parse-names":false,"suffix":""},{"dropping-particle":"","family":"Vinkers","given":"Christiaan H.","non-dropping-particle":"","parse-names":false,"suffix":""}],"container-title":"Human Brain Mapping","id":"ITEM-1","issue":"9","issued":{"date-parts":[["2016","9","1"]]},"page":"3337-3352","publisher":"John Wiley and Sons Inc.","title":"Brain GABA levels across psychiatric disorders: A systematic literature review and meta-analysis of 1H-MRS studies","type":"article","volume":"37"},"uris":["http://www.mendeley.com/documents/?uuid=6187b3f9-abc7-343a-ac7b-01f07c55cabf"]},{"id":"ITEM-2","itemData":{"DOI":"10.3389/fpsyt.2020.549903","ISSN":"16640640","abstract":"Introduction: Converging evidence suggests that ketamine elicits antidepressant effects via enhanced neuroplasticity precipitated by a surge of glutamate and modulation of GABA. Magnetic resonance spectroscopic imaging (MRSI) illustrates changes to cerebral glutamate and GABA immediately following ketamine administration during dissociation. However, few studies assess subacute changes in the first hours following application, when ketamine’s antidepressant effects emerge. Moreover, ketamine metabolites implicated in its antidepressant effects develop during this timeframe. Thus, this study aimed to investigate subacute changes in cerebral Glx (glutamate + glutamine), GABA and their ratio in seven brain regions central to depressive pathophysiology and treatment. Methods: Twenty-five healthy subjects underwent two multivoxel MRS scans using a spiral encoded, MEGA-edited LASER-localized 3D-MRSI sequence, at baseline and 2 h following intravenous administration of racemic ketamine (0.8 mg/kg bodyweight over 50 min). Ketamine, norketamine and dehydronorketamine plasma levels were determined at routine intervals during and after infusion. Automated region-of-interest (ROI)–based quantification of mean metabolite concentration was used to assess changes in GABA+/total creatine (tCr), Glx/tCr, and GABA+/Glx ratios in the thalamus, hippocampus, insula, putamen, rostral anterior cingulate cortex (ACC), caudal ACC, and posterior cingulate cortex. Effects of ketamine on neurotransmitter levels and association with ketamine- and metabolite plasma levels were tested with repeated measures analyses of variance (rmANOVA) and correlation analyses, respectively. Results: For GABA+/tCr rmANOVA revealed a measurement by region interaction effect (puncorr &lt; 0.001) and post hoc pairwise comparisons showed a reduction in hippocampal GABA+/tCr after ketamine (pcorr = 0.02). For Glx/tCr and GABA+/Glx neither main effects of measurement nor measurement by region interactions were observed (all puncorr &gt; 0.05). Furthermore, no statistically significant associations between changes in any of the neurotransmitter ratios and plasma levels of ketamine, norketamine, or dehydronorketamine were observed (pcorr &gt; 0.05). Conclusion: This study provides evidence for decreased hippocampal GABA+/tCr ratio 2 h following ketamine administration. As MRS methodology measures total levels of intra- and extracellular GABA, results might indicate drug induced alterations in GABA turnover. Our stu…","author":[{"dropping-particle":"","family":"Silberbauer","given":"Leo R.","non-dropping-particle":"","parse-names":false,"suffix":""},{"dropping-particle":"","family":"Spurny","given":"Benjamin","non-dropping-particle":"","parse-names":false,"suffix":""},{"dropping-particle":"","family":"Handschuh","given":"Patricia","non-dropping-particle":"","parse-names":false,"suffix":""},{"dropping-particle":"","family":"Klöbl","given":"Manfred","non-dropping-particle":"","parse-names":false,"suffix":""},{"dropping-particle":"","family":"Bednarik","given":"Petr","non-dropping-particle":"","parse-names":false,"suffix":""},{"dropping-particle":"","family":"Reiter","given":"Birgit","non-dropping-particle":"","parse-names":false,"suffix":""},{"dropping-particle":"","family":"Ritter","given":"Vera","non-dropping-particle":"","parse-names":false,"suffix":""},{"dropping-particle":"","family":"Trost","given":"Patricia","non-dropping-particle":"","parse-names":false,"suffix":""},{"dropping-particle":"","family":"Konadu","given":"Melisande E.","non-dropping-particle":"","parse-names":false,"suffix":""},{"dropping-particle":"","family":"Windpassinger","given":"Marita","non-dropping-particle":"","parse-names":false,"suffix":""},{"dropping-particle":"","family":"Stimpfl","given":"Thomas","non-dropping-particle":"","parse-names":false,"suffix":""},{"dropping-particle":"","family":"Bogner","given":"Wolfgang","non-dropping-particle":"","parse-names":false,"suffix":""},{"dropping-particle":"","family":"Lanzenberger","given":"Rupert","non-dropping-particle":"","parse-names":false,"suffix":""},{"dropping-particle":"","family":"Spies","given":"Marie","non-dropping-particle":"","parse-names":false,"suffix":""}],"container-title":"Frontiers in Psychiatry","id":"ITEM-2","issued":{"date-parts":[["2020","9","8"]]},"page":"1","publisher":"Frontiers Media S.A.","title":"Effect of Ketamine on Limbic GABA and Glutamate: A Human In Vivo Multivoxel Magnetic Resonance Spectroscopy Study","type":"article-journal","volume":"11"},"uris":["http://www.mendeley.com/documents/?uuid=357e0d50-c0e0-3565-932c-2884e3a81712"]},{"id":"ITEM-3","itemData":{"DOI":"10.1016/j.pnmrs.2011.06.001","ISSN":"00796565","PMID":"22293397","author":[{"dropping-particle":"","family":"Puts","given":"Nicolaas A.J.","non-dropping-particle":"","parse-names":false,"suffix":""},{"dropping-particle":"","family":"Edden","given":"Richard A.E.","non-dropping-particle":"","parse-names":false,"suffix":""}],"container-title":"Progress in Nuclear Magnetic Resonance Spectroscopy","id":"ITEM-3","issued":{"date-parts":[["2012","1"]]},"page":"29-41","publisher":"NIH Public Access","title":"In vivo magnetic resonance spectroscopy of GABA: A methodological review","type":"article","volume":"60"},"uris":["http://www.mendeley.com/documents/?uuid=75b7bb03-fdc1-3dac-b015-03042cb896d2"]}],"mendeley":{"formattedCitation":"(162–164)","plainTextFormattedCitation":"(162–164)","previouslyFormattedCitation":"(162–164)"},"properties":{"noteIndex":0},"schema":"https://github.com/citation-style-language/schema/raw/master/csl-citation.json"}</w:instrText>
      </w:r>
      <w:r w:rsidR="0072187A" w:rsidRPr="003E53D0">
        <w:rPr>
          <w:color w:val="000000" w:themeColor="text1"/>
          <w:shd w:val="clear" w:color="auto" w:fill="FFFFFF"/>
        </w:rPr>
        <w:fldChar w:fldCharType="separate"/>
      </w:r>
      <w:r w:rsidR="00030235" w:rsidRPr="00030235">
        <w:rPr>
          <w:noProof/>
          <w:color w:val="000000" w:themeColor="text1"/>
          <w:shd w:val="clear" w:color="auto" w:fill="FFFFFF"/>
        </w:rPr>
        <w:t>(162–164)</w:t>
      </w:r>
      <w:r w:rsidR="0072187A" w:rsidRPr="003E53D0">
        <w:rPr>
          <w:color w:val="000000" w:themeColor="text1"/>
          <w:shd w:val="clear" w:color="auto" w:fill="FFFFFF"/>
        </w:rPr>
        <w:fldChar w:fldCharType="end"/>
      </w:r>
      <w:r w:rsidR="0072187A" w:rsidRPr="003E53D0">
        <w:rPr>
          <w:color w:val="000000" w:themeColor="text1"/>
        </w:rPr>
        <w:t>.</w:t>
      </w:r>
      <w:r w:rsidR="0072187A">
        <w:rPr>
          <w:color w:val="000000" w:themeColor="text1"/>
        </w:rPr>
        <w:t xml:space="preserve"> </w:t>
      </w:r>
      <w:r w:rsidR="002C7794" w:rsidRPr="003E53D0">
        <w:rPr>
          <w:color w:val="000000" w:themeColor="text1"/>
        </w:rPr>
        <w:t xml:space="preserve">The psychopharmacological approach to </w:t>
      </w:r>
      <w:r w:rsidR="002C7794" w:rsidRPr="003E53D0">
        <w:rPr>
          <w:color w:val="000000" w:themeColor="text1"/>
          <w:shd w:val="clear" w:color="auto" w:fill="FFFFFF"/>
          <w:vertAlign w:val="superscript"/>
        </w:rPr>
        <w:t>1</w:t>
      </w:r>
      <w:r w:rsidR="002C7794" w:rsidRPr="003E53D0">
        <w:rPr>
          <w:color w:val="000000" w:themeColor="text1"/>
          <w:shd w:val="clear" w:color="auto" w:fill="FFFFFF"/>
        </w:rPr>
        <w:t>H</w:t>
      </w:r>
      <w:r w:rsidR="002C7794" w:rsidRPr="003E53D0">
        <w:rPr>
          <w:color w:val="000000" w:themeColor="text1"/>
        </w:rPr>
        <w:t xml:space="preserve"> MRS involve</w:t>
      </w:r>
      <w:r w:rsidRPr="003E53D0">
        <w:rPr>
          <w:color w:val="000000" w:themeColor="text1"/>
        </w:rPr>
        <w:t xml:space="preserve"> studies</w:t>
      </w:r>
      <w:r w:rsidR="002C7794" w:rsidRPr="003E53D0">
        <w:rPr>
          <w:color w:val="000000" w:themeColor="text1"/>
        </w:rPr>
        <w:t xml:space="preserve"> that</w:t>
      </w:r>
      <w:r w:rsidRPr="003E53D0">
        <w:rPr>
          <w:color w:val="000000" w:themeColor="text1"/>
        </w:rPr>
        <w:t xml:space="preserve"> monitor</w:t>
      </w:r>
      <w:r w:rsidR="00EF3E06" w:rsidRPr="003E53D0">
        <w:rPr>
          <w:color w:val="000000" w:themeColor="text1"/>
        </w:rPr>
        <w:t xml:space="preserve"> neurotransmitter</w:t>
      </w:r>
      <w:r w:rsidRPr="003E53D0">
        <w:rPr>
          <w:color w:val="000000" w:themeColor="text1"/>
        </w:rPr>
        <w:t xml:space="preserve"> changes in response to anti-depressant medication</w:t>
      </w:r>
      <w:r w:rsidR="002C7794" w:rsidRPr="003E53D0">
        <w:rPr>
          <w:color w:val="000000" w:themeColor="text1"/>
        </w:rPr>
        <w:fldChar w:fldCharType="begin" w:fldLock="1"/>
      </w:r>
      <w:r w:rsidR="00133B53">
        <w:rPr>
          <w:color w:val="000000" w:themeColor="text1"/>
        </w:rPr>
        <w:instrText>ADDIN CSL_CITATION {"citationItems":[{"id":"ITEM-1","itemData":{"DOI":"10.1007/s00213-014-3687-y","ISSN":"14322072","PMID":"25074444","abstract":"Rationale: Magnetic resonance spectroscopy (MRS) is an acceptable non-invasive means of studying brain neurochemistry in depression. Previous studies in depressed patients have focused on measurement of the amino acid neurotransmitters, γ-aminobutyric acid (GABA) and glutamate. Objectives: The aim of this study is to use MRS in conjunction with the ultrashort echo time 'SPECIAL' technique to measure cortical levels of GABA, glutamate and glutathione (GSH) levels in unmedicated patients with major depression. We also examined the effect of 6-week treatment with the selective serotonin re-uptake inhibitor, escitalopram. Methods: We studied patients with DSM-IV major depression and healthy age-matched controls using proton MRS. GABA, glutamate and GSH were measured relative to creatine in a voxel placed in occipital cortex. Results: There was no difference in GABA or glutamate levels between depressed participants and controls; however, depressed patients had lower GSH levels. Six-week escitalopram treatment, which resulted in significant clinical responses in some patients, did not alter concentrations of GABA, glutamate or GSH. Conclusions: The sources of variability of GABA and glutamate measures in different studies of depressed patients require further study. Our results suggest that concomitant treatment with selective serotonin re-uptake inhibitors (SSRIs) is unlikely to be an important confounding factor. If lowered GSH levels can be confirmed, they may represent the presence of oxidative stress in some depressed patients.","author":[{"dropping-particle":"","family":"Godlewska","given":"Beata R.","non-dropping-particle":"","parse-names":false,"suffix":""},{"dropping-particle":"","family":"Near","given":"Jamie","non-dropping-particle":"","parse-names":false,"suffix":""},{"dropping-particle":"","family":"Cowen","given":"Philip J.","non-dropping-particle":"","parse-names":false,"suffix":""}],"container-title":"Psychopharmacology","id":"ITEM-1","issue":"3","issued":{"date-parts":[["2015"]]},"page":"501-507","publisher":"Springer Verlag","title":"Neurochemistry of major depression: A study using magnetic resonance spectroscopy","type":"article-journal","volume":"232"},"uris":["http://www.mendeley.com/documents/?uuid=063c3c81-8dd1-378f-ae1c-2d34b52cc418"]},{"id":"ITEM-2","itemData":{"DOI":"10.1111/pcn.12850","ISSN":"14401819","PMID":"30973183","abstract":"Aim: The purpose of this study was to examine treatment-related neurochemical changes in 28 unmedicated obsessive–compulsive disorder (OCD) patients using 1H-magnetic resonance spectroscopy (1H-MRS). Methods: We included subjects diagnosed with OCD (n = 28), each with a total duration of illness of less than 5 years, as a study group and age- and sex-matched healthy controls (n = 26). The inclusion criteria for the OCD group were right-handed individuals aged 18 years or older who had not been on any specific treatment for OCD for the last at least 8 weeks and who had no other psychiatric comorbidity. A pre–post and case–control design was employed in which OCD patients underwent 1H-MRS at baseline and 12 weeks after treatment with escitalopram (n = 21). Clinical assessment was carried out using a semi-structured pro forma Yale–Brown Obsessive Compulsive Scale and the World Health Organization Disability Assessment Scale 2.0 before and after treatment. Volume-localized 1H-MRS was carried out with a 3-Tesla Philips MR scanner. Results: Our data suggested higher levels of myoinositol (mI), total choline (tCho), and glutamate+glutamine (Glx) in the medial thalamus at pre-assessment in OCD subjects as compared to healthy controls and a significant reduction in tCho and Glx after treatment in OCD subjects. The mI levels in the caudate nucleus and Glx levels in the anterior cingulate cortex were significantly correlated with disease severity on the Yale–Brown Obsessive Compulsive Scale. Conclusion: Our study supports the hypothesis of a hyper-glutaminergic state (as suggested by increased Glx levels) and neurodegeneration (as suggested by increased tCho and mI in the thalamus) in cortico-striato-thalamocortical circuitry in OCD patients as suggested by previous studies using MRS as well as other functional imaging studies.","author":[{"dropping-particle":"","family":"Parmar","given":"Arpit","non-dropping-particle":"","parse-names":false,"suffix":""},{"dropping-particle":"","family":"Sharan","given":"Pratap","non-dropping-particle":"","parse-names":false,"suffix":""},{"dropping-particle":"","family":"Khandelwal","given":"Sudhir Kumar","non-dropping-particle":"","parse-names":false,"suffix":""},{"dropping-particle":"","family":"Agarwal","given":"Khushbu","non-dropping-particle":"","parse-names":false,"suffix":""},{"dropping-particle":"","family":"Sharma","given":"Uma","non-dropping-particle":"","parse-names":false,"suffix":""},{"dropping-particle":"","family":"Jagannathan","given":"Naranamanglam Raghunathan","non-dropping-particle":"","parse-names":false,"suffix":""}],"container-title":"Psychiatry and Clinical Neurosciences","id":"ITEM-2","issue":"7","issued":{"date-parts":[["2019","7","1"]]},"page":"386-393","publisher":"Blackwell Publishing","title":"Brain neurochemistry in unmedicated obsessive–compulsive disorder patients and effects of 12-week escitalopram treatment: 1H-magnetic resonance spectroscopy study","type":"article-journal","volume":"73"},"uris":["http://www.mendeley.com/documents/?uuid=13bfd5f6-8eeb-32ad-b16c-870deefa5628"]},{"id":"ITEM-3","itemData":{"DOI":"10.1007/s00213-015-4189-2","ISSN":"14322072","PMID":"26758281","abstract":"Rationale: Lithium is an effective treatment for bipolar disorder, but safety issues complicate its clinical use. The antioxidant drug, ebselen, may be a possible lithium-mimetic based on its ability to inhibit inositol monophosphatase (IMPase), an action which it shares with lithium. Objectives: Our primary aim was to determine whether ebselen lowered levels of inositol in the human brain. We also assessed the effect of ebselen on other brain neurometabolites, including glutathione, glutamate, glutamine, and glutamate + glutamine (Glx) Methods: Twenty healthy volunteers were tested on two occasions receiving either ebselen (3600 mg over 24 h) or identical placebo in a double-blind, random-order, crossover design. Two hours after the final dose of ebselen/placebo, participants underwent proton magnetic resonance spectroscopy (1H MRS) at 7 tesla (T) with voxels placed in the anterior cingulate and occipital cortex. Neurometabolite levels were calculated using an unsuppressed water signal as a reference and corrected for individual cerebrospinal fluid content in the voxel. Results: Ebselen produced no effect on neurometabolite levels in the occipital cortex. In the anterior cingulate cortex, ebselen lowered concentrations of inositol (p = 0.028, Cohen's d = 0.60) as well as those of glutathione (p = 0.033, d = 0.58), glutamine (p = 0.024, d = 0.62), glutamate (p = 0.01, d = 0.73), and Glx (p = 0.001, d = 1.0). Conclusions: The study suggests that ebselen produces a functional inhibition of IMPase in the human brain. The effect of ebselen to lower glutamate is consistent with its reported ability to inhibit the enzyme, glutaminase. Ebselen may have potential as a repurposed treatment for bipolar disorder.","author":[{"dropping-particle":"","family":"Masaki","given":"Charles","non-dropping-particle":"","parse-names":false,"suffix":""},{"dropping-particle":"","family":"Sharpley","given":"Ann L.","non-dropping-particle":"","parse-names":false,"suffix":""},{"dropping-particle":"","family":"Godlewska","given":"Beata R.","non-dropping-particle":"","parse-names":false,"suffix":""},{"dropping-particle":"","family":"Berrington","given":"Adam","non-dropping-particle":"","parse-names":false,"suffix":""},{"dropping-particle":"","family":"Hashimoto","given":"Tasuku","non-dropping-particle":"","parse-names":false,"suffix":""},{"dropping-particle":"","family":"Singh","given":"Nisha","non-dropping-particle":"","parse-names":false,"suffix":""},{"dropping-particle":"","family":"Vasudevan","given":"Sridhar R.","non-dropping-particle":"","parse-names":false,"suffix":""},{"dropping-particle":"","family":"Emir","given":"Uzay E.","non-dropping-particle":"","parse-names":false,"suffix":""},{"dropping-particle":"","family":"Churchill","given":"Grant C.","non-dropping-particle":"","parse-names":false,"suffix":""},{"dropping-particle":"","family":"Cowen","given":"Philip J.","non-dropping-particle":"","parse-names":false,"suffix":""}],"container-title":"Psychopharmacology","id":"ITEM-3","issue":"6","issued":{"date-parts":[["2016","3","1"]]},"page":"1097-1104","publisher":"Springer Verlag","title":"Effects of the potential lithium-mimetic, ebselen, on brain neurochemistry: A magnetic resonance spectroscopy study at 7 tesla","type":"article-journal","volume":"233"},"uris":["http://www.mendeley.com/documents/?uuid=5bb8bb83-246a-3a86-a312-9731dfb3597f"]}],"mendeley":{"formattedCitation":"(165–167)","plainTextFormattedCitation":"(165–167)","previouslyFormattedCitation":"(165–167)"},"properties":{"noteIndex":0},"schema":"https://github.com/citation-style-language/schema/raw/master/csl-citation.json"}</w:instrText>
      </w:r>
      <w:r w:rsidR="002C7794" w:rsidRPr="003E53D0">
        <w:rPr>
          <w:color w:val="000000" w:themeColor="text1"/>
        </w:rPr>
        <w:fldChar w:fldCharType="separate"/>
      </w:r>
      <w:r w:rsidR="00030235" w:rsidRPr="00030235">
        <w:rPr>
          <w:noProof/>
          <w:color w:val="000000" w:themeColor="text1"/>
        </w:rPr>
        <w:t>(165–167)</w:t>
      </w:r>
      <w:r w:rsidR="002C7794" w:rsidRPr="003E53D0">
        <w:rPr>
          <w:color w:val="000000" w:themeColor="text1"/>
        </w:rPr>
        <w:fldChar w:fldCharType="end"/>
      </w:r>
      <w:r w:rsidR="00EF3E06" w:rsidRPr="003E53D0">
        <w:rPr>
          <w:color w:val="000000" w:themeColor="text1"/>
        </w:rPr>
        <w:t>, and similarly</w:t>
      </w:r>
      <w:r w:rsidR="00A41045" w:rsidRPr="003E53D0">
        <w:rPr>
          <w:color w:val="000000" w:themeColor="text1"/>
        </w:rPr>
        <w:t>,</w:t>
      </w:r>
      <w:r w:rsidR="00EF3E06" w:rsidRPr="003E53D0">
        <w:rPr>
          <w:color w:val="000000" w:themeColor="text1"/>
        </w:rPr>
        <w:t xml:space="preserve"> this approach can be used </w:t>
      </w:r>
      <w:r w:rsidR="00A41045" w:rsidRPr="003E53D0">
        <w:rPr>
          <w:color w:val="000000" w:themeColor="text1"/>
        </w:rPr>
        <w:t>to</w:t>
      </w:r>
      <w:r w:rsidR="002007F2" w:rsidRPr="003E53D0">
        <w:rPr>
          <w:color w:val="000000" w:themeColor="text1"/>
        </w:rPr>
        <w:t xml:space="preserve"> </w:t>
      </w:r>
      <w:r w:rsidR="00EF3E06" w:rsidRPr="003E53D0">
        <w:rPr>
          <w:color w:val="000000" w:themeColor="text1"/>
        </w:rPr>
        <w:t xml:space="preserve">study </w:t>
      </w:r>
      <w:r w:rsidR="002007F2" w:rsidRPr="003E53D0">
        <w:rPr>
          <w:color w:val="000000" w:themeColor="text1"/>
        </w:rPr>
        <w:t>psychedelic</w:t>
      </w:r>
      <w:r w:rsidR="002C7794" w:rsidRPr="003E53D0">
        <w:rPr>
          <w:color w:val="000000" w:themeColor="text1"/>
        </w:rPr>
        <w:t>s</w:t>
      </w:r>
      <w:r w:rsidR="002007F2" w:rsidRPr="003E53D0">
        <w:rPr>
          <w:color w:val="000000" w:themeColor="text1"/>
        </w:rPr>
        <w:t>.</w:t>
      </w:r>
      <w:r w:rsidRPr="003E53D0">
        <w:rPr>
          <w:color w:val="000000" w:themeColor="text1"/>
        </w:rPr>
        <w:t xml:space="preserve"> </w:t>
      </w:r>
      <w:r w:rsidR="00EF3E06" w:rsidRPr="003E53D0">
        <w:rPr>
          <w:color w:val="000000" w:themeColor="text1"/>
        </w:rPr>
        <w:t xml:space="preserve">In 2017, an open label </w:t>
      </w:r>
      <w:r w:rsidR="00941A5B" w:rsidRPr="003E53D0">
        <w:rPr>
          <w:color w:val="000000" w:themeColor="text1"/>
        </w:rPr>
        <w:t xml:space="preserve">uncontrolled </w:t>
      </w:r>
      <w:r w:rsidR="00EF3E06" w:rsidRPr="003E53D0">
        <w:rPr>
          <w:color w:val="000000" w:themeColor="text1"/>
          <w:shd w:val="clear" w:color="auto" w:fill="FFFFFF"/>
          <w:vertAlign w:val="superscript"/>
        </w:rPr>
        <w:t>1</w:t>
      </w:r>
      <w:r w:rsidR="00EF3E06" w:rsidRPr="003E53D0">
        <w:rPr>
          <w:color w:val="000000" w:themeColor="text1"/>
          <w:shd w:val="clear" w:color="auto" w:fill="FFFFFF"/>
        </w:rPr>
        <w:t>H</w:t>
      </w:r>
      <w:r w:rsidR="00EF3E06" w:rsidRPr="003E53D0">
        <w:rPr>
          <w:color w:val="000000" w:themeColor="text1"/>
        </w:rPr>
        <w:t xml:space="preserve"> MRS study was conducted to measure</w:t>
      </w:r>
      <w:r w:rsidR="00A41045" w:rsidRPr="003E53D0">
        <w:rPr>
          <w:color w:val="000000" w:themeColor="text1"/>
        </w:rPr>
        <w:t xml:space="preserve"> </w:t>
      </w:r>
      <w:r w:rsidR="0072187A">
        <w:rPr>
          <w:color w:val="000000" w:themeColor="text1"/>
        </w:rPr>
        <w:t xml:space="preserve">metabolite </w:t>
      </w:r>
      <w:r w:rsidR="00EF3E06" w:rsidRPr="003E53D0">
        <w:rPr>
          <w:color w:val="000000" w:themeColor="text1"/>
        </w:rPr>
        <w:t xml:space="preserve">change in the brain 24 hours after (post-acute) administration of ayahuasca </w:t>
      </w:r>
      <w:r w:rsidR="00941A5B" w:rsidRPr="003E53D0">
        <w:rPr>
          <w:color w:val="000000" w:themeColor="text1"/>
        </w:rPr>
        <w:t xml:space="preserve">(containing 0.64 mg/kg of DMT) </w:t>
      </w:r>
      <w:r w:rsidR="00EF3E06" w:rsidRPr="003E53D0">
        <w:rPr>
          <w:color w:val="000000" w:themeColor="text1"/>
        </w:rPr>
        <w:t>in healthy volunteers</w:t>
      </w:r>
      <w:r w:rsidR="00941A5B" w:rsidRPr="003E53D0">
        <w:rPr>
          <w:color w:val="000000" w:themeColor="text1"/>
        </w:rPr>
        <w:fldChar w:fldCharType="begin" w:fldLock="1"/>
      </w:r>
      <w:r w:rsidR="00133B53">
        <w:rPr>
          <w:color w:val="000000" w:themeColor="text1"/>
        </w:rPr>
        <w:instrText>ADDIN CSL_CITATION {"citationItems":[{"id":"ITEM-1","itemData":{"DOI":"10.1093/ijnp/pyx036","ISSN":"14695111","PMID":"28525587","abstract":"Background: Ayahuasca is a plant tea containing the psychedelic 5-HT2A agonist N,N-dimethyltryptamine and harmala monoamine-oxidase inhibitors. Acute administration leads to neurophysiological modifications in brain regions of the default mode network, purportedly through a glutamatergic mechanism. Post-acutely, ayahuasca potentiates mindfulness capacities in volunteers and induces rapid and sustained antidepressant effects in treatment-resistant patients. However, the mechanisms underlying these fast and maintained effects are poorly understood. Here, we investigated in an open-label uncontrolled study in 16 healthy volunteers ayahuasca-induced post-acute neurometabolic and connectivity modifications and their association with mindfulness measures. Methods: Using 1H-magnetic resonance spectroscopy and functional connectivity, we compared baseline and post-acute neurometabolites and seed-to-voxel connectivity in the posterior and anterior cingulate cortex after a single ayahuasca dose. Results: Magnetic resonance spectroscopy showed post-acute reductions in glutamate+glutamine, creatine, and N-acetylaspartate+N-acetylaspartylglutamate in the posterior cingulate cortex. Connectivity was increased between the posterior cingulate cortex and the anterior cingulate cortex, and between the anterior cingulate cortex and limbic structures in the right medial temporal lobe. Glutamate+glutamine reductions correlated with increases in the \"nonjudging\" subscale of the Five Facets Mindfulness Questionnaire. Increased anterior cingulate cortex-medial temporal lobe connectivity correlated with increased scores on the self-compassion questionnaire. Post-acute neural changes predicted sustained elevations in nonjudging 2 months later. Conclusions: These results support the involvement of glutamate neurotransmission in the effects of psychedelics in humans. They further suggest that neurometabolic changes in the posterior cingulate cortex, a key region within the default mode network, and increased connectivity between the anterior cingulate cortex and medial temporal lobe structures involved in emotion and memory potentially underlie the post-acute psychological effects of ayahuasca.","author":[{"dropping-particle":"","family":"Sampedro","given":"Frederic","non-dropping-particle":"","parse-names":false,"suffix":""},{"dropping-particle":"","family":"Revenga","given":"Mario De La Fuente","non-dropping-particle":"","parse-names":false,"suffix":""},{"dropping-particle":"","family":"Valle","given":"Marta","non-dropping-particle":"","parse-names":false,"suffix":""},{"dropping-particle":"","family":"Roberto","given":"Natalia","non-dropping-particle":"","parse-names":false,"suffix":""},{"dropping-particle":"","family":"Domínguez-Clavé","given":"Elisabet","non-dropping-particle":"","parse-names":false,"suffix":""},{"dropping-particle":"","family":"Elices","given":"Matilde","non-dropping-particle":"","parse-names":false,"suffix":""},{"dropping-particle":"","family":"Luna","given":"Luís Eduardo","non-dropping-particle":"","parse-names":false,"suffix":""},{"dropping-particle":"","family":"Crippa","given":"José Alexandre S.","non-dropping-particle":"","parse-names":false,"suffix":""},{"dropping-particle":"","family":"Hallak","given":"Jaime E.C.","non-dropping-particle":"","parse-names":false,"suffix":""},{"dropping-particle":"","family":"Araujo","given":"Draulio B.De","non-dropping-particle":"","parse-names":false,"suffix":""},{"dropping-particle":"","family":"Friedlander","given":"Pablo","non-dropping-particle":"","parse-names":false,"suffix":""},{"dropping-particle":"","family":"Barker","given":"Steven A.","non-dropping-particle":"","parse-names":false,"suffix":""},{"dropping-particle":"","family":"Álvarez","given":"Enrique","non-dropping-particle":"","parse-names":false,"suffix":""},{"dropping-particle":"","family":"Soler","given":"Joaquim","non-dropping-particle":"","parse-names":false,"suffix":""},{"dropping-particle":"","family":"Pascual","given":"Juan C.","non-dropping-particle":"","parse-names":false,"suffix":""},{"dropping-particle":"","family":"Feilding","given":"Amanda","non-dropping-particle":"","parse-names":false,"suffix":""},{"dropping-particle":"","family":"Riba","given":"Jordi","non-dropping-particle":"","parse-names":false,"suffix":""}],"container-title":"International Journal of Neuropsychopharmacology","id":"ITEM-1","issue":"9","issued":{"date-parts":[["2017","9","1"]]},"page":"698-711","publisher":"Oxford University Press","title":"Assessing the psychedelic \"after-glow\" in ayahuasca users: Post-acute neurometabolic and functional connectivity changes are associated with enhanced mindfulness capacities","type":"article-journal","volume":"20"},"uris":["http://www.mendeley.com/documents/?uuid=50fc27ef-0f0d-3f83-a4b5-ffac99137083"]}],"mendeley":{"formattedCitation":"(168)","plainTextFormattedCitation":"(168)","previouslyFormattedCitation":"(168)"},"properties":{"noteIndex":0},"schema":"https://github.com/citation-style-language/schema/raw/master/csl-citation.json"}</w:instrText>
      </w:r>
      <w:r w:rsidR="00941A5B" w:rsidRPr="003E53D0">
        <w:rPr>
          <w:color w:val="000000" w:themeColor="text1"/>
        </w:rPr>
        <w:fldChar w:fldCharType="separate"/>
      </w:r>
      <w:r w:rsidR="00030235" w:rsidRPr="00030235">
        <w:rPr>
          <w:noProof/>
          <w:color w:val="000000" w:themeColor="text1"/>
        </w:rPr>
        <w:t>(168)</w:t>
      </w:r>
      <w:r w:rsidR="00941A5B" w:rsidRPr="003E53D0">
        <w:rPr>
          <w:color w:val="000000" w:themeColor="text1"/>
        </w:rPr>
        <w:fldChar w:fldCharType="end"/>
      </w:r>
      <w:r w:rsidR="00EF3E06" w:rsidRPr="003E53D0">
        <w:rPr>
          <w:color w:val="000000" w:themeColor="text1"/>
        </w:rPr>
        <w:t>.</w:t>
      </w:r>
      <w:r w:rsidR="00941A5B" w:rsidRPr="003E53D0">
        <w:rPr>
          <w:color w:val="000000" w:themeColor="text1"/>
        </w:rPr>
        <w:t xml:space="preserve"> </w:t>
      </w:r>
      <w:r w:rsidR="00EF3E06" w:rsidRPr="003E53D0">
        <w:rPr>
          <w:color w:val="000000" w:themeColor="text1"/>
        </w:rPr>
        <w:t xml:space="preserve">MRS results showed the posterior cingulate cortex </w:t>
      </w:r>
      <w:r w:rsidR="00D531A2">
        <w:rPr>
          <w:color w:val="000000" w:themeColor="text1"/>
        </w:rPr>
        <w:t xml:space="preserve">(PCC) </w:t>
      </w:r>
      <w:r w:rsidR="00EF3E06" w:rsidRPr="003E53D0">
        <w:rPr>
          <w:color w:val="000000" w:themeColor="text1"/>
        </w:rPr>
        <w:t>had a reduction of glutamate, glutamine, creatine, n-</w:t>
      </w:r>
      <w:proofErr w:type="spellStart"/>
      <w:r w:rsidR="00EF3E06" w:rsidRPr="003E53D0">
        <w:rPr>
          <w:color w:val="000000" w:themeColor="text1"/>
        </w:rPr>
        <w:t>acetylaspartate</w:t>
      </w:r>
      <w:proofErr w:type="spellEnd"/>
      <w:r w:rsidR="00EF3E06" w:rsidRPr="003E53D0">
        <w:rPr>
          <w:color w:val="000000" w:themeColor="text1"/>
        </w:rPr>
        <w:t xml:space="preserve"> and n-</w:t>
      </w:r>
      <w:proofErr w:type="spellStart"/>
      <w:r w:rsidR="00EF3E06" w:rsidRPr="003E53D0">
        <w:rPr>
          <w:color w:val="000000" w:themeColor="text1"/>
        </w:rPr>
        <w:t>acetylaspartylglutamate</w:t>
      </w:r>
      <w:proofErr w:type="spellEnd"/>
      <w:r w:rsidR="00EF3E06" w:rsidRPr="003E53D0">
        <w:rPr>
          <w:color w:val="000000" w:themeColor="text1"/>
        </w:rPr>
        <w:t xml:space="preserve">. Volunteers completed a mindfulness questionnaire, </w:t>
      </w:r>
      <w:r w:rsidR="00D531A2">
        <w:rPr>
          <w:color w:val="000000" w:themeColor="text1"/>
        </w:rPr>
        <w:t xml:space="preserve">and the </w:t>
      </w:r>
      <w:r w:rsidR="00EF3E06" w:rsidRPr="003E53D0">
        <w:rPr>
          <w:color w:val="000000" w:themeColor="text1"/>
        </w:rPr>
        <w:t xml:space="preserve">reduction </w:t>
      </w:r>
      <w:r w:rsidR="00D531A2">
        <w:rPr>
          <w:color w:val="000000" w:themeColor="text1"/>
        </w:rPr>
        <w:t xml:space="preserve">of </w:t>
      </w:r>
      <w:r w:rsidR="003F284E">
        <w:rPr>
          <w:color w:val="000000" w:themeColor="text1"/>
        </w:rPr>
        <w:t xml:space="preserve">both </w:t>
      </w:r>
      <w:r w:rsidR="003F284E" w:rsidRPr="003E53D0">
        <w:rPr>
          <w:color w:val="000000" w:themeColor="text1"/>
        </w:rPr>
        <w:t>glutamate</w:t>
      </w:r>
      <w:r w:rsidR="003F284E">
        <w:rPr>
          <w:color w:val="000000" w:themeColor="text1"/>
        </w:rPr>
        <w:t xml:space="preserve"> and glutamine (</w:t>
      </w:r>
      <w:proofErr w:type="spellStart"/>
      <w:r w:rsidR="003F284E">
        <w:rPr>
          <w:color w:val="000000" w:themeColor="text1"/>
        </w:rPr>
        <w:t>glx</w:t>
      </w:r>
      <w:proofErr w:type="spellEnd"/>
      <w:r w:rsidR="003F284E">
        <w:rPr>
          <w:color w:val="000000" w:themeColor="text1"/>
        </w:rPr>
        <w:t xml:space="preserve">) </w:t>
      </w:r>
      <w:r w:rsidR="002F5C6C">
        <w:rPr>
          <w:color w:val="000000" w:themeColor="text1"/>
        </w:rPr>
        <w:t xml:space="preserve">was </w:t>
      </w:r>
      <w:r w:rsidR="003F284E">
        <w:rPr>
          <w:color w:val="000000" w:themeColor="text1"/>
        </w:rPr>
        <w:t xml:space="preserve">correlated </w:t>
      </w:r>
      <w:r w:rsidR="00EF3E06" w:rsidRPr="003E53D0">
        <w:rPr>
          <w:color w:val="000000" w:themeColor="text1"/>
        </w:rPr>
        <w:t>with an increase in the non-judging subscale score</w:t>
      </w:r>
      <w:r w:rsidR="00D531A2">
        <w:rPr>
          <w:color w:val="000000" w:themeColor="text1"/>
        </w:rPr>
        <w:t xml:space="preserve">. It was speculated that the post-acute decrease of </w:t>
      </w:r>
      <w:proofErr w:type="spellStart"/>
      <w:r w:rsidR="00D531A2" w:rsidRPr="003E53D0">
        <w:rPr>
          <w:color w:val="000000" w:themeColor="text1"/>
        </w:rPr>
        <w:t>gl</w:t>
      </w:r>
      <w:r w:rsidR="003F284E">
        <w:rPr>
          <w:color w:val="000000" w:themeColor="text1"/>
        </w:rPr>
        <w:t>x</w:t>
      </w:r>
      <w:proofErr w:type="spellEnd"/>
      <w:r w:rsidR="003F284E">
        <w:rPr>
          <w:color w:val="000000" w:themeColor="text1"/>
        </w:rPr>
        <w:t xml:space="preserve"> </w:t>
      </w:r>
      <w:r w:rsidR="00D531A2">
        <w:rPr>
          <w:color w:val="000000" w:themeColor="text1"/>
        </w:rPr>
        <w:t>in the PCC could be a result of excitatory activity increasing during the acute phase</w:t>
      </w:r>
      <w:r w:rsidR="0094607E">
        <w:rPr>
          <w:color w:val="000000" w:themeColor="text1"/>
        </w:rPr>
        <w:t>,</w:t>
      </w:r>
      <w:r w:rsidR="00D531A2">
        <w:rPr>
          <w:color w:val="000000" w:themeColor="text1"/>
        </w:rPr>
        <w:t xml:space="preserve"> </w:t>
      </w:r>
      <w:r w:rsidR="0094607E">
        <w:rPr>
          <w:color w:val="000000" w:themeColor="text1"/>
        </w:rPr>
        <w:t>unfortunately the MRS was not conducted during the acute phase to confirm this but the hypothesis is in agreement with</w:t>
      </w:r>
      <w:r w:rsidR="00D531A2">
        <w:rPr>
          <w:color w:val="000000" w:themeColor="text1"/>
        </w:rPr>
        <w:t xml:space="preserve"> past rat studies that found that psychedelics have an excitatory effect on</w:t>
      </w:r>
      <w:r w:rsidR="0094607E">
        <w:rPr>
          <w:color w:val="000000" w:themeColor="text1"/>
        </w:rPr>
        <w:t xml:space="preserve"> neurons that</w:t>
      </w:r>
      <w:r w:rsidR="00D531A2">
        <w:rPr>
          <w:color w:val="000000" w:themeColor="text1"/>
        </w:rPr>
        <w:t xml:space="preserve"> projec</w:t>
      </w:r>
      <w:r w:rsidR="0094607E">
        <w:rPr>
          <w:color w:val="000000" w:themeColor="text1"/>
        </w:rPr>
        <w:t>t to the neocortex</w:t>
      </w:r>
      <w:r w:rsidR="00CD4922">
        <w:rPr>
          <w:color w:val="000000" w:themeColor="text1"/>
        </w:rPr>
        <w:fldChar w:fldCharType="begin" w:fldLock="1"/>
      </w:r>
      <w:r w:rsidR="00966577">
        <w:rPr>
          <w:color w:val="000000" w:themeColor="text1"/>
        </w:rPr>
        <w:instrText>ADDIN CSL_CITATION {"citationItems":[{"id":"ITEM-1","itemData":{"DOI":"10.1124/pr.115.011478","ISSN":"15210081","PMID":"26841800","abstract":"Psychedelics (serotonergic hallucinogens) are powerful psychoactive substances that alter perception and mood and affect numerous cognitive processes. They are generally considered physiologically safe and do not lead to dependence or addiction. Their origin predates written history, and they were employed by early cultures in many sociocultural and ritual contexts. After the virtually contemporaneous discovery of (5R,8R)-(+)-lysergic acid-N,N-diethylamide (LSD)-25 and the identification of serotonin in the brain, early research focused intensively on the possibility that LSD and other psychedelics had a serotonergic basis for their action. Today there is a consensus that psychedelics are agonists or partial agonists at brain serotonin 5-hydroxytryptamine 2A receptors, with particular importance on those expressed on apical dendrites of neocortical pyramidal cells in layer V. Several useful rodent models have been developed over the years to help unravel the neurochemical correlates of serotonin 5-hydroxytryptamine 2A receptor activation in the brain, and a variety of imaging techniques have been employed to identify key brain areas that are directly affected by psychedelics. Recent and exciting developments in the field have occurred in clinical research, where several double-blind placebo-controlled phase 2 studies of psilocybin-assisted psychotherapy in patients with cancer-related psychosocial distress have demonstrated unprecedented positive relief of anxiety and depression. Two small pilot studies of psilocybinassisted psychotherapy also have shown positive benefit in treating both alcohol and nicotine addiction. Recently, blood oxygen level–dependent functional magnetic resonance imaging and magnetoencephalography have been employed for in vivo brain imaging in humans after administration of a psychedelic, and results indicate that intravenously administered psilocybin and LSD produce decreases in oscillatory power in areas of the brain’s default mode network.","author":[{"dropping-particle":"","family":"Nichols","given":"David E.","non-dropping-particle":"","parse-names":false,"suffix":""}],"container-title":"Pharmacological Reviews","id":"ITEM-1","issue":"2","issued":{"date-parts":[["2016","4","1"]]},"page":"264-355","publisher":"American Society for Pharmacology and Experimental Therapy","title":"Psychedelics","type":"article-journal","volume":"68"},"uris":["http://www.mendeley.com/documents/?uuid=542acdcf-054a-3f7c-8eb2-ddacc5e43cd3"]}],"mendeley":{"formattedCitation":"(51)","plainTextFormattedCitation":"(51)","previouslyFormattedCitation":"(51)"},"properties":{"noteIndex":0},"schema":"https://github.com/citation-style-language/schema/raw/master/csl-citation.json"}</w:instrText>
      </w:r>
      <w:r w:rsidR="00CD4922">
        <w:rPr>
          <w:color w:val="000000" w:themeColor="text1"/>
        </w:rPr>
        <w:fldChar w:fldCharType="separate"/>
      </w:r>
      <w:r w:rsidR="007B4533" w:rsidRPr="007B4533">
        <w:rPr>
          <w:noProof/>
          <w:color w:val="000000" w:themeColor="text1"/>
        </w:rPr>
        <w:t>(51)</w:t>
      </w:r>
      <w:r w:rsidR="00CD4922">
        <w:rPr>
          <w:color w:val="000000" w:themeColor="text1"/>
        </w:rPr>
        <w:fldChar w:fldCharType="end"/>
      </w:r>
      <w:r w:rsidR="003F284E">
        <w:rPr>
          <w:color w:val="000000" w:themeColor="text1"/>
        </w:rPr>
        <w:t>, which would include the PCC region</w:t>
      </w:r>
      <w:r w:rsidR="0094607E">
        <w:rPr>
          <w:color w:val="000000" w:themeColor="text1"/>
        </w:rPr>
        <w:t xml:space="preserve">. Overall, this MRS study </w:t>
      </w:r>
      <w:r w:rsidR="00EF3E06" w:rsidRPr="003E53D0">
        <w:rPr>
          <w:color w:val="000000" w:themeColor="text1"/>
        </w:rPr>
        <w:t xml:space="preserve">is important </w:t>
      </w:r>
      <w:r w:rsidR="0094607E">
        <w:rPr>
          <w:color w:val="000000" w:themeColor="text1"/>
        </w:rPr>
        <w:t>as it has endeavoured to</w:t>
      </w:r>
      <w:r w:rsidR="00941A5B" w:rsidRPr="003E53D0">
        <w:rPr>
          <w:color w:val="000000" w:themeColor="text1"/>
        </w:rPr>
        <w:t xml:space="preserve"> </w:t>
      </w:r>
      <w:r w:rsidR="00EF3E06" w:rsidRPr="003E53D0">
        <w:rPr>
          <w:color w:val="000000" w:themeColor="text1"/>
        </w:rPr>
        <w:t xml:space="preserve">connect neurochemical changes with </w:t>
      </w:r>
      <w:r w:rsidR="00941A5B" w:rsidRPr="003E53D0">
        <w:rPr>
          <w:color w:val="000000" w:themeColor="text1"/>
        </w:rPr>
        <w:t>the psychological experience of ayahuasca</w:t>
      </w:r>
      <w:r w:rsidR="00EF3E06" w:rsidRPr="003E53D0">
        <w:rPr>
          <w:color w:val="000000" w:themeColor="text1"/>
        </w:rPr>
        <w:t xml:space="preserve">. The magnetic field strength needed to obtain spectra in this study was 3 Tesla (T). </w:t>
      </w:r>
      <w:r w:rsidR="00941A5B" w:rsidRPr="003E53D0">
        <w:rPr>
          <w:color w:val="000000" w:themeColor="text1"/>
        </w:rPr>
        <w:t xml:space="preserve">This </w:t>
      </w:r>
      <w:r w:rsidR="00EF3E06" w:rsidRPr="003E53D0">
        <w:rPr>
          <w:color w:val="000000" w:themeColor="text1"/>
        </w:rPr>
        <w:t xml:space="preserve">a limitation </w:t>
      </w:r>
      <w:r w:rsidR="00941A5B" w:rsidRPr="003E53D0">
        <w:rPr>
          <w:color w:val="000000" w:themeColor="text1"/>
        </w:rPr>
        <w:t>because</w:t>
      </w:r>
      <w:r w:rsidR="00EF3E06" w:rsidRPr="003E53D0">
        <w:rPr>
          <w:color w:val="000000" w:themeColor="text1"/>
        </w:rPr>
        <w:t xml:space="preserve"> 3T studies are out of date with the popularisation of MRS studies that use better superconducting magnets. </w:t>
      </w:r>
      <w:r w:rsidR="00EF3E06" w:rsidRPr="003E53D0">
        <w:rPr>
          <w:color w:val="000000" w:themeColor="text1"/>
          <w:shd w:val="clear" w:color="auto" w:fill="FFFFFF"/>
          <w:vertAlign w:val="superscript"/>
        </w:rPr>
        <w:t>1</w:t>
      </w:r>
      <w:r w:rsidR="00EF3E06" w:rsidRPr="003E53D0">
        <w:rPr>
          <w:color w:val="000000" w:themeColor="text1"/>
          <w:shd w:val="clear" w:color="auto" w:fill="FFFFFF"/>
        </w:rPr>
        <w:t>H</w:t>
      </w:r>
      <w:r w:rsidR="00EF3E06" w:rsidRPr="003E53D0">
        <w:rPr>
          <w:color w:val="000000" w:themeColor="text1"/>
        </w:rPr>
        <w:t xml:space="preserve"> MRS studies can now safely use higher</w:t>
      </w:r>
      <w:r w:rsidR="008E2362" w:rsidRPr="003E53D0">
        <w:rPr>
          <w:color w:val="000000" w:themeColor="text1"/>
        </w:rPr>
        <w:t xml:space="preserve"> magnetic</w:t>
      </w:r>
      <w:r w:rsidR="00EF3E06" w:rsidRPr="003E53D0">
        <w:rPr>
          <w:color w:val="000000" w:themeColor="text1"/>
        </w:rPr>
        <w:t xml:space="preserve"> field strengths of 7T</w:t>
      </w:r>
      <w:r w:rsidR="00EF3E06" w:rsidRPr="003E53D0">
        <w:rPr>
          <w:color w:val="000000" w:themeColor="text1"/>
        </w:rPr>
        <w:fldChar w:fldCharType="begin" w:fldLock="1"/>
      </w:r>
      <w:r w:rsidR="00133B53">
        <w:rPr>
          <w:color w:val="000000" w:themeColor="text1"/>
        </w:rPr>
        <w:instrText>ADDIN CSL_CITATION {"citationItems":[{"id":"ITEM-1","itemData":{"DOI":"10.1016/j.pnmrs.2018.06.001","ISSN":"00796565","PMID":"30527132","abstract":"Magnetic resonance imaging and spectroscopic techniques are widely used in humans both for clinical diagnostic applications and in basic research areas such as cognitive neuroimaging. In recent years, new human MR systems have become available operating at static magnetic fields of 7 T or higher (≥300 MHz proton frequency). Imaging human-sized objects at such high frequencies presents several challenges including non-uniform radiofrequency fields, enhanced susceptibility artifacts, and higher radiofrequency energy deposition in the tissue. On the other side of the scale are gains in signal-to-noise or contrast-to-noise ratio that allow finer structures to be visualized and smaller physiological effects to be detected. This review presents an overview of some of the latest methodological developments in human ultra-high field MRI/MRS as well as associated clinical and scientific applications. Emphasis is given to techniques that particularly benefit from the changing physical characteristics at high magnetic fields, including susceptibility-weighted imaging and phase-contrast techniques, imaging with X-nuclei, MR spectroscopy, CEST imaging, as well as functional MRI. In addition, more general methodological developments such as parallel transmission and motion correction will be discussed that are required to leverage the full potential of higher magnetic fields, and an overview of relevant physiological considerations of human high magnetic field exposure is provided.","author":[{"dropping-particle":"","family":"Ladd","given":"Mark E.","non-dropping-particle":"","parse-names":false,"suffix":""},{"dropping-particle":"","family":"Bachert","given":"Peter","non-dropping-particle":"","parse-names":false,"suffix":""},{"dropping-particle":"","family":"Meyerspeer","given":"Martin","non-dropping-particle":"","parse-names":false,"suffix":""},{"dropping-particle":"","family":"Moser","given":"Ewald","non-dropping-particle":"","parse-names":false,"suffix":""},{"dropping-particle":"","family":"Nagel","given":"Armin M.","non-dropping-particle":"","parse-names":false,"suffix":""},{"dropping-particle":"","family":"Norris","given":"David G.","non-dropping-particle":"","parse-names":false,"suffix":""},{"dropping-particle":"","family":"Schmitter","given":"Sebastian","non-dropping-particle":"","parse-names":false,"suffix":""},{"dropping-particle":"","family":"Speck","given":"Oliver","non-dropping-particle":"","parse-names":false,"suffix":""},{"dropping-particle":"","family":"Straub","given":"Sina","non-dropping-particle":"","parse-names":false,"suffix":""},{"dropping-particle":"","family":"Zaiss","given":"Moritz","non-dropping-particle":"","parse-names":false,"suffix":""}],"container-title":"Progress in Nuclear Magnetic Resonance Spectroscopy","id":"ITEM-1","issued":{"date-parts":[["2018","12","1"]]},"page":"1-50","publisher":"Elsevier B.V.","title":"Pros and cons of ultra-high-field MRI/MRS for human application","type":"article","volume":"109"},"uris":["http://www.mendeley.com/documents/?uuid=bcc047a1-7ae9-3974-ab57-0bf30933a896"]}],"mendeley":{"formattedCitation":"(169)","plainTextFormattedCitation":"(169)","previouslyFormattedCitation":"(169)"},"properties":{"noteIndex":0},"schema":"https://github.com/citation-style-language/schema/raw/master/csl-citation.json"}</w:instrText>
      </w:r>
      <w:r w:rsidR="00EF3E06" w:rsidRPr="003E53D0">
        <w:rPr>
          <w:color w:val="000000" w:themeColor="text1"/>
        </w:rPr>
        <w:fldChar w:fldCharType="separate"/>
      </w:r>
      <w:r w:rsidR="00030235" w:rsidRPr="00030235">
        <w:rPr>
          <w:noProof/>
          <w:color w:val="000000" w:themeColor="text1"/>
        </w:rPr>
        <w:t>(169)</w:t>
      </w:r>
      <w:r w:rsidR="00EF3E06" w:rsidRPr="003E53D0">
        <w:rPr>
          <w:color w:val="000000" w:themeColor="text1"/>
        </w:rPr>
        <w:fldChar w:fldCharType="end"/>
      </w:r>
      <w:r w:rsidR="00550E1A" w:rsidRPr="003E53D0">
        <w:rPr>
          <w:color w:val="000000" w:themeColor="text1"/>
        </w:rPr>
        <w:t xml:space="preserve"> and beyond</w:t>
      </w:r>
      <w:r w:rsidR="00EF3E06" w:rsidRPr="003E53D0">
        <w:rPr>
          <w:color w:val="000000" w:themeColor="text1"/>
        </w:rPr>
        <w:fldChar w:fldCharType="begin" w:fldLock="1"/>
      </w:r>
      <w:r w:rsidR="00133B53">
        <w:rPr>
          <w:color w:val="000000" w:themeColor="text1"/>
        </w:rPr>
        <w:instrText>ADDIN CSL_CITATION {"citationItems":[{"id":"ITEM-1","itemData":{"DOI":"10.1016/j.neuroimage.2017.01.067","ISSN":"10959572","PMID":"28179167","abstract":"The three goals of this paper are: 1) to evaluate the improvements in technology for increasing magnetic flux density (magnetic field) to 14 T in the next few years and eventually to 20 T; 2) to highlight neuroscience opportunities enabled by these advances; and, 3) to evaluate the physiological and biophysical effects associated with MRI at very high performance levels. Substantial recent advances in magnet technology including superconductor developments enable neuroscience goals that are not obtainable at contemporary magnetic fields. Ten areas of brain neuroscience include potential improvements in resolution for functional MRI(BOLD), diffusion weighted MRI, tractography, susceptibility weighted MR, neuronal architecture patterns related to human behavior, proton spectroscopy of small brain biochemicals, chemical exchange saturation transfer (CEST), dynamic contrast enhanced MRI, brain energy metabolism using 13C, 17O, and 31P; and brain electrolyte physiology using 23Na, 35Cl, and 39K. Physiological phenomena and safety aspects include: absorbed RF power, acoustic sound pressure levels, induced electric fields, Lorentz forces, magnetohydrodynamic forces, and biophysical phenomena in cells and tissues. Where feasible, effects are quantified for magnetic fields beyond 7 T with the conclusion that there are no foreseen barriers either in the technical or human safety aspects of brain MRI and MRS at fields up to 20 T. This conclusion is conditioned on results of recommended experiments to verify the predicted level of physiological effects beyond 9.4 T. This technology is predicted to enable quantification of biochemical components of the functioning brain not detectable heretofore.","author":[{"dropping-particle":"","family":"Budinger","given":"Thomas F.","non-dropping-particle":"","parse-names":false,"suffix":""},{"dropping-particle":"","family":"Bird","given":"Mark D.","non-dropping-particle":"","parse-names":false,"suffix":""}],"container-title":"NeuroImage","id":"ITEM-1","issued":{"date-parts":[["2018","3","1"]]},"page":"509-531","publisher":"Academic Press Inc.","title":"MRI and MRS of the human brain at magnetic fields of 14 T to 20 T: Technical feasibility, safety, and neuroscience horizons","type":"article-journal","volume":"168"},"uris":["http://www.mendeley.com/documents/?uuid=153454d8-5a5f-300a-9d36-0a2469a10e8e"]},{"id":"ITEM-2","itemData":{"DOI":"10.1007/s10334-016-0561-4","ISSN":"13528661","PMID":"27194154","abstract":"An initiative to design and build magnetic resonance imaging (MRI) and spectroscopy (MRS) instruments at 14 T and beyond to 20 T has been underway since 2012. This initiative has been supported by 22 interested participants from the USA and Europe, of which 15 are authors of this review. Advances in high temperature superconductor materials, advances in cryocooling engineering, prospects for non-persistent mode stable magnets, and experiences gained from large-bore, high-field magnet engineering for the nuclear fusion endeavors support the feasibility of a human brain MRI and MRS system with 1 ppm homogeneity over at least a 16-cm diameter volume and a bore size of 68 cm. Twelve neuroscience opportunities are presented as well as an analysis of the biophysical and physiological effects to be investigated before exposing human subjects to the high fields of 14 T and beyond.","author":[{"dropping-particle":"","family":"Budinger","given":"Thomas F.","non-dropping-particle":"","parse-names":false,"suffix":""},{"dropping-particle":"","family":"Bird","given":"Mark D.","non-dropping-particle":"","parse-names":false,"suffix":""},{"dropping-particle":"","family":"Frydman","given":"Lucio","non-dropping-particle":"","parse-names":false,"suffix":""},{"dropping-particle":"","family":"Long","given":"Joanna R.","non-dropping-particle":"","parse-names":false,"suffix":""},{"dropping-particle":"","family":"Mareci","given":"Thomas H.","non-dropping-particle":"","parse-names":false,"suffix":""},{"dropping-particle":"","family":"Rooney","given":"William D.","non-dropping-particle":"","parse-names":false,"suffix":""},{"dropping-particle":"","family":"Rosen","given":"Bruce","non-dropping-particle":"","parse-names":false,"suffix":""},{"dropping-particle":"","family":"Schenck","given":"John F.","non-dropping-particle":"","parse-names":false,"suffix":""},{"dropping-particle":"","family":"Schepkin","given":"Victor D.","non-dropping-particle":"","parse-names":false,"suffix":""},{"dropping-particle":"","family":"Sherry","given":"A. Dean","non-dropping-particle":"","parse-names":false,"suffix":""},{"dropping-particle":"","family":"Sodickson","given":"Daniel K.","non-dropping-particle":"","parse-names":false,"suffix":""},{"dropping-particle":"","family":"Springer","given":"Charles S.","non-dropping-particle":"","parse-names":false,"suffix":""},{"dropping-particle":"","family":"Thulborn","given":"Keith R.","non-dropping-particle":"","parse-names":false,"suffix":""},{"dropping-particle":"","family":"Uğurbil","given":"Kamil","non-dropping-particle":"","parse-names":false,"suffix":""},{"dropping-particle":"","family":"Wald","given":"Lawrence L.","non-dropping-particle":"","parse-names":false,"suffix":""}],"container-title":"Magnetic Resonance Materials in Physics, Biology and Medicine","id":"ITEM-2","issue":"3","issued":{"date-parts":[["2016","6","1"]]},"page":"617-639","publisher":"Springer Verlag","title":"Toward 20 T magnetic resonance for human brain studies: opportunities for discovery and neuroscience rationale","type":"article","volume":"29"},"uris":["http://www.mendeley.com/documents/?uuid=a3441f1e-820d-36eb-9ee3-520e317385de"]}],"mendeley":{"formattedCitation":"(170,171)","plainTextFormattedCitation":"(170,171)","previouslyFormattedCitation":"(170,171)"},"properties":{"noteIndex":0},"schema":"https://github.com/citation-style-language/schema/raw/master/csl-citation.json"}</w:instrText>
      </w:r>
      <w:r w:rsidR="00EF3E06" w:rsidRPr="003E53D0">
        <w:rPr>
          <w:color w:val="000000" w:themeColor="text1"/>
        </w:rPr>
        <w:fldChar w:fldCharType="separate"/>
      </w:r>
      <w:r w:rsidR="00030235" w:rsidRPr="00030235">
        <w:rPr>
          <w:noProof/>
          <w:color w:val="000000" w:themeColor="text1"/>
        </w:rPr>
        <w:t>(170,171)</w:t>
      </w:r>
      <w:r w:rsidR="00EF3E06" w:rsidRPr="003E53D0">
        <w:rPr>
          <w:color w:val="000000" w:themeColor="text1"/>
        </w:rPr>
        <w:fldChar w:fldCharType="end"/>
      </w:r>
      <w:r w:rsidR="00EF3E06" w:rsidRPr="003E53D0">
        <w:rPr>
          <w:color w:val="000000" w:themeColor="text1"/>
        </w:rPr>
        <w:t>.</w:t>
      </w:r>
      <w:r w:rsidR="002C7794" w:rsidRPr="003E53D0">
        <w:rPr>
          <w:color w:val="000000" w:themeColor="text1"/>
        </w:rPr>
        <w:t xml:space="preserve"> T</w:t>
      </w:r>
      <w:r w:rsidR="00EF3E06" w:rsidRPr="003E53D0">
        <w:rPr>
          <w:color w:val="000000" w:themeColor="text1"/>
        </w:rPr>
        <w:t xml:space="preserve">hese studies are called ultra-high-field (UHF) studies and </w:t>
      </w:r>
      <w:r w:rsidR="008E2362" w:rsidRPr="003E53D0">
        <w:rPr>
          <w:color w:val="000000" w:themeColor="text1"/>
        </w:rPr>
        <w:t xml:space="preserve">have </w:t>
      </w:r>
      <w:r w:rsidR="00EF3E06" w:rsidRPr="003E53D0">
        <w:rPr>
          <w:color w:val="000000" w:themeColor="text1"/>
        </w:rPr>
        <w:t xml:space="preserve">a </w:t>
      </w:r>
      <w:r w:rsidR="0030684A" w:rsidRPr="003E53D0">
        <w:rPr>
          <w:color w:val="000000" w:themeColor="text1"/>
        </w:rPr>
        <w:t>better</w:t>
      </w:r>
      <w:r w:rsidR="002C7794" w:rsidRPr="003E53D0">
        <w:rPr>
          <w:color w:val="000000" w:themeColor="text1"/>
        </w:rPr>
        <w:t xml:space="preserve"> signal-to-noise ratio</w:t>
      </w:r>
      <w:r w:rsidR="002C7794" w:rsidRPr="003E53D0">
        <w:rPr>
          <w:color w:val="000000" w:themeColor="text1"/>
        </w:rPr>
        <w:fldChar w:fldCharType="begin" w:fldLock="1"/>
      </w:r>
      <w:r w:rsidR="00133B53">
        <w:rPr>
          <w:color w:val="000000" w:themeColor="text1"/>
        </w:rPr>
        <w:instrText>ADDIN CSL_CITATION {"citationItems":[{"id":"ITEM-1","itemData":{"DOI":"10.1016/j.jmr.2010.06.006","ISSN":"10907807","PMID":"20598925","abstract":"In vivo proton NMR spectroscopy allows non-invasive detection and quantification of a wide range of biochemical compounds in the brain. Higher field strength is generally considered advantageous for spectroscopy due to increased signal-to-noise and increased spectral dispersion. So far 1H NMR spectra have been reported in the human brain up to 7 T. In this study we show that excellent quality short echo time STEAM and LASER 1H NMR spectra can be measured in the human brain at 9.4 T. The information content of the human brain spectra appears very similar to that measured in the past decade in rodent brains at the same field strength, in spite of broader linewidth in human brain. Compared to lower fields, the T 1 relaxation times of metabolites were slightly longer while T 2 relaxation values of metabolites were shorter (&lt;100 ms) at 9.4 T. The linewidth of the total creatine (tCr) resonance at 3.03 ppm increased linearly with magnetic field (1.35 Hz/T from 1.5 T to 9.4 T), with a minimum achievable tCr linewidth of around 12.5 Hz at 9.4 T. At very high field, B 0 microsusceptibility effects are the main contributor to the minimum achievable linewidth. © 2010 Elsevier Inc. All rights reserved.","author":[{"dropping-particle":"","family":"Deelchand","given":"Dinesh Kumar","non-dropping-particle":"","parse-names":false,"suffix":""},{"dropping-particle":"Van De","family":"Moortele","given":"Pierre Franois","non-dropping-particle":"","parse-names":false,"suffix":""},{"dropping-particle":"","family":"Adriany","given":"Gregor","non-dropping-particle":"","parse-names":false,"suffix":""},{"dropping-particle":"","family":"Iltis","given":"Isabelle","non-dropping-particle":"","parse-names":false,"suffix":""},{"dropping-particle":"","family":"Andersen","given":"Peter","non-dropping-particle":"","parse-names":false,"suffix":""},{"dropping-particle":"","family":"Strupp","given":"John P.","non-dropping-particle":"","parse-names":false,"suffix":""},{"dropping-particle":"","family":"Thomas Vaughan","given":"J.","non-dropping-particle":"","parse-names":false,"suffix":""},{"dropping-particle":"","family":"Uurbil","given":"Kâmil","non-dropping-particle":"","parse-names":false,"suffix":""},{"dropping-particle":"","family":"Henry","given":"Pierre Gilles","non-dropping-particle":"","parse-names":false,"suffix":""}],"container-title":"Journal of Magnetic Resonance","id":"ITEM-1","issue":"1","issued":{"date-parts":[["2010","9","1"]]},"page":"74-80","publisher":"Academic Press","title":"In vivo 1H NMR spectroscopy of the human brain at 9.4 T: Initial results","type":"article-journal","volume":"206"},"uris":["http://www.mendeley.com/documents/?uuid=14128c85-8d95-31b6-9405-6ade1a06fc4d"]}],"mendeley":{"formattedCitation":"(172)","plainTextFormattedCitation":"(172)","previouslyFormattedCitation":"(172)"},"properties":{"noteIndex":0},"schema":"https://github.com/citation-style-language/schema/raw/master/csl-citation.json"}</w:instrText>
      </w:r>
      <w:r w:rsidR="002C7794" w:rsidRPr="003E53D0">
        <w:rPr>
          <w:color w:val="000000" w:themeColor="text1"/>
        </w:rPr>
        <w:fldChar w:fldCharType="separate"/>
      </w:r>
      <w:r w:rsidR="00030235" w:rsidRPr="00030235">
        <w:rPr>
          <w:noProof/>
          <w:color w:val="000000" w:themeColor="text1"/>
        </w:rPr>
        <w:t>(172)</w:t>
      </w:r>
      <w:r w:rsidR="002C7794" w:rsidRPr="003E53D0">
        <w:rPr>
          <w:color w:val="000000" w:themeColor="text1"/>
        </w:rPr>
        <w:fldChar w:fldCharType="end"/>
      </w:r>
      <w:r w:rsidR="00EF3E06" w:rsidRPr="003E53D0">
        <w:rPr>
          <w:color w:val="000000" w:themeColor="text1"/>
        </w:rPr>
        <w:t xml:space="preserve">, which improves the reliability of the spectra compared to 3T. </w:t>
      </w:r>
      <w:r w:rsidR="002C7794" w:rsidRPr="003E53D0">
        <w:rPr>
          <w:color w:val="000000" w:themeColor="text1"/>
        </w:rPr>
        <w:t xml:space="preserve"> UHF </w:t>
      </w:r>
      <w:r w:rsidR="008E2362" w:rsidRPr="003E53D0">
        <w:rPr>
          <w:color w:val="000000" w:themeColor="text1"/>
        </w:rPr>
        <w:t xml:space="preserve">studies </w:t>
      </w:r>
      <w:r w:rsidR="002C7794" w:rsidRPr="003E53D0">
        <w:rPr>
          <w:color w:val="000000" w:themeColor="text1"/>
        </w:rPr>
        <w:t>can be associated with side effects like nausea, dizziness and a metallic taste</w:t>
      </w:r>
      <w:r w:rsidR="002C7794" w:rsidRPr="003E53D0">
        <w:rPr>
          <w:color w:val="000000" w:themeColor="text1"/>
        </w:rPr>
        <w:fldChar w:fldCharType="begin" w:fldLock="1"/>
      </w:r>
      <w:r w:rsidR="00133B53">
        <w:rPr>
          <w:color w:val="000000" w:themeColor="text1"/>
        </w:rPr>
        <w:instrText>ADDIN CSL_CITATION {"citationItems":[{"id":"ITEM-1","itemData":{"DOI":"10.1016/j.pnmrs.2018.06.001","ISSN":"00796565","PMID":"30527132","abstract":"Magnetic resonance imaging and spectroscopic techniques are widely used in humans both for clinical diagnostic applications and in basic research areas such as cognitive neuroimaging. In recent years, new human MR systems have become available operating at static magnetic fields of 7 T or higher (≥300 MHz proton frequency). Imaging human-sized objects at such high frequencies presents several challenges including non-uniform radiofrequency fields, enhanced susceptibility artifacts, and higher radiofrequency energy deposition in the tissue. On the other side of the scale are gains in signal-to-noise or contrast-to-noise ratio that allow finer structures to be visualized and smaller physiological effects to be detected. This review presents an overview of some of the latest methodological developments in human ultra-high field MRI/MRS as well as associated clinical and scientific applications. Emphasis is given to techniques that particularly benefit from the changing physical characteristics at high magnetic fields, including susceptibility-weighted imaging and phase-contrast techniques, imaging with X-nuclei, MR spectroscopy, CEST imaging, as well as functional MRI. In addition, more general methodological developments such as parallel transmission and motion correction will be discussed that are required to leverage the full potential of higher magnetic fields, and an overview of relevant physiological considerations of human high magnetic field exposure is provided.","author":[{"dropping-particle":"","family":"Ladd","given":"Mark E.","non-dropping-particle":"","parse-names":false,"suffix":""},{"dropping-particle":"","family":"Bachert","given":"Peter","non-dropping-particle":"","parse-names":false,"suffix":""},{"dropping-particle":"","family":"Meyerspeer","given":"Martin","non-dropping-particle":"","parse-names":false,"suffix":""},{"dropping-particle":"","family":"Moser","given":"Ewald","non-dropping-particle":"","parse-names":false,"suffix":""},{"dropping-particle":"","family":"Nagel","given":"Armin M.","non-dropping-particle":"","parse-names":false,"suffix":""},{"dropping-particle":"","family":"Norris","given":"David G.","non-dropping-particle":"","parse-names":false,"suffix":""},{"dropping-particle":"","family":"Schmitter","given":"Sebastian","non-dropping-particle":"","parse-names":false,"suffix":""},{"dropping-particle":"","family":"Speck","given":"Oliver","non-dropping-particle":"","parse-names":false,"suffix":""},{"dropping-particle":"","family":"Straub","given":"Sina","non-dropping-particle":"","parse-names":false,"suffix":""},{"dropping-particle":"","family":"Zaiss","given":"Moritz","non-dropping-particle":"","parse-names":false,"suffix":""}],"container-title":"Progress in Nuclear Magnetic Resonance Spectroscopy","id":"ITEM-1","issued":{"date-parts":[["2018","12","1"]]},"page":"1-50","publisher":"Elsevier B.V.","title":"Pros and cons of ultra-high-field MRI/MRS for human application","type":"article","volume":"109"},"uris":["http://www.mendeley.com/documents/?uuid=bcc047a1-7ae9-3974-ab57-0bf30933a896"]}],"mendeley":{"formattedCitation":"(169)","plainTextFormattedCitation":"(169)","previouslyFormattedCitation":"(169)"},"properties":{"noteIndex":0},"schema":"https://github.com/citation-style-language/schema/raw/master/csl-citation.json"}</w:instrText>
      </w:r>
      <w:r w:rsidR="002C7794" w:rsidRPr="003E53D0">
        <w:rPr>
          <w:color w:val="000000" w:themeColor="text1"/>
        </w:rPr>
        <w:fldChar w:fldCharType="separate"/>
      </w:r>
      <w:r w:rsidR="00030235" w:rsidRPr="00030235">
        <w:rPr>
          <w:noProof/>
          <w:color w:val="000000" w:themeColor="text1"/>
        </w:rPr>
        <w:t>(169)</w:t>
      </w:r>
      <w:r w:rsidR="002C7794" w:rsidRPr="003E53D0">
        <w:rPr>
          <w:color w:val="000000" w:themeColor="text1"/>
        </w:rPr>
        <w:fldChar w:fldCharType="end"/>
      </w:r>
      <w:r w:rsidR="00550E1A" w:rsidRPr="003E53D0">
        <w:rPr>
          <w:color w:val="000000" w:themeColor="text1"/>
        </w:rPr>
        <w:t xml:space="preserve"> wh</w:t>
      </w:r>
      <w:r w:rsidR="00322761">
        <w:rPr>
          <w:color w:val="000000" w:themeColor="text1"/>
        </w:rPr>
        <w:t xml:space="preserve">ich is often caused </w:t>
      </w:r>
      <w:r w:rsidR="003F284E">
        <w:rPr>
          <w:color w:val="000000" w:themeColor="text1"/>
        </w:rPr>
        <w:t>if</w:t>
      </w:r>
      <w:r w:rsidR="00322761">
        <w:rPr>
          <w:color w:val="000000" w:themeColor="text1"/>
        </w:rPr>
        <w:t xml:space="preserve"> </w:t>
      </w:r>
      <w:r w:rsidR="003F284E">
        <w:rPr>
          <w:color w:val="000000" w:themeColor="text1"/>
        </w:rPr>
        <w:t>the</w:t>
      </w:r>
      <w:r w:rsidR="00322761">
        <w:rPr>
          <w:color w:val="000000" w:themeColor="text1"/>
        </w:rPr>
        <w:t xml:space="preserve"> participants </w:t>
      </w:r>
      <w:r w:rsidR="003F284E">
        <w:rPr>
          <w:color w:val="000000" w:themeColor="text1"/>
        </w:rPr>
        <w:t>has moved in or out of the MR machine too quickly</w:t>
      </w:r>
      <w:r w:rsidR="00EF3E06" w:rsidRPr="003E53D0">
        <w:rPr>
          <w:color w:val="000000" w:themeColor="text1"/>
        </w:rPr>
        <w:t xml:space="preserve">, </w:t>
      </w:r>
      <w:r w:rsidR="003F284E">
        <w:rPr>
          <w:color w:val="000000" w:themeColor="text1"/>
        </w:rPr>
        <w:t xml:space="preserve">but </w:t>
      </w:r>
      <w:r w:rsidR="00EF3E06" w:rsidRPr="003E53D0">
        <w:rPr>
          <w:color w:val="000000" w:themeColor="text1"/>
        </w:rPr>
        <w:t>t</w:t>
      </w:r>
      <w:r w:rsidR="002C7794" w:rsidRPr="003E53D0">
        <w:rPr>
          <w:color w:val="000000" w:themeColor="text1"/>
        </w:rPr>
        <w:t>hese effects</w:t>
      </w:r>
      <w:r w:rsidR="00550E1A" w:rsidRPr="003E53D0">
        <w:rPr>
          <w:color w:val="000000" w:themeColor="text1"/>
        </w:rPr>
        <w:t xml:space="preserve"> </w:t>
      </w:r>
      <w:r w:rsidR="002C7794" w:rsidRPr="003E53D0">
        <w:rPr>
          <w:color w:val="000000" w:themeColor="text1"/>
        </w:rPr>
        <w:t>do not</w:t>
      </w:r>
      <w:r w:rsidR="00550E1A" w:rsidRPr="003E53D0">
        <w:rPr>
          <w:color w:val="000000" w:themeColor="text1"/>
        </w:rPr>
        <w:t xml:space="preserve"> occur if the individual is static in the machine and does not</w:t>
      </w:r>
      <w:r w:rsidR="002C7794" w:rsidRPr="003E53D0">
        <w:rPr>
          <w:color w:val="000000" w:themeColor="text1"/>
        </w:rPr>
        <w:t xml:space="preserve"> appear to be a major concern between 7T and 9.4T</w:t>
      </w:r>
      <w:r w:rsidR="002C7794" w:rsidRPr="003E53D0">
        <w:rPr>
          <w:color w:val="000000" w:themeColor="text1"/>
        </w:rPr>
        <w:fldChar w:fldCharType="begin" w:fldLock="1"/>
      </w:r>
      <w:r w:rsidR="00133B53">
        <w:rPr>
          <w:color w:val="000000" w:themeColor="text1"/>
        </w:rPr>
        <w:instrText>ADDIN CSL_CITATION {"citationItems":[{"id":"ITEM-1","itemData":{"DOI":"10.1016/j.pnmrs.2018.06.001","ISSN":"00796565","PMID":"30527132","abstract":"Magnetic resonance imaging and spectroscopic techniques are widely used in humans both for clinical diagnostic applications and in basic research areas such as cognitive neuroimaging. In recent years, new human MR systems have become available operating at static magnetic fields of 7 T or higher (≥300 MHz proton frequency). Imaging human-sized objects at such high frequencies presents several challenges including non-uniform radiofrequency fields, enhanced susceptibility artifacts, and higher radiofrequency energy deposition in the tissue. On the other side of the scale are gains in signal-to-noise or contrast-to-noise ratio that allow finer structures to be visualized and smaller physiological effects to be detected. This review presents an overview of some of the latest methodological developments in human ultra-high field MRI/MRS as well as associated clinical and scientific applications. Emphasis is given to techniques that particularly benefit from the changing physical characteristics at high magnetic fields, including susceptibility-weighted imaging and phase-contrast techniques, imaging with X-nuclei, MR spectroscopy, CEST imaging, as well as functional MRI. In addition, more general methodological developments such as parallel transmission and motion correction will be discussed that are required to leverage the full potential of higher magnetic fields, and an overview of relevant physiological considerations of human high magnetic field exposure is provided.","author":[{"dropping-particle":"","family":"Ladd","given":"Mark E.","non-dropping-particle":"","parse-names":false,"suffix":""},{"dropping-particle":"","family":"Bachert","given":"Peter","non-dropping-particle":"","parse-names":false,"suffix":""},{"dropping-particle":"","family":"Meyerspeer","given":"Martin","non-dropping-particle":"","parse-names":false,"suffix":""},{"dropping-particle":"","family":"Moser","given":"Ewald","non-dropping-particle":"","parse-names":false,"suffix":""},{"dropping-particle":"","family":"Nagel","given":"Armin M.","non-dropping-particle":"","parse-names":false,"suffix":""},{"dropping-particle":"","family":"Norris","given":"David G.","non-dropping-particle":"","parse-names":false,"suffix":""},{"dropping-particle":"","family":"Schmitter","given":"Sebastian","non-dropping-particle":"","parse-names":false,"suffix":""},{"dropping-particle":"","family":"Speck","given":"Oliver","non-dropping-particle":"","parse-names":false,"suffix":""},{"dropping-particle":"","family":"Straub","given":"Sina","non-dropping-particle":"","parse-names":false,"suffix":""},{"dropping-particle":"","family":"Zaiss","given":"Moritz","non-dropping-particle":"","parse-names":false,"suffix":""}],"container-title":"Progress in Nuclear Magnetic Resonance Spectroscopy","id":"ITEM-1","issued":{"date-parts":[["2018","12","1"]]},"page":"1-50","publisher":"Elsevier B.V.","title":"Pros and cons of ultra-high-field MRI/MRS for human application","type":"article","volume":"109"},"uris":["http://www.mendeley.com/documents/?uuid=bcc047a1-7ae9-3974-ab57-0bf30933a896"]}],"mendeley":{"formattedCitation":"(169)","plainTextFormattedCitation":"(169)","previouslyFormattedCitation":"(169)"},"properties":{"noteIndex":0},"schema":"https://github.com/citation-style-language/schema/raw/master/csl-citation.json"}</w:instrText>
      </w:r>
      <w:r w:rsidR="002C7794" w:rsidRPr="003E53D0">
        <w:rPr>
          <w:color w:val="000000" w:themeColor="text1"/>
        </w:rPr>
        <w:fldChar w:fldCharType="separate"/>
      </w:r>
      <w:r w:rsidR="00030235" w:rsidRPr="00030235">
        <w:rPr>
          <w:noProof/>
          <w:color w:val="000000" w:themeColor="text1"/>
        </w:rPr>
        <w:t>(169)</w:t>
      </w:r>
      <w:r w:rsidR="002C7794" w:rsidRPr="003E53D0">
        <w:rPr>
          <w:color w:val="000000" w:themeColor="text1"/>
        </w:rPr>
        <w:fldChar w:fldCharType="end"/>
      </w:r>
      <w:r w:rsidR="00EF3E06" w:rsidRPr="003E53D0">
        <w:rPr>
          <w:color w:val="000000" w:themeColor="text1"/>
        </w:rPr>
        <w:t xml:space="preserve">. </w:t>
      </w:r>
    </w:p>
    <w:p w14:paraId="08B7B7C6" w14:textId="77777777" w:rsidR="00EF3E06" w:rsidRPr="003E53D0" w:rsidRDefault="00EF3E06" w:rsidP="00E50706">
      <w:pPr>
        <w:rPr>
          <w:color w:val="000000" w:themeColor="text1"/>
        </w:rPr>
      </w:pPr>
    </w:p>
    <w:p w14:paraId="203CAEF9" w14:textId="530FB473" w:rsidR="00894B45" w:rsidRDefault="00A41045" w:rsidP="00E50706">
      <w:pPr>
        <w:rPr>
          <w:color w:val="000000" w:themeColor="text1"/>
        </w:rPr>
      </w:pPr>
      <w:r w:rsidRPr="003E53D0">
        <w:rPr>
          <w:color w:val="000000" w:themeColor="text1"/>
        </w:rPr>
        <w:t>Therefore, a</w:t>
      </w:r>
      <w:r w:rsidR="00EF3E06" w:rsidRPr="003E53D0">
        <w:rPr>
          <w:color w:val="000000" w:themeColor="text1"/>
        </w:rPr>
        <w:t xml:space="preserve"> notable advancement </w:t>
      </w:r>
      <w:r w:rsidR="00122FE5" w:rsidRPr="003E53D0">
        <w:rPr>
          <w:color w:val="000000" w:themeColor="text1"/>
        </w:rPr>
        <w:t xml:space="preserve">is </w:t>
      </w:r>
      <w:r w:rsidR="00941A5B" w:rsidRPr="003E53D0">
        <w:rPr>
          <w:color w:val="000000" w:themeColor="text1"/>
        </w:rPr>
        <w:t>the</w:t>
      </w:r>
      <w:r w:rsidR="00122FE5" w:rsidRPr="003E53D0">
        <w:rPr>
          <w:color w:val="000000" w:themeColor="text1"/>
        </w:rPr>
        <w:t xml:space="preserve"> use of</w:t>
      </w:r>
      <w:r w:rsidR="00EF3E06" w:rsidRPr="003E53D0">
        <w:rPr>
          <w:color w:val="000000" w:themeColor="text1"/>
        </w:rPr>
        <w:t xml:space="preserve"> </w:t>
      </w:r>
      <w:r w:rsidR="00EF3E06" w:rsidRPr="003E53D0">
        <w:rPr>
          <w:color w:val="000000" w:themeColor="text1"/>
          <w:shd w:val="clear" w:color="auto" w:fill="FFFFFF"/>
          <w:vertAlign w:val="superscript"/>
        </w:rPr>
        <w:t>1</w:t>
      </w:r>
      <w:r w:rsidR="00EF3E06" w:rsidRPr="003E53D0">
        <w:rPr>
          <w:color w:val="000000" w:themeColor="text1"/>
          <w:shd w:val="clear" w:color="auto" w:fill="FFFFFF"/>
        </w:rPr>
        <w:t>H</w:t>
      </w:r>
      <w:r w:rsidR="00EF3E06" w:rsidRPr="003E53D0">
        <w:rPr>
          <w:color w:val="000000" w:themeColor="text1"/>
        </w:rPr>
        <w:t xml:space="preserve"> MRS</w:t>
      </w:r>
      <w:r w:rsidR="00941A5B" w:rsidRPr="003E53D0">
        <w:rPr>
          <w:color w:val="000000" w:themeColor="text1"/>
        </w:rPr>
        <w:t xml:space="preserve"> </w:t>
      </w:r>
      <w:r w:rsidR="00122FE5" w:rsidRPr="003E53D0">
        <w:rPr>
          <w:color w:val="000000" w:themeColor="text1"/>
        </w:rPr>
        <w:t>at</w:t>
      </w:r>
      <w:r w:rsidR="00EF3E06" w:rsidRPr="003E53D0">
        <w:rPr>
          <w:color w:val="000000" w:themeColor="text1"/>
        </w:rPr>
        <w:t xml:space="preserve"> 7T to investigate the </w:t>
      </w:r>
      <w:r w:rsidR="00941A5B" w:rsidRPr="003E53D0">
        <w:rPr>
          <w:color w:val="000000" w:themeColor="text1"/>
        </w:rPr>
        <w:t xml:space="preserve">neurotransmission changes in response to </w:t>
      </w:r>
      <w:r w:rsidR="00EF3E06" w:rsidRPr="003E53D0">
        <w:rPr>
          <w:color w:val="000000" w:themeColor="text1"/>
        </w:rPr>
        <w:t>psychedelics</w:t>
      </w:r>
      <w:r w:rsidRPr="003E53D0">
        <w:rPr>
          <w:color w:val="000000" w:themeColor="text1"/>
        </w:rPr>
        <w:t>.</w:t>
      </w:r>
      <w:r w:rsidR="00EF3E06" w:rsidRPr="003E53D0">
        <w:rPr>
          <w:color w:val="000000" w:themeColor="text1"/>
        </w:rPr>
        <w:t xml:space="preserve"> In 2020, Mason et al. conducted a double-blind placebo-controlled study to investigate the acute effect psilocybin had on glutamate neurotransmission in the medial prefrontal cortex (</w:t>
      </w:r>
      <w:proofErr w:type="spellStart"/>
      <w:r w:rsidR="00EF3E06" w:rsidRPr="003E53D0">
        <w:rPr>
          <w:color w:val="000000" w:themeColor="text1"/>
        </w:rPr>
        <w:t>mPFC</w:t>
      </w:r>
      <w:proofErr w:type="spellEnd"/>
      <w:r w:rsidR="00EF3E06" w:rsidRPr="003E53D0">
        <w:rPr>
          <w:color w:val="000000" w:themeColor="text1"/>
        </w:rPr>
        <w:t>) and hippocampus</w:t>
      </w:r>
      <w:r w:rsidR="00122FE5" w:rsidRPr="003E53D0">
        <w:rPr>
          <w:color w:val="000000" w:themeColor="text1"/>
        </w:rPr>
        <w:fldChar w:fldCharType="begin" w:fldLock="1"/>
      </w:r>
      <w:r w:rsidR="00133B53">
        <w:rPr>
          <w:color w:val="000000" w:themeColor="text1"/>
        </w:rPr>
        <w:instrText>ADDIN CSL_CITATION {"citationItems":[{"id":"ITEM-1","itemData":{"DOI":"10.1038/s41386-020-0718-8","ISSN":"1740634X","PMID":"32446245","abstract":"There is growing interest in the therapeutic utility of psychedelic substances, like psilocybin, for disorders characterized by distortions of the self-experience, like depression. Accumulating preclinical evidence emphasizes the role of the glutamate system in the acute action of the drug on brain and behavior; however this has never been tested in humans. Following a double-blind, placebo-controlled, parallel group design, we utilized an ultra-high field multimodal brain imaging approach and demonstrated that psilocybin (0.17 mg/kg) induced region-dependent alterations in glutamate, which predicted distortions in the subjective experience of one’s self (ego dissolution). Whereas higher levels of medial prefrontal cortical glutamate were associated with negatively experienced ego dissolution, lower levels in hippocampal glutamate were associated with positively experienced ego dissolution. Such findings provide further insights into the underlying neurobiological mechanisms of the psychedelic, as well as the baseline, state. Importantly, they may also provide a neurochemical basis for therapeutic effects as witnessed in ongoing clinical trials.","author":[{"dropping-particle":"","family":"Mason","given":"N. L.","non-dropping-particle":"","parse-names":false,"suffix":""},{"dropping-particle":"","family":"Kuypers","given":"K. P.C.","non-dropping-particle":"","parse-names":false,"suffix":""},{"dropping-particle":"","family":"Müller","given":"F.","non-dropping-particle":"","parse-names":false,"suffix":""},{"dropping-particle":"","family":"Reckweg","given":"J.","non-dropping-particle":"","parse-names":false,"suffix":""},{"dropping-particle":"","family":"Tse","given":"D. H.Y.","non-dropping-particle":"","parse-names":false,"suffix":""},{"dropping-particle":"","family":"Toennes","given":"S. W.","non-dropping-particle":"","parse-names":false,"suffix":""},{"dropping-particle":"","family":"Hutten","given":"N. R.P.W.","non-dropping-particle":"","parse-names":false,"suffix":""},{"dropping-particle":"","family":"Jansen","given":"J. F.A.","non-dropping-particle":"","parse-names":false,"suffix":""},{"dropping-particle":"","family":"Stiers","given":"P.","non-dropping-particle":"","parse-names":false,"suffix":""},{"dropping-particle":"","family":"Feilding","given":"A.","non-dropping-particle":"","parse-names":false,"suffix":""},{"dropping-particle":"","family":"Ramaekers","given":"J. G.","non-dropping-particle":"","parse-names":false,"suffix":""}],"container-title":"Neuropsychopharmacology","id":"ITEM-1","issue":"12","issued":{"date-parts":[["2020","11","1"]]},"page":"2003-2011","publisher":"Springer Nature","title":"Me, myself, bye: regional alterations in glutamate and the experience of ego dissolution with psilocybin","type":"article-journal","volume":"45"},"uris":["http://www.mendeley.com/documents/?uuid=c6b69d64-ed7d-381a-963b-bc231f397222"]}],"mendeley":{"formattedCitation":"(173)","plainTextFormattedCitation":"(173)","previouslyFormattedCitation":"(173)"},"properties":{"noteIndex":0},"schema":"https://github.com/citation-style-language/schema/raw/master/csl-citation.json"}</w:instrText>
      </w:r>
      <w:r w:rsidR="00122FE5" w:rsidRPr="003E53D0">
        <w:rPr>
          <w:color w:val="000000" w:themeColor="text1"/>
        </w:rPr>
        <w:fldChar w:fldCharType="separate"/>
      </w:r>
      <w:r w:rsidR="00030235" w:rsidRPr="00030235">
        <w:rPr>
          <w:noProof/>
          <w:color w:val="000000" w:themeColor="text1"/>
        </w:rPr>
        <w:t>(173)</w:t>
      </w:r>
      <w:r w:rsidR="00122FE5" w:rsidRPr="003E53D0">
        <w:rPr>
          <w:color w:val="000000" w:themeColor="text1"/>
        </w:rPr>
        <w:fldChar w:fldCharType="end"/>
      </w:r>
      <w:r w:rsidR="00EF3E06" w:rsidRPr="003E53D0">
        <w:rPr>
          <w:color w:val="000000" w:themeColor="text1"/>
        </w:rPr>
        <w:t xml:space="preserve">. </w:t>
      </w:r>
      <w:r w:rsidR="008645CB">
        <w:rPr>
          <w:color w:val="000000" w:themeColor="text1"/>
        </w:rPr>
        <w:t>In</w:t>
      </w:r>
      <w:r w:rsidR="000402F7">
        <w:rPr>
          <w:color w:val="000000" w:themeColor="text1"/>
        </w:rPr>
        <w:t xml:space="preserve"> addition to </w:t>
      </w:r>
      <w:r w:rsidR="000402F7" w:rsidRPr="003E53D0">
        <w:rPr>
          <w:color w:val="000000" w:themeColor="text1"/>
          <w:shd w:val="clear" w:color="auto" w:fill="FFFFFF"/>
          <w:vertAlign w:val="superscript"/>
        </w:rPr>
        <w:t>1</w:t>
      </w:r>
      <w:r w:rsidR="000402F7" w:rsidRPr="003E53D0">
        <w:rPr>
          <w:color w:val="000000" w:themeColor="text1"/>
          <w:shd w:val="clear" w:color="auto" w:fill="FFFFFF"/>
        </w:rPr>
        <w:t>H</w:t>
      </w:r>
      <w:r w:rsidR="000402F7" w:rsidRPr="003E53D0">
        <w:rPr>
          <w:color w:val="000000" w:themeColor="text1"/>
        </w:rPr>
        <w:t xml:space="preserve"> MRS </w:t>
      </w:r>
      <w:r w:rsidR="000402F7">
        <w:rPr>
          <w:color w:val="000000" w:themeColor="text1"/>
        </w:rPr>
        <w:t>(7T), fMRI was used for neuroimaging</w:t>
      </w:r>
      <w:r w:rsidR="000F5339">
        <w:rPr>
          <w:color w:val="000000" w:themeColor="text1"/>
        </w:rPr>
        <w:t xml:space="preserve"> and the psychological subjective state of participants was assessed using questionnaires for ego dissolution and altered state of consciousness.</w:t>
      </w:r>
      <w:r w:rsidR="000402F7">
        <w:rPr>
          <w:color w:val="000000" w:themeColor="text1"/>
        </w:rPr>
        <w:t xml:space="preserve"> P</w:t>
      </w:r>
      <w:r w:rsidR="00EF3E06" w:rsidRPr="003E53D0">
        <w:rPr>
          <w:color w:val="000000" w:themeColor="text1"/>
        </w:rPr>
        <w:t>silocybin</w:t>
      </w:r>
      <w:r w:rsidR="008E2362" w:rsidRPr="003E53D0">
        <w:rPr>
          <w:color w:val="000000" w:themeColor="text1"/>
        </w:rPr>
        <w:t xml:space="preserve"> was given </w:t>
      </w:r>
      <w:r w:rsidR="00EF3E06" w:rsidRPr="003E53D0">
        <w:rPr>
          <w:color w:val="000000" w:themeColor="text1"/>
        </w:rPr>
        <w:t>to healthy volunteers</w:t>
      </w:r>
      <w:r w:rsidR="008E2362" w:rsidRPr="003E53D0">
        <w:rPr>
          <w:color w:val="000000" w:themeColor="text1"/>
        </w:rPr>
        <w:t xml:space="preserve"> in a</w:t>
      </w:r>
      <w:r w:rsidR="00EF3E06" w:rsidRPr="003E53D0">
        <w:rPr>
          <w:color w:val="000000" w:themeColor="text1"/>
        </w:rPr>
        <w:t xml:space="preserve"> low to moderate dose</w:t>
      </w:r>
      <w:r w:rsidR="008E2362" w:rsidRPr="003E53D0">
        <w:rPr>
          <w:color w:val="000000" w:themeColor="text1"/>
        </w:rPr>
        <w:t xml:space="preserve"> (0.171 mg/kg)</w:t>
      </w:r>
      <w:r w:rsidR="000F5339">
        <w:rPr>
          <w:color w:val="000000" w:themeColor="text1"/>
        </w:rPr>
        <w:t xml:space="preserve">. </w:t>
      </w:r>
      <w:r w:rsidR="00EF3E06" w:rsidRPr="003E53D0">
        <w:rPr>
          <w:color w:val="000000" w:themeColor="text1"/>
        </w:rPr>
        <w:t xml:space="preserve">Results found that brain region-dependent glutamate changes were a strong predictor to changes in ego dissolution, for example higher glutamate levels in the </w:t>
      </w:r>
      <w:proofErr w:type="spellStart"/>
      <w:r w:rsidR="00EF3E06" w:rsidRPr="003E53D0">
        <w:rPr>
          <w:color w:val="000000" w:themeColor="text1"/>
        </w:rPr>
        <w:t>mPFC</w:t>
      </w:r>
      <w:proofErr w:type="spellEnd"/>
      <w:r w:rsidR="00EF3E06" w:rsidRPr="003E53D0">
        <w:rPr>
          <w:color w:val="000000" w:themeColor="text1"/>
        </w:rPr>
        <w:t xml:space="preserve"> was associated with negatively experienced ego dissolution, whereas lower glutamate levels in the hippocampus was associated with positively experienced ego dissolution. </w:t>
      </w:r>
      <w:r w:rsidR="000F5339">
        <w:rPr>
          <w:color w:val="000000" w:themeColor="text1"/>
        </w:rPr>
        <w:t>Th</w:t>
      </w:r>
      <w:r w:rsidR="00894B45">
        <w:rPr>
          <w:color w:val="000000" w:themeColor="text1"/>
        </w:rPr>
        <w:t xml:space="preserve">e outcome of the </w:t>
      </w:r>
      <w:proofErr w:type="spellStart"/>
      <w:r w:rsidR="00894B45">
        <w:rPr>
          <w:color w:val="000000" w:themeColor="text1"/>
        </w:rPr>
        <w:t>mPFC</w:t>
      </w:r>
      <w:proofErr w:type="spellEnd"/>
      <w:r w:rsidR="000F5339">
        <w:rPr>
          <w:color w:val="000000" w:themeColor="text1"/>
        </w:rPr>
        <w:t xml:space="preserve"> is congruent with </w:t>
      </w:r>
      <w:r w:rsidR="00894B45">
        <w:rPr>
          <w:color w:val="000000" w:themeColor="text1"/>
        </w:rPr>
        <w:t xml:space="preserve">a previous </w:t>
      </w:r>
      <w:r w:rsidR="00894B45" w:rsidRPr="003E53D0">
        <w:rPr>
          <w:color w:val="000000" w:themeColor="text1"/>
          <w:shd w:val="clear" w:color="auto" w:fill="FFFFFF"/>
          <w:vertAlign w:val="superscript"/>
        </w:rPr>
        <w:t>1</w:t>
      </w:r>
      <w:r w:rsidR="00894B45" w:rsidRPr="003E53D0">
        <w:rPr>
          <w:color w:val="000000" w:themeColor="text1"/>
          <w:shd w:val="clear" w:color="auto" w:fill="FFFFFF"/>
        </w:rPr>
        <w:t>H</w:t>
      </w:r>
      <w:r w:rsidR="00894B45" w:rsidRPr="003E53D0">
        <w:rPr>
          <w:color w:val="000000" w:themeColor="text1"/>
        </w:rPr>
        <w:t xml:space="preserve"> MRS</w:t>
      </w:r>
      <w:r w:rsidR="00894B45">
        <w:rPr>
          <w:color w:val="000000" w:themeColor="text1"/>
        </w:rPr>
        <w:t xml:space="preserve"> study</w:t>
      </w:r>
      <w:r w:rsidR="000E039E">
        <w:rPr>
          <w:color w:val="000000" w:themeColor="text1"/>
        </w:rPr>
        <w:t xml:space="preserve"> that ha</w:t>
      </w:r>
      <w:r w:rsidR="00894B45">
        <w:rPr>
          <w:color w:val="000000" w:themeColor="text1"/>
        </w:rPr>
        <w:t>s</w:t>
      </w:r>
      <w:r w:rsidR="000E039E">
        <w:rPr>
          <w:color w:val="000000" w:themeColor="text1"/>
        </w:rPr>
        <w:t xml:space="preserve"> demonstrated a link between higher glutamate levels in the frontal cortex and increased anxiety</w:t>
      </w:r>
      <w:r w:rsidR="00966577">
        <w:rPr>
          <w:color w:val="000000" w:themeColor="text1"/>
        </w:rPr>
        <w:fldChar w:fldCharType="begin" w:fldLock="1"/>
      </w:r>
      <w:r w:rsidR="00133B53">
        <w:rPr>
          <w:color w:val="000000" w:themeColor="text1"/>
        </w:rPr>
        <w:instrText>ADDIN CSL_CITATION {"citationItems":[{"id":"ITEM-1","itemData":{"DOI":"10.1002/1097-0193(200012)11:4&lt;261::aid-hbm30&gt;3.0.co;2-6","PMID":"11144755","abstract":"We recently presented results in an in vivo study of human brain chemistry in 'physiologic' anxiety, i.e., the anxiety of normal everyday life. Normal subjects with high anxiety demonstrated increased concentration of chemicals in orbital frontal cortex (OFC) as compared to lower anxiety. In a separate study of aging we demonstrated a decrease of total chemical concentration in OFC of middle-aged subjects, as compared with younger age. This brain region also showed gender dependence; men demonstrating decreased chemical concentration compared to women. We hypothesized that these sex- and age-dependent differences in OFC chemistry changes are a result of anxiety effects on this brain region. In the present study we examined these sex- and age-differential regional brain chemistry changes (as identified by localized in vivo proton magnetic resonance spectroscopy [1H-MRS]) in relation to the state-trait-anxiety (as measured by the State-Trait Anxiety Inventory) in 35 healthy subjects. The concentrations for all nine chemicals of 1H-MRS spectra were measured relative to creatine across multiple brain regions, including OFC in the left hemisphere. Analysis of variance showed anxiety-specific effects on chemical concentration changes in OFC, which were different for both sexes and age groups. Male subjects showed larger effect of anxiety on OFC chemistry as compared to females when the same sex high-anxiety subjects were compared to lower anxiety. Similarly, middle-aged subjects showed larger effect of anxiety on OFC chemistry as compared to younger age when the same age subjects with high anxiety were compared to lower anxiety. Largest effect of anxiety on OFC chemistry was due to changes of N-Acetyl aspartate. The results indicate that the state-trait anxiety has sex- and age-differential patterns on OFC chemistry in healthy humans, providing new information about the neurobiological roots of anxiety. (C) 2000 Wiley-Liss, Inc.","author":[{"dropping-particle":"","family":"Grachev","given":"Igor D.","non-dropping-particle":"","parse-names":false,"suffix":""},{"dropping-particle":"","family":"Apkarian","given":"A. Vania","non-dropping-particle":"","parse-names":false,"suffix":""}],"container-title":"Human Brain Mapping","id":"ITEM-1","issue":"4","issued":{"date-parts":[["2000"]]},"page":"261","publisher":"Wiley-Blackwell","title":"Chemical mapping of anxiety in the brain of healthy humans: An in vivo 1H‐MRS study on the effects of sex, age, and brain region","type":"article-journal","volume":"11"},"uris":["http://www.mendeley.com/documents/?uuid=1cebe5b9-272b-36b8-b1f1-d52916932f10"]}],"mendeley":{"formattedCitation":"(174)","plainTextFormattedCitation":"(174)","previouslyFormattedCitation":"(174)"},"properties":{"noteIndex":0},"schema":"https://github.com/citation-style-language/schema/raw/master/csl-citation.json"}</w:instrText>
      </w:r>
      <w:r w:rsidR="00966577">
        <w:rPr>
          <w:color w:val="000000" w:themeColor="text1"/>
        </w:rPr>
        <w:fldChar w:fldCharType="separate"/>
      </w:r>
      <w:r w:rsidR="00030235" w:rsidRPr="00030235">
        <w:rPr>
          <w:noProof/>
          <w:color w:val="000000" w:themeColor="text1"/>
        </w:rPr>
        <w:t>(174)</w:t>
      </w:r>
      <w:r w:rsidR="00966577">
        <w:rPr>
          <w:color w:val="000000" w:themeColor="text1"/>
        </w:rPr>
        <w:fldChar w:fldCharType="end"/>
      </w:r>
      <w:r w:rsidR="000E039E">
        <w:rPr>
          <w:color w:val="000000" w:themeColor="text1"/>
        </w:rPr>
        <w:t>. A</w:t>
      </w:r>
      <w:r w:rsidR="00894B45">
        <w:rPr>
          <w:color w:val="000000" w:themeColor="text1"/>
        </w:rPr>
        <w:t>dditionally,</w:t>
      </w:r>
      <w:r w:rsidR="000E039E">
        <w:rPr>
          <w:color w:val="000000" w:themeColor="text1"/>
        </w:rPr>
        <w:t xml:space="preserve"> </w:t>
      </w:r>
      <w:r w:rsidR="003F5075">
        <w:rPr>
          <w:color w:val="000000" w:themeColor="text1"/>
        </w:rPr>
        <w:t>another study has</w:t>
      </w:r>
      <w:r w:rsidR="00966577">
        <w:rPr>
          <w:color w:val="000000" w:themeColor="text1"/>
        </w:rPr>
        <w:t xml:space="preserve"> previously </w:t>
      </w:r>
      <w:r w:rsidR="000E039E">
        <w:rPr>
          <w:color w:val="000000" w:themeColor="text1"/>
        </w:rPr>
        <w:t>hypothesise</w:t>
      </w:r>
      <w:r w:rsidR="00894B45">
        <w:rPr>
          <w:color w:val="000000" w:themeColor="text1"/>
        </w:rPr>
        <w:t>d</w:t>
      </w:r>
      <w:r w:rsidR="003F5075">
        <w:rPr>
          <w:color w:val="000000" w:themeColor="text1"/>
        </w:rPr>
        <w:t xml:space="preserve"> </w:t>
      </w:r>
      <w:r w:rsidR="000E039E">
        <w:rPr>
          <w:color w:val="000000" w:themeColor="text1"/>
        </w:rPr>
        <w:t>that the hippocampus is involved in ego dissolution as a result of psychedelics causing temporary loss of access to semantic autobiographical information</w:t>
      </w:r>
      <w:r w:rsidR="00966577">
        <w:rPr>
          <w:color w:val="000000" w:themeColor="text1"/>
        </w:rPr>
        <w:fldChar w:fldCharType="begin" w:fldLock="1"/>
      </w:r>
      <w:r w:rsidR="00133B53">
        <w:rPr>
          <w:color w:val="000000" w:themeColor="text1"/>
        </w:rPr>
        <w:instrText>ADDIN CSL_CITATION {"citationItems":[{"id":"ITEM-1","itemData":{"DOI":"10.3389/FPSYG.2018.01475","ISSN":"1664-1078","PMID":"30245648","abstract":"In recent years, the scientific study of meditation and psychedelic drugs has seen remarkable developments. The increased focus on meditation in cognitive neuroscience has led to a cross-cultural classification of standard meditation styles validated by functional and structural neuroanatomical data. Meanwhile, the renaissance of psychedelic research has shed light on the neurophysiology of altered states of consciousness induced by classical psychedelics, such as psilocybin and LSD, whose effects are mainly mediated by agonism of serotonin receptors. Few attempts have been made at bridging these two domains of inquiry, despite intriguing evidence of overlap between the phenomenology and neurophysiology of meditation practice and psychedelic states. In particular, many contemplative traditions explicitly aim at dissolving the sense of self by eliciting altered states of consciousness through meditation, while classical psychedelics are known to produce significant disruptions of self-consciousness, a phenomenon known as drug-induced ego dissolution. In this article, we discuss available evidence regarding convergences and differences between phenomenological and neurophysiological data on meditation practice and psychedelic drug-induced states, with a particular emphasis on alterations of self-experience. While both meditation and psychedelics may disrupt self-consciousness and underlying neural processes, we emphasize that neither meditation nor psychedelic states can be conceived as simple, uniform categories. Moreover, we suggest that there are important phenomenological differences even between conscious states described as experiences of self-loss. As a result, we propose that self-consciousness may be best construed as a multidimensional construct, and that \"self-loss,\" far from being an unequivocal phenomenon, can take several forms. Indeed, various aspects of self-consciousness, including narrative aspects linked to autobiographical memory, self-related thoughts and mental time travel, and embodied aspects rooted in multisensory processes, may be differently affected by psychedelics and meditation practices. Finally, we consider long-term outcomes of experiences of self-loss induced by meditation and psychedelics on individual traits and prosocial behavior. We call for caution regarding the problematic conflation of temporary states of self-loss with \"selflessness\" as a behavioral or social trait, although there is preliminary evidence that corr…","author":[{"dropping-particle":"","family":"Millière","given":"R","non-dropping-particle":"","parse-names":false,"suffix":""},{"dropping-particle":"","family":"Carhart-Harris","given":"R L","non-dropping-particle":"","parse-names":false,"suffix":""},{"dropping-particle":"","family":"Roseman","given":"L","non-dropping-particle":"","parse-names":false,"suffix":""},{"dropping-particle":"","family":"Trautwein","given":"F M","non-dropping-particle":"","parse-names":false,"suffix":""},{"dropping-particle":"","family":"Berkovich-Ohana","given":"A","non-dropping-particle":"","parse-names":false,"suffix":""}],"container-title":"Frontiers in psychology","id":"ITEM-1","issue":"SEP","issued":{"date-parts":[["2018","9","4"]]},"publisher":"Front Psychol","title":"Psychedelics, Meditation, and Self-Consciousness","type":"article-journal","volume":"9"},"uris":["http://www.mendeley.com/documents/?uuid=72a0ec30-9d43-3844-952f-f9571ce4becf"]}],"mendeley":{"formattedCitation":"(175)","plainTextFormattedCitation":"(175)","previouslyFormattedCitation":"(175)"},"properties":{"noteIndex":0},"schema":"https://github.com/citation-style-language/schema/raw/master/csl-citation.json"}</w:instrText>
      </w:r>
      <w:r w:rsidR="00966577">
        <w:rPr>
          <w:color w:val="000000" w:themeColor="text1"/>
        </w:rPr>
        <w:fldChar w:fldCharType="separate"/>
      </w:r>
      <w:r w:rsidR="00030235" w:rsidRPr="00030235">
        <w:rPr>
          <w:noProof/>
          <w:color w:val="000000" w:themeColor="text1"/>
        </w:rPr>
        <w:t>(175)</w:t>
      </w:r>
      <w:r w:rsidR="00966577">
        <w:rPr>
          <w:color w:val="000000" w:themeColor="text1"/>
        </w:rPr>
        <w:fldChar w:fldCharType="end"/>
      </w:r>
      <w:r w:rsidR="000E039E">
        <w:rPr>
          <w:color w:val="000000" w:themeColor="text1"/>
        </w:rPr>
        <w:t>, therefore allowing the breakdown of personal identity</w:t>
      </w:r>
      <w:r w:rsidR="00894B45">
        <w:rPr>
          <w:color w:val="000000" w:themeColor="text1"/>
        </w:rPr>
        <w:t xml:space="preserve"> which coincides with the results produced by </w:t>
      </w:r>
      <w:r w:rsidR="000E039E">
        <w:rPr>
          <w:color w:val="000000" w:themeColor="text1"/>
        </w:rPr>
        <w:t xml:space="preserve">Mason </w:t>
      </w:r>
      <w:r w:rsidR="000E039E" w:rsidRPr="000E039E">
        <w:rPr>
          <w:i/>
          <w:iCs/>
          <w:color w:val="000000" w:themeColor="text1"/>
        </w:rPr>
        <w:t>et al</w:t>
      </w:r>
      <w:r w:rsidR="000E039E">
        <w:rPr>
          <w:color w:val="000000" w:themeColor="text1"/>
        </w:rPr>
        <w:t>.</w:t>
      </w:r>
      <w:r w:rsidR="00894B45">
        <w:rPr>
          <w:color w:val="000000" w:themeColor="text1"/>
        </w:rPr>
        <w:t>. This</w:t>
      </w:r>
      <w:r w:rsidR="00EF3E06" w:rsidRPr="003E53D0">
        <w:rPr>
          <w:color w:val="000000" w:themeColor="text1"/>
        </w:rPr>
        <w:t xml:space="preserve"> is a good example of how </w:t>
      </w:r>
      <w:r w:rsidR="00EF3E06" w:rsidRPr="003E53D0">
        <w:rPr>
          <w:color w:val="000000" w:themeColor="text1"/>
          <w:shd w:val="clear" w:color="auto" w:fill="FFFFFF"/>
          <w:vertAlign w:val="superscript"/>
        </w:rPr>
        <w:t>1</w:t>
      </w:r>
      <w:r w:rsidR="00EF3E06" w:rsidRPr="003E53D0">
        <w:rPr>
          <w:color w:val="000000" w:themeColor="text1"/>
          <w:shd w:val="clear" w:color="auto" w:fill="FFFFFF"/>
        </w:rPr>
        <w:t>H</w:t>
      </w:r>
      <w:r w:rsidR="00EF3E06" w:rsidRPr="003E53D0">
        <w:rPr>
          <w:color w:val="000000" w:themeColor="text1"/>
        </w:rPr>
        <w:t xml:space="preserve"> MRS can be used to provide </w:t>
      </w:r>
      <w:r w:rsidRPr="003E53D0">
        <w:rPr>
          <w:color w:val="000000" w:themeColor="text1"/>
        </w:rPr>
        <w:t xml:space="preserve">more complex correlations that indicate a </w:t>
      </w:r>
      <w:r w:rsidR="00941A5B" w:rsidRPr="003E53D0">
        <w:rPr>
          <w:color w:val="000000" w:themeColor="text1"/>
        </w:rPr>
        <w:lastRenderedPageBreak/>
        <w:t>neurochemical basis to</w:t>
      </w:r>
      <w:r w:rsidRPr="003E53D0">
        <w:rPr>
          <w:color w:val="000000" w:themeColor="text1"/>
        </w:rPr>
        <w:t xml:space="preserve"> the</w:t>
      </w:r>
      <w:r w:rsidR="00941A5B" w:rsidRPr="003E53D0">
        <w:rPr>
          <w:color w:val="000000" w:themeColor="text1"/>
        </w:rPr>
        <w:t xml:space="preserve"> psychological effects</w:t>
      </w:r>
      <w:r w:rsidRPr="003E53D0">
        <w:rPr>
          <w:color w:val="000000" w:themeColor="text1"/>
        </w:rPr>
        <w:t xml:space="preserve"> experience</w:t>
      </w:r>
      <w:r w:rsidR="008E2362" w:rsidRPr="003E53D0">
        <w:rPr>
          <w:color w:val="000000" w:themeColor="text1"/>
        </w:rPr>
        <w:t>d</w:t>
      </w:r>
      <w:r w:rsidRPr="003E53D0">
        <w:rPr>
          <w:color w:val="000000" w:themeColor="text1"/>
        </w:rPr>
        <w:t xml:space="preserve"> by </w:t>
      </w:r>
      <w:r w:rsidR="00941A5B" w:rsidRPr="003E53D0">
        <w:rPr>
          <w:color w:val="000000" w:themeColor="text1"/>
        </w:rPr>
        <w:t>healthy participants</w:t>
      </w:r>
      <w:r w:rsidR="000E039E">
        <w:rPr>
          <w:color w:val="000000" w:themeColor="text1"/>
        </w:rPr>
        <w:t xml:space="preserve"> in psychedelic research</w:t>
      </w:r>
      <w:r w:rsidR="00941A5B" w:rsidRPr="003E53D0">
        <w:rPr>
          <w:color w:val="000000" w:themeColor="text1"/>
        </w:rPr>
        <w:t xml:space="preserve">. </w:t>
      </w:r>
    </w:p>
    <w:p w14:paraId="5BED3DB0" w14:textId="77777777" w:rsidR="00894B45" w:rsidRDefault="00894B45" w:rsidP="00E50706">
      <w:pPr>
        <w:rPr>
          <w:color w:val="000000" w:themeColor="text1"/>
        </w:rPr>
      </w:pPr>
    </w:p>
    <w:p w14:paraId="403C3D0A" w14:textId="5896BDE6" w:rsidR="003A0B64" w:rsidRPr="003E53D0" w:rsidRDefault="00941A5B" w:rsidP="00E50706">
      <w:pPr>
        <w:rPr>
          <w:color w:val="000000" w:themeColor="text1"/>
        </w:rPr>
      </w:pPr>
      <w:r w:rsidRPr="003E53D0">
        <w:rPr>
          <w:color w:val="000000" w:themeColor="text1"/>
        </w:rPr>
        <w:t xml:space="preserve">Further studies could build upon this to understand the effect psychedelics might have for disease treatment. In 2019, Barrett et al. conducted a study using </w:t>
      </w:r>
      <w:r w:rsidRPr="003E53D0">
        <w:rPr>
          <w:color w:val="000000" w:themeColor="text1"/>
          <w:shd w:val="clear" w:color="auto" w:fill="FFFFFF"/>
          <w:vertAlign w:val="superscript"/>
        </w:rPr>
        <w:t>1</w:t>
      </w:r>
      <w:r w:rsidRPr="003E53D0">
        <w:rPr>
          <w:color w:val="000000" w:themeColor="text1"/>
          <w:shd w:val="clear" w:color="auto" w:fill="FFFFFF"/>
        </w:rPr>
        <w:t>H</w:t>
      </w:r>
      <w:r w:rsidRPr="003E53D0">
        <w:rPr>
          <w:color w:val="000000" w:themeColor="text1"/>
        </w:rPr>
        <w:t xml:space="preserve"> MRS on major depressive disorder (MDD) patients</w:t>
      </w:r>
      <w:r w:rsidR="00BF7D19" w:rsidRPr="003E53D0">
        <w:rPr>
          <w:color w:val="000000" w:themeColor="text1"/>
        </w:rPr>
        <w:fldChar w:fldCharType="begin" w:fldLock="1"/>
      </w:r>
      <w:r w:rsidR="00133B53">
        <w:rPr>
          <w:color w:val="000000" w:themeColor="text1"/>
        </w:rPr>
        <w:instrText>ADDIN CSL_CITATION {"citationItems":[{"id":"ITEM-1","itemData":{"DOI":"10.1002/CENTRAL/CN-02119348","author":[{"dropping-particle":"","family":"Barrett","given":"F","non-dropping-particle":"","parse-names":false,"suffix":""}],"container-title":"Neuropsychopharmacology","id":"ITEM-1","issued":{"date-parts":[["2019"]]},"page":"76-77","publisher":"John Wiley &amp; Sons, Ltd.","title":"In patients with major depressive disorder, psilocybin administration is associated with reduced amygdala response to negative affective stimuli and normalization of cortical glutamate one week after psilocybin, and improved cognitive flexibility one and four weeks after psilocybin","type":"article-journal","volume":"44"},"uris":["http://www.mendeley.com/documents/?uuid=a2aaa4d3-3917-3165-91e2-94c5aefa37ce"]}],"mendeley":{"formattedCitation":"(176)","plainTextFormattedCitation":"(176)","previouslyFormattedCitation":"(176)"},"properties":{"noteIndex":0},"schema":"https://github.com/citation-style-language/schema/raw/master/csl-citation.json"}</w:instrText>
      </w:r>
      <w:r w:rsidR="00BF7D19" w:rsidRPr="003E53D0">
        <w:rPr>
          <w:color w:val="000000" w:themeColor="text1"/>
        </w:rPr>
        <w:fldChar w:fldCharType="separate"/>
      </w:r>
      <w:r w:rsidR="00030235" w:rsidRPr="00030235">
        <w:rPr>
          <w:noProof/>
          <w:color w:val="000000" w:themeColor="text1"/>
        </w:rPr>
        <w:t>(176)</w:t>
      </w:r>
      <w:r w:rsidR="00BF7D19" w:rsidRPr="003E53D0">
        <w:rPr>
          <w:color w:val="000000" w:themeColor="text1"/>
        </w:rPr>
        <w:fldChar w:fldCharType="end"/>
      </w:r>
      <w:r w:rsidR="008E2362" w:rsidRPr="003E53D0">
        <w:rPr>
          <w:color w:val="000000" w:themeColor="text1"/>
        </w:rPr>
        <w:t>, who</w:t>
      </w:r>
      <w:r w:rsidRPr="003E53D0">
        <w:rPr>
          <w:color w:val="000000" w:themeColor="text1"/>
        </w:rPr>
        <w:t xml:space="preserve"> </w:t>
      </w:r>
      <w:r w:rsidR="008E2362" w:rsidRPr="003E53D0">
        <w:rPr>
          <w:color w:val="000000" w:themeColor="text1"/>
        </w:rPr>
        <w:t xml:space="preserve">underwent </w:t>
      </w:r>
      <w:r w:rsidRPr="003E53D0">
        <w:rPr>
          <w:color w:val="000000" w:themeColor="text1"/>
        </w:rPr>
        <w:t xml:space="preserve">two sessions of psilocybin </w:t>
      </w:r>
      <w:r w:rsidR="008E2362" w:rsidRPr="003E53D0">
        <w:rPr>
          <w:color w:val="000000" w:themeColor="text1"/>
        </w:rPr>
        <w:t>at higher doses</w:t>
      </w:r>
      <w:r w:rsidRPr="003E53D0">
        <w:rPr>
          <w:color w:val="000000" w:themeColor="text1"/>
        </w:rPr>
        <w:t xml:space="preserve"> and</w:t>
      </w:r>
      <w:r w:rsidR="008E2362" w:rsidRPr="003E53D0">
        <w:rPr>
          <w:color w:val="000000" w:themeColor="text1"/>
        </w:rPr>
        <w:t xml:space="preserve"> were</w:t>
      </w:r>
      <w:r w:rsidRPr="003E53D0">
        <w:rPr>
          <w:color w:val="000000" w:themeColor="text1"/>
        </w:rPr>
        <w:t xml:space="preserve"> monitor</w:t>
      </w:r>
      <w:r w:rsidR="008E2362" w:rsidRPr="003E53D0">
        <w:rPr>
          <w:color w:val="000000" w:themeColor="text1"/>
        </w:rPr>
        <w:t>ed for</w:t>
      </w:r>
      <w:r w:rsidRPr="003E53D0">
        <w:rPr>
          <w:color w:val="000000" w:themeColor="text1"/>
        </w:rPr>
        <w:t xml:space="preserve"> changes in the anterior cingulate cortex (ACC) and hippocampus</w:t>
      </w:r>
      <w:r w:rsidR="008E2362" w:rsidRPr="003E53D0">
        <w:rPr>
          <w:color w:val="000000" w:themeColor="text1"/>
        </w:rPr>
        <w:t xml:space="preserve"> weeks after the administration</w:t>
      </w:r>
      <w:r w:rsidRPr="003E53D0">
        <w:rPr>
          <w:color w:val="000000" w:themeColor="text1"/>
        </w:rPr>
        <w:t>. This study was able to conclude that glutamate was decreased in the ACC and increased in the hippocampus; this was interesting because the MDD patients also had improved cognitive flexibility suggesting that there may be a relationship between the changes in glutamate</w:t>
      </w:r>
      <w:r w:rsidR="008E2362" w:rsidRPr="003E53D0">
        <w:rPr>
          <w:color w:val="000000" w:themeColor="text1"/>
        </w:rPr>
        <w:t xml:space="preserve"> in these brain regions</w:t>
      </w:r>
      <w:r w:rsidRPr="003E53D0">
        <w:rPr>
          <w:color w:val="000000" w:themeColor="text1"/>
        </w:rPr>
        <w:t xml:space="preserve"> and anti-depressant effects of psilocybin. </w:t>
      </w:r>
      <w:r w:rsidR="00E01089">
        <w:rPr>
          <w:color w:val="000000" w:themeColor="text1"/>
        </w:rPr>
        <w:t>In the future, similar</w:t>
      </w:r>
      <w:r w:rsidR="00894B45">
        <w:rPr>
          <w:color w:val="000000" w:themeColor="text1"/>
        </w:rPr>
        <w:t xml:space="preserve"> studies could be </w:t>
      </w:r>
      <w:r w:rsidRPr="003E53D0">
        <w:rPr>
          <w:color w:val="000000" w:themeColor="text1"/>
        </w:rPr>
        <w:t xml:space="preserve">conducted with a placebo </w:t>
      </w:r>
      <w:r w:rsidR="00A41045" w:rsidRPr="003E53D0">
        <w:rPr>
          <w:color w:val="000000" w:themeColor="text1"/>
        </w:rPr>
        <w:t xml:space="preserve">control or against </w:t>
      </w:r>
      <w:r w:rsidR="000763FA" w:rsidRPr="003E53D0">
        <w:rPr>
          <w:color w:val="000000" w:themeColor="text1"/>
        </w:rPr>
        <w:t>a</w:t>
      </w:r>
      <w:r w:rsidR="00A41045" w:rsidRPr="003E53D0">
        <w:rPr>
          <w:color w:val="000000" w:themeColor="text1"/>
        </w:rPr>
        <w:t xml:space="preserve"> serotonin reuptake inhibitor drug that serves as the standard anti-depressant treatment, </w:t>
      </w:r>
      <w:r w:rsidR="00894B45">
        <w:rPr>
          <w:color w:val="000000" w:themeColor="text1"/>
        </w:rPr>
        <w:t xml:space="preserve">as </w:t>
      </w:r>
      <w:r w:rsidR="00A41045" w:rsidRPr="003E53D0">
        <w:rPr>
          <w:color w:val="000000" w:themeColor="text1"/>
        </w:rPr>
        <w:t xml:space="preserve">this would assess </w:t>
      </w:r>
      <w:r w:rsidRPr="003E53D0">
        <w:rPr>
          <w:color w:val="000000" w:themeColor="text1"/>
        </w:rPr>
        <w:t>the benefits of psychedelic assisted therapy</w:t>
      </w:r>
      <w:r w:rsidR="000763FA" w:rsidRPr="003E53D0">
        <w:rPr>
          <w:color w:val="000000" w:themeColor="text1"/>
        </w:rPr>
        <w:t xml:space="preserve"> using </w:t>
      </w:r>
      <w:r w:rsidR="000763FA" w:rsidRPr="003E53D0">
        <w:rPr>
          <w:color w:val="000000" w:themeColor="text1"/>
          <w:shd w:val="clear" w:color="auto" w:fill="FFFFFF"/>
          <w:vertAlign w:val="superscript"/>
        </w:rPr>
        <w:t>1</w:t>
      </w:r>
      <w:r w:rsidR="000763FA" w:rsidRPr="003E53D0">
        <w:rPr>
          <w:color w:val="000000" w:themeColor="text1"/>
          <w:shd w:val="clear" w:color="auto" w:fill="FFFFFF"/>
        </w:rPr>
        <w:t>H</w:t>
      </w:r>
      <w:r w:rsidR="000763FA" w:rsidRPr="003E53D0">
        <w:rPr>
          <w:color w:val="000000" w:themeColor="text1"/>
        </w:rPr>
        <w:t xml:space="preserve"> MRS</w:t>
      </w:r>
      <w:r w:rsidR="00550E1A" w:rsidRPr="003E53D0">
        <w:rPr>
          <w:color w:val="000000" w:themeColor="text1"/>
        </w:rPr>
        <w:t xml:space="preserve">. </w:t>
      </w:r>
      <w:r w:rsidR="00E01089">
        <w:rPr>
          <w:color w:val="000000" w:themeColor="text1"/>
        </w:rPr>
        <w:t>Overall</w:t>
      </w:r>
      <w:r w:rsidR="00894B45">
        <w:rPr>
          <w:color w:val="000000" w:themeColor="text1"/>
        </w:rPr>
        <w:t>, there</w:t>
      </w:r>
      <w:r w:rsidR="00E01089">
        <w:rPr>
          <w:color w:val="000000" w:themeColor="text1"/>
        </w:rPr>
        <w:t xml:space="preserve"> have been major advances to the application of the </w:t>
      </w:r>
      <w:r w:rsidR="00E01089" w:rsidRPr="00E01089">
        <w:rPr>
          <w:i/>
          <w:iCs/>
          <w:color w:val="000000" w:themeColor="text1"/>
        </w:rPr>
        <w:t>in vivo</w:t>
      </w:r>
      <w:r w:rsidR="00E01089">
        <w:rPr>
          <w:color w:val="000000" w:themeColor="text1"/>
        </w:rPr>
        <w:t xml:space="preserve"> MRS </w:t>
      </w:r>
      <w:r w:rsidR="00E01089" w:rsidRPr="003E53D0">
        <w:rPr>
          <w:color w:val="000000" w:themeColor="text1"/>
        </w:rPr>
        <w:t>technique</w:t>
      </w:r>
      <w:r w:rsidR="00E01089">
        <w:rPr>
          <w:color w:val="000000" w:themeColor="text1"/>
        </w:rPr>
        <w:t xml:space="preserve"> in neuroscience which is largely due to </w:t>
      </w:r>
      <w:r w:rsidR="00A844D3">
        <w:rPr>
          <w:color w:val="000000" w:themeColor="text1"/>
        </w:rPr>
        <w:t xml:space="preserve">the </w:t>
      </w:r>
      <w:r w:rsidR="00E01089">
        <w:rPr>
          <w:color w:val="000000" w:themeColor="text1"/>
        </w:rPr>
        <w:t>more powerful superconducting magnets</w:t>
      </w:r>
      <w:r w:rsidR="00703038">
        <w:rPr>
          <w:color w:val="000000" w:themeColor="text1"/>
        </w:rPr>
        <w:t>. H</w:t>
      </w:r>
      <w:r w:rsidR="00E01089">
        <w:rPr>
          <w:color w:val="000000" w:themeColor="text1"/>
        </w:rPr>
        <w:t xml:space="preserve">owever there are still further improvements that could be </w:t>
      </w:r>
      <w:r w:rsidR="00A56EE6">
        <w:rPr>
          <w:color w:val="000000" w:themeColor="text1"/>
        </w:rPr>
        <w:t xml:space="preserve">made </w:t>
      </w:r>
      <w:r w:rsidR="00E01089">
        <w:rPr>
          <w:color w:val="000000" w:themeColor="text1"/>
        </w:rPr>
        <w:t xml:space="preserve">to </w:t>
      </w:r>
      <w:r w:rsidR="00A56EE6">
        <w:rPr>
          <w:color w:val="000000" w:themeColor="text1"/>
        </w:rPr>
        <w:t xml:space="preserve">the </w:t>
      </w:r>
      <w:r w:rsidR="00E01089">
        <w:rPr>
          <w:color w:val="000000" w:themeColor="text1"/>
        </w:rPr>
        <w:t>methodology</w:t>
      </w:r>
      <w:r w:rsidR="00A56EE6">
        <w:rPr>
          <w:color w:val="000000" w:themeColor="text1"/>
        </w:rPr>
        <w:t xml:space="preserve"> of MRS</w:t>
      </w:r>
      <w:r w:rsidR="00E01089">
        <w:rPr>
          <w:color w:val="000000" w:themeColor="text1"/>
        </w:rPr>
        <w:t xml:space="preserve"> and this </w:t>
      </w:r>
      <w:r w:rsidR="00A56EE6">
        <w:rPr>
          <w:color w:val="000000" w:themeColor="text1"/>
        </w:rPr>
        <w:t xml:space="preserve">is </w:t>
      </w:r>
      <w:r w:rsidR="00E01089">
        <w:rPr>
          <w:color w:val="000000" w:themeColor="text1"/>
        </w:rPr>
        <w:t>paramount since</w:t>
      </w:r>
      <w:r w:rsidR="00D35C01">
        <w:rPr>
          <w:color w:val="000000" w:themeColor="text1"/>
        </w:rPr>
        <w:t xml:space="preserve"> -to </w:t>
      </w:r>
      <w:r w:rsidR="003F5075">
        <w:rPr>
          <w:color w:val="000000" w:themeColor="text1"/>
        </w:rPr>
        <w:t>the</w:t>
      </w:r>
      <w:r w:rsidR="00D35C01">
        <w:rPr>
          <w:color w:val="000000" w:themeColor="text1"/>
        </w:rPr>
        <w:t xml:space="preserve"> best </w:t>
      </w:r>
      <w:r w:rsidR="003F5075">
        <w:rPr>
          <w:color w:val="000000" w:themeColor="text1"/>
        </w:rPr>
        <w:t xml:space="preserve">of our </w:t>
      </w:r>
      <w:r w:rsidR="00D35C01">
        <w:rPr>
          <w:color w:val="000000" w:themeColor="text1"/>
        </w:rPr>
        <w:t>knowledge-</w:t>
      </w:r>
      <w:r w:rsidR="00E01089">
        <w:rPr>
          <w:color w:val="000000" w:themeColor="text1"/>
        </w:rPr>
        <w:t xml:space="preserve"> no psychedelics studies</w:t>
      </w:r>
      <w:r w:rsidR="00D35C01">
        <w:rPr>
          <w:color w:val="000000" w:themeColor="text1"/>
        </w:rPr>
        <w:t xml:space="preserve"> so far</w:t>
      </w:r>
      <w:r w:rsidR="00E01089">
        <w:rPr>
          <w:color w:val="000000" w:themeColor="text1"/>
        </w:rPr>
        <w:t xml:space="preserve"> </w:t>
      </w:r>
      <w:r w:rsidR="00D35C01">
        <w:rPr>
          <w:color w:val="000000" w:themeColor="text1"/>
        </w:rPr>
        <w:t>have</w:t>
      </w:r>
      <w:r w:rsidR="00E01089">
        <w:rPr>
          <w:color w:val="000000" w:themeColor="text1"/>
        </w:rPr>
        <w:t xml:space="preserve"> use</w:t>
      </w:r>
      <w:r w:rsidR="00D35C01">
        <w:rPr>
          <w:color w:val="000000" w:themeColor="text1"/>
        </w:rPr>
        <w:t>d</w:t>
      </w:r>
      <w:r w:rsidR="00E01089">
        <w:rPr>
          <w:color w:val="000000" w:themeColor="text1"/>
        </w:rPr>
        <w:t xml:space="preserve"> </w:t>
      </w:r>
      <w:r w:rsidR="00D35C01">
        <w:rPr>
          <w:color w:val="000000" w:themeColor="text1"/>
        </w:rPr>
        <w:t>improved methodological techniques like f</w:t>
      </w:r>
      <w:r w:rsidR="00D35C01" w:rsidRPr="003E53D0">
        <w:rPr>
          <w:color w:val="000000" w:themeColor="text1"/>
        </w:rPr>
        <w:t xml:space="preserve">unctional </w:t>
      </w:r>
      <w:r w:rsidR="00D35C01" w:rsidRPr="003E53D0">
        <w:rPr>
          <w:color w:val="000000" w:themeColor="text1"/>
          <w:shd w:val="clear" w:color="auto" w:fill="FFFFFF"/>
          <w:vertAlign w:val="superscript"/>
        </w:rPr>
        <w:t>1</w:t>
      </w:r>
      <w:r w:rsidR="00D35C01" w:rsidRPr="003E53D0">
        <w:rPr>
          <w:color w:val="000000" w:themeColor="text1"/>
          <w:shd w:val="clear" w:color="auto" w:fill="FFFFFF"/>
        </w:rPr>
        <w:t>H</w:t>
      </w:r>
      <w:r w:rsidR="00D35C01" w:rsidRPr="003E53D0">
        <w:rPr>
          <w:color w:val="000000" w:themeColor="text1"/>
        </w:rPr>
        <w:t xml:space="preserve"> MR</w:t>
      </w:r>
      <w:r w:rsidR="00D35C01">
        <w:rPr>
          <w:color w:val="000000" w:themeColor="text1"/>
        </w:rPr>
        <w:t xml:space="preserve">S </w:t>
      </w:r>
      <w:r w:rsidR="00550E1A" w:rsidRPr="003E53D0">
        <w:rPr>
          <w:color w:val="000000" w:themeColor="text1"/>
        </w:rPr>
        <w:t xml:space="preserve">in combination with 7T. </w:t>
      </w:r>
      <w:r w:rsidR="00D35C01">
        <w:rPr>
          <w:color w:val="000000" w:themeColor="text1"/>
        </w:rPr>
        <w:t>F</w:t>
      </w:r>
      <w:r w:rsidR="00550E1A" w:rsidRPr="003E53D0">
        <w:rPr>
          <w:color w:val="000000" w:themeColor="text1"/>
        </w:rPr>
        <w:t xml:space="preserve">unctional </w:t>
      </w:r>
      <w:r w:rsidR="00550E1A" w:rsidRPr="003E53D0">
        <w:rPr>
          <w:color w:val="000000" w:themeColor="text1"/>
          <w:shd w:val="clear" w:color="auto" w:fill="FFFFFF"/>
          <w:vertAlign w:val="superscript"/>
        </w:rPr>
        <w:t>1</w:t>
      </w:r>
      <w:r w:rsidR="00550E1A" w:rsidRPr="003E53D0">
        <w:rPr>
          <w:color w:val="000000" w:themeColor="text1"/>
          <w:shd w:val="clear" w:color="auto" w:fill="FFFFFF"/>
        </w:rPr>
        <w:t>H</w:t>
      </w:r>
      <w:r w:rsidR="00550E1A" w:rsidRPr="003E53D0">
        <w:rPr>
          <w:color w:val="000000" w:themeColor="text1"/>
        </w:rPr>
        <w:t xml:space="preserve"> MRS</w:t>
      </w:r>
      <w:r w:rsidR="00D35C01">
        <w:rPr>
          <w:color w:val="000000" w:themeColor="text1"/>
        </w:rPr>
        <w:t xml:space="preserve"> involves</w:t>
      </w:r>
      <w:r w:rsidR="00550E1A" w:rsidRPr="003E53D0">
        <w:rPr>
          <w:color w:val="000000" w:themeColor="text1"/>
        </w:rPr>
        <w:t xml:space="preserve"> sequential scans </w:t>
      </w:r>
      <w:r w:rsidR="00D35C01">
        <w:rPr>
          <w:color w:val="000000" w:themeColor="text1"/>
        </w:rPr>
        <w:t xml:space="preserve">being collected </w:t>
      </w:r>
      <w:r w:rsidR="00550E1A" w:rsidRPr="003E53D0">
        <w:rPr>
          <w:color w:val="000000" w:themeColor="text1"/>
        </w:rPr>
        <w:t>whilst participants are exposed to a stimulus/task-based condition which allows for ‘dynamic’ neurotransmitter release to be measured</w:t>
      </w:r>
      <w:r w:rsidR="00550E1A" w:rsidRPr="003E53D0">
        <w:rPr>
          <w:color w:val="000000" w:themeColor="text1"/>
        </w:rPr>
        <w:fldChar w:fldCharType="begin" w:fldLock="1"/>
      </w:r>
      <w:r w:rsidR="00133B53">
        <w:rPr>
          <w:color w:val="000000" w:themeColor="text1"/>
        </w:rPr>
        <w:instrText>ADDIN CSL_CITATION {"citationItems":[{"id":"ITEM-1","itemData":{"DOI":"10.1177/0269881117747579","ISSN":"14617285","PMID":"29368979","abstract":"Abnormalities of the glutamate system are increasingly implicated in schizophrenia but their exact nature remains unknown. Proton magnetic resonance spectroscopy (1H-MRS), while fundamental in revealing glutamatergic alterations in schizophrenia, has, until recently, been significantly limited and thought to only provide static measures. Functional magnetic resonance spectroscopy (fMRS), which uses sequential scans for dynamic measurement of a range of brain metabolites in activated brain areas, has lately been applied to a variety of task or stimulus conditions, producing interesting insights into neurometabolite responses to neural activation. Here, we summarise the existing 1H-MRS studies of brain glutamate in schizophrenia. We then present a comprehensive review of research studies that have utilised fMRS, and lastly consider how fMRS methods might further the understanding of glutamatergic abnormalities in schizophrenia.","author":[{"dropping-particle":"","family":"Jelen","given":"Luke A.","non-dropping-particle":"","parse-names":false,"suffix":""},{"dropping-particle":"","family":"King","given":"Sinead","non-dropping-particle":"","parse-names":false,"suffix":""},{"dropping-particle":"","family":"Mullins","given":"Paul G.","non-dropping-particle":"","parse-names":false,"suffix":""},{"dropping-particle":"","family":"Stone","given":"James M.","non-dropping-particle":"","parse-names":false,"suffix":""}],"container-title":"Journal of Psychopharmacology","id":"ITEM-1","issue":"5","issued":{"date-parts":[["2018","5","1"]]},"page":"497-508","publisher":"SAGE Publications Ltd","title":"Beyond static measures: A review of functional magnetic resonance spectroscopy and its potential to investigate dynamic glutamatergic abnormalities in schizophrenia","type":"article","volume":"32"},"uris":["http://www.mendeley.com/documents/?uuid=1eb380da-4f59-3a68-9c15-12f787896fa6"]}],"mendeley":{"formattedCitation":"(177)","plainTextFormattedCitation":"(177)","previouslyFormattedCitation":"(177)"},"properties":{"noteIndex":0},"schema":"https://github.com/citation-style-language/schema/raw/master/csl-citation.json"}</w:instrText>
      </w:r>
      <w:r w:rsidR="00550E1A" w:rsidRPr="003E53D0">
        <w:rPr>
          <w:color w:val="000000" w:themeColor="text1"/>
        </w:rPr>
        <w:fldChar w:fldCharType="separate"/>
      </w:r>
      <w:r w:rsidR="00030235" w:rsidRPr="00030235">
        <w:rPr>
          <w:noProof/>
          <w:color w:val="000000" w:themeColor="text1"/>
        </w:rPr>
        <w:t>(177)</w:t>
      </w:r>
      <w:r w:rsidR="00550E1A" w:rsidRPr="003E53D0">
        <w:rPr>
          <w:color w:val="000000" w:themeColor="text1"/>
        </w:rPr>
        <w:fldChar w:fldCharType="end"/>
      </w:r>
      <w:r w:rsidR="00550E1A" w:rsidRPr="003E53D0">
        <w:rPr>
          <w:color w:val="000000" w:themeColor="text1"/>
        </w:rPr>
        <w:t xml:space="preserve">, this provides more reliable findings than static basal level measurements that </w:t>
      </w:r>
      <w:r w:rsidR="00550E1A" w:rsidRPr="003E53D0">
        <w:rPr>
          <w:color w:val="000000" w:themeColor="text1"/>
          <w:shd w:val="clear" w:color="auto" w:fill="FFFFFF"/>
          <w:vertAlign w:val="superscript"/>
        </w:rPr>
        <w:t>1</w:t>
      </w:r>
      <w:r w:rsidR="00550E1A" w:rsidRPr="003E53D0">
        <w:rPr>
          <w:color w:val="000000" w:themeColor="text1"/>
          <w:shd w:val="clear" w:color="auto" w:fill="FFFFFF"/>
        </w:rPr>
        <w:t>H</w:t>
      </w:r>
      <w:r w:rsidR="00550E1A" w:rsidRPr="003E53D0">
        <w:rPr>
          <w:color w:val="000000" w:themeColor="text1"/>
        </w:rPr>
        <w:t xml:space="preserve"> MRS studies are conventionally used. This would mean scans could be taken when a pain stimulus is non-invasively inflicted by either cold-pressure or acute heat</w:t>
      </w:r>
      <w:r w:rsidR="00550E1A" w:rsidRPr="003E53D0">
        <w:rPr>
          <w:color w:val="000000" w:themeColor="text1"/>
        </w:rPr>
        <w:fldChar w:fldCharType="begin" w:fldLock="1"/>
      </w:r>
      <w:r w:rsidR="00133B53">
        <w:rPr>
          <w:color w:val="000000" w:themeColor="text1"/>
        </w:rPr>
        <w:instrText>ADDIN CSL_CITATION {"citationItems":[{"id":"ITEM-1","itemData":{"DOI":"10.1177/0269881117747579","ISSN":"14617285","PMID":"29368979","abstract":"Abnormalities of the glutamate system are increasingly implicated in schizophrenia but their exact nature remains unknown. Proton magnetic resonance spectroscopy (1H-MRS), while fundamental in revealing glutamatergic alterations in schizophrenia, has, until recently, been significantly limited and thought to only provide static measures. Functional magnetic resonance spectroscopy (fMRS), which uses sequential scans for dynamic measurement of a range of brain metabolites in activated brain areas, has lately been applied to a variety of task or stimulus conditions, producing interesting insights into neurometabolite responses to neural activation. Here, we summarise the existing 1H-MRS studies of brain glutamate in schizophrenia. We then present a comprehensive review of research studies that have utilised fMRS, and lastly consider how fMRS methods might further the understanding of glutamatergic abnormalities in schizophrenia.","author":[{"dropping-particle":"","family":"Jelen","given":"Luke A.","non-dropping-particle":"","parse-names":false,"suffix":""},{"dropping-particle":"","family":"King","given":"Sinead","non-dropping-particle":"","parse-names":false,"suffix":""},{"dropping-particle":"","family":"Mullins","given":"Paul G.","non-dropping-particle":"","parse-names":false,"suffix":""},{"dropping-particle":"","family":"Stone","given":"James M.","non-dropping-particle":"","parse-names":false,"suffix":""}],"container-title":"Journal of Psychopharmacology","id":"ITEM-1","issue":"5","issued":{"date-parts":[["2018","5","1"]]},"page":"497-508","publisher":"SAGE Publications Ltd","title":"Beyond static measures: A review of functional magnetic resonance spectroscopy and its potential to investigate dynamic glutamatergic abnormalities in schizophrenia","type":"article","volume":"32"},"uris":["http://www.mendeley.com/documents/?uuid=1eb380da-4f59-3a68-9c15-12f787896fa6"]}],"mendeley":{"formattedCitation":"(177)","plainTextFormattedCitation":"(177)","previouslyFormattedCitation":"(177)"},"properties":{"noteIndex":0},"schema":"https://github.com/citation-style-language/schema/raw/master/csl-citation.json"}</w:instrText>
      </w:r>
      <w:r w:rsidR="00550E1A" w:rsidRPr="003E53D0">
        <w:rPr>
          <w:color w:val="000000" w:themeColor="text1"/>
        </w:rPr>
        <w:fldChar w:fldCharType="separate"/>
      </w:r>
      <w:r w:rsidR="00030235" w:rsidRPr="00030235">
        <w:rPr>
          <w:noProof/>
          <w:color w:val="000000" w:themeColor="text1"/>
        </w:rPr>
        <w:t>(177)</w:t>
      </w:r>
      <w:r w:rsidR="00550E1A" w:rsidRPr="003E53D0">
        <w:rPr>
          <w:color w:val="000000" w:themeColor="text1"/>
        </w:rPr>
        <w:fldChar w:fldCharType="end"/>
      </w:r>
      <w:r w:rsidR="00550E1A" w:rsidRPr="003E53D0">
        <w:rPr>
          <w:color w:val="000000" w:themeColor="text1"/>
        </w:rPr>
        <w:t xml:space="preserve"> or an alternatively during a flashing checkerboard stimulus where a flashing light is shone into the participants eye to stimulate glutamate release</w:t>
      </w:r>
      <w:r w:rsidR="00550E1A" w:rsidRPr="003E53D0">
        <w:rPr>
          <w:color w:val="000000" w:themeColor="text1"/>
        </w:rPr>
        <w:fldChar w:fldCharType="begin" w:fldLock="1"/>
      </w:r>
      <w:r w:rsidR="00133B53">
        <w:rPr>
          <w:color w:val="000000" w:themeColor="text1"/>
        </w:rPr>
        <w:instrText>ADDIN CSL_CITATION {"citationItems":[{"id":"ITEM-1","itemData":{"DOI":"10.1177/0269881117747579","ISSN":"14617285","PMID":"29368979","abstract":"Abnormalities of the glutamate system are increasingly implicated in schizophrenia but their exact nature remains unknown. Proton magnetic resonance spectroscopy (1H-MRS), while fundamental in revealing glutamatergic alterations in schizophrenia, has, until recently, been significantly limited and thought to only provide static measures. Functional magnetic resonance spectroscopy (fMRS), which uses sequential scans for dynamic measurement of a range of brain metabolites in activated brain areas, has lately been applied to a variety of task or stimulus conditions, producing interesting insights into neurometabolite responses to neural activation. Here, we summarise the existing 1H-MRS studies of brain glutamate in schizophrenia. We then present a comprehensive review of research studies that have utilised fMRS, and lastly consider how fMRS methods might further the understanding of glutamatergic abnormalities in schizophrenia.","author":[{"dropping-particle":"","family":"Jelen","given":"Luke A.","non-dropping-particle":"","parse-names":false,"suffix":""},{"dropping-particle":"","family":"King","given":"Sinead","non-dropping-particle":"","parse-names":false,"suffix":""},{"dropping-particle":"","family":"Mullins","given":"Paul G.","non-dropping-particle":"","parse-names":false,"suffix":""},{"dropping-particle":"","family":"Stone","given":"James M.","non-dropping-particle":"","parse-names":false,"suffix":""}],"container-title":"Journal of Psychopharmacology","id":"ITEM-1","issue":"5","issued":{"date-parts":[["2018","5","1"]]},"page":"497-508","publisher":"SAGE Publications Ltd","title":"Beyond static measures: A review of functional magnetic resonance spectroscopy and its potential to investigate dynamic glutamatergic abnormalities in schizophrenia","type":"article","volume":"32"},"uris":["http://www.mendeley.com/documents/?uuid=1eb380da-4f59-3a68-9c15-12f787896fa6"]}],"mendeley":{"formattedCitation":"(177)","plainTextFormattedCitation":"(177)","previouslyFormattedCitation":"(177)"},"properties":{"noteIndex":0},"schema":"https://github.com/citation-style-language/schema/raw/master/csl-citation.json"}</w:instrText>
      </w:r>
      <w:r w:rsidR="00550E1A" w:rsidRPr="003E53D0">
        <w:rPr>
          <w:color w:val="000000" w:themeColor="text1"/>
        </w:rPr>
        <w:fldChar w:fldCharType="separate"/>
      </w:r>
      <w:r w:rsidR="00030235" w:rsidRPr="00030235">
        <w:rPr>
          <w:noProof/>
          <w:color w:val="000000" w:themeColor="text1"/>
        </w:rPr>
        <w:t>(177)</w:t>
      </w:r>
      <w:r w:rsidR="00550E1A" w:rsidRPr="003E53D0">
        <w:rPr>
          <w:color w:val="000000" w:themeColor="text1"/>
        </w:rPr>
        <w:fldChar w:fldCharType="end"/>
      </w:r>
      <w:r w:rsidR="00550E1A" w:rsidRPr="003E53D0">
        <w:rPr>
          <w:color w:val="000000" w:themeColor="text1"/>
        </w:rPr>
        <w:t xml:space="preserve">. </w:t>
      </w:r>
      <w:r w:rsidRPr="003E53D0">
        <w:rPr>
          <w:color w:val="000000" w:themeColor="text1"/>
        </w:rPr>
        <w:t xml:space="preserve">Advancements in both the magnetic field strength and methodology of </w:t>
      </w:r>
      <w:r w:rsidRPr="003E53D0">
        <w:rPr>
          <w:color w:val="000000" w:themeColor="text1"/>
          <w:shd w:val="clear" w:color="auto" w:fill="FFFFFF"/>
          <w:vertAlign w:val="superscript"/>
        </w:rPr>
        <w:t>1</w:t>
      </w:r>
      <w:r w:rsidRPr="003E53D0">
        <w:rPr>
          <w:color w:val="000000" w:themeColor="text1"/>
          <w:shd w:val="clear" w:color="auto" w:fill="FFFFFF"/>
        </w:rPr>
        <w:t>H</w:t>
      </w:r>
      <w:r w:rsidRPr="003E53D0">
        <w:rPr>
          <w:color w:val="000000" w:themeColor="text1"/>
        </w:rPr>
        <w:t xml:space="preserve"> MRS could see this technique used with more frequency in the future</w:t>
      </w:r>
      <w:r w:rsidR="00550E1A" w:rsidRPr="003E53D0">
        <w:rPr>
          <w:color w:val="000000" w:themeColor="text1"/>
        </w:rPr>
        <w:t xml:space="preserve"> </w:t>
      </w:r>
      <w:r w:rsidR="00D35C01">
        <w:rPr>
          <w:color w:val="000000" w:themeColor="text1"/>
        </w:rPr>
        <w:t xml:space="preserve">of psychedelic research </w:t>
      </w:r>
      <w:r w:rsidR="00550E1A" w:rsidRPr="003E53D0">
        <w:rPr>
          <w:color w:val="000000" w:themeColor="text1"/>
        </w:rPr>
        <w:t xml:space="preserve">and could be a beneficial addition to traditional imaging techniques like fMRI. </w:t>
      </w:r>
      <w:r w:rsidRPr="003E53D0">
        <w:rPr>
          <w:color w:val="000000" w:themeColor="text1"/>
        </w:rPr>
        <w:t xml:space="preserve"> </w:t>
      </w:r>
    </w:p>
    <w:p w14:paraId="5CE30623" w14:textId="0C6F4416" w:rsidR="00042889" w:rsidRDefault="00042889" w:rsidP="00E50706">
      <w:pPr>
        <w:rPr>
          <w:color w:val="000000" w:themeColor="text1"/>
        </w:rPr>
      </w:pPr>
    </w:p>
    <w:p w14:paraId="732821F9" w14:textId="62B566ED" w:rsidR="00042889" w:rsidRDefault="00715D01" w:rsidP="00E50706">
      <w:pPr>
        <w:rPr>
          <w:color w:val="000000"/>
          <w:shd w:val="clear" w:color="auto" w:fill="FFFFFF"/>
        </w:rPr>
      </w:pPr>
      <w:r w:rsidRPr="00140B2D">
        <w:rPr>
          <w:color w:val="000000"/>
          <w:shd w:val="clear" w:color="auto" w:fill="FFFFFF"/>
        </w:rPr>
        <w:t>A</w:t>
      </w:r>
      <w:r w:rsidR="00140B2D">
        <w:rPr>
          <w:color w:val="000000"/>
          <w:shd w:val="clear" w:color="auto" w:fill="FFFFFF"/>
        </w:rPr>
        <w:t xml:space="preserve"> </w:t>
      </w:r>
      <w:r w:rsidRPr="00140B2D">
        <w:rPr>
          <w:color w:val="000000"/>
          <w:shd w:val="clear" w:color="auto" w:fill="FFFFFF"/>
        </w:rPr>
        <w:t>final future direction</w:t>
      </w:r>
      <w:r w:rsidR="006A529A">
        <w:rPr>
          <w:color w:val="000000"/>
          <w:shd w:val="clear" w:color="auto" w:fill="FFFFFF"/>
        </w:rPr>
        <w:t xml:space="preserve"> are studies that</w:t>
      </w:r>
      <w:r>
        <w:rPr>
          <w:color w:val="000000"/>
          <w:shd w:val="clear" w:color="auto" w:fill="FFFFFF"/>
        </w:rPr>
        <w:t xml:space="preserve"> investigate the influence of the gut microbiota on the effect of psychedelic molecules</w:t>
      </w:r>
      <w:r w:rsidR="00931EA2">
        <w:rPr>
          <w:color w:val="000000"/>
          <w:shd w:val="clear" w:color="auto" w:fill="FFFFFF"/>
        </w:rPr>
        <w:t xml:space="preserve">; </w:t>
      </w:r>
      <w:r w:rsidR="00931EA2" w:rsidRPr="00F00BA9">
        <w:rPr>
          <w:color w:val="000000" w:themeColor="text1"/>
          <w:shd w:val="clear" w:color="auto" w:fill="FFFFFF"/>
          <w:vertAlign w:val="superscript"/>
        </w:rPr>
        <w:t>1</w:t>
      </w:r>
      <w:r w:rsidR="00931EA2" w:rsidRPr="00F00BA9">
        <w:rPr>
          <w:color w:val="000000" w:themeColor="text1"/>
          <w:shd w:val="clear" w:color="auto" w:fill="FFFFFF"/>
        </w:rPr>
        <w:t>H</w:t>
      </w:r>
      <w:r w:rsidR="00931EA2">
        <w:rPr>
          <w:color w:val="000000" w:themeColor="text1"/>
          <w:shd w:val="clear" w:color="auto" w:fill="FFFFFF"/>
        </w:rPr>
        <w:t xml:space="preserve"> NMR spectroscopy is heavily used in gut microbiome studies</w:t>
      </w:r>
      <w:r w:rsidR="00AD1020">
        <w:rPr>
          <w:color w:val="000000" w:themeColor="text1"/>
          <w:shd w:val="clear" w:color="auto" w:fill="FFFFFF"/>
        </w:rPr>
        <w:fldChar w:fldCharType="begin" w:fldLock="1"/>
      </w:r>
      <w:r w:rsidR="00133B53">
        <w:rPr>
          <w:color w:val="000000" w:themeColor="text1"/>
          <w:shd w:val="clear" w:color="auto" w:fill="FFFFFF"/>
        </w:rPr>
        <w:instrText>ADDIN CSL_CITATION {"citationItems":[{"id":"ITEM-1","itemData":{"DOI":"10.1080/00498254.2019.1697015","ISSN":"13665928","PMID":"31826699","abstract":"In 1999 the journal Xenobiotica published a perspective article detailing the new concept of metabonomics and its application to toxicology. The approach was to apply analytical chemistry techniques, and in particular 1H NMR spectroscopy, to profile biofluids and tissues to assess the metabolic effects of xenobiotics. Metabonomics has been shown to be sensitive not only to organ specific toxicity but also provides information on the cells, tissues and mechanisms involved, as well as their interactions with the host’s sex, age, diet and environment. This review assesses the impact of metabonomics on drug toxicology over the past twenty years and its future prospects. These applications include: Pharmacometabonomics–the prediction of drug effects through the analysis of predose, biofluid metabolite profiles, which reflect both genetic and environmental influences on physiology. The microbiomes role in toxicology–understanding how xenobiotics can be modified by the microbiome dramatically changing their impact on the host. Development of expert systems for toxicity prediction. Data fusion of different omics to better understand the underlying mechanisms of drug toxicity. Metabonomics and exposome–understanding how multiple environmental toxicants might interact with the host organism to produce their overall phenotype. While there has been huge growth in the use of metabonomics within toxicology these applications are set to increase as the tools become more sensitive and robust, as well as the increased use of both experimental and in silico databases to aid prediction of toxicology.","author":[{"dropping-particle":"","family":"Griffin","given":"Julian L.","non-dropping-particle":"","parse-names":false,"suffix":""}],"container-title":"Xenobiotica","id":"ITEM-1","issue":"1","issued":{"date-parts":[["2020","1","2"]]},"page":"110-114","publisher":"Taylor and Francis Ltd","title":"Twenty years of metabonomics: so what has metabonomics done for toxicology?","type":"article","volume":"50"},"uris":["http://www.mendeley.com/documents/?uuid=981185a5-6e26-3bbf-a31c-72dd54c60d35"]},{"id":"ITEM-2","itemData":{"DOI":"10.1038/s41467-019-13721-1","ISSN":"20411723","PMID":"31862950","abstract":"Gut microbiota has been implicated in major diseases affecting the human population and has also been linked to triglycerides and high-density lipoprotein levels in the circulation. Recent development in metabolomics allows classifying the lipoprotein particles into more details. Here, we examine the impact of gut microbiota on circulating metabolites measured by Nuclear Magnetic Resonance technology in 2309 individuals from the Rotterdam Study and the LifeLines-DEEP cohort. We assess the relationship between gut microbiota and metabolites by linear regression analysis while adjusting for age, sex, body-mass index, technical covariates, medication use, and multiple testing. We report an association of 32 microbial families and genera with very-low-density and high-density subfractions, serum lipid measures, glycolysis-related metabolites, ketone bodies, amino acids, and acute-phase reaction markers. These observations provide insights into the role of microbiota in host metabolism and support the potential of gut microbiota as a target for therapeutic and preventive interventions.","author":[{"dropping-particle":"","family":"Vojinovic","given":"Dina","non-dropping-particle":"","parse-names":false,"suffix":""},{"dropping-particle":"","family":"Radjabzadeh","given":"Djawad","non-dropping-particle":"","parse-names":false,"suffix":""},{"dropping-particle":"","family":"Kurilshikov","given":"Alexander","non-dropping-particle":"","parse-names":false,"suffix":""},{"dropping-particle":"","family":"Amin","given":"Najaf","non-dropping-particle":"","parse-names":false,"suffix":""},{"dropping-particle":"","family":"Wijmenga","given":"Cisca","non-dropping-particle":"","parse-names":false,"suffix":""},{"dropping-particle":"","family":"Franke","given":"Lude","non-dropping-particle":"","parse-names":false,"suffix":""},{"dropping-particle":"","family":"Ikram","given":"M. Arfan","non-dropping-particle":"","parse-names":false,"suffix":""},{"dropping-particle":"","family":"Uitterlinden","given":"Andre G.","non-dropping-particle":"","parse-names":false,"suffix":""},{"dropping-particle":"","family":"Zhernakova","given":"Alexandra","non-dropping-particle":"","parse-names":false,"suffix":""},{"dropping-particle":"","family":"Fu","given":"Jingyuan","non-dropping-particle":"","parse-names":false,"suffix":""},{"dropping-particle":"","family":"Kraaij","given":"Robert","non-dropping-particle":"","parse-names":false,"suffix":""},{"dropping-particle":"","family":"Duijn","given":"Cornelia M.","non-dropping-particle":"van","parse-names":false,"suffix":""}],"container-title":"Nature Communications","id":"ITEM-2","issue":"1","issued":{"date-parts":[["2019","12","1"]]},"page":"1-7","publisher":"Nature Research","title":"Relationship between gut microbiota and circulating metabolites in population-based cohorts","type":"article-journal","volume":"10"},"uris":["http://www.mendeley.com/documents/?uuid=0154e0e3-fa5b-36c6-a5d0-cf9680c002f8"]},{"id":"ITEM-3","itemData":{"DOI":"10.3389/fmicb.2016.01144","ISSN":"1664302X","abstract":"The gut microbiota is composed of a huge number of different bacteria, that produce a large amount of compounds playing a key role in microbe selection and in the construction of a metabolic signaling network. The microbial activities are affected by environmental stimuli leading to the generation of a wide number of compounds, that influence the host metabolome and human health. Indeed, metabolite profiles related to the gut microbiota can offer deep insights on the impact of lifestyle and dietary factors on chronic and acute diseases. Metagenomics, metaproteomics and metabolomics are some of the meta-omics approaches to study the modulation of the gut microbiota. Metabolomic research applied to biofluids allows to: define the metabolic profile; identify and quantify classes and compounds of interest; characterize small molecules produced by intestinal microbes; and define the biochemical pathways of metabolites. Mass spectrometry and nuclear magnetic resonance spectroscopy are the principal technologies applied to metabolomics in terms of coverage, sensitivity and quantification. Moreover, the use of biostatistics and mathematical approaches coupled with metabolomics play a key role in the extraction of biologically meaningful information from wide datasets. Metabolomic studies in gut microbiota-related research have increased, focusing on the generation of novel biomarkers, which could lead to the development of mechanistic hypotheses potentially applicable to the development of nutritional and personalized therapies.","author":[{"dropping-particle":"","family":"Vernocchi","given":"Pamela","non-dropping-particle":"","parse-names":false,"suffix":""},{"dropping-particle":"","family":"Chierico","given":"Federica","non-dropping-particle":"Del","parse-names":false,"suffix":""},{"dropping-particle":"","family":"Putignani","given":"Lorenza","non-dropping-particle":"","parse-names":false,"suffix":""}],"container-title":"Frontiers in Microbiology","id":"ITEM-3","issue":"JUL","issued":{"date-parts":[["2016","7","26"]]},"page":"1144","publisher":"Frontiers Media S.A.","title":"Gut microbiota profiling: Metabolomics based approach to unravel compounds affecting human health","type":"article","volume":"7"},"uris":["http://www.mendeley.com/documents/?uuid=d3805a37-3303-3842-a4e5-305699636bdd"]},{"id":"ITEM-4","itemData":{"DOI":"10.1097/MCG.0000000000000236","ISSN":"15392031","PMID":"25291128","abstract":"Lifestyle habits, host gene repertoire, and alterations in the intestinal microbiota concur to the development of obesity. A great deal of research has recently been focused on investigating the role gut microbiota plays in the pathogenesis of metabolic dysfunctions and increased adiposity. Altered microbiota can affect host physiology through several pathways, including enhanced energy harvest, and perturbations in immunity, metabolic signaling, and inflammatory pathways. A broad range of \"omics\" technologies is now available to help decipher the interactions between the host and the gut microbiota at detailed genetic and functional levels. In particular, metabolomics - the comprehensive analysis of metabolite composition of biological fluids and tissues - could provide breakthrough insights into the links among the gut microbiota, host genetic repertoire, and diet during the development and progression of obesity. Here, we briefly review the most insightful findings on the involvement of gut microbiota in the pathogenesis of obesity. We also discuss how metabolomic approaches based on nuclear magnetic resonance spectroscopy could help understand the activity of gut microbiota in relation to obesity, and assess the effects of gut microbiota modulation in the treatment of this condition.","author":[{"dropping-particle":"","family":"Calvani","given":"Riccardo","non-dropping-particle":"","parse-names":false,"suffix":""},{"dropping-particle":"","family":"Brasili","given":"Elisa","non-dropping-particle":"","parse-names":false,"suffix":""},{"dropping-particle":"","family":"Praticò","given":"Giulia","non-dropping-particle":"","parse-names":false,"suffix":""},{"dropping-particle":"","family":"Sciubba","given":"Fabio","non-dropping-particle":"","parse-names":false,"suffix":""},{"dropping-particle":"","family":"Roselli","given":"Marianna","non-dropping-particle":"","parse-names":false,"suffix":""},{"dropping-particle":"","family":"Finamore","given":"Alberto","non-dropping-particle":"","parse-names":false,"suffix":""},{"dropping-particle":"","family":"Marini","given":"Federico","non-dropping-particle":"","parse-names":false,"suffix":""},{"dropping-particle":"","family":"Marzetti","given":"Emanuele","non-dropping-particle":"","parse-names":false,"suffix":""},{"dropping-particle":"","family":"Miccheli","given":"Alfredo","non-dropping-particle":"","parse-names":false,"suffix":""}],"container-title":"Journal of Clinical Gastroenterology","id":"ITEM-4","issued":{"date-parts":[["2014","12","10"]]},"page":"S5-S7","publisher":"Lippincott Williams and Wilkins","title":"Application of NMR-based metabolomics to the study of gut microbiota in obesity","type":"paper-conference","volume":"48"},"uris":["http://www.mendeley.com/documents/?uuid=8f799184-c033-3d5e-808c-c79e6f33b44b"]},{"id":"ITEM-5","itemData":{"DOI":"10.1039/b811468d","ISSN":"1742206X","PMID":"19396371","abstract":"The influence of gut microbiota on the toxicity and metabolism of hydrazine has been investigated in germ-free and 'conventional' Sprague Dawley rats using 1H NMR based metabonomic analysis of urine and plasma. Toxicity was more severe in germ-free rats compared with conventional rats for equivalent exposures indicating that bacterial presence altered the nature or extent of response to hydrazine and that the toxic response can vary markedly in the absence of a functional microbiome. © The Royal Society of Chemistry 2009.","author":[{"dropping-particle":"","family":"Swann","given":"Jonathan","non-dropping-particle":"","parse-names":false,"suffix":""},{"dropping-particle":"","family":"Wang","given":"Yulan","non-dropping-particle":"","parse-names":false,"suffix":""},{"dropping-particle":"","family":"Abecia","given":"Leticia","non-dropping-particle":"","parse-names":false,"suffix":""},{"dropping-particle":"","family":"Costabile","given":"Adele","non-dropping-particle":"","parse-names":false,"suffix":""},{"dropping-particle":"","family":"Tuohy","given":"Kieran","non-dropping-particle":"","parse-names":false,"suffix":""},{"dropping-particle":"","family":"Gibson","given":"Glenn","non-dropping-particle":"","parse-names":false,"suffix":""},{"dropping-particle":"","family":"Roberts","given":"David","non-dropping-particle":"","parse-names":false,"suffix":""},{"dropping-particle":"","family":"Sidaway","given":"James","non-dropping-particle":"","parse-names":false,"suffix":""},{"dropping-particle":"","family":"Jones","given":"Huw","non-dropping-particle":"","parse-names":false,"suffix":""},{"dropping-particle":"","family":"Wilson","given":"Ian D.","non-dropping-particle":"","parse-names":false,"suffix":""},{"dropping-particle":"","family":"Nicholson","given":"Jeremy","non-dropping-particle":"","parse-names":false,"suffix":""},{"dropping-particle":"","family":"Holmes","given":"Elaine","non-dropping-particle":"","parse-names":false,"suffix":""}],"container-title":"Molecular BioSystems","id":"ITEM-5","issue":"4","issued":{"date-parts":[["2009"]]},"page":"351-355","publisher":"Mol Biosyst","title":"Gut microbiome modulates the toxicity of hydrazine: A metabonomic study","type":"article-journal","volume":"5"},"uris":["http://www.mendeley.com/documents/?uuid=8894d9e3-94c2-3dba-b0ae-57a98158341f"]}],"mendeley":{"formattedCitation":"(178–182)","plainTextFormattedCitation":"(178–182)","previouslyFormattedCitation":"(178–182)"},"properties":{"noteIndex":0},"schema":"https://github.com/citation-style-language/schema/raw/master/csl-citation.json"}</w:instrText>
      </w:r>
      <w:r w:rsidR="00AD1020">
        <w:rPr>
          <w:color w:val="000000" w:themeColor="text1"/>
          <w:shd w:val="clear" w:color="auto" w:fill="FFFFFF"/>
        </w:rPr>
        <w:fldChar w:fldCharType="separate"/>
      </w:r>
      <w:r w:rsidR="00030235" w:rsidRPr="00030235">
        <w:rPr>
          <w:noProof/>
          <w:color w:val="000000" w:themeColor="text1"/>
          <w:shd w:val="clear" w:color="auto" w:fill="FFFFFF"/>
        </w:rPr>
        <w:t>(178–182)</w:t>
      </w:r>
      <w:r w:rsidR="00AD1020">
        <w:rPr>
          <w:color w:val="000000" w:themeColor="text1"/>
          <w:shd w:val="clear" w:color="auto" w:fill="FFFFFF"/>
        </w:rPr>
        <w:fldChar w:fldCharType="end"/>
      </w:r>
      <w:r w:rsidR="00931EA2">
        <w:rPr>
          <w:color w:val="000000" w:themeColor="text1"/>
          <w:shd w:val="clear" w:color="auto" w:fill="FFFFFF"/>
        </w:rPr>
        <w:t xml:space="preserve">. </w:t>
      </w:r>
      <w:r w:rsidR="000C1F42">
        <w:rPr>
          <w:color w:val="000000"/>
          <w:shd w:val="clear" w:color="auto" w:fill="FFFFFF"/>
        </w:rPr>
        <w:t xml:space="preserve">One way to investigate this </w:t>
      </w:r>
      <w:r w:rsidR="00931EA2">
        <w:rPr>
          <w:color w:val="000000"/>
          <w:shd w:val="clear" w:color="auto" w:fill="FFFFFF"/>
        </w:rPr>
        <w:t xml:space="preserve">interaction </w:t>
      </w:r>
      <w:r w:rsidR="000C1F42">
        <w:rPr>
          <w:color w:val="000000"/>
          <w:shd w:val="clear" w:color="auto" w:fill="FFFFFF"/>
        </w:rPr>
        <w:t xml:space="preserve">would be to compare the different </w:t>
      </w:r>
      <w:r w:rsidR="00BC5D33">
        <w:rPr>
          <w:color w:val="000000"/>
          <w:shd w:val="clear" w:color="auto" w:fill="FFFFFF"/>
        </w:rPr>
        <w:t>r</w:t>
      </w:r>
      <w:r w:rsidR="000C1F42">
        <w:rPr>
          <w:color w:val="000000"/>
          <w:shd w:val="clear" w:color="auto" w:fill="FFFFFF"/>
        </w:rPr>
        <w:t>oute</w:t>
      </w:r>
      <w:r w:rsidR="00BC5D33">
        <w:rPr>
          <w:color w:val="000000"/>
          <w:shd w:val="clear" w:color="auto" w:fill="FFFFFF"/>
        </w:rPr>
        <w:t>s</w:t>
      </w:r>
      <w:r w:rsidR="00042889">
        <w:rPr>
          <w:color w:val="000000"/>
          <w:shd w:val="clear" w:color="auto" w:fill="FFFFFF"/>
        </w:rPr>
        <w:t xml:space="preserve"> of </w:t>
      </w:r>
      <w:r w:rsidR="00BC5D33">
        <w:rPr>
          <w:color w:val="000000"/>
          <w:shd w:val="clear" w:color="auto" w:fill="FFFFFF"/>
        </w:rPr>
        <w:t>a</w:t>
      </w:r>
      <w:r w:rsidR="00042889">
        <w:rPr>
          <w:color w:val="000000"/>
          <w:shd w:val="clear" w:color="auto" w:fill="FFFFFF"/>
        </w:rPr>
        <w:t>dministration</w:t>
      </w:r>
      <w:r w:rsidR="000C1F42">
        <w:rPr>
          <w:color w:val="000000"/>
          <w:shd w:val="clear" w:color="auto" w:fill="FFFFFF"/>
        </w:rPr>
        <w:t xml:space="preserve">s for a psychedelic, </w:t>
      </w:r>
      <w:r w:rsidR="00042889">
        <w:rPr>
          <w:color w:val="000000"/>
          <w:shd w:val="clear" w:color="auto" w:fill="FFFFFF"/>
        </w:rPr>
        <w:t>for example oral administration of ayahuasca that contains DMT</w:t>
      </w:r>
      <w:r w:rsidR="00BC5D33">
        <w:rPr>
          <w:color w:val="000000"/>
          <w:shd w:val="clear" w:color="auto" w:fill="FFFFFF"/>
        </w:rPr>
        <w:t xml:space="preserve"> </w:t>
      </w:r>
      <w:r w:rsidR="00042889">
        <w:rPr>
          <w:color w:val="000000"/>
          <w:shd w:val="clear" w:color="auto" w:fill="FFFFFF"/>
        </w:rPr>
        <w:t>may have a different biological effect compared to intramuscularly injected DMT</w:t>
      </w:r>
      <w:r w:rsidR="00BC5D33">
        <w:rPr>
          <w:color w:val="000000"/>
          <w:shd w:val="clear" w:color="auto" w:fill="FFFFFF"/>
        </w:rPr>
        <w:t xml:space="preserve"> alone</w:t>
      </w:r>
      <w:r w:rsidR="000C1F42">
        <w:rPr>
          <w:color w:val="000000"/>
          <w:shd w:val="clear" w:color="auto" w:fill="FFFFFF"/>
        </w:rPr>
        <w:t xml:space="preserve">; </w:t>
      </w:r>
      <w:r w:rsidR="00042889">
        <w:rPr>
          <w:color w:val="000000"/>
          <w:shd w:val="clear" w:color="auto" w:fill="FFFFFF"/>
        </w:rPr>
        <w:t xml:space="preserve">the former </w:t>
      </w:r>
      <w:r w:rsidR="00BC5D33">
        <w:rPr>
          <w:color w:val="000000"/>
          <w:shd w:val="clear" w:color="auto" w:fill="FFFFFF"/>
        </w:rPr>
        <w:t>does not only include DMT but also MAOIs and secondly</w:t>
      </w:r>
      <w:r w:rsidR="002C7794">
        <w:rPr>
          <w:color w:val="000000"/>
          <w:shd w:val="clear" w:color="auto" w:fill="FFFFFF"/>
        </w:rPr>
        <w:t xml:space="preserve"> it</w:t>
      </w:r>
      <w:r w:rsidR="00042889">
        <w:rPr>
          <w:color w:val="000000"/>
          <w:shd w:val="clear" w:color="auto" w:fill="FFFFFF"/>
        </w:rPr>
        <w:t xml:space="preserve"> interact</w:t>
      </w:r>
      <w:r w:rsidR="00BC5D33">
        <w:rPr>
          <w:color w:val="000000"/>
          <w:shd w:val="clear" w:color="auto" w:fill="FFFFFF"/>
        </w:rPr>
        <w:t>s</w:t>
      </w:r>
      <w:r w:rsidR="00042889">
        <w:rPr>
          <w:color w:val="000000"/>
          <w:shd w:val="clear" w:color="auto" w:fill="FFFFFF"/>
        </w:rPr>
        <w:t xml:space="preserve"> with the</w:t>
      </w:r>
      <w:r w:rsidR="00C76A85">
        <w:rPr>
          <w:color w:val="000000"/>
          <w:shd w:val="clear" w:color="auto" w:fill="FFFFFF"/>
        </w:rPr>
        <w:t xml:space="preserve"> digestive system </w:t>
      </w:r>
      <w:r w:rsidR="00042889">
        <w:rPr>
          <w:color w:val="000000"/>
          <w:shd w:val="clear" w:color="auto" w:fill="FFFFFF"/>
        </w:rPr>
        <w:t>while the latter does</w:t>
      </w:r>
      <w:r w:rsidR="000C1F42">
        <w:rPr>
          <w:color w:val="000000"/>
          <w:shd w:val="clear" w:color="auto" w:fill="FFFFFF"/>
        </w:rPr>
        <w:t xml:space="preserve"> not</w:t>
      </w:r>
      <w:r w:rsidR="00042889">
        <w:rPr>
          <w:color w:val="000000"/>
          <w:shd w:val="clear" w:color="auto" w:fill="FFFFFF"/>
        </w:rPr>
        <w:t xml:space="preserve">. </w:t>
      </w:r>
      <w:r w:rsidR="000C1F42">
        <w:rPr>
          <w:color w:val="000000"/>
          <w:shd w:val="clear" w:color="auto" w:fill="FFFFFF"/>
        </w:rPr>
        <w:t>E</w:t>
      </w:r>
      <w:r w:rsidR="00042889">
        <w:rPr>
          <w:color w:val="000000"/>
          <w:shd w:val="clear" w:color="auto" w:fill="FFFFFF"/>
        </w:rPr>
        <w:t>ven the speed at which the psychedelic substance</w:t>
      </w:r>
      <w:r w:rsidR="000C1F42">
        <w:rPr>
          <w:color w:val="000000"/>
          <w:shd w:val="clear" w:color="auto" w:fill="FFFFFF"/>
        </w:rPr>
        <w:t>s</w:t>
      </w:r>
      <w:r w:rsidR="00042889">
        <w:rPr>
          <w:color w:val="000000"/>
          <w:shd w:val="clear" w:color="auto" w:fill="FFFFFF"/>
        </w:rPr>
        <w:t xml:space="preserve"> </w:t>
      </w:r>
      <w:r w:rsidR="000C1F42">
        <w:rPr>
          <w:color w:val="000000"/>
          <w:shd w:val="clear" w:color="auto" w:fill="FFFFFF"/>
        </w:rPr>
        <w:t xml:space="preserve">are </w:t>
      </w:r>
      <w:r w:rsidR="00042889">
        <w:rPr>
          <w:color w:val="000000"/>
          <w:shd w:val="clear" w:color="auto" w:fill="FFFFFF"/>
        </w:rPr>
        <w:t>orally administered is worth considering</w:t>
      </w:r>
      <w:r w:rsidR="000C1F42">
        <w:rPr>
          <w:color w:val="000000"/>
          <w:shd w:val="clear" w:color="auto" w:fill="FFFFFF"/>
        </w:rPr>
        <w:t xml:space="preserve"> for gut microbiota </w:t>
      </w:r>
      <w:r w:rsidR="002C7794">
        <w:rPr>
          <w:color w:val="000000"/>
          <w:shd w:val="clear" w:color="auto" w:fill="FFFFFF"/>
        </w:rPr>
        <w:t>studies.</w:t>
      </w:r>
      <w:r w:rsidR="00223E4C" w:rsidRPr="00367F32">
        <w:rPr>
          <w:color w:val="FF0000"/>
          <w:shd w:val="clear" w:color="auto" w:fill="FFFFFF"/>
        </w:rPr>
        <w:t xml:space="preserve"> </w:t>
      </w:r>
      <w:r w:rsidR="00BC5D33">
        <w:rPr>
          <w:color w:val="000000"/>
          <w:shd w:val="clear" w:color="auto" w:fill="FFFFFF"/>
        </w:rPr>
        <w:t>For example, i</w:t>
      </w:r>
      <w:r w:rsidR="00042889">
        <w:rPr>
          <w:color w:val="000000"/>
          <w:shd w:val="clear" w:color="auto" w:fill="FFFFFF"/>
        </w:rPr>
        <w:t xml:space="preserve">n the book </w:t>
      </w:r>
      <w:proofErr w:type="spellStart"/>
      <w:r w:rsidR="00042889">
        <w:rPr>
          <w:color w:val="000000"/>
          <w:shd w:val="clear" w:color="auto" w:fill="FFFFFF"/>
        </w:rPr>
        <w:t>PiHKAL</w:t>
      </w:r>
      <w:proofErr w:type="spellEnd"/>
      <w:r w:rsidR="00931EA2">
        <w:rPr>
          <w:color w:val="000000"/>
          <w:shd w:val="clear" w:color="auto" w:fill="FFFFFF"/>
        </w:rPr>
        <w:fldChar w:fldCharType="begin" w:fldLock="1"/>
      </w:r>
      <w:r w:rsidR="00133B53">
        <w:rPr>
          <w:color w:val="000000"/>
          <w:shd w:val="clear" w:color="auto" w:fill="FFFFFF"/>
        </w:rPr>
        <w:instrText>ADDIN CSL_CITATION {"citationItems":[{"id":"ITEM-1","itemData":{"ISBN":"0-9630096-0-5","author":[{"dropping-particle":"","family":"Shulgin","given":"Alexander","non-dropping-particle":"","parse-names":false,"suffix":""},{"dropping-particle":"","family":"Shulgin","given":"Ann","non-dropping-particle":"","parse-names":false,"suffix":""}],"edition":"1st","editor":[{"dropping-particle":"","family":"Joy","given":"Dan","non-dropping-particle":"","parse-names":false,"suffix":""}],"id":"ITEM-1","issued":{"date-parts":[["1991"]]},"publisher":"Transform Press","publisher-place":"Berkley, California, U.S.","title":"PiHKAL: A Chemical Love Story","type":"book"},"uris":["http://www.mendeley.com/documents/?uuid=5e2ae86c-8097-4a09-8831-ac1db434e2b4"]}],"mendeley":{"formattedCitation":"(183)","plainTextFormattedCitation":"(183)","previouslyFormattedCitation":"(183)"},"properties":{"noteIndex":0},"schema":"https://github.com/citation-style-language/schema/raw/master/csl-citation.json"}</w:instrText>
      </w:r>
      <w:r w:rsidR="00931EA2">
        <w:rPr>
          <w:color w:val="000000"/>
          <w:shd w:val="clear" w:color="auto" w:fill="FFFFFF"/>
        </w:rPr>
        <w:fldChar w:fldCharType="separate"/>
      </w:r>
      <w:r w:rsidR="00030235" w:rsidRPr="00030235">
        <w:rPr>
          <w:noProof/>
          <w:color w:val="000000"/>
          <w:shd w:val="clear" w:color="auto" w:fill="FFFFFF"/>
        </w:rPr>
        <w:t>(183)</w:t>
      </w:r>
      <w:r w:rsidR="00931EA2">
        <w:rPr>
          <w:color w:val="000000"/>
          <w:shd w:val="clear" w:color="auto" w:fill="FFFFFF"/>
        </w:rPr>
        <w:fldChar w:fldCharType="end"/>
      </w:r>
      <w:r w:rsidR="00042889">
        <w:rPr>
          <w:color w:val="000000"/>
          <w:shd w:val="clear" w:color="auto" w:fill="FFFFFF"/>
        </w:rPr>
        <w:t xml:space="preserve"> it is mentioned that when the peyote cactus is orally administered quickly it will cause substantial nausea. The peyote cactus contains the psychedelic mescaline </w:t>
      </w:r>
      <w:r w:rsidR="000C1F42">
        <w:rPr>
          <w:color w:val="000000"/>
          <w:shd w:val="clear" w:color="auto" w:fill="FFFFFF"/>
        </w:rPr>
        <w:t xml:space="preserve">and when </w:t>
      </w:r>
      <w:r w:rsidR="00042889">
        <w:rPr>
          <w:color w:val="000000"/>
          <w:shd w:val="clear" w:color="auto" w:fill="FFFFFF"/>
        </w:rPr>
        <w:t>synthetic mescaline is also consumed</w:t>
      </w:r>
      <w:r w:rsidR="000C1F42">
        <w:rPr>
          <w:color w:val="000000"/>
          <w:shd w:val="clear" w:color="auto" w:fill="FFFFFF"/>
        </w:rPr>
        <w:t xml:space="preserve"> quickly</w:t>
      </w:r>
      <w:r w:rsidR="00042889">
        <w:rPr>
          <w:color w:val="000000"/>
          <w:shd w:val="clear" w:color="auto" w:fill="FFFFFF"/>
        </w:rPr>
        <w:t xml:space="preserve"> </w:t>
      </w:r>
      <w:r w:rsidR="00550E1A">
        <w:rPr>
          <w:color w:val="000000"/>
          <w:shd w:val="clear" w:color="auto" w:fill="FFFFFF"/>
        </w:rPr>
        <w:t xml:space="preserve">people have </w:t>
      </w:r>
      <w:r w:rsidR="00042889">
        <w:rPr>
          <w:color w:val="000000"/>
          <w:shd w:val="clear" w:color="auto" w:fill="FFFFFF"/>
        </w:rPr>
        <w:t>report</w:t>
      </w:r>
      <w:r w:rsidR="00550E1A">
        <w:rPr>
          <w:color w:val="000000"/>
          <w:shd w:val="clear" w:color="auto" w:fill="FFFFFF"/>
        </w:rPr>
        <w:t>ed</w:t>
      </w:r>
      <w:r w:rsidR="00042889">
        <w:rPr>
          <w:color w:val="000000"/>
          <w:shd w:val="clear" w:color="auto" w:fill="FFFFFF"/>
        </w:rPr>
        <w:t xml:space="preserve"> the same nausea. Shulgin notes that when the peyote cactus</w:t>
      </w:r>
      <w:r w:rsidR="0048396E">
        <w:rPr>
          <w:color w:val="000000"/>
          <w:shd w:val="clear" w:color="auto" w:fill="FFFFFF"/>
        </w:rPr>
        <w:t xml:space="preserve"> or synthetic mescaline</w:t>
      </w:r>
      <w:r w:rsidR="00042889">
        <w:rPr>
          <w:color w:val="000000"/>
          <w:shd w:val="clear" w:color="auto" w:fill="FFFFFF"/>
        </w:rPr>
        <w:t xml:space="preserve"> is slowly consumed over a </w:t>
      </w:r>
      <w:r w:rsidR="0048396E">
        <w:rPr>
          <w:color w:val="000000"/>
          <w:shd w:val="clear" w:color="auto" w:fill="FFFFFF"/>
        </w:rPr>
        <w:t>30-minute</w:t>
      </w:r>
      <w:r w:rsidR="00042889">
        <w:rPr>
          <w:color w:val="000000"/>
          <w:shd w:val="clear" w:color="auto" w:fill="FFFFFF"/>
        </w:rPr>
        <w:t xml:space="preserve"> period the nausea is completely absent, thus negating this negative side effect. Clearly the molecule is engaging differently with the digestive tract when the speed of the oral administration is elongated, </w:t>
      </w:r>
      <w:r w:rsidR="0048396E">
        <w:rPr>
          <w:color w:val="000000"/>
          <w:shd w:val="clear" w:color="auto" w:fill="FFFFFF"/>
        </w:rPr>
        <w:t xml:space="preserve">and this </w:t>
      </w:r>
      <w:r w:rsidR="00042889">
        <w:rPr>
          <w:color w:val="000000"/>
          <w:shd w:val="clear" w:color="auto" w:fill="FFFFFF"/>
        </w:rPr>
        <w:t>hints</w:t>
      </w:r>
      <w:r w:rsidR="0048396E">
        <w:rPr>
          <w:color w:val="000000"/>
          <w:shd w:val="clear" w:color="auto" w:fill="FFFFFF"/>
        </w:rPr>
        <w:t xml:space="preserve"> to</w:t>
      </w:r>
      <w:r w:rsidR="00042889">
        <w:rPr>
          <w:color w:val="000000"/>
          <w:shd w:val="clear" w:color="auto" w:fill="FFFFFF"/>
        </w:rPr>
        <w:t xml:space="preserve"> a potential meaningful interaction between psychedelic substances and the ENS.</w:t>
      </w:r>
      <w:r w:rsidR="00185FF5">
        <w:rPr>
          <w:color w:val="000000"/>
          <w:shd w:val="clear" w:color="auto" w:fill="FFFFFF"/>
        </w:rPr>
        <w:t xml:space="preserve"> </w:t>
      </w:r>
      <w:r w:rsidR="00931EA2">
        <w:rPr>
          <w:color w:val="000000"/>
          <w:shd w:val="clear" w:color="auto" w:fill="FFFFFF"/>
        </w:rPr>
        <w:t>Gut</w:t>
      </w:r>
      <w:r w:rsidR="00185FF5">
        <w:rPr>
          <w:color w:val="000000"/>
          <w:shd w:val="clear" w:color="auto" w:fill="FFFFFF"/>
        </w:rPr>
        <w:t xml:space="preserve"> microbiota </w:t>
      </w:r>
      <w:r w:rsidR="00931EA2">
        <w:rPr>
          <w:color w:val="000000"/>
          <w:shd w:val="clear" w:color="auto" w:fill="FFFFFF"/>
        </w:rPr>
        <w:t xml:space="preserve">studies could </w:t>
      </w:r>
      <w:r w:rsidR="002C7794">
        <w:rPr>
          <w:color w:val="000000"/>
          <w:shd w:val="clear" w:color="auto" w:fill="FFFFFF"/>
        </w:rPr>
        <w:t xml:space="preserve">even </w:t>
      </w:r>
      <w:r w:rsidR="00931EA2">
        <w:rPr>
          <w:color w:val="000000"/>
          <w:shd w:val="clear" w:color="auto" w:fill="FFFFFF"/>
        </w:rPr>
        <w:t xml:space="preserve">be used to </w:t>
      </w:r>
      <w:r w:rsidR="00BC5D33">
        <w:rPr>
          <w:color w:val="000000"/>
          <w:shd w:val="clear" w:color="auto" w:fill="FFFFFF"/>
        </w:rPr>
        <w:t xml:space="preserve">better understand the implications of </w:t>
      </w:r>
      <w:r w:rsidR="00931EA2">
        <w:rPr>
          <w:color w:val="000000"/>
          <w:shd w:val="clear" w:color="auto" w:fill="FFFFFF"/>
        </w:rPr>
        <w:t>traditional psychedelic practices</w:t>
      </w:r>
      <w:r w:rsidR="002C7794">
        <w:rPr>
          <w:color w:val="000000"/>
          <w:shd w:val="clear" w:color="auto" w:fill="FFFFFF"/>
        </w:rPr>
        <w:t>. I</w:t>
      </w:r>
      <w:r w:rsidR="00931EA2">
        <w:rPr>
          <w:color w:val="000000"/>
          <w:shd w:val="clear" w:color="auto" w:fill="FFFFFF"/>
        </w:rPr>
        <w:t xml:space="preserve">ndividuals </w:t>
      </w:r>
      <w:r w:rsidR="00185FF5">
        <w:rPr>
          <w:color w:val="000000"/>
          <w:shd w:val="clear" w:color="auto" w:fill="FFFFFF"/>
        </w:rPr>
        <w:t>will</w:t>
      </w:r>
      <w:r w:rsidR="00931EA2">
        <w:rPr>
          <w:color w:val="000000"/>
          <w:shd w:val="clear" w:color="auto" w:fill="FFFFFF"/>
        </w:rPr>
        <w:t xml:space="preserve"> typically</w:t>
      </w:r>
      <w:r w:rsidR="00185FF5">
        <w:rPr>
          <w:color w:val="000000"/>
          <w:shd w:val="clear" w:color="auto" w:fill="FFFFFF"/>
        </w:rPr>
        <w:t xml:space="preserve"> undergo</w:t>
      </w:r>
      <w:r w:rsidR="00931EA2">
        <w:rPr>
          <w:color w:val="000000"/>
          <w:shd w:val="clear" w:color="auto" w:fill="FFFFFF"/>
        </w:rPr>
        <w:t xml:space="preserve"> a</w:t>
      </w:r>
      <w:r w:rsidR="00185FF5">
        <w:rPr>
          <w:color w:val="000000"/>
          <w:shd w:val="clear" w:color="auto" w:fill="FFFFFF"/>
        </w:rPr>
        <w:t xml:space="preserve"> diet that</w:t>
      </w:r>
      <w:r w:rsidR="0045097F">
        <w:rPr>
          <w:color w:val="000000"/>
          <w:shd w:val="clear" w:color="auto" w:fill="FFFFFF"/>
        </w:rPr>
        <w:t xml:space="preserve"> </w:t>
      </w:r>
      <w:r w:rsidR="00D85BB0">
        <w:rPr>
          <w:color w:val="000000"/>
          <w:shd w:val="clear" w:color="auto" w:fill="FFFFFF"/>
        </w:rPr>
        <w:t>excludes</w:t>
      </w:r>
      <w:r w:rsidR="00185FF5">
        <w:rPr>
          <w:color w:val="000000"/>
          <w:shd w:val="clear" w:color="auto" w:fill="FFFFFF"/>
        </w:rPr>
        <w:t xml:space="preserve"> salt</w:t>
      </w:r>
      <w:r w:rsidR="00D85BB0">
        <w:rPr>
          <w:color w:val="000000"/>
          <w:shd w:val="clear" w:color="auto" w:fill="FFFFFF"/>
        </w:rPr>
        <w:t>,</w:t>
      </w:r>
      <w:r w:rsidR="00185FF5">
        <w:rPr>
          <w:color w:val="000000"/>
          <w:shd w:val="clear" w:color="auto" w:fill="FFFFFF"/>
        </w:rPr>
        <w:t xml:space="preserve"> sugar,</w:t>
      </w:r>
      <w:r w:rsidR="00D85BB0">
        <w:rPr>
          <w:color w:val="000000"/>
          <w:shd w:val="clear" w:color="auto" w:fill="FFFFFF"/>
        </w:rPr>
        <w:t xml:space="preserve"> spices, oil and meat,</w:t>
      </w:r>
      <w:r w:rsidR="00185FF5">
        <w:rPr>
          <w:color w:val="000000"/>
          <w:shd w:val="clear" w:color="auto" w:fill="FFFFFF"/>
        </w:rPr>
        <w:t xml:space="preserve"> abstain from alcohol and even sex</w:t>
      </w:r>
      <w:r w:rsidR="00931EA2">
        <w:rPr>
          <w:color w:val="000000"/>
          <w:shd w:val="clear" w:color="auto" w:fill="FFFFFF"/>
        </w:rPr>
        <w:t xml:space="preserve"> prior to the psychedelic ceremonies</w:t>
      </w:r>
      <w:r w:rsidR="00D85BB0">
        <w:rPr>
          <w:color w:val="000000"/>
          <w:shd w:val="clear" w:color="auto" w:fill="FFFFFF"/>
        </w:rPr>
        <w:fldChar w:fldCharType="begin" w:fldLock="1"/>
      </w:r>
      <w:r w:rsidR="00133B53">
        <w:rPr>
          <w:color w:val="000000"/>
          <w:shd w:val="clear" w:color="auto" w:fill="FFFFFF"/>
        </w:rPr>
        <w:instrText>ADDIN CSL_CITATION {"citationItems":[{"id":"ITEM-1","itemData":{"DOI":"10.1111/j.1556-3537.2012.01054.x","ISSN":"10534202","abstract":"Healing is an essential aspect of Amazonian mestizo shamanism. Not only is it one of the most commonly quoted motives for Westerners for participating in ayahuasca ceremonies, but most elements of an ayahuasca ceremony are aimed to heal and protect. This article is purely ethnographic, and its purpose is to provide insight into the ways healing is conceived by both ayahuasqueros and Western participants in the context of shamanic tourism in Iquitos, Peru. I show that illness is perceived to have physical, psychological, and spiritual dimensions, and healing is a complex process that takes place in and outside of ceremony. I show that a multitude of elements in a ceremony converge to address all three dimensions of illness, one of the most important ones being the element of personal crisis. Often present in healing narratives, the element of crisis becomes the catalyst for positive transformation, including physical, psychological, and spiritual healing. Rather than being seen as a singular event, healing in this context is seen as a process, in which the patient carries the responsibility for their own healing. © 2012 by the American Anthropological Association.","author":[{"dropping-particle":"","family":"Fotiou","given":"Evgenia","non-dropping-particle":"","parse-names":false,"suffix":""}],"container-title":"Anthropology of Consciousness","id":"ITEM-1","issue":"1","issued":{"date-parts":[["2012","3","1"]]},"page":"6-27","publisher":"John Wiley &amp; Sons, Ltd","title":"Working with \"La Medicina\": Elements of Healing in Contemporary Ayahuasca Rituals","type":"article-journal","volume":"23"},"uris":["http://www.mendeley.com/documents/?uuid=eed655ef-129a-308c-a126-8d0650281bc8"]}],"mendeley":{"formattedCitation":"(184)","plainTextFormattedCitation":"(184)","previouslyFormattedCitation":"(184)"},"properties":{"noteIndex":0},"schema":"https://github.com/citation-style-language/schema/raw/master/csl-citation.json"}</w:instrText>
      </w:r>
      <w:r w:rsidR="00D85BB0">
        <w:rPr>
          <w:color w:val="000000"/>
          <w:shd w:val="clear" w:color="auto" w:fill="FFFFFF"/>
        </w:rPr>
        <w:fldChar w:fldCharType="separate"/>
      </w:r>
      <w:r w:rsidR="00030235" w:rsidRPr="00030235">
        <w:rPr>
          <w:noProof/>
          <w:color w:val="000000"/>
          <w:shd w:val="clear" w:color="auto" w:fill="FFFFFF"/>
        </w:rPr>
        <w:t>(184)</w:t>
      </w:r>
      <w:r w:rsidR="00D85BB0">
        <w:rPr>
          <w:color w:val="000000"/>
          <w:shd w:val="clear" w:color="auto" w:fill="FFFFFF"/>
        </w:rPr>
        <w:fldChar w:fldCharType="end"/>
      </w:r>
      <w:r w:rsidR="00185FF5">
        <w:rPr>
          <w:color w:val="000000"/>
          <w:shd w:val="clear" w:color="auto" w:fill="FFFFFF"/>
        </w:rPr>
        <w:t>. T</w:t>
      </w:r>
      <w:r w:rsidR="0045097F">
        <w:rPr>
          <w:color w:val="000000"/>
          <w:shd w:val="clear" w:color="auto" w:fill="FFFFFF"/>
        </w:rPr>
        <w:t>h</w:t>
      </w:r>
      <w:r w:rsidR="00EF3E06">
        <w:rPr>
          <w:color w:val="000000"/>
          <w:shd w:val="clear" w:color="auto" w:fill="FFFFFF"/>
        </w:rPr>
        <w:t>is</w:t>
      </w:r>
      <w:r w:rsidR="00185FF5">
        <w:rPr>
          <w:color w:val="000000"/>
          <w:shd w:val="clear" w:color="auto" w:fill="FFFFFF"/>
        </w:rPr>
        <w:t xml:space="preserve"> </w:t>
      </w:r>
      <w:r w:rsidR="00C76A85">
        <w:rPr>
          <w:color w:val="000000"/>
          <w:shd w:val="clear" w:color="auto" w:fill="FFFFFF"/>
        </w:rPr>
        <w:t>“</w:t>
      </w:r>
      <w:r w:rsidR="00D85BB0">
        <w:rPr>
          <w:color w:val="000000"/>
          <w:shd w:val="clear" w:color="auto" w:fill="FFFFFF"/>
        </w:rPr>
        <w:t>purification</w:t>
      </w:r>
      <w:r w:rsidR="00C76A85">
        <w:rPr>
          <w:color w:val="000000"/>
          <w:shd w:val="clear" w:color="auto" w:fill="FFFFFF"/>
        </w:rPr>
        <w:t>”</w:t>
      </w:r>
      <w:r w:rsidR="00D85BB0">
        <w:rPr>
          <w:color w:val="000000"/>
          <w:shd w:val="clear" w:color="auto" w:fill="FFFFFF"/>
        </w:rPr>
        <w:t xml:space="preserve"> </w:t>
      </w:r>
      <w:r w:rsidR="00185FF5">
        <w:rPr>
          <w:color w:val="000000"/>
          <w:shd w:val="clear" w:color="auto" w:fill="FFFFFF"/>
        </w:rPr>
        <w:t>practice is</w:t>
      </w:r>
      <w:r w:rsidR="0045097F">
        <w:rPr>
          <w:color w:val="000000"/>
          <w:shd w:val="clear" w:color="auto" w:fill="FFFFFF"/>
        </w:rPr>
        <w:t xml:space="preserve"> used mainly for ayahuasca ceremonies because it is</w:t>
      </w:r>
      <w:r w:rsidR="00185FF5">
        <w:rPr>
          <w:color w:val="000000"/>
          <w:shd w:val="clear" w:color="auto" w:fill="FFFFFF"/>
        </w:rPr>
        <w:t xml:space="preserve"> </w:t>
      </w:r>
      <w:r w:rsidR="0045097F">
        <w:rPr>
          <w:color w:val="000000"/>
          <w:shd w:val="clear" w:color="auto" w:fill="FFFFFF"/>
        </w:rPr>
        <w:t xml:space="preserve">believed to maximise the </w:t>
      </w:r>
      <w:r w:rsidR="00220C44">
        <w:rPr>
          <w:color w:val="000000"/>
          <w:shd w:val="clear" w:color="auto" w:fill="FFFFFF"/>
        </w:rPr>
        <w:lastRenderedPageBreak/>
        <w:t xml:space="preserve">physiological </w:t>
      </w:r>
      <w:r w:rsidR="0045097F">
        <w:rPr>
          <w:color w:val="000000"/>
          <w:shd w:val="clear" w:color="auto" w:fill="FFFFFF"/>
        </w:rPr>
        <w:t>effec</w:t>
      </w:r>
      <w:r w:rsidR="00220C44">
        <w:rPr>
          <w:color w:val="000000"/>
          <w:shd w:val="clear" w:color="auto" w:fill="FFFFFF"/>
        </w:rPr>
        <w:t>t</w:t>
      </w:r>
      <w:r w:rsidR="00BC5D33">
        <w:rPr>
          <w:color w:val="000000"/>
          <w:shd w:val="clear" w:color="auto" w:fill="FFFFFF"/>
        </w:rPr>
        <w:fldChar w:fldCharType="begin" w:fldLock="1"/>
      </w:r>
      <w:r w:rsidR="00133B53">
        <w:rPr>
          <w:color w:val="000000"/>
          <w:shd w:val="clear" w:color="auto" w:fill="FFFFFF"/>
        </w:rPr>
        <w:instrText>ADDIN CSL_CITATION {"citationItems":[{"id":"ITEM-1","itemData":{"DOI":"10.1111/j.1556-3537.2012.01054.x","ISSN":"10534202","abstract":"Healing is an essential aspect of Amazonian mestizo shamanism. Not only is it one of the most commonly quoted motives for Westerners for participating in ayahuasca ceremonies, but most elements of an ayahuasca ceremony are aimed to heal and protect. This article is purely ethnographic, and its purpose is to provide insight into the ways healing is conceived by both ayahuasqueros and Western participants in the context of shamanic tourism in Iquitos, Peru. I show that illness is perceived to have physical, psychological, and spiritual dimensions, and healing is a complex process that takes place in and outside of ceremony. I show that a multitude of elements in a ceremony converge to address all three dimensions of illness, one of the most important ones being the element of personal crisis. Often present in healing narratives, the element of crisis becomes the catalyst for positive transformation, including physical, psychological, and spiritual healing. Rather than being seen as a singular event, healing in this context is seen as a process, in which the patient carries the responsibility for their own healing. © 2012 by the American Anthropological Association.","author":[{"dropping-particle":"","family":"Fotiou","given":"Evgenia","non-dropping-particle":"","parse-names":false,"suffix":""}],"container-title":"Anthropology of Consciousness","id":"ITEM-1","issue":"1","issued":{"date-parts":[["2012","3","1"]]},"page":"6-27","publisher":"John Wiley &amp; Sons, Ltd","title":"Working with \"La Medicina\": Elements of Healing in Contemporary Ayahuasca Rituals","type":"article-journal","volume":"23"},"uris":["http://www.mendeley.com/documents/?uuid=eed655ef-129a-308c-a126-8d0650281bc8"]}],"mendeley":{"formattedCitation":"(184)","plainTextFormattedCitation":"(184)","previouslyFormattedCitation":"(184)"},"properties":{"noteIndex":0},"schema":"https://github.com/citation-style-language/schema/raw/master/csl-citation.json"}</w:instrText>
      </w:r>
      <w:r w:rsidR="00BC5D33">
        <w:rPr>
          <w:color w:val="000000"/>
          <w:shd w:val="clear" w:color="auto" w:fill="FFFFFF"/>
        </w:rPr>
        <w:fldChar w:fldCharType="separate"/>
      </w:r>
      <w:r w:rsidR="00030235" w:rsidRPr="00030235">
        <w:rPr>
          <w:noProof/>
          <w:color w:val="000000"/>
          <w:shd w:val="clear" w:color="auto" w:fill="FFFFFF"/>
        </w:rPr>
        <w:t>(184)</w:t>
      </w:r>
      <w:r w:rsidR="00BC5D33">
        <w:rPr>
          <w:color w:val="000000"/>
          <w:shd w:val="clear" w:color="auto" w:fill="FFFFFF"/>
        </w:rPr>
        <w:fldChar w:fldCharType="end"/>
      </w:r>
      <w:r w:rsidR="0045097F">
        <w:rPr>
          <w:color w:val="000000"/>
          <w:shd w:val="clear" w:color="auto" w:fill="FFFFFF"/>
        </w:rPr>
        <w:t xml:space="preserve">. </w:t>
      </w:r>
      <w:r w:rsidR="00D85BB0">
        <w:rPr>
          <w:color w:val="000000"/>
          <w:shd w:val="clear" w:color="auto" w:fill="FFFFFF"/>
        </w:rPr>
        <w:t>It</w:t>
      </w:r>
      <w:r w:rsidR="0045097F">
        <w:rPr>
          <w:color w:val="000000"/>
          <w:shd w:val="clear" w:color="auto" w:fill="FFFFFF"/>
        </w:rPr>
        <w:t xml:space="preserve"> is possible that this cleansing changes the gut microbiota and allows for better absorption or has consequential </w:t>
      </w:r>
      <w:r w:rsidR="0045097F" w:rsidRPr="00430E66">
        <w:rPr>
          <w:color w:val="000000" w:themeColor="text1"/>
          <w:shd w:val="clear" w:color="auto" w:fill="FFFFFF"/>
        </w:rPr>
        <w:t>effects on the gut-brain axis</w:t>
      </w:r>
      <w:r w:rsidR="00220C44" w:rsidRPr="00430E66">
        <w:rPr>
          <w:color w:val="000000" w:themeColor="text1"/>
          <w:shd w:val="clear" w:color="auto" w:fill="FFFFFF"/>
        </w:rPr>
        <w:fldChar w:fldCharType="begin" w:fldLock="1"/>
      </w:r>
      <w:r w:rsidR="00133B53">
        <w:rPr>
          <w:color w:val="000000" w:themeColor="text1"/>
          <w:shd w:val="clear" w:color="auto" w:fill="FFFFFF"/>
        </w:rPr>
        <w:instrText>ADDIN CSL_CITATION {"citationItems":[{"id":"ITEM-1","itemData":{"DOI":"10.1038/s41579-020-00460-0","ISSN":"17401534","PMID":"33093662","abstract":"In a striking display of trans-kingdom symbiosis, gut bacteria cooperate with their animal hosts to regulate the development and function of the immune, metabolic and nervous systems through dynamic bidirectional communication along the ‘gut–brain axis’. These processes may affect human health, as certain animal behaviours appear to correlate with the composition of gut bacteria, and disruptions in microbial communities have been implicated in several neurological disorders. Most insights about host–microbiota interactions come from animal models, which represent crucial tools for studying the various pathways linking the gut and the brain. However, there are complexities and manifest limitations inherent in translating complex human disease to reductionist animal models. In this Review, we discuss emerging and exciting evidence of intricate and crucial connections between the gut microbiota and the brain involving multiple biological systems, and possible contributions by the gut microbiota to neurological disorders. Continued advances from this frontier of biomedicine may lead to tangible impacts on human health.","author":[{"dropping-particle":"","family":"Morais","given":"Livia H.","non-dropping-particle":"","parse-names":false,"suffix":""},{"dropping-particle":"","family":"Schreiber","given":"Henry L.","non-dropping-particle":"","parse-names":false,"suffix":""},{"dropping-particle":"","family":"Mazmanian","given":"Sarkis K.","non-dropping-particle":"","parse-names":false,"suffix":""}],"container-title":"Nature Reviews Microbiology","id":"ITEM-1","issue":"4","issued":{"date-parts":[["2021","4","1"]]},"page":"241-255","publisher":"Nature Research","title":"The gut microbiota–brain axis in behaviour and brain disorders","type":"article","volume":"19"},"uris":["http://www.mendeley.com/documents/?uuid=d16f6c67-db66-3316-a5bf-bd8c888a1dda"]},{"id":"ITEM-2","itemData":{"DOI":"10.1152/physrev.00018.2018","ISSN":"15221210","PMID":"31460832","abstract":"The importance of the gut-brain axis in maintaining homeostasis has long been appreciated. However, the past 15 yr have seen the emergence of the microbiota (the trillions of microorganisms within and on our bodies) as one of the key regulators of gut-brain function and has led to the appreciation of the importance of a distinct microbiota-gut-brain axis. This axis is gaining ever more traction in fields investigating the biological and physiological basis of psychiatric, neurodevelopmental, age-related, and neurodegenerative disorders. The microbiota and the brain communicate with each other via various routes including the immune system, tryptophan metabolism, the vagus nerve and the enteric nervous system, involving microbial metabolites such as short-chain fatty acids, branched chain amino acids, and peptidoglycans. Many factors can influence microbiota composition in early life, including infection, mode of birth delivery, use of antibiotic medications, the nature of nutritional provision, environmental stressors, and host genetics. At the other extreme of life, microbial diversity diminishes with aging. Stress, in particular, can significantly impact the microbiota-gut-brain axis at all stages of life. Much recent work has implicated the gut microbiota in many conditions including autism, anxiety, obesity, schizophrenia, Parkinson’s disease, and Alzheimer’s disease. Animal models have been paramount in linking the regulation of fundamental neural processes, such as neurogenesis and myelination, to microbiome activation of microglia. Moreover, translational human studies are ongoing and will greatly enhance the field. Future studies will focus on understanding the mechanisms underlying the microbiota-gut-brain axis and attempt to elucidate microbial-based intervention and therapeutic strategies for neuropsychiatric disorders.","author":[{"dropping-particle":"","family":"Cryan","given":"John F.","non-dropping-particle":"","parse-names":false,"suffix":""},{"dropping-particle":"","family":"O’riordan","given":"Kenneth J.","non-dropping-particle":"","parse-names":false,"suffix":""},{"dropping-particle":"","family":"Cowan","given":"Caitlin S.M.","non-dropping-particle":"","parse-names":false,"suffix":""},{"dropping-particle":"V.","family":"Sandhu","given":"Kiran","non-dropping-particle":"","parse-names":false,"suffix":""},{"dropping-particle":"","family":"Bastiaanssen","given":"Thomaz F.S.","non-dropping-particle":"","parse-names":false,"suffix":""},{"dropping-particle":"","family":"Boehme","given":"Marcus","non-dropping-particle":"","parse-names":false,"suffix":""},{"dropping-particle":"","family":"Codagnone","given":"Martin G.","non-dropping-particle":"","parse-names":false,"suffix":""},{"dropping-particle":"","family":"Cussotto","given":"Sofia","non-dropping-particle":"","parse-names":false,"suffix":""},{"dropping-particle":"","family":"Fulling","given":"Christine","non-dropping-particle":"","parse-names":false,"suffix":""},{"dropping-particle":"V.","family":"Golubeva","given":"Anna","non-dropping-particle":"","parse-names":false,"suffix":""},{"dropping-particle":"","family":"Guzzetta","given":"Katherine E.","non-dropping-particle":"","parse-names":false,"suffix":""},{"dropping-particle":"","family":"Jaggar","given":"Minal","non-dropping-particle":"","parse-names":false,"suffix":""},{"dropping-particle":"","family":"Long-Smith","given":"Caitriona M.","non-dropping-particle":"","parse-names":false,"suffix":""},{"dropping-particle":"","family":"Lyte","given":"Joshua M.","non-dropping-particle":"","parse-names":false,"suffix":""},{"dropping-particle":"","family":"Martin","given":"Jason A.","non-dropping-particle":"","parse-names":false,"suffix":""},{"dropping-particle":"","family":"Molinero-Perez","given":"Alicia","non-dropping-particle":"","parse-names":false,"suffix":""},{"dropping-particle":"","family":"Moloney","given":"Gerard","non-dropping-particle":"","parse-names":false,"suffix":""},{"dropping-particle":"","family":"Morelli","given":"Emanuela","non-dropping-particle":"","parse-names":false,"suffix":""},{"dropping-particle":"","family":"Morillas","given":"Enrique","non-dropping-particle":"","parse-names":false,"suffix":""},{"dropping-particle":"","family":"O’connor","given":"Rory","non-dropping-particle":"","parse-names":false,"suffix":""},{"dropping-particle":"","family":"Cruz-Pereira","given":"Joana S.","non-dropping-particle":"","parse-names":false,"suffix":""},{"dropping-particle":"","family":"Peterson","given":"Veronica L.","non-dropping-particle":"","parse-names":false,"suffix":""},{"dropping-particle":"","family":"Rea","given":"Kieran","non-dropping-particle":"","parse-names":false,"suffix":""},{"dropping-particle":"","family":"Ritz","given":"Nathaniel L.","non-dropping-particle":"","parse-names":false,"suffix":""},{"dropping-particle":"","family":"Sherwin","given":"Eoin","non-dropping-particle":"","parse-names":false,"suffix":""},{"dropping-particle":"","family":"Spichak","given":"Simon","non-dropping-particle":"","parse-names":false,"suffix":""},{"dropping-particle":"","family":"Teichman","given":"Emily M.","non-dropping-particle":"","parse-names":false,"suffix":""},{"dropping-particle":"","family":"Wouw","given":"Marcel","non-dropping-particle":"van de","parse-names":false,"suffix":""},{"dropping-particle":"","family":"Ventura-Silva","given":"Ana Paula","non-dropping-particle":"","parse-names":false,"suffix":""},{"dropping-particle":"","family":"Wallace-Fitzsimons","given":"Shauna E.","non-dropping-particle":"","parse-names":false,"suffix":""},{"dropping-particle":"","family":"Hyland","given":"Niall","non-dropping-particle":"","parse-names":false,"suffix":""},{"dropping-particle":"","family":"Clarke","given":"Gerard","non-dropping-particle":"","parse-names":false,"suffix":""},{"dropping-particle":"","family":"Dinan","given":"Timothy G.","non-dropping-particle":"","parse-names":false,"suffix":""}],"container-title":"Physiological Reviews","id":"ITEM-2","issue":"4","issued":{"date-parts":[["2019"]]},"page":"1877-2013","publisher":"American Physiological Society","title":"The microbiota-gut-brain axis","type":"article-journal","volume":"99"},"uris":["http://www.mendeley.com/documents/?uuid=7e9c4a14-7a02-3f4c-a658-7f43b885c4fd"]},{"id":"ITEM-3","itemData":{"DOI":"10.4103/0366-6999.190667","ISSN":"03666999","PMID":"27647198","abstract":"Objective: To systematically review the updated information about the gut microbiota-brain axis. Data Sources: All articles about gut microbiota-brain axis published up to July 18, 2016, were identified through a literature search on PubMed, ScienceDirect, and Web of Science, with the keywords of “gut microbiota”, “gut-brain axis”, and “neuroscience”. Study Selection: All relevant articles on gut microbiota and gut-brain axis were included and carefully reviewed, with no limitation of study design. Results: It is well-recognized that gut microbiota affects the brain’s physiological, behavioral, and cognitive functions although its precise mechanism has not yet been fully understood. Gut microbiota-brain axis may include gut microbiota and their metabolic products, enteric nervous system, sympathetic and parasympathetic branches within the autonomic nervous system, neural-immune system, neuroendocrine system, and central nervous system. Moreover, there may be five communication routes between gut microbiota and brain, including the gut-brain’s neural network, neuroendocrine-hypothalamic-pituitary-adrenal axis, gut immune system, some neurotransmitters and neural regulators synthesized by gut bacteria, and barrier paths including intestinal mucosal barrier and blood-brain barrier. The microbiome is used to define the composition and functional characteristics of gut microbiota, and metagenomics is an appropriate technique to characterize gut microbiota. Conclusions: Gut microbiota-brain axis refers to a bidirectional information network between the gut microbiota and the brain, which may provide a new way to protect the brain in the near future.","author":[{"dropping-particle":"","family":"Wang","given":"Hong Xing","non-dropping-particle":"","parse-names":false,"suffix":""},{"dropping-particle":"","family":"Wang","given":"Yu Ping","non-dropping-particle":"","parse-names":false,"suffix":""}],"container-title":"Chinese Medical Journal","id":"ITEM-3","issue":"19","issued":{"date-parts":[["2016","10","5"]]},"page":"2373-2380","publisher":"Chinese Medical Association","title":"Gut microbiota-brain axis","type":"article","volume":"129"},"uris":["http://www.mendeley.com/documents/?uuid=5d8328ce-575b-3020-b27b-28d288deb42f"]},{"id":"ITEM-4","itemData":{"DOI":"10.1016/j.tins.2013.01.005","ISSN":"01662236","PMID":"23384445","abstract":"Within the first few days of life, humans are colonized by commensal intestinal microbiota. Here, we review recent findings showing that microbiota are important in normal healthy brain function. We also discuss the relation between stress and microbiota, and how alterations in microbiota influence stress-related behaviors. New studies show that bacteria, including commensal, probiotic, and pathogenic bacteria, in the gastrointestinal (GI) tract can activate neural pathways and central nervous system (CNS) signaling systems. Ongoing and future animal and clinical studies aimed at understanding the microbiota-gut-brain axis may provide novel approaches for prevention and treatment of mental illness, including anxiety and depression. © 2013 Elsevier Ltd.","author":[{"dropping-particle":"","family":"Foster","given":"Jane A.","non-dropping-particle":"","parse-names":false,"suffix":""},{"dropping-particle":"","family":"McVey Neufeld","given":"Karen Anne","non-dropping-particle":"","parse-names":false,"suffix":""}],"container-title":"Trends in Neurosciences","id":"ITEM-4","issue":"5","issued":{"date-parts":[["2013","5"]]},"page":"305-312","publisher":"Trends Neurosci","title":"Gut-brain axis: How the microbiome influences anxiety and depression","type":"article","volume":"36"},"uris":["http://www.mendeley.com/documents/?uuid=721f2242-e06f-3dc9-b233-653c26094c4b"]}],"mendeley":{"formattedCitation":"(185–188)","plainTextFormattedCitation":"(185–188)","previouslyFormattedCitation":"(185–188)"},"properties":{"noteIndex":0},"schema":"https://github.com/citation-style-language/schema/raw/master/csl-citation.json"}</w:instrText>
      </w:r>
      <w:r w:rsidR="00220C44" w:rsidRPr="00430E66">
        <w:rPr>
          <w:color w:val="000000" w:themeColor="text1"/>
          <w:shd w:val="clear" w:color="auto" w:fill="FFFFFF"/>
        </w:rPr>
        <w:fldChar w:fldCharType="separate"/>
      </w:r>
      <w:r w:rsidR="00030235" w:rsidRPr="00030235">
        <w:rPr>
          <w:noProof/>
          <w:color w:val="000000" w:themeColor="text1"/>
          <w:shd w:val="clear" w:color="auto" w:fill="FFFFFF"/>
        </w:rPr>
        <w:t>(185–188)</w:t>
      </w:r>
      <w:r w:rsidR="00220C44" w:rsidRPr="00430E66">
        <w:rPr>
          <w:color w:val="000000" w:themeColor="text1"/>
          <w:shd w:val="clear" w:color="auto" w:fill="FFFFFF"/>
        </w:rPr>
        <w:fldChar w:fldCharType="end"/>
      </w:r>
      <w:r w:rsidR="0045097F" w:rsidRPr="00430E66">
        <w:rPr>
          <w:color w:val="000000" w:themeColor="text1"/>
          <w:shd w:val="clear" w:color="auto" w:fill="FFFFFF"/>
        </w:rPr>
        <w:t>.</w:t>
      </w:r>
      <w:r w:rsidR="0045097F">
        <w:rPr>
          <w:color w:val="000000"/>
          <w:shd w:val="clear" w:color="auto" w:fill="FFFFFF"/>
        </w:rPr>
        <w:t xml:space="preserve"> </w:t>
      </w:r>
      <w:r w:rsidR="00931EA2" w:rsidRPr="00F00BA9">
        <w:rPr>
          <w:color w:val="000000" w:themeColor="text1"/>
          <w:shd w:val="clear" w:color="auto" w:fill="FFFFFF"/>
          <w:vertAlign w:val="superscript"/>
        </w:rPr>
        <w:t>1</w:t>
      </w:r>
      <w:r w:rsidR="00931EA2" w:rsidRPr="00F00BA9">
        <w:rPr>
          <w:color w:val="000000" w:themeColor="text1"/>
          <w:shd w:val="clear" w:color="auto" w:fill="FFFFFF"/>
        </w:rPr>
        <w:t>H</w:t>
      </w:r>
      <w:r w:rsidR="00931EA2">
        <w:rPr>
          <w:color w:val="000000" w:themeColor="text1"/>
          <w:shd w:val="clear" w:color="auto" w:fill="FFFFFF"/>
        </w:rPr>
        <w:t xml:space="preserve"> NMR </w:t>
      </w:r>
      <w:r w:rsidR="0045097F">
        <w:rPr>
          <w:color w:val="000000" w:themeColor="text1"/>
          <w:shd w:val="clear" w:color="auto" w:fill="FFFFFF"/>
        </w:rPr>
        <w:t xml:space="preserve">could </w:t>
      </w:r>
      <w:r w:rsidR="00931EA2">
        <w:rPr>
          <w:color w:val="000000" w:themeColor="text1"/>
          <w:shd w:val="clear" w:color="auto" w:fill="FFFFFF"/>
        </w:rPr>
        <w:t xml:space="preserve">be used </w:t>
      </w:r>
      <w:r w:rsidR="00D85BB0">
        <w:rPr>
          <w:color w:val="000000" w:themeColor="text1"/>
          <w:shd w:val="clear" w:color="auto" w:fill="FFFFFF"/>
        </w:rPr>
        <w:t xml:space="preserve">to investigate this further and </w:t>
      </w:r>
      <w:r w:rsidR="0045097F">
        <w:t xml:space="preserve">discern the pharmacodynamics of psychedelic substances in the </w:t>
      </w:r>
      <w:r w:rsidR="00042889">
        <w:t>ENS</w:t>
      </w:r>
      <w:r w:rsidR="00931EA2">
        <w:t xml:space="preserve">, which could lead to </w:t>
      </w:r>
      <w:r w:rsidR="00BC5D33">
        <w:t>a</w:t>
      </w:r>
      <w:r w:rsidR="00931EA2">
        <w:t xml:space="preserve"> better understanding of the molecules effect </w:t>
      </w:r>
      <w:r w:rsidR="00220C44">
        <w:t xml:space="preserve">on </w:t>
      </w:r>
      <w:r w:rsidR="00931EA2">
        <w:t>the CNS</w:t>
      </w:r>
      <w:r w:rsidR="00BC5D33">
        <w:t xml:space="preserve"> and thus, the development of better novel treatments for psychiatric conditions. </w:t>
      </w:r>
    </w:p>
    <w:p w14:paraId="69E4215D" w14:textId="77777777" w:rsidR="0045097F" w:rsidRPr="0045097F" w:rsidRDefault="0045097F" w:rsidP="00E50706">
      <w:pPr>
        <w:pStyle w:val="CommentText"/>
        <w:rPr>
          <w:color w:val="FF0000"/>
        </w:rPr>
      </w:pPr>
    </w:p>
    <w:p w14:paraId="1E0629E9" w14:textId="77777777" w:rsidR="00E50706" w:rsidRDefault="00E50706" w:rsidP="00E50706">
      <w:pPr>
        <w:rPr>
          <w:b/>
          <w:bCs/>
          <w:color w:val="000000" w:themeColor="text1"/>
        </w:rPr>
      </w:pPr>
    </w:p>
    <w:p w14:paraId="6019E37C" w14:textId="7491F237" w:rsidR="00720DCF" w:rsidRDefault="001706DE" w:rsidP="00E50706">
      <w:pPr>
        <w:rPr>
          <w:b/>
          <w:bCs/>
          <w:color w:val="000000" w:themeColor="text1"/>
        </w:rPr>
      </w:pPr>
      <w:r w:rsidRPr="00AF4B07">
        <w:rPr>
          <w:b/>
          <w:bCs/>
          <w:color w:val="000000" w:themeColor="text1"/>
        </w:rPr>
        <w:t>Conclusion</w:t>
      </w:r>
    </w:p>
    <w:p w14:paraId="34D6CF2E" w14:textId="77777777" w:rsidR="00AF4B07" w:rsidRPr="00AF4B07" w:rsidRDefault="00AF4B07" w:rsidP="00E50706">
      <w:pPr>
        <w:rPr>
          <w:b/>
          <w:bCs/>
          <w:color w:val="000000" w:themeColor="text1"/>
        </w:rPr>
      </w:pPr>
    </w:p>
    <w:p w14:paraId="4606184B" w14:textId="7A9EB0EE"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 xml:space="preserve">This review </w:t>
      </w:r>
      <w:r w:rsidR="00467B1B">
        <w:rPr>
          <w:rFonts w:eastAsiaTheme="minorEastAsia"/>
          <w:color w:val="000000"/>
          <w:sz w:val="24"/>
          <w:szCs w:val="24"/>
        </w:rPr>
        <w:t>highlighted</w:t>
      </w:r>
      <w:r w:rsidRPr="00880264">
        <w:rPr>
          <w:rFonts w:eastAsiaTheme="minorEastAsia"/>
          <w:color w:val="000000"/>
          <w:sz w:val="24"/>
          <w:szCs w:val="24"/>
        </w:rPr>
        <w:t xml:space="preserve"> that the main use of </w:t>
      </w:r>
      <w:r w:rsidR="00C66EE1" w:rsidRPr="00502CC7">
        <w:rPr>
          <w:color w:val="000000" w:themeColor="text1"/>
          <w:sz w:val="24"/>
          <w:szCs w:val="24"/>
          <w:shd w:val="clear" w:color="auto" w:fill="FFFFFF"/>
          <w:vertAlign w:val="superscript"/>
        </w:rPr>
        <w:t>1</w:t>
      </w:r>
      <w:r w:rsidR="00C66EE1" w:rsidRPr="00502CC7">
        <w:rPr>
          <w:color w:val="000000" w:themeColor="text1"/>
          <w:sz w:val="24"/>
          <w:szCs w:val="24"/>
          <w:shd w:val="clear" w:color="auto" w:fill="FFFFFF"/>
        </w:rPr>
        <w:t>H</w:t>
      </w:r>
      <w:r w:rsidRPr="00880264">
        <w:rPr>
          <w:rFonts w:eastAsiaTheme="minorEastAsia"/>
          <w:color w:val="000000"/>
          <w:sz w:val="24"/>
          <w:szCs w:val="24"/>
        </w:rPr>
        <w:t xml:space="preserve"> NMR was for the structural</w:t>
      </w:r>
    </w:p>
    <w:p w14:paraId="72DEE0C4" w14:textId="77777777"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elucidation and analytical characterisation as required in natural products chemistry and it</w:t>
      </w:r>
    </w:p>
    <w:p w14:paraId="67D226B2" w14:textId="75223420"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was used as a complimentary method to MS and chromatographic tools.</w:t>
      </w:r>
      <w:r w:rsidR="00467B1B">
        <w:rPr>
          <w:rFonts w:eastAsiaTheme="minorEastAsia"/>
          <w:color w:val="000000"/>
          <w:sz w:val="24"/>
          <w:szCs w:val="24"/>
        </w:rPr>
        <w:t xml:space="preserve"> </w:t>
      </w:r>
      <w:r w:rsidRPr="00880264">
        <w:rPr>
          <w:rFonts w:eastAsiaTheme="minorEastAsia"/>
          <w:color w:val="000000"/>
          <w:sz w:val="24"/>
          <w:szCs w:val="24"/>
        </w:rPr>
        <w:t>There were no papers that used</w:t>
      </w:r>
      <w:r w:rsidR="00C66EE1">
        <w:rPr>
          <w:rFonts w:eastAsiaTheme="minorEastAsia"/>
          <w:color w:val="000000"/>
          <w:sz w:val="24"/>
          <w:szCs w:val="24"/>
        </w:rPr>
        <w:t xml:space="preserve"> </w:t>
      </w:r>
      <w:r w:rsidR="00C66EE1" w:rsidRPr="00502CC7">
        <w:rPr>
          <w:color w:val="000000" w:themeColor="text1"/>
          <w:sz w:val="24"/>
          <w:szCs w:val="24"/>
          <w:shd w:val="clear" w:color="auto" w:fill="FFFFFF"/>
          <w:vertAlign w:val="superscript"/>
        </w:rPr>
        <w:t>1</w:t>
      </w:r>
      <w:r w:rsidR="00C66EE1" w:rsidRPr="00502CC7">
        <w:rPr>
          <w:color w:val="000000" w:themeColor="text1"/>
          <w:sz w:val="24"/>
          <w:szCs w:val="24"/>
          <w:shd w:val="clear" w:color="auto" w:fill="FFFFFF"/>
        </w:rPr>
        <w:t>H</w:t>
      </w:r>
      <w:r w:rsidR="00C66EE1" w:rsidRPr="00502CC7">
        <w:rPr>
          <w:color w:val="000000" w:themeColor="text1"/>
          <w:sz w:val="24"/>
          <w:szCs w:val="24"/>
          <w:vertAlign w:val="superscript"/>
        </w:rPr>
        <w:t xml:space="preserve"> </w:t>
      </w:r>
      <w:r w:rsidRPr="00880264">
        <w:rPr>
          <w:rFonts w:eastAsiaTheme="minorEastAsia"/>
          <w:color w:val="000000"/>
          <w:sz w:val="24"/>
          <w:szCs w:val="24"/>
        </w:rPr>
        <w:t>NMR in the metabolic profiling of biofluids (i.e., blood,</w:t>
      </w:r>
    </w:p>
    <w:p w14:paraId="04237866" w14:textId="77777777"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urine and saliva) and as this technique has the capacity to study the biological effects that</w:t>
      </w:r>
    </w:p>
    <w:p w14:paraId="11F444CA" w14:textId="37C2E02C"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 xml:space="preserve">accompany the psychedelic experience it could be beneficial in future clinical </w:t>
      </w:r>
      <w:r w:rsidR="00467B1B">
        <w:rPr>
          <w:rFonts w:eastAsiaTheme="minorEastAsia"/>
          <w:color w:val="000000"/>
          <w:sz w:val="24"/>
          <w:szCs w:val="24"/>
        </w:rPr>
        <w:t>and naturalistic</w:t>
      </w:r>
      <w:r w:rsidR="00703038">
        <w:rPr>
          <w:rFonts w:eastAsiaTheme="minorEastAsia"/>
          <w:color w:val="000000"/>
          <w:sz w:val="24"/>
          <w:szCs w:val="24"/>
        </w:rPr>
        <w:t xml:space="preserve"> observational</w:t>
      </w:r>
      <w:r w:rsidR="00467B1B">
        <w:rPr>
          <w:rFonts w:eastAsiaTheme="minorEastAsia"/>
          <w:color w:val="000000"/>
          <w:sz w:val="24"/>
          <w:szCs w:val="24"/>
        </w:rPr>
        <w:t xml:space="preserve"> research</w:t>
      </w:r>
      <w:r w:rsidRPr="00880264">
        <w:rPr>
          <w:rFonts w:eastAsiaTheme="minorEastAsia"/>
          <w:color w:val="000000"/>
          <w:sz w:val="24"/>
          <w:szCs w:val="24"/>
        </w:rPr>
        <w:t>. The absence of batch effect and relatively easy sample preparation</w:t>
      </w:r>
    </w:p>
    <w:p w14:paraId="62FFBB3E" w14:textId="77777777"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in NMR techniques improves its efficacy on metabonomic studies; however, for biofluid</w:t>
      </w:r>
    </w:p>
    <w:p w14:paraId="07BF2CC4" w14:textId="77777777"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analysis it would be recommended the use of multiple spectroscopic tools that complement</w:t>
      </w:r>
    </w:p>
    <w:p w14:paraId="4C251C9D" w14:textId="77777777"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the data and ensure that individual technique limitations are minimised.</w:t>
      </w:r>
    </w:p>
    <w:p w14:paraId="46C7A2D4" w14:textId="77777777" w:rsidR="00880264" w:rsidRPr="00880264" w:rsidRDefault="00880264" w:rsidP="00E50706">
      <w:pPr>
        <w:pStyle w:val="CommentText"/>
        <w:rPr>
          <w:rFonts w:eastAsiaTheme="minorEastAsia"/>
          <w:color w:val="000000"/>
          <w:sz w:val="24"/>
          <w:szCs w:val="24"/>
        </w:rPr>
      </w:pPr>
    </w:p>
    <w:p w14:paraId="73BE7927" w14:textId="77777777"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Furthermore, we emphasised the importance of the potential use of real-time NMR in</w:t>
      </w:r>
    </w:p>
    <w:p w14:paraId="6D3ABAB6" w14:textId="24428CA6"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 xml:space="preserve">biofluids and in vivo </w:t>
      </w:r>
      <w:r w:rsidR="00C66EE1" w:rsidRPr="00502CC7">
        <w:rPr>
          <w:color w:val="000000" w:themeColor="text1"/>
          <w:sz w:val="24"/>
          <w:szCs w:val="24"/>
          <w:shd w:val="clear" w:color="auto" w:fill="FFFFFF"/>
          <w:vertAlign w:val="superscript"/>
        </w:rPr>
        <w:t>1</w:t>
      </w:r>
      <w:r w:rsidR="00C66EE1" w:rsidRPr="00502CC7">
        <w:rPr>
          <w:color w:val="000000" w:themeColor="text1"/>
          <w:sz w:val="24"/>
          <w:szCs w:val="24"/>
          <w:shd w:val="clear" w:color="auto" w:fill="FFFFFF"/>
        </w:rPr>
        <w:t>H</w:t>
      </w:r>
      <w:r w:rsidR="00C66EE1" w:rsidRPr="00502CC7">
        <w:rPr>
          <w:color w:val="000000" w:themeColor="text1"/>
          <w:sz w:val="24"/>
          <w:szCs w:val="24"/>
          <w:vertAlign w:val="superscript"/>
        </w:rPr>
        <w:t xml:space="preserve"> </w:t>
      </w:r>
      <w:r w:rsidRPr="00880264">
        <w:rPr>
          <w:rFonts w:eastAsiaTheme="minorEastAsia"/>
          <w:color w:val="000000"/>
          <w:sz w:val="24"/>
          <w:szCs w:val="24"/>
        </w:rPr>
        <w:t>MRS of specific brain regions (preferentially at magnetic field</w:t>
      </w:r>
    </w:p>
    <w:p w14:paraId="3BC4CD23" w14:textId="213AEB9C" w:rsidR="00880264" w:rsidRPr="00880264" w:rsidRDefault="00880264" w:rsidP="00E50706">
      <w:pPr>
        <w:pStyle w:val="CommentText"/>
        <w:rPr>
          <w:rFonts w:eastAsiaTheme="minorEastAsia"/>
          <w:color w:val="000000"/>
          <w:sz w:val="24"/>
          <w:szCs w:val="24"/>
        </w:rPr>
      </w:pPr>
      <w:r w:rsidRPr="00880264">
        <w:rPr>
          <w:rFonts w:eastAsiaTheme="minorEastAsia"/>
          <w:color w:val="000000"/>
          <w:sz w:val="24"/>
          <w:szCs w:val="24"/>
        </w:rPr>
        <w:t xml:space="preserve">strength of </w:t>
      </w:r>
      <w:r w:rsidR="00703038">
        <w:rPr>
          <w:rFonts w:eastAsiaTheme="minorEastAsia"/>
          <w:color w:val="000000"/>
          <w:sz w:val="24"/>
          <w:szCs w:val="24"/>
        </w:rPr>
        <w:t xml:space="preserve">greater than or equal to </w:t>
      </w:r>
      <w:r w:rsidRPr="00880264">
        <w:rPr>
          <w:rFonts w:eastAsiaTheme="minorEastAsia"/>
          <w:color w:val="000000"/>
          <w:sz w:val="24"/>
          <w:szCs w:val="24"/>
        </w:rPr>
        <w:t>7T) to monitor changes in metabolite concentrations in response to psychedelic</w:t>
      </w:r>
      <w:r w:rsidR="00703038">
        <w:rPr>
          <w:rFonts w:eastAsiaTheme="minorEastAsia"/>
          <w:color w:val="000000"/>
          <w:sz w:val="24"/>
          <w:szCs w:val="24"/>
        </w:rPr>
        <w:t xml:space="preserve"> </w:t>
      </w:r>
      <w:r w:rsidRPr="00880264">
        <w:rPr>
          <w:rFonts w:eastAsiaTheme="minorEastAsia"/>
          <w:color w:val="000000"/>
          <w:sz w:val="24"/>
          <w:szCs w:val="24"/>
        </w:rPr>
        <w:t>molecules before, during and after administration. Additionally, we also suggest that the</w:t>
      </w:r>
      <w:r w:rsidR="00703038">
        <w:rPr>
          <w:rFonts w:eastAsiaTheme="minorEastAsia"/>
          <w:color w:val="000000"/>
          <w:sz w:val="24"/>
          <w:szCs w:val="24"/>
        </w:rPr>
        <w:t xml:space="preserve"> </w:t>
      </w:r>
      <w:r w:rsidRPr="00880264">
        <w:rPr>
          <w:rFonts w:eastAsiaTheme="minorEastAsia"/>
          <w:color w:val="000000"/>
          <w:sz w:val="24"/>
          <w:szCs w:val="24"/>
        </w:rPr>
        <w:t xml:space="preserve">extensive use of </w:t>
      </w:r>
      <w:r w:rsidR="00C66EE1" w:rsidRPr="00502CC7">
        <w:rPr>
          <w:color w:val="000000" w:themeColor="text1"/>
          <w:sz w:val="24"/>
          <w:szCs w:val="24"/>
          <w:shd w:val="clear" w:color="auto" w:fill="FFFFFF"/>
          <w:vertAlign w:val="superscript"/>
        </w:rPr>
        <w:t>1</w:t>
      </w:r>
      <w:r w:rsidR="00C66EE1" w:rsidRPr="00502CC7">
        <w:rPr>
          <w:color w:val="000000" w:themeColor="text1"/>
          <w:sz w:val="24"/>
          <w:szCs w:val="24"/>
          <w:shd w:val="clear" w:color="auto" w:fill="FFFFFF"/>
        </w:rPr>
        <w:t>H</w:t>
      </w:r>
      <w:r w:rsidR="00C66EE1" w:rsidRPr="00502CC7">
        <w:rPr>
          <w:color w:val="000000" w:themeColor="text1"/>
          <w:sz w:val="24"/>
          <w:szCs w:val="24"/>
          <w:vertAlign w:val="superscript"/>
        </w:rPr>
        <w:t xml:space="preserve"> </w:t>
      </w:r>
      <w:r w:rsidRPr="00880264">
        <w:rPr>
          <w:rFonts w:eastAsiaTheme="minorEastAsia"/>
          <w:color w:val="000000"/>
          <w:sz w:val="24"/>
          <w:szCs w:val="24"/>
        </w:rPr>
        <w:t>NMR in the study of the gut microbiota should now focus on the</w:t>
      </w:r>
      <w:r w:rsidR="00703038">
        <w:rPr>
          <w:rFonts w:eastAsiaTheme="minorEastAsia"/>
          <w:color w:val="000000"/>
          <w:sz w:val="24"/>
          <w:szCs w:val="24"/>
        </w:rPr>
        <w:t xml:space="preserve"> </w:t>
      </w:r>
      <w:r w:rsidRPr="00880264">
        <w:rPr>
          <w:rFonts w:eastAsiaTheme="minorEastAsia"/>
          <w:color w:val="000000"/>
          <w:sz w:val="24"/>
          <w:szCs w:val="24"/>
        </w:rPr>
        <w:t>biological interaction of the gut-microbiome with psychedelic substances.</w:t>
      </w:r>
    </w:p>
    <w:p w14:paraId="396E4332" w14:textId="77777777" w:rsidR="00703038" w:rsidRDefault="00703038" w:rsidP="00E50706">
      <w:pPr>
        <w:pStyle w:val="CommentText"/>
        <w:rPr>
          <w:rFonts w:eastAsiaTheme="minorEastAsia"/>
          <w:color w:val="000000"/>
          <w:sz w:val="24"/>
          <w:szCs w:val="24"/>
        </w:rPr>
      </w:pPr>
    </w:p>
    <w:p w14:paraId="6011F1D3" w14:textId="44ECD403" w:rsidR="005B0A60" w:rsidRDefault="00880264" w:rsidP="00E50706">
      <w:pPr>
        <w:pStyle w:val="CommentText"/>
        <w:rPr>
          <w:rFonts w:eastAsiaTheme="minorEastAsia"/>
          <w:color w:val="000000"/>
          <w:sz w:val="24"/>
          <w:szCs w:val="24"/>
        </w:rPr>
      </w:pPr>
      <w:r w:rsidRPr="00880264">
        <w:rPr>
          <w:rFonts w:eastAsiaTheme="minorEastAsia"/>
          <w:color w:val="000000"/>
          <w:sz w:val="24"/>
          <w:szCs w:val="24"/>
        </w:rPr>
        <w:t xml:space="preserve">In conclusion, </w:t>
      </w:r>
      <w:r w:rsidR="00467B1B">
        <w:rPr>
          <w:rFonts w:eastAsiaTheme="minorEastAsia"/>
          <w:color w:val="000000"/>
          <w:sz w:val="24"/>
          <w:szCs w:val="24"/>
        </w:rPr>
        <w:t xml:space="preserve">we </w:t>
      </w:r>
      <w:r w:rsidR="00467B1B">
        <w:rPr>
          <w:rFonts w:eastAsiaTheme="minorEastAsia"/>
          <w:color w:val="000000" w:themeColor="text1"/>
          <w:sz w:val="24"/>
          <w:szCs w:val="24"/>
        </w:rPr>
        <w:t xml:space="preserve">believe that </w:t>
      </w:r>
      <w:r w:rsidR="00467B1B" w:rsidRPr="00502CC7">
        <w:rPr>
          <w:color w:val="000000" w:themeColor="text1"/>
          <w:sz w:val="24"/>
          <w:szCs w:val="24"/>
          <w:shd w:val="clear" w:color="auto" w:fill="FFFFFF"/>
          <w:vertAlign w:val="superscript"/>
        </w:rPr>
        <w:t>1</w:t>
      </w:r>
      <w:r w:rsidR="00467B1B" w:rsidRPr="00502CC7">
        <w:rPr>
          <w:color w:val="000000" w:themeColor="text1"/>
          <w:sz w:val="24"/>
          <w:szCs w:val="24"/>
          <w:shd w:val="clear" w:color="auto" w:fill="FFFFFF"/>
        </w:rPr>
        <w:t>H</w:t>
      </w:r>
      <w:r w:rsidR="00467B1B" w:rsidRPr="00502CC7">
        <w:rPr>
          <w:color w:val="000000" w:themeColor="text1"/>
          <w:sz w:val="24"/>
          <w:szCs w:val="24"/>
          <w:vertAlign w:val="superscript"/>
        </w:rPr>
        <w:t xml:space="preserve"> </w:t>
      </w:r>
      <w:r w:rsidR="00467B1B" w:rsidRPr="00502CC7">
        <w:rPr>
          <w:rFonts w:eastAsiaTheme="minorEastAsia"/>
          <w:color w:val="000000" w:themeColor="text1"/>
          <w:sz w:val="24"/>
          <w:szCs w:val="24"/>
        </w:rPr>
        <w:t xml:space="preserve">NMR </w:t>
      </w:r>
      <w:r w:rsidR="00467B1B">
        <w:rPr>
          <w:rFonts w:eastAsiaTheme="minorEastAsia"/>
          <w:color w:val="000000" w:themeColor="text1"/>
          <w:sz w:val="24"/>
          <w:szCs w:val="24"/>
        </w:rPr>
        <w:t>is an assessment approach worthy of consideration</w:t>
      </w:r>
      <w:r w:rsidR="00703038">
        <w:rPr>
          <w:rFonts w:eastAsiaTheme="minorEastAsia"/>
          <w:color w:val="000000" w:themeColor="text1"/>
          <w:sz w:val="24"/>
          <w:szCs w:val="24"/>
        </w:rPr>
        <w:t xml:space="preserve"> </w:t>
      </w:r>
      <w:r w:rsidR="00467B1B">
        <w:rPr>
          <w:rFonts w:eastAsiaTheme="minorEastAsia"/>
          <w:color w:val="000000" w:themeColor="text1"/>
          <w:sz w:val="24"/>
          <w:szCs w:val="24"/>
        </w:rPr>
        <w:t>for researchers and the field so to expand the knowledge of the biological effects of</w:t>
      </w:r>
      <w:r w:rsidR="00703038">
        <w:rPr>
          <w:rFonts w:eastAsiaTheme="minorEastAsia"/>
          <w:color w:val="000000" w:themeColor="text1"/>
          <w:sz w:val="24"/>
          <w:szCs w:val="24"/>
        </w:rPr>
        <w:t xml:space="preserve"> </w:t>
      </w:r>
      <w:r w:rsidR="00467B1B">
        <w:rPr>
          <w:rFonts w:eastAsiaTheme="minorEastAsia"/>
          <w:color w:val="000000" w:themeColor="text1"/>
          <w:sz w:val="24"/>
          <w:szCs w:val="24"/>
        </w:rPr>
        <w:t>psychedelics. This could allow for a better understanding of the subjective psychedelic</w:t>
      </w:r>
      <w:r w:rsidR="00703038">
        <w:rPr>
          <w:rFonts w:eastAsiaTheme="minorEastAsia"/>
          <w:color w:val="000000" w:themeColor="text1"/>
          <w:sz w:val="24"/>
          <w:szCs w:val="24"/>
        </w:rPr>
        <w:t xml:space="preserve"> </w:t>
      </w:r>
      <w:r w:rsidR="00467B1B">
        <w:rPr>
          <w:rFonts w:eastAsiaTheme="minorEastAsia"/>
          <w:color w:val="000000" w:themeColor="text1"/>
          <w:sz w:val="24"/>
          <w:szCs w:val="24"/>
        </w:rPr>
        <w:t xml:space="preserve">experience reported by individuals, which could in turn allow for improved treatment options that minimise the adverse side effects and maximise </w:t>
      </w:r>
      <w:r w:rsidR="00703038">
        <w:rPr>
          <w:rFonts w:eastAsiaTheme="minorEastAsia"/>
          <w:color w:val="000000" w:themeColor="text1"/>
          <w:sz w:val="24"/>
          <w:szCs w:val="24"/>
        </w:rPr>
        <w:t xml:space="preserve">the </w:t>
      </w:r>
      <w:r w:rsidR="00467B1B">
        <w:rPr>
          <w:rFonts w:eastAsiaTheme="minorEastAsia"/>
          <w:color w:val="000000" w:themeColor="text1"/>
          <w:sz w:val="24"/>
          <w:szCs w:val="24"/>
        </w:rPr>
        <w:t>therapeutic effect</w:t>
      </w:r>
      <w:r w:rsidR="00ED54CC">
        <w:rPr>
          <w:rFonts w:eastAsiaTheme="minorEastAsia"/>
          <w:color w:val="000000" w:themeColor="text1"/>
          <w:sz w:val="24"/>
          <w:szCs w:val="24"/>
        </w:rPr>
        <w:t xml:space="preserve"> for diseases such as depression or </w:t>
      </w:r>
      <w:proofErr w:type="spellStart"/>
      <w:r w:rsidR="00ED54CC">
        <w:rPr>
          <w:rFonts w:eastAsiaTheme="minorEastAsia"/>
          <w:color w:val="000000" w:themeColor="text1"/>
          <w:sz w:val="24"/>
          <w:szCs w:val="24"/>
        </w:rPr>
        <w:t>AiD</w:t>
      </w:r>
      <w:proofErr w:type="spellEnd"/>
      <w:r w:rsidR="00467B1B">
        <w:rPr>
          <w:rFonts w:eastAsiaTheme="minorEastAsia"/>
          <w:color w:val="000000" w:themeColor="text1"/>
          <w:sz w:val="24"/>
          <w:szCs w:val="24"/>
        </w:rPr>
        <w:t xml:space="preserve">. </w:t>
      </w:r>
      <w:r w:rsidR="00467B1B">
        <w:rPr>
          <w:rFonts w:eastAsiaTheme="minorEastAsia"/>
          <w:color w:val="000000"/>
          <w:sz w:val="24"/>
          <w:szCs w:val="24"/>
        </w:rPr>
        <w:t xml:space="preserve">The </w:t>
      </w:r>
      <w:r w:rsidRPr="00880264">
        <w:rPr>
          <w:rFonts w:eastAsiaTheme="minorEastAsia"/>
          <w:color w:val="000000"/>
          <w:sz w:val="24"/>
          <w:szCs w:val="24"/>
        </w:rPr>
        <w:t xml:space="preserve">biochemical data </w:t>
      </w:r>
      <w:r w:rsidR="00467B1B">
        <w:rPr>
          <w:rFonts w:eastAsiaTheme="minorEastAsia"/>
          <w:color w:val="000000"/>
          <w:sz w:val="24"/>
          <w:szCs w:val="24"/>
        </w:rPr>
        <w:t>retrieved could be a</w:t>
      </w:r>
      <w:r w:rsidRPr="00880264">
        <w:rPr>
          <w:rFonts w:eastAsiaTheme="minorEastAsia"/>
          <w:color w:val="000000"/>
          <w:sz w:val="24"/>
          <w:szCs w:val="24"/>
        </w:rPr>
        <w:t xml:space="preserve"> </w:t>
      </w:r>
      <w:r w:rsidR="00467B1B">
        <w:rPr>
          <w:rFonts w:eastAsiaTheme="minorEastAsia"/>
          <w:color w:val="000000"/>
          <w:sz w:val="24"/>
          <w:szCs w:val="24"/>
        </w:rPr>
        <w:t xml:space="preserve">critical </w:t>
      </w:r>
      <w:r w:rsidRPr="00880264">
        <w:rPr>
          <w:rFonts w:eastAsiaTheme="minorEastAsia"/>
          <w:color w:val="000000"/>
          <w:sz w:val="24"/>
          <w:szCs w:val="24"/>
        </w:rPr>
        <w:t>addition to</w:t>
      </w:r>
      <w:r w:rsidR="00467B1B">
        <w:rPr>
          <w:rFonts w:eastAsiaTheme="minorEastAsia"/>
          <w:color w:val="000000"/>
          <w:sz w:val="24"/>
          <w:szCs w:val="24"/>
        </w:rPr>
        <w:t xml:space="preserve"> </w:t>
      </w:r>
      <w:r w:rsidRPr="00880264">
        <w:rPr>
          <w:rFonts w:eastAsiaTheme="minorEastAsia"/>
          <w:color w:val="000000"/>
          <w:sz w:val="24"/>
          <w:szCs w:val="24"/>
        </w:rPr>
        <w:t>psychedelic</w:t>
      </w:r>
      <w:r w:rsidR="00467B1B">
        <w:rPr>
          <w:rFonts w:eastAsiaTheme="minorEastAsia"/>
          <w:color w:val="000000"/>
          <w:sz w:val="24"/>
          <w:szCs w:val="24"/>
        </w:rPr>
        <w:t xml:space="preserve"> </w:t>
      </w:r>
      <w:r w:rsidRPr="00880264">
        <w:rPr>
          <w:rFonts w:eastAsiaTheme="minorEastAsia"/>
          <w:color w:val="000000"/>
          <w:sz w:val="24"/>
          <w:szCs w:val="24"/>
        </w:rPr>
        <w:t>research.</w:t>
      </w:r>
    </w:p>
    <w:p w14:paraId="3B28255D" w14:textId="1F9D2E9E" w:rsidR="00BC5D33" w:rsidRDefault="00BC5D33" w:rsidP="00E50706"/>
    <w:p w14:paraId="6C122688" w14:textId="77777777" w:rsidR="005016BF" w:rsidRDefault="005016BF" w:rsidP="00E50706"/>
    <w:p w14:paraId="78EEED24" w14:textId="7316606B" w:rsidR="00E93149" w:rsidRPr="00E93149" w:rsidRDefault="00E93149" w:rsidP="00E50706">
      <w:pPr>
        <w:rPr>
          <w:b/>
          <w:bCs/>
        </w:rPr>
      </w:pPr>
      <w:r w:rsidRPr="00E93149">
        <w:rPr>
          <w:b/>
          <w:bCs/>
        </w:rPr>
        <w:t>References</w:t>
      </w:r>
    </w:p>
    <w:p w14:paraId="3D0AB714" w14:textId="77777777" w:rsidR="00552D82" w:rsidRDefault="00552D82" w:rsidP="00E50706">
      <w:pPr>
        <w:autoSpaceDE w:val="0"/>
        <w:autoSpaceDN w:val="0"/>
        <w:adjustRightInd w:val="0"/>
        <w:rPr>
          <w:rFonts w:ascii="Times" w:eastAsiaTheme="minorEastAsia" w:hAnsi="Times" w:cs="Times"/>
          <w:color w:val="000000"/>
        </w:rPr>
      </w:pPr>
    </w:p>
    <w:p w14:paraId="7703C442" w14:textId="114A2EA2" w:rsidR="00112529" w:rsidRPr="00112529" w:rsidRDefault="009263E4" w:rsidP="00112529">
      <w:pPr>
        <w:widowControl w:val="0"/>
        <w:autoSpaceDE w:val="0"/>
        <w:autoSpaceDN w:val="0"/>
        <w:adjustRightInd w:val="0"/>
        <w:ind w:left="640" w:hanging="640"/>
        <w:rPr>
          <w:rFonts w:ascii="Times" w:hAnsi="Times" w:cs="Times"/>
          <w:noProof/>
        </w:rPr>
      </w:pPr>
      <w:r>
        <w:rPr>
          <w:rFonts w:ascii="Times" w:eastAsiaTheme="minorEastAsia" w:hAnsi="Times" w:cs="Times"/>
          <w:color w:val="000000"/>
        </w:rPr>
        <w:fldChar w:fldCharType="begin" w:fldLock="1"/>
      </w:r>
      <w:r>
        <w:rPr>
          <w:rFonts w:ascii="Times" w:eastAsiaTheme="minorEastAsia" w:hAnsi="Times" w:cs="Times"/>
          <w:color w:val="000000"/>
        </w:rPr>
        <w:instrText xml:space="preserve">ADDIN Mendeley Bibliography CSL_BIBLIOGRAPHY </w:instrText>
      </w:r>
      <w:r>
        <w:rPr>
          <w:rFonts w:ascii="Times" w:eastAsiaTheme="minorEastAsia" w:hAnsi="Times" w:cs="Times"/>
          <w:color w:val="000000"/>
        </w:rPr>
        <w:fldChar w:fldCharType="separate"/>
      </w:r>
      <w:r w:rsidR="00112529" w:rsidRPr="00112529">
        <w:rPr>
          <w:rFonts w:ascii="Times" w:hAnsi="Times" w:cs="Times"/>
          <w:noProof/>
        </w:rPr>
        <w:t xml:space="preserve">1. </w:t>
      </w:r>
      <w:r w:rsidR="00112529" w:rsidRPr="00112529">
        <w:rPr>
          <w:rFonts w:ascii="Times" w:hAnsi="Times" w:cs="Times"/>
          <w:noProof/>
        </w:rPr>
        <w:tab/>
        <w:t xml:space="preserve">Carhart-Harris R, Giribaldi B, Watts R, Baker-Jones M, Murphy-Beiner A, Murphy R, Martell J, Blemings A, Erritzoe D, Nutt DJ. Trial of Psilocybin versus Escitalopram for Depression. </w:t>
      </w:r>
      <w:r w:rsidR="00112529" w:rsidRPr="00112529">
        <w:rPr>
          <w:rFonts w:ascii="Times" w:hAnsi="Times" w:cs="Times"/>
          <w:i/>
          <w:iCs/>
          <w:noProof/>
        </w:rPr>
        <w:t>N Engl J Med</w:t>
      </w:r>
      <w:r w:rsidR="00112529" w:rsidRPr="00112529">
        <w:rPr>
          <w:rFonts w:ascii="Times" w:hAnsi="Times" w:cs="Times"/>
          <w:noProof/>
        </w:rPr>
        <w:t xml:space="preserve"> (2021) </w:t>
      </w:r>
      <w:r w:rsidR="00112529" w:rsidRPr="00112529">
        <w:rPr>
          <w:rFonts w:ascii="Times" w:hAnsi="Times" w:cs="Times"/>
          <w:b/>
          <w:bCs/>
          <w:noProof/>
        </w:rPr>
        <w:t>384</w:t>
      </w:r>
      <w:r w:rsidR="00112529" w:rsidRPr="00112529">
        <w:rPr>
          <w:rFonts w:ascii="Times" w:hAnsi="Times" w:cs="Times"/>
          <w:noProof/>
        </w:rPr>
        <w:t>:1402–1411. doi:10.1056/NEJMoa2032994</w:t>
      </w:r>
    </w:p>
    <w:p w14:paraId="668D19F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 </w:t>
      </w:r>
      <w:r w:rsidRPr="00112529">
        <w:rPr>
          <w:rFonts w:ascii="Times" w:hAnsi="Times" w:cs="Times"/>
          <w:noProof/>
        </w:rPr>
        <w:tab/>
        <w:t xml:space="preserve">Ross S, Bossis A, Guss J, Agin-Liebes G, Malone T, Cohen B, Mennenga SE, Belser A, Kalliontzi K, Babb J, et al. Rapid and sustained symptom reduction following psilocybin treatment for anxiety and depression in patients with life-threatening cancer: A randomized controlled trial. </w:t>
      </w:r>
      <w:r w:rsidRPr="00112529">
        <w:rPr>
          <w:rFonts w:ascii="Times" w:hAnsi="Times" w:cs="Times"/>
          <w:i/>
          <w:iCs/>
          <w:noProof/>
        </w:rPr>
        <w:t>J Psychopharmacol</w:t>
      </w:r>
      <w:r w:rsidRPr="00112529">
        <w:rPr>
          <w:rFonts w:ascii="Times" w:hAnsi="Times" w:cs="Times"/>
          <w:noProof/>
        </w:rPr>
        <w:t xml:space="preserve"> (2016) </w:t>
      </w:r>
      <w:r w:rsidRPr="00112529">
        <w:rPr>
          <w:rFonts w:ascii="Times" w:hAnsi="Times" w:cs="Times"/>
          <w:b/>
          <w:bCs/>
          <w:noProof/>
        </w:rPr>
        <w:t>30</w:t>
      </w:r>
      <w:r w:rsidRPr="00112529">
        <w:rPr>
          <w:rFonts w:ascii="Times" w:hAnsi="Times" w:cs="Times"/>
          <w:noProof/>
        </w:rPr>
        <w:t>:1165–1180. doi:10.1177/0269881116675512</w:t>
      </w:r>
    </w:p>
    <w:p w14:paraId="4E2A6B5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 </w:t>
      </w:r>
      <w:r w:rsidRPr="00112529">
        <w:rPr>
          <w:rFonts w:ascii="Times" w:hAnsi="Times" w:cs="Times"/>
          <w:noProof/>
        </w:rPr>
        <w:tab/>
        <w:t xml:space="preserve">Griffiths RR, Johnson MW, Carducci MA, Umbricht A, Richards WA, Richards BD, Cosimano MP, Klinedinst MA. Psilocybin produces substantial and sustained decreases in depression and anxiety in patients with life-threatening cancer: A </w:t>
      </w:r>
      <w:r w:rsidRPr="00112529">
        <w:rPr>
          <w:rFonts w:ascii="Times" w:hAnsi="Times" w:cs="Times"/>
          <w:noProof/>
        </w:rPr>
        <w:lastRenderedPageBreak/>
        <w:t xml:space="preserve">randomized double-blind trial. </w:t>
      </w:r>
      <w:r w:rsidRPr="00112529">
        <w:rPr>
          <w:rFonts w:ascii="Times" w:hAnsi="Times" w:cs="Times"/>
          <w:i/>
          <w:iCs/>
          <w:noProof/>
        </w:rPr>
        <w:t>J Psychopharmacol</w:t>
      </w:r>
      <w:r w:rsidRPr="00112529">
        <w:rPr>
          <w:rFonts w:ascii="Times" w:hAnsi="Times" w:cs="Times"/>
          <w:noProof/>
        </w:rPr>
        <w:t xml:space="preserve"> (2016) </w:t>
      </w:r>
      <w:r w:rsidRPr="00112529">
        <w:rPr>
          <w:rFonts w:ascii="Times" w:hAnsi="Times" w:cs="Times"/>
          <w:b/>
          <w:bCs/>
          <w:noProof/>
        </w:rPr>
        <w:t>30</w:t>
      </w:r>
      <w:r w:rsidRPr="00112529">
        <w:rPr>
          <w:rFonts w:ascii="Times" w:hAnsi="Times" w:cs="Times"/>
          <w:noProof/>
        </w:rPr>
        <w:t>:1181–1197. doi:10.1177/0269881116675513</w:t>
      </w:r>
    </w:p>
    <w:p w14:paraId="4C654C3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 </w:t>
      </w:r>
      <w:r w:rsidRPr="00112529">
        <w:rPr>
          <w:rFonts w:ascii="Times" w:hAnsi="Times" w:cs="Times"/>
          <w:noProof/>
        </w:rPr>
        <w:tab/>
        <w:t xml:space="preserve">Nicholas CR, Henriquez KM, Gassman MC, Cooper KM, Muller D, Hetzel S, Brown RT, Cozzi N V., Thomas C, Hutson PR. High dose psilocybin is associated with positive subjective effects in healthy volunteers. </w:t>
      </w:r>
      <w:r w:rsidRPr="00112529">
        <w:rPr>
          <w:rFonts w:ascii="Times" w:hAnsi="Times" w:cs="Times"/>
          <w:i/>
          <w:iCs/>
          <w:noProof/>
        </w:rPr>
        <w:t>J Psychopharmacol</w:t>
      </w:r>
      <w:r w:rsidRPr="00112529">
        <w:rPr>
          <w:rFonts w:ascii="Times" w:hAnsi="Times" w:cs="Times"/>
          <w:noProof/>
        </w:rPr>
        <w:t xml:space="preserve"> (2018) </w:t>
      </w:r>
      <w:r w:rsidRPr="00112529">
        <w:rPr>
          <w:rFonts w:ascii="Times" w:hAnsi="Times" w:cs="Times"/>
          <w:b/>
          <w:bCs/>
          <w:noProof/>
        </w:rPr>
        <w:t>32</w:t>
      </w:r>
      <w:r w:rsidRPr="00112529">
        <w:rPr>
          <w:rFonts w:ascii="Times" w:hAnsi="Times" w:cs="Times"/>
          <w:noProof/>
        </w:rPr>
        <w:t>:770–778. doi:10.1177/0269881118780713</w:t>
      </w:r>
    </w:p>
    <w:p w14:paraId="652A934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 </w:t>
      </w:r>
      <w:r w:rsidRPr="00112529">
        <w:rPr>
          <w:rFonts w:ascii="Times" w:hAnsi="Times" w:cs="Times"/>
          <w:noProof/>
        </w:rPr>
        <w:tab/>
        <w:t xml:space="preserve">Griffiths RR, Richards WA, Johnson MW, McCann UD, Jesse R. Mystical-type experiences occasioned by psilocybin mediate the attribution of personal meaning and spiritual significance 14 months later. </w:t>
      </w:r>
      <w:r w:rsidRPr="00112529">
        <w:rPr>
          <w:rFonts w:ascii="Times" w:hAnsi="Times" w:cs="Times"/>
          <w:i/>
          <w:iCs/>
          <w:noProof/>
        </w:rPr>
        <w:t>J Psychopharmacol</w:t>
      </w:r>
      <w:r w:rsidRPr="00112529">
        <w:rPr>
          <w:rFonts w:ascii="Times" w:hAnsi="Times" w:cs="Times"/>
          <w:noProof/>
        </w:rPr>
        <w:t xml:space="preserve"> (2008) </w:t>
      </w:r>
      <w:r w:rsidRPr="00112529">
        <w:rPr>
          <w:rFonts w:ascii="Times" w:hAnsi="Times" w:cs="Times"/>
          <w:b/>
          <w:bCs/>
          <w:noProof/>
        </w:rPr>
        <w:t>22</w:t>
      </w:r>
      <w:r w:rsidRPr="00112529">
        <w:rPr>
          <w:rFonts w:ascii="Times" w:hAnsi="Times" w:cs="Times"/>
          <w:noProof/>
        </w:rPr>
        <w:t>:621–632. doi:10.1177/0269881108094300</w:t>
      </w:r>
    </w:p>
    <w:p w14:paraId="2D600F5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 </w:t>
      </w:r>
      <w:r w:rsidRPr="00112529">
        <w:rPr>
          <w:rFonts w:ascii="Times" w:hAnsi="Times" w:cs="Times"/>
          <w:noProof/>
        </w:rPr>
        <w:tab/>
        <w:t xml:space="preserve">Thompson C, Szabo A. Psychedelics as a novel approach to treating autoimmune conditions. </w:t>
      </w:r>
      <w:r w:rsidRPr="00112529">
        <w:rPr>
          <w:rFonts w:ascii="Times" w:hAnsi="Times" w:cs="Times"/>
          <w:i/>
          <w:iCs/>
          <w:noProof/>
        </w:rPr>
        <w:t>Immunol Lett</w:t>
      </w:r>
      <w:r w:rsidRPr="00112529">
        <w:rPr>
          <w:rFonts w:ascii="Times" w:hAnsi="Times" w:cs="Times"/>
          <w:noProof/>
        </w:rPr>
        <w:t xml:space="preserve"> (2020) </w:t>
      </w:r>
      <w:r w:rsidRPr="00112529">
        <w:rPr>
          <w:rFonts w:ascii="Times" w:hAnsi="Times" w:cs="Times"/>
          <w:b/>
          <w:bCs/>
          <w:noProof/>
        </w:rPr>
        <w:t>228</w:t>
      </w:r>
      <w:r w:rsidRPr="00112529">
        <w:rPr>
          <w:rFonts w:ascii="Times" w:hAnsi="Times" w:cs="Times"/>
          <w:noProof/>
        </w:rPr>
        <w:t>: doi:10.1016/j.imlet.2020.10.001</w:t>
      </w:r>
    </w:p>
    <w:p w14:paraId="59383CB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 </w:t>
      </w:r>
      <w:r w:rsidRPr="00112529">
        <w:rPr>
          <w:rFonts w:ascii="Times" w:hAnsi="Times" w:cs="Times"/>
          <w:noProof/>
        </w:rPr>
        <w:tab/>
        <w:t xml:space="preserve">Szabo A, Kovacs A, Frecska E, Rajnavolgyi E. Psychedelic N,N-dimethyltryptamine and 5-methoxy-N,N-dimethyltryptamine modulate innate and adaptive inflammatory responses through the sigma-1 receptor of human monocyte-derived dendritic cells. </w:t>
      </w:r>
      <w:r w:rsidRPr="00112529">
        <w:rPr>
          <w:rFonts w:ascii="Times" w:hAnsi="Times" w:cs="Times"/>
          <w:i/>
          <w:iCs/>
          <w:noProof/>
        </w:rPr>
        <w:t>PLoS One</w:t>
      </w:r>
      <w:r w:rsidRPr="00112529">
        <w:rPr>
          <w:rFonts w:ascii="Times" w:hAnsi="Times" w:cs="Times"/>
          <w:noProof/>
        </w:rPr>
        <w:t xml:space="preserve"> (2014) </w:t>
      </w:r>
      <w:r w:rsidRPr="00112529">
        <w:rPr>
          <w:rFonts w:ascii="Times" w:hAnsi="Times" w:cs="Times"/>
          <w:b/>
          <w:bCs/>
          <w:noProof/>
        </w:rPr>
        <w:t>9</w:t>
      </w:r>
      <w:r w:rsidRPr="00112529">
        <w:rPr>
          <w:rFonts w:ascii="Times" w:hAnsi="Times" w:cs="Times"/>
          <w:noProof/>
        </w:rPr>
        <w:t>: doi:10.1371/journal.pone.0106533</w:t>
      </w:r>
    </w:p>
    <w:p w14:paraId="5D7E0B5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 </w:t>
      </w:r>
      <w:r w:rsidRPr="00112529">
        <w:rPr>
          <w:rFonts w:ascii="Times" w:hAnsi="Times" w:cs="Times"/>
          <w:noProof/>
        </w:rPr>
        <w:tab/>
        <w:t xml:space="preserve">Szabo A. Psychedelics and immunomodulation: Novel approaches and therapeutic opportunities. </w:t>
      </w:r>
      <w:r w:rsidRPr="00112529">
        <w:rPr>
          <w:rFonts w:ascii="Times" w:hAnsi="Times" w:cs="Times"/>
          <w:i/>
          <w:iCs/>
          <w:noProof/>
        </w:rPr>
        <w:t>Front Immunol</w:t>
      </w:r>
      <w:r w:rsidRPr="00112529">
        <w:rPr>
          <w:rFonts w:ascii="Times" w:hAnsi="Times" w:cs="Times"/>
          <w:noProof/>
        </w:rPr>
        <w:t xml:space="preserve"> (2015) </w:t>
      </w:r>
      <w:r w:rsidRPr="00112529">
        <w:rPr>
          <w:rFonts w:ascii="Times" w:hAnsi="Times" w:cs="Times"/>
          <w:b/>
          <w:bCs/>
          <w:noProof/>
        </w:rPr>
        <w:t>6</w:t>
      </w:r>
      <w:r w:rsidRPr="00112529">
        <w:rPr>
          <w:rFonts w:ascii="Times" w:hAnsi="Times" w:cs="Times"/>
          <w:noProof/>
        </w:rPr>
        <w:t>: doi:10.3389/fimmu.2015.00358</w:t>
      </w:r>
    </w:p>
    <w:p w14:paraId="4786517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 </w:t>
      </w:r>
      <w:r w:rsidRPr="00112529">
        <w:rPr>
          <w:rFonts w:ascii="Times" w:hAnsi="Times" w:cs="Times"/>
          <w:noProof/>
        </w:rPr>
        <w:tab/>
        <w:t xml:space="preserve">Uthaug M V., Mason NL, Toennes SW, Reckweg JT, de Sousa Fernandes Perna EB, Kuypers KPC, van Oorsouw K, Riba J, Ramaekers JG. A placebo-controlled study of the effects of ayahuasca, set and setting on mental health of participants in ayahuasca group retreats. </w:t>
      </w:r>
      <w:r w:rsidRPr="00112529">
        <w:rPr>
          <w:rFonts w:ascii="Times" w:hAnsi="Times" w:cs="Times"/>
          <w:i/>
          <w:iCs/>
          <w:noProof/>
        </w:rPr>
        <w:t>Psychopharmacology (Berl)</w:t>
      </w:r>
      <w:r w:rsidRPr="00112529">
        <w:rPr>
          <w:rFonts w:ascii="Times" w:hAnsi="Times" w:cs="Times"/>
          <w:noProof/>
        </w:rPr>
        <w:t xml:space="preserve"> (2021) doi:10.1007/s00213-021-05817-8</w:t>
      </w:r>
    </w:p>
    <w:p w14:paraId="06F1016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 </w:t>
      </w:r>
      <w:r w:rsidRPr="00112529">
        <w:rPr>
          <w:rFonts w:ascii="Times" w:hAnsi="Times" w:cs="Times"/>
          <w:noProof/>
        </w:rPr>
        <w:tab/>
        <w:t xml:space="preserve">Hartogsohn I. Constructing drug effects: A history of set and setting. </w:t>
      </w:r>
      <w:r w:rsidRPr="00112529">
        <w:rPr>
          <w:rFonts w:ascii="Times" w:hAnsi="Times" w:cs="Times"/>
          <w:i/>
          <w:iCs/>
          <w:noProof/>
        </w:rPr>
        <w:t>Drug Sci Policy Law</w:t>
      </w:r>
      <w:r w:rsidRPr="00112529">
        <w:rPr>
          <w:rFonts w:ascii="Times" w:hAnsi="Times" w:cs="Times"/>
          <w:noProof/>
        </w:rPr>
        <w:t xml:space="preserve"> (2017) </w:t>
      </w:r>
      <w:r w:rsidRPr="00112529">
        <w:rPr>
          <w:rFonts w:ascii="Times" w:hAnsi="Times" w:cs="Times"/>
          <w:b/>
          <w:bCs/>
          <w:noProof/>
        </w:rPr>
        <w:t>3</w:t>
      </w:r>
      <w:r w:rsidRPr="00112529">
        <w:rPr>
          <w:rFonts w:ascii="Times" w:hAnsi="Times" w:cs="Times"/>
          <w:noProof/>
        </w:rPr>
        <w:t>:205032451668332. doi:10.1177/2050324516683325</w:t>
      </w:r>
    </w:p>
    <w:p w14:paraId="66D0845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 </w:t>
      </w:r>
      <w:r w:rsidRPr="00112529">
        <w:rPr>
          <w:rFonts w:ascii="Times" w:hAnsi="Times" w:cs="Times"/>
          <w:noProof/>
        </w:rPr>
        <w:tab/>
        <w:t xml:space="preserve">Hartogsohn I. Set and setting, psychedelics and the placebo response: An extra-pharmacological perspective on psychopharmacology. </w:t>
      </w:r>
      <w:r w:rsidRPr="00112529">
        <w:rPr>
          <w:rFonts w:ascii="Times" w:hAnsi="Times" w:cs="Times"/>
          <w:i/>
          <w:iCs/>
          <w:noProof/>
        </w:rPr>
        <w:t>J Psychopharmacol</w:t>
      </w:r>
      <w:r w:rsidRPr="00112529">
        <w:rPr>
          <w:rFonts w:ascii="Times" w:hAnsi="Times" w:cs="Times"/>
          <w:noProof/>
        </w:rPr>
        <w:t xml:space="preserve"> (2016) </w:t>
      </w:r>
      <w:r w:rsidRPr="00112529">
        <w:rPr>
          <w:rFonts w:ascii="Times" w:hAnsi="Times" w:cs="Times"/>
          <w:b/>
          <w:bCs/>
          <w:noProof/>
        </w:rPr>
        <w:t>30</w:t>
      </w:r>
      <w:r w:rsidRPr="00112529">
        <w:rPr>
          <w:rFonts w:ascii="Times" w:hAnsi="Times" w:cs="Times"/>
          <w:noProof/>
        </w:rPr>
        <w:t>:1259–1267. doi:10.1177/0269881116677852</w:t>
      </w:r>
    </w:p>
    <w:p w14:paraId="6872045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 </w:t>
      </w:r>
      <w:r w:rsidRPr="00112529">
        <w:rPr>
          <w:rFonts w:ascii="Times" w:hAnsi="Times" w:cs="Times"/>
          <w:noProof/>
        </w:rPr>
        <w:tab/>
        <w:t xml:space="preserve">Kaertner LS, Steinborn MB, Kettner H, Spriggs MJ, Roseman L, Buchborn T, Balaet M, Timmermann C, Erritzoe D, Carhart-Harris RL. Positive expectations predict improved mental-health outcomes linked to psychedelic microdosing. </w:t>
      </w:r>
      <w:r w:rsidRPr="00112529">
        <w:rPr>
          <w:rFonts w:ascii="Times" w:hAnsi="Times" w:cs="Times"/>
          <w:i/>
          <w:iCs/>
          <w:noProof/>
        </w:rPr>
        <w:t>Sci Rep</w:t>
      </w:r>
      <w:r w:rsidRPr="00112529">
        <w:rPr>
          <w:rFonts w:ascii="Times" w:hAnsi="Times" w:cs="Times"/>
          <w:noProof/>
        </w:rPr>
        <w:t xml:space="preserve"> (2021) </w:t>
      </w:r>
      <w:r w:rsidRPr="00112529">
        <w:rPr>
          <w:rFonts w:ascii="Times" w:hAnsi="Times" w:cs="Times"/>
          <w:b/>
          <w:bCs/>
          <w:noProof/>
        </w:rPr>
        <w:t>11</w:t>
      </w:r>
      <w:r w:rsidRPr="00112529">
        <w:rPr>
          <w:rFonts w:ascii="Times" w:hAnsi="Times" w:cs="Times"/>
          <w:noProof/>
        </w:rPr>
        <w:t>:1941. doi:10.1038/s41598-021-81446-7</w:t>
      </w:r>
    </w:p>
    <w:p w14:paraId="791CD49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 </w:t>
      </w:r>
      <w:r w:rsidRPr="00112529">
        <w:rPr>
          <w:rFonts w:ascii="Times" w:hAnsi="Times" w:cs="Times"/>
          <w:noProof/>
        </w:rPr>
        <w:tab/>
        <w:t xml:space="preserve">Szigeti B, Kartner L, Blemings A, Rosas F, Feilding A, Nutt DJ, Carhart-Harris RL, Erritzoe D. Self-blinding citizen science to explore psychedelic microdosing. </w:t>
      </w:r>
      <w:r w:rsidRPr="00112529">
        <w:rPr>
          <w:rFonts w:ascii="Times" w:hAnsi="Times" w:cs="Times"/>
          <w:i/>
          <w:iCs/>
          <w:noProof/>
        </w:rPr>
        <w:t>Elife</w:t>
      </w:r>
      <w:r w:rsidRPr="00112529">
        <w:rPr>
          <w:rFonts w:ascii="Times" w:hAnsi="Times" w:cs="Times"/>
          <w:noProof/>
        </w:rPr>
        <w:t xml:space="preserve"> (2021) </w:t>
      </w:r>
      <w:r w:rsidRPr="00112529">
        <w:rPr>
          <w:rFonts w:ascii="Times" w:hAnsi="Times" w:cs="Times"/>
          <w:b/>
          <w:bCs/>
          <w:noProof/>
        </w:rPr>
        <w:t>10</w:t>
      </w:r>
      <w:r w:rsidRPr="00112529">
        <w:rPr>
          <w:rFonts w:ascii="Times" w:hAnsi="Times" w:cs="Times"/>
          <w:noProof/>
        </w:rPr>
        <w:t>: doi:10.7554/eLife.62878</w:t>
      </w:r>
    </w:p>
    <w:p w14:paraId="6215A3E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 </w:t>
      </w:r>
      <w:r w:rsidRPr="00112529">
        <w:rPr>
          <w:rFonts w:ascii="Times" w:hAnsi="Times" w:cs="Times"/>
          <w:noProof/>
        </w:rPr>
        <w:tab/>
        <w:t xml:space="preserve">Heaton RK. Subject expectancy and environmental factors as determinants of psychedelic flashback experiences. </w:t>
      </w:r>
      <w:r w:rsidRPr="00112529">
        <w:rPr>
          <w:rFonts w:ascii="Times" w:hAnsi="Times" w:cs="Times"/>
          <w:i/>
          <w:iCs/>
          <w:noProof/>
        </w:rPr>
        <w:t>J Nerv Ment Dis</w:t>
      </w:r>
      <w:r w:rsidRPr="00112529">
        <w:rPr>
          <w:rFonts w:ascii="Times" w:hAnsi="Times" w:cs="Times"/>
          <w:noProof/>
        </w:rPr>
        <w:t xml:space="preserve"> (1975) </w:t>
      </w:r>
      <w:r w:rsidRPr="00112529">
        <w:rPr>
          <w:rFonts w:ascii="Times" w:hAnsi="Times" w:cs="Times"/>
          <w:b/>
          <w:bCs/>
          <w:noProof/>
        </w:rPr>
        <w:t>161</w:t>
      </w:r>
      <w:r w:rsidRPr="00112529">
        <w:rPr>
          <w:rFonts w:ascii="Times" w:hAnsi="Times" w:cs="Times"/>
          <w:noProof/>
        </w:rPr>
        <w:t>:157–165. doi:10.1097/00005053-197509000-00002</w:t>
      </w:r>
    </w:p>
    <w:p w14:paraId="733D2A4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 </w:t>
      </w:r>
      <w:r w:rsidRPr="00112529">
        <w:rPr>
          <w:rFonts w:ascii="Times" w:hAnsi="Times" w:cs="Times"/>
          <w:noProof/>
        </w:rPr>
        <w:tab/>
        <w:t xml:space="preserve">Kwan AH, Mobli M, Gooley PR, King GF, MacKay JP. Macromolecular NMR spectroscopy for the non-spectroscopist. </w:t>
      </w:r>
      <w:r w:rsidRPr="00112529">
        <w:rPr>
          <w:rFonts w:ascii="Times" w:hAnsi="Times" w:cs="Times"/>
          <w:i/>
          <w:iCs/>
          <w:noProof/>
        </w:rPr>
        <w:t>FEBS J</w:t>
      </w:r>
      <w:r w:rsidRPr="00112529">
        <w:rPr>
          <w:rFonts w:ascii="Times" w:hAnsi="Times" w:cs="Times"/>
          <w:noProof/>
        </w:rPr>
        <w:t xml:space="preserve"> (2011) </w:t>
      </w:r>
      <w:r w:rsidRPr="00112529">
        <w:rPr>
          <w:rFonts w:ascii="Times" w:hAnsi="Times" w:cs="Times"/>
          <w:b/>
          <w:bCs/>
          <w:noProof/>
        </w:rPr>
        <w:t>278</w:t>
      </w:r>
      <w:r w:rsidRPr="00112529">
        <w:rPr>
          <w:rFonts w:ascii="Times" w:hAnsi="Times" w:cs="Times"/>
          <w:noProof/>
        </w:rPr>
        <w:t>:687–703. doi:10.1111/j.1742-4658.2011.08004.x</w:t>
      </w:r>
    </w:p>
    <w:p w14:paraId="0C8BFEC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 </w:t>
      </w:r>
      <w:r w:rsidRPr="00112529">
        <w:rPr>
          <w:rFonts w:ascii="Times" w:hAnsi="Times" w:cs="Times"/>
          <w:noProof/>
        </w:rPr>
        <w:tab/>
        <w:t xml:space="preserve">Lindon JC, Nicholson JK, Holmes E. </w:t>
      </w:r>
      <w:r w:rsidRPr="00112529">
        <w:rPr>
          <w:rFonts w:ascii="Times" w:hAnsi="Times" w:cs="Times"/>
          <w:i/>
          <w:iCs/>
          <w:noProof/>
        </w:rPr>
        <w:t>The Handbook of Metabonomics and Metabolomics</w:t>
      </w:r>
      <w:r w:rsidRPr="00112529">
        <w:rPr>
          <w:rFonts w:ascii="Times" w:hAnsi="Times" w:cs="Times"/>
          <w:noProof/>
        </w:rPr>
        <w:t>. Elsevier (2007). doi:10.1016/B978-0-444-52841-4.X5000-0</w:t>
      </w:r>
    </w:p>
    <w:p w14:paraId="71BAAEA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 </w:t>
      </w:r>
      <w:r w:rsidRPr="00112529">
        <w:rPr>
          <w:rFonts w:ascii="Times" w:hAnsi="Times" w:cs="Times"/>
          <w:noProof/>
        </w:rPr>
        <w:tab/>
        <w:t xml:space="preserve">Günther H. </w:t>
      </w:r>
      <w:r w:rsidRPr="00112529">
        <w:rPr>
          <w:rFonts w:ascii="Times" w:hAnsi="Times" w:cs="Times"/>
          <w:i/>
          <w:iCs/>
          <w:noProof/>
        </w:rPr>
        <w:t>NMR Spectroscopy</w:t>
      </w:r>
      <w:r w:rsidRPr="00112529">
        <w:rPr>
          <w:rFonts w:ascii="Times" w:hAnsi="Times" w:cs="Times"/>
          <w:noProof/>
        </w:rPr>
        <w:t>. 2nd ed. New York, U.S.: John Wiley &amp; Sons (1992).</w:t>
      </w:r>
    </w:p>
    <w:p w14:paraId="21CB0EA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 </w:t>
      </w:r>
      <w:r w:rsidRPr="00112529">
        <w:rPr>
          <w:rFonts w:ascii="Times" w:hAnsi="Times" w:cs="Times"/>
          <w:noProof/>
        </w:rPr>
        <w:tab/>
        <w:t xml:space="preserve">Van QN, Issaq HJ, Jiang Q, Li Q, Muschik GM, Waybright TJ, Lou H, Dean M, Uitto J, Veenstra TD. Comparison of 1D and 2D NMR spectroscopy for metabolic profiling. </w:t>
      </w:r>
      <w:r w:rsidRPr="00112529">
        <w:rPr>
          <w:rFonts w:ascii="Times" w:hAnsi="Times" w:cs="Times"/>
          <w:i/>
          <w:iCs/>
          <w:noProof/>
        </w:rPr>
        <w:t>J Proteome Res</w:t>
      </w:r>
      <w:r w:rsidRPr="00112529">
        <w:rPr>
          <w:rFonts w:ascii="Times" w:hAnsi="Times" w:cs="Times"/>
          <w:noProof/>
        </w:rPr>
        <w:t xml:space="preserve"> (2008) </w:t>
      </w:r>
      <w:r w:rsidRPr="00112529">
        <w:rPr>
          <w:rFonts w:ascii="Times" w:hAnsi="Times" w:cs="Times"/>
          <w:b/>
          <w:bCs/>
          <w:noProof/>
        </w:rPr>
        <w:t>7</w:t>
      </w:r>
      <w:r w:rsidRPr="00112529">
        <w:rPr>
          <w:rFonts w:ascii="Times" w:hAnsi="Times" w:cs="Times"/>
          <w:noProof/>
        </w:rPr>
        <w:t>:630–639. doi:10.1021/pr700594s</w:t>
      </w:r>
    </w:p>
    <w:p w14:paraId="05FD78A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19. </w:t>
      </w:r>
      <w:r w:rsidRPr="00112529">
        <w:rPr>
          <w:rFonts w:ascii="Times" w:hAnsi="Times" w:cs="Times"/>
          <w:noProof/>
        </w:rPr>
        <w:tab/>
        <w:t xml:space="preserve">Emwas AH, Szczepski K, Poulson BG, Chandra K, McKay RT, Dhahri M, Alahmari F, Jaremko L, Lachowicz JI, Jaremko M. NMR as a “gold standard” method in drug design and discovery. </w:t>
      </w:r>
      <w:r w:rsidRPr="00112529">
        <w:rPr>
          <w:rFonts w:ascii="Times" w:hAnsi="Times" w:cs="Times"/>
          <w:i/>
          <w:iCs/>
          <w:noProof/>
        </w:rPr>
        <w:t>Molecules</w:t>
      </w:r>
      <w:r w:rsidRPr="00112529">
        <w:rPr>
          <w:rFonts w:ascii="Times" w:hAnsi="Times" w:cs="Times"/>
          <w:noProof/>
        </w:rPr>
        <w:t xml:space="preserve"> (2020) </w:t>
      </w:r>
      <w:r w:rsidRPr="00112529">
        <w:rPr>
          <w:rFonts w:ascii="Times" w:hAnsi="Times" w:cs="Times"/>
          <w:b/>
          <w:bCs/>
          <w:noProof/>
        </w:rPr>
        <w:t>25</w:t>
      </w:r>
      <w:r w:rsidRPr="00112529">
        <w:rPr>
          <w:rFonts w:ascii="Times" w:hAnsi="Times" w:cs="Times"/>
          <w:noProof/>
        </w:rPr>
        <w:t>: doi:10.3390/molecules25204597</w:t>
      </w:r>
    </w:p>
    <w:p w14:paraId="6809842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20. </w:t>
      </w:r>
      <w:r w:rsidRPr="00112529">
        <w:rPr>
          <w:rFonts w:ascii="Times" w:hAnsi="Times" w:cs="Times"/>
          <w:noProof/>
        </w:rPr>
        <w:tab/>
        <w:t xml:space="preserve">Keeler J. </w:t>
      </w:r>
      <w:r w:rsidRPr="00112529">
        <w:rPr>
          <w:rFonts w:ascii="Times" w:hAnsi="Times" w:cs="Times"/>
          <w:i/>
          <w:iCs/>
          <w:noProof/>
        </w:rPr>
        <w:t>Understanding NMR spectroscopy</w:t>
      </w:r>
      <w:r w:rsidRPr="00112529">
        <w:rPr>
          <w:rFonts w:ascii="Times" w:hAnsi="Times" w:cs="Times"/>
          <w:noProof/>
        </w:rPr>
        <w:t xml:space="preserve">. 2nd ed. Cambridge, England: John Wiley </w:t>
      </w:r>
      <w:r w:rsidRPr="00112529">
        <w:rPr>
          <w:rFonts w:ascii="Times" w:hAnsi="Times" w:cs="Times"/>
          <w:noProof/>
        </w:rPr>
        <w:lastRenderedPageBreak/>
        <w:t>&amp; Sons, Ltd. (2010).</w:t>
      </w:r>
    </w:p>
    <w:p w14:paraId="50202AA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21. </w:t>
      </w:r>
      <w:r w:rsidRPr="00112529">
        <w:rPr>
          <w:rFonts w:ascii="Times" w:hAnsi="Times" w:cs="Times"/>
          <w:noProof/>
        </w:rPr>
        <w:tab/>
        <w:t xml:space="preserve">Nakanishi K. </w:t>
      </w:r>
      <w:r w:rsidRPr="00112529">
        <w:rPr>
          <w:rFonts w:ascii="Times" w:hAnsi="Times" w:cs="Times"/>
          <w:i/>
          <w:iCs/>
          <w:noProof/>
        </w:rPr>
        <w:t>One-dimensional and two-dimensional NMR Spectra by Modern Pulse Techniques.</w:t>
      </w:r>
      <w:r w:rsidRPr="00112529">
        <w:rPr>
          <w:rFonts w:ascii="Times" w:hAnsi="Times" w:cs="Times"/>
          <w:noProof/>
        </w:rPr>
        <w:t xml:space="preserve"> California, U.S.: University Science Books (1990).</w:t>
      </w:r>
    </w:p>
    <w:p w14:paraId="7D10477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22. </w:t>
      </w:r>
      <w:r w:rsidRPr="00112529">
        <w:rPr>
          <w:rFonts w:ascii="Times" w:hAnsi="Times" w:cs="Times"/>
          <w:noProof/>
        </w:rPr>
        <w:tab/>
        <w:t xml:space="preserve">Rinschen MM, Ivanisevic J, Giera M, Siuzdak G. Identification of bioactive metabolites using activity metabolomics. </w:t>
      </w:r>
      <w:r w:rsidRPr="00112529">
        <w:rPr>
          <w:rFonts w:ascii="Times" w:hAnsi="Times" w:cs="Times"/>
          <w:i/>
          <w:iCs/>
          <w:noProof/>
        </w:rPr>
        <w:t>Nat Rev Mol Cell Biol</w:t>
      </w:r>
      <w:r w:rsidRPr="00112529">
        <w:rPr>
          <w:rFonts w:ascii="Times" w:hAnsi="Times" w:cs="Times"/>
          <w:noProof/>
        </w:rPr>
        <w:t xml:space="preserve"> (2019) </w:t>
      </w:r>
      <w:r w:rsidRPr="00112529">
        <w:rPr>
          <w:rFonts w:ascii="Times" w:hAnsi="Times" w:cs="Times"/>
          <w:b/>
          <w:bCs/>
          <w:noProof/>
        </w:rPr>
        <w:t>20</w:t>
      </w:r>
      <w:r w:rsidRPr="00112529">
        <w:rPr>
          <w:rFonts w:ascii="Times" w:hAnsi="Times" w:cs="Times"/>
          <w:noProof/>
        </w:rPr>
        <w:t>:353–367. doi:10.1038/s41580-019-0108-4</w:t>
      </w:r>
    </w:p>
    <w:p w14:paraId="749380EA" w14:textId="77777777" w:rsidR="00112529" w:rsidRPr="00CA61AB" w:rsidRDefault="00112529" w:rsidP="00112529">
      <w:pPr>
        <w:widowControl w:val="0"/>
        <w:autoSpaceDE w:val="0"/>
        <w:autoSpaceDN w:val="0"/>
        <w:adjustRightInd w:val="0"/>
        <w:ind w:left="640" w:hanging="640"/>
        <w:rPr>
          <w:rFonts w:ascii="Times" w:hAnsi="Times" w:cs="Times"/>
          <w:noProof/>
          <w:lang w:val="nb-NO"/>
        </w:rPr>
      </w:pPr>
      <w:r w:rsidRPr="00112529">
        <w:rPr>
          <w:rFonts w:ascii="Times" w:hAnsi="Times" w:cs="Times"/>
          <w:noProof/>
        </w:rPr>
        <w:t xml:space="preserve">23. </w:t>
      </w:r>
      <w:r w:rsidRPr="00112529">
        <w:rPr>
          <w:rFonts w:ascii="Times" w:hAnsi="Times" w:cs="Times"/>
          <w:noProof/>
        </w:rPr>
        <w:tab/>
        <w:t xml:space="preserve">Ramsden J. </w:t>
      </w:r>
      <w:r w:rsidRPr="00112529">
        <w:rPr>
          <w:rFonts w:ascii="Times" w:hAnsi="Times" w:cs="Times"/>
          <w:i/>
          <w:iCs/>
          <w:noProof/>
        </w:rPr>
        <w:t>Bioinformatics: An Introduction</w:t>
      </w:r>
      <w:r w:rsidRPr="00112529">
        <w:rPr>
          <w:rFonts w:ascii="Times" w:hAnsi="Times" w:cs="Times"/>
          <w:noProof/>
        </w:rPr>
        <w:t xml:space="preserve">. </w:t>
      </w:r>
      <w:r w:rsidRPr="00CA61AB">
        <w:rPr>
          <w:rFonts w:ascii="Times" w:hAnsi="Times" w:cs="Times"/>
          <w:noProof/>
          <w:lang w:val="nb-NO"/>
        </w:rPr>
        <w:t>3rd ed. Springer-Verlag London (2004).</w:t>
      </w:r>
    </w:p>
    <w:p w14:paraId="59C5909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24. </w:t>
      </w:r>
      <w:r w:rsidRPr="00112529">
        <w:rPr>
          <w:rFonts w:ascii="Times" w:hAnsi="Times" w:cs="Times"/>
          <w:noProof/>
        </w:rPr>
        <w:tab/>
        <w:t xml:space="preserve">Shockcor JP, Unger SE, Wilson ID, Foxall PJD, Nicholson JK, Lindon JC. Combined HPLC, NMR spectroscopy, and ion-trap mass spectrometry with application to the detection and characterization of xenobiotic and endogenous metabolites in human urine. </w:t>
      </w:r>
      <w:r w:rsidRPr="00112529">
        <w:rPr>
          <w:rFonts w:ascii="Times" w:hAnsi="Times" w:cs="Times"/>
          <w:i/>
          <w:iCs/>
          <w:noProof/>
        </w:rPr>
        <w:t>Anal Chem</w:t>
      </w:r>
      <w:r w:rsidRPr="00112529">
        <w:rPr>
          <w:rFonts w:ascii="Times" w:hAnsi="Times" w:cs="Times"/>
          <w:noProof/>
        </w:rPr>
        <w:t xml:space="preserve"> (1996) </w:t>
      </w:r>
      <w:r w:rsidRPr="00112529">
        <w:rPr>
          <w:rFonts w:ascii="Times" w:hAnsi="Times" w:cs="Times"/>
          <w:b/>
          <w:bCs/>
          <w:noProof/>
        </w:rPr>
        <w:t>68</w:t>
      </w:r>
      <w:r w:rsidRPr="00112529">
        <w:rPr>
          <w:rFonts w:ascii="Times" w:hAnsi="Times" w:cs="Times"/>
          <w:noProof/>
        </w:rPr>
        <w:t>:4431–4435. doi:10.1021/ac9606463</w:t>
      </w:r>
    </w:p>
    <w:p w14:paraId="0B49976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25. </w:t>
      </w:r>
      <w:r w:rsidRPr="00112529">
        <w:rPr>
          <w:rFonts w:ascii="Times" w:hAnsi="Times" w:cs="Times"/>
          <w:noProof/>
        </w:rPr>
        <w:tab/>
        <w:t xml:space="preserve">Holmes E, Wilson ID, Nicholson JK. Metabolic Phenotyping in Health and Disease. </w:t>
      </w:r>
      <w:r w:rsidRPr="00112529">
        <w:rPr>
          <w:rFonts w:ascii="Times" w:hAnsi="Times" w:cs="Times"/>
          <w:i/>
          <w:iCs/>
          <w:noProof/>
        </w:rPr>
        <w:t>Cell</w:t>
      </w:r>
      <w:r w:rsidRPr="00112529">
        <w:rPr>
          <w:rFonts w:ascii="Times" w:hAnsi="Times" w:cs="Times"/>
          <w:noProof/>
        </w:rPr>
        <w:t xml:space="preserve"> (2008) </w:t>
      </w:r>
      <w:r w:rsidRPr="00112529">
        <w:rPr>
          <w:rFonts w:ascii="Times" w:hAnsi="Times" w:cs="Times"/>
          <w:b/>
          <w:bCs/>
          <w:noProof/>
        </w:rPr>
        <w:t>134</w:t>
      </w:r>
      <w:r w:rsidRPr="00112529">
        <w:rPr>
          <w:rFonts w:ascii="Times" w:hAnsi="Times" w:cs="Times"/>
          <w:noProof/>
        </w:rPr>
        <w:t>:714–717. doi:10.1016/j.cell.2008.08.026</w:t>
      </w:r>
    </w:p>
    <w:p w14:paraId="2141FF0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26. </w:t>
      </w:r>
      <w:r w:rsidRPr="00112529">
        <w:rPr>
          <w:rFonts w:ascii="Times" w:hAnsi="Times" w:cs="Times"/>
          <w:noProof/>
        </w:rPr>
        <w:tab/>
        <w:t xml:space="preserve">Garcia-Perez I, Posma JM, Serrano-Contreras JI, Boulangé CL, Chan Q, Frost G, Stamler J, Elliott P, Lindon JC, Holmes E, et al. Identifying unknown metabolites using NMR-based metabolic profiling techniques. </w:t>
      </w:r>
      <w:r w:rsidRPr="00112529">
        <w:rPr>
          <w:rFonts w:ascii="Times" w:hAnsi="Times" w:cs="Times"/>
          <w:i/>
          <w:iCs/>
          <w:noProof/>
        </w:rPr>
        <w:t>Nat Protoc</w:t>
      </w:r>
      <w:r w:rsidRPr="00112529">
        <w:rPr>
          <w:rFonts w:ascii="Times" w:hAnsi="Times" w:cs="Times"/>
          <w:noProof/>
        </w:rPr>
        <w:t xml:space="preserve"> (2020) </w:t>
      </w:r>
      <w:r w:rsidRPr="00112529">
        <w:rPr>
          <w:rFonts w:ascii="Times" w:hAnsi="Times" w:cs="Times"/>
          <w:b/>
          <w:bCs/>
          <w:noProof/>
        </w:rPr>
        <w:t>15</w:t>
      </w:r>
      <w:r w:rsidRPr="00112529">
        <w:rPr>
          <w:rFonts w:ascii="Times" w:hAnsi="Times" w:cs="Times"/>
          <w:noProof/>
        </w:rPr>
        <w:t>:2538–2567. doi:10.1038/s41596-020-0343-3</w:t>
      </w:r>
    </w:p>
    <w:p w14:paraId="7BE129E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27. </w:t>
      </w:r>
      <w:r w:rsidRPr="00112529">
        <w:rPr>
          <w:rFonts w:ascii="Times" w:hAnsi="Times" w:cs="Times"/>
          <w:noProof/>
        </w:rPr>
        <w:tab/>
        <w:t xml:space="preserve">Stark JL, Powers R. Application of NMR and molecular docking in structure-based drug discovery. </w:t>
      </w:r>
      <w:r w:rsidRPr="00112529">
        <w:rPr>
          <w:rFonts w:ascii="Times" w:hAnsi="Times" w:cs="Times"/>
          <w:i/>
          <w:iCs/>
          <w:noProof/>
        </w:rPr>
        <w:t>Top Curr Chem</w:t>
      </w:r>
      <w:r w:rsidRPr="00112529">
        <w:rPr>
          <w:rFonts w:ascii="Times" w:hAnsi="Times" w:cs="Times"/>
          <w:noProof/>
        </w:rPr>
        <w:t xml:space="preserve"> (2012) </w:t>
      </w:r>
      <w:r w:rsidRPr="00112529">
        <w:rPr>
          <w:rFonts w:ascii="Times" w:hAnsi="Times" w:cs="Times"/>
          <w:b/>
          <w:bCs/>
          <w:noProof/>
        </w:rPr>
        <w:t>326</w:t>
      </w:r>
      <w:r w:rsidRPr="00112529">
        <w:rPr>
          <w:rFonts w:ascii="Times" w:hAnsi="Times" w:cs="Times"/>
          <w:noProof/>
        </w:rPr>
        <w:t>:1–34. doi:10.1007/128_2011_213</w:t>
      </w:r>
    </w:p>
    <w:p w14:paraId="08122B0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28. </w:t>
      </w:r>
      <w:r w:rsidRPr="00112529">
        <w:rPr>
          <w:rFonts w:ascii="Times" w:hAnsi="Times" w:cs="Times"/>
          <w:noProof/>
        </w:rPr>
        <w:tab/>
        <w:t xml:space="preserve">Bhinderwala F, Powers R. “NMR Metabolomics Protocols for Drug Discovery,” in </w:t>
      </w:r>
      <w:r w:rsidRPr="00112529">
        <w:rPr>
          <w:rFonts w:ascii="Times" w:hAnsi="Times" w:cs="Times"/>
          <w:i/>
          <w:iCs/>
          <w:noProof/>
        </w:rPr>
        <w:t>Methods in Molecular Biology</w:t>
      </w:r>
      <w:r w:rsidRPr="00112529">
        <w:rPr>
          <w:rFonts w:ascii="Times" w:hAnsi="Times" w:cs="Times"/>
          <w:noProof/>
        </w:rPr>
        <w:t xml:space="preserve"> (Humana Press Inc.), 265–311. doi:10.1007/978-1-4939-9690-2_16</w:t>
      </w:r>
    </w:p>
    <w:p w14:paraId="3C09CC1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29. </w:t>
      </w:r>
      <w:r w:rsidRPr="00112529">
        <w:rPr>
          <w:rFonts w:ascii="Times" w:hAnsi="Times" w:cs="Times"/>
          <w:noProof/>
        </w:rPr>
        <w:tab/>
        <w:t xml:space="preserve">Singh S, Roy R. The application of absolute quantitative 1H NMR spectroscopy in drug discovery and development. </w:t>
      </w:r>
      <w:r w:rsidRPr="00112529">
        <w:rPr>
          <w:rFonts w:ascii="Times" w:hAnsi="Times" w:cs="Times"/>
          <w:i/>
          <w:iCs/>
          <w:noProof/>
        </w:rPr>
        <w:t>Expert Opin Drug Discov</w:t>
      </w:r>
      <w:r w:rsidRPr="00112529">
        <w:rPr>
          <w:rFonts w:ascii="Times" w:hAnsi="Times" w:cs="Times"/>
          <w:noProof/>
        </w:rPr>
        <w:t xml:space="preserve"> (2016) </w:t>
      </w:r>
      <w:r w:rsidRPr="00112529">
        <w:rPr>
          <w:rFonts w:ascii="Times" w:hAnsi="Times" w:cs="Times"/>
          <w:b/>
          <w:bCs/>
          <w:noProof/>
        </w:rPr>
        <w:t>11</w:t>
      </w:r>
      <w:r w:rsidRPr="00112529">
        <w:rPr>
          <w:rFonts w:ascii="Times" w:hAnsi="Times" w:cs="Times"/>
          <w:noProof/>
        </w:rPr>
        <w:t>:695–706. doi:10.1080/17460441.2016.1189899</w:t>
      </w:r>
    </w:p>
    <w:p w14:paraId="5EE8583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30. </w:t>
      </w:r>
      <w:r w:rsidRPr="00112529">
        <w:rPr>
          <w:rFonts w:ascii="Times" w:hAnsi="Times" w:cs="Times"/>
          <w:noProof/>
        </w:rPr>
        <w:tab/>
        <w:t xml:space="preserve">Softley CA, Bostock MJ, Popowicz GM, Sattler M. Paramagnetic NMR in drug discovery. </w:t>
      </w:r>
      <w:r w:rsidRPr="00112529">
        <w:rPr>
          <w:rFonts w:ascii="Times" w:hAnsi="Times" w:cs="Times"/>
          <w:i/>
          <w:iCs/>
          <w:noProof/>
        </w:rPr>
        <w:t>J Biomol NMR</w:t>
      </w:r>
      <w:r w:rsidRPr="00112529">
        <w:rPr>
          <w:rFonts w:ascii="Times" w:hAnsi="Times" w:cs="Times"/>
          <w:noProof/>
        </w:rPr>
        <w:t xml:space="preserve"> (2020) </w:t>
      </w:r>
      <w:r w:rsidRPr="00112529">
        <w:rPr>
          <w:rFonts w:ascii="Times" w:hAnsi="Times" w:cs="Times"/>
          <w:b/>
          <w:bCs/>
          <w:noProof/>
        </w:rPr>
        <w:t>74</w:t>
      </w:r>
      <w:r w:rsidRPr="00112529">
        <w:rPr>
          <w:rFonts w:ascii="Times" w:hAnsi="Times" w:cs="Times"/>
          <w:noProof/>
        </w:rPr>
        <w:t>:287–309. doi:10.1007/s10858-020-00322-0</w:t>
      </w:r>
    </w:p>
    <w:p w14:paraId="128C199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31. </w:t>
      </w:r>
      <w:r w:rsidRPr="00112529">
        <w:rPr>
          <w:rFonts w:ascii="Times" w:hAnsi="Times" w:cs="Times"/>
          <w:noProof/>
        </w:rPr>
        <w:tab/>
        <w:t xml:space="preserve">Ohno A, Inomata K, Tochio H, Shirakawa M. In-Cell NMR Spectroscopy in Protein Chemistry and Drug Discovery. </w:t>
      </w:r>
      <w:r w:rsidRPr="00112529">
        <w:rPr>
          <w:rFonts w:ascii="Times" w:hAnsi="Times" w:cs="Times"/>
          <w:i/>
          <w:iCs/>
          <w:noProof/>
        </w:rPr>
        <w:t>Curr Top Med Chem</w:t>
      </w:r>
      <w:r w:rsidRPr="00112529">
        <w:rPr>
          <w:rFonts w:ascii="Times" w:hAnsi="Times" w:cs="Times"/>
          <w:noProof/>
        </w:rPr>
        <w:t xml:space="preserve"> (2010) </w:t>
      </w:r>
      <w:r w:rsidRPr="00112529">
        <w:rPr>
          <w:rFonts w:ascii="Times" w:hAnsi="Times" w:cs="Times"/>
          <w:b/>
          <w:bCs/>
          <w:noProof/>
        </w:rPr>
        <w:t>11</w:t>
      </w:r>
      <w:r w:rsidRPr="00112529">
        <w:rPr>
          <w:rFonts w:ascii="Times" w:hAnsi="Times" w:cs="Times"/>
          <w:noProof/>
        </w:rPr>
        <w:t>:68–73. doi:10.2174/156802611793611878</w:t>
      </w:r>
    </w:p>
    <w:p w14:paraId="23BF25E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32. </w:t>
      </w:r>
      <w:r w:rsidRPr="00112529">
        <w:rPr>
          <w:rFonts w:ascii="Times" w:hAnsi="Times" w:cs="Times"/>
          <w:noProof/>
        </w:rPr>
        <w:tab/>
        <w:t>Erlanson DA, Fesik SW, Hubbard RE, Jahnke W, Jhoti H. Twenty years on: the impact of fragments on drug discovery. (2016) doi:10.1038/nrd.2016.109</w:t>
      </w:r>
    </w:p>
    <w:p w14:paraId="771ECE0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33. </w:t>
      </w:r>
      <w:r w:rsidRPr="00112529">
        <w:rPr>
          <w:rFonts w:ascii="Times" w:hAnsi="Times" w:cs="Times"/>
          <w:noProof/>
        </w:rPr>
        <w:tab/>
        <w:t xml:space="preserve">Robson-Tull J. Biophysical screening in fragment-based drug design: A brief overview. </w:t>
      </w:r>
      <w:r w:rsidRPr="00112529">
        <w:rPr>
          <w:rFonts w:ascii="Times" w:hAnsi="Times" w:cs="Times"/>
          <w:i/>
          <w:iCs/>
          <w:noProof/>
        </w:rPr>
        <w:t>Biosci Horizons</w:t>
      </w:r>
      <w:r w:rsidRPr="00112529">
        <w:rPr>
          <w:rFonts w:ascii="Times" w:hAnsi="Times" w:cs="Times"/>
          <w:noProof/>
        </w:rPr>
        <w:t xml:space="preserve"> (2018) </w:t>
      </w:r>
      <w:r w:rsidRPr="00112529">
        <w:rPr>
          <w:rFonts w:ascii="Times" w:hAnsi="Times" w:cs="Times"/>
          <w:b/>
          <w:bCs/>
          <w:noProof/>
        </w:rPr>
        <w:t>11</w:t>
      </w:r>
      <w:r w:rsidRPr="00112529">
        <w:rPr>
          <w:rFonts w:ascii="Times" w:hAnsi="Times" w:cs="Times"/>
          <w:noProof/>
        </w:rPr>
        <w:t>:2018. doi:10.1093/biohorizons/hzy015</w:t>
      </w:r>
    </w:p>
    <w:p w14:paraId="73D3206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34. </w:t>
      </w:r>
      <w:r w:rsidRPr="00112529">
        <w:rPr>
          <w:rFonts w:ascii="Times" w:hAnsi="Times" w:cs="Times"/>
          <w:noProof/>
        </w:rPr>
        <w:tab/>
        <w:t xml:space="preserve">Pellecchia M. “High-Throughput Screening and Fragment-Based Design: General Consideration for Lead Discovery and Optimization,” in </w:t>
      </w:r>
      <w:r w:rsidRPr="00112529">
        <w:rPr>
          <w:rFonts w:ascii="Times" w:hAnsi="Times" w:cs="Times"/>
          <w:i/>
          <w:iCs/>
          <w:noProof/>
        </w:rPr>
        <w:t>NMR of Biomolecules: Towards Mechanistic Systems Biology</w:t>
      </w:r>
      <w:r w:rsidRPr="00112529">
        <w:rPr>
          <w:rFonts w:ascii="Times" w:hAnsi="Times" w:cs="Times"/>
          <w:noProof/>
        </w:rPr>
        <w:t xml:space="preserve"> (Weinheim, Germany: Wiley-VCH Verlag), 253–263.</w:t>
      </w:r>
    </w:p>
    <w:p w14:paraId="058F40C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35. </w:t>
      </w:r>
      <w:r w:rsidRPr="00112529">
        <w:rPr>
          <w:rFonts w:ascii="Times" w:hAnsi="Times" w:cs="Times"/>
          <w:noProof/>
        </w:rPr>
        <w:tab/>
        <w:t xml:space="preserve">Li Q. Application of Fragment-Based Drug Discovery to Versatile Targets. </w:t>
      </w:r>
      <w:r w:rsidRPr="00112529">
        <w:rPr>
          <w:rFonts w:ascii="Times" w:hAnsi="Times" w:cs="Times"/>
          <w:i/>
          <w:iCs/>
          <w:noProof/>
        </w:rPr>
        <w:t>Front Mol Biosci</w:t>
      </w:r>
      <w:r w:rsidRPr="00112529">
        <w:rPr>
          <w:rFonts w:ascii="Times" w:hAnsi="Times" w:cs="Times"/>
          <w:noProof/>
        </w:rPr>
        <w:t xml:space="preserve"> (2020) </w:t>
      </w:r>
      <w:r w:rsidRPr="00112529">
        <w:rPr>
          <w:rFonts w:ascii="Times" w:hAnsi="Times" w:cs="Times"/>
          <w:b/>
          <w:bCs/>
          <w:noProof/>
        </w:rPr>
        <w:t>7</w:t>
      </w:r>
      <w:r w:rsidRPr="00112529">
        <w:rPr>
          <w:rFonts w:ascii="Times" w:hAnsi="Times" w:cs="Times"/>
          <w:noProof/>
        </w:rPr>
        <w:t>:180. doi:10.3389/fmolb.2020.00180</w:t>
      </w:r>
    </w:p>
    <w:p w14:paraId="63B4C3AB"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36. </w:t>
      </w:r>
      <w:r w:rsidRPr="00112529">
        <w:rPr>
          <w:rFonts w:ascii="Times" w:hAnsi="Times" w:cs="Times"/>
          <w:noProof/>
        </w:rPr>
        <w:tab/>
        <w:t xml:space="preserve">Bentley M, Doak BC, Mohanty B, Scanlon MJ. “Applications of NMR spectroscopy in FBDD,” in </w:t>
      </w:r>
      <w:r w:rsidRPr="00112529">
        <w:rPr>
          <w:rFonts w:ascii="Times" w:hAnsi="Times" w:cs="Times"/>
          <w:i/>
          <w:iCs/>
          <w:noProof/>
        </w:rPr>
        <w:t>Modern Magnetic Resonance</w:t>
      </w:r>
      <w:r w:rsidRPr="00112529">
        <w:rPr>
          <w:rFonts w:ascii="Times" w:hAnsi="Times" w:cs="Times"/>
          <w:noProof/>
        </w:rPr>
        <w:t xml:space="preserve"> (Springer International Publishing), 2211–2231. doi:10.1007/978-3-319-28388-3_127</w:t>
      </w:r>
    </w:p>
    <w:p w14:paraId="28C36BD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37. </w:t>
      </w:r>
      <w:r w:rsidRPr="00112529">
        <w:rPr>
          <w:rFonts w:ascii="Times" w:hAnsi="Times" w:cs="Times"/>
          <w:noProof/>
        </w:rPr>
        <w:tab/>
        <w:t xml:space="preserve">Gossert AD, Jahnke W. NMR in drug discovery: A practical guide to identification and validation of ligands interacting with biological macromolecules. </w:t>
      </w:r>
      <w:r w:rsidRPr="00112529">
        <w:rPr>
          <w:rFonts w:ascii="Times" w:hAnsi="Times" w:cs="Times"/>
          <w:i/>
          <w:iCs/>
          <w:noProof/>
        </w:rPr>
        <w:t>Prog Nucl Magn Reson Spectrosc</w:t>
      </w:r>
      <w:r w:rsidRPr="00112529">
        <w:rPr>
          <w:rFonts w:ascii="Times" w:hAnsi="Times" w:cs="Times"/>
          <w:noProof/>
        </w:rPr>
        <w:t xml:space="preserve"> (2016) </w:t>
      </w:r>
      <w:r w:rsidRPr="00112529">
        <w:rPr>
          <w:rFonts w:ascii="Times" w:hAnsi="Times" w:cs="Times"/>
          <w:b/>
          <w:bCs/>
          <w:noProof/>
        </w:rPr>
        <w:t>97</w:t>
      </w:r>
      <w:r w:rsidRPr="00112529">
        <w:rPr>
          <w:rFonts w:ascii="Times" w:hAnsi="Times" w:cs="Times"/>
          <w:noProof/>
        </w:rPr>
        <w:t>:82–125. doi:10.1016/j.pnmrs.2016.09.001</w:t>
      </w:r>
    </w:p>
    <w:p w14:paraId="6C0DB09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38. </w:t>
      </w:r>
      <w:r w:rsidRPr="00112529">
        <w:rPr>
          <w:rFonts w:ascii="Times" w:hAnsi="Times" w:cs="Times"/>
          <w:noProof/>
        </w:rPr>
        <w:tab/>
        <w:t xml:space="preserve">Norton RS, Leung EWW, Chandrashekaran IR, MacRaild CA. Applications of 19F-NMR in fragment-based drug discovery. </w:t>
      </w:r>
      <w:r w:rsidRPr="00112529">
        <w:rPr>
          <w:rFonts w:ascii="Times" w:hAnsi="Times" w:cs="Times"/>
          <w:i/>
          <w:iCs/>
          <w:noProof/>
        </w:rPr>
        <w:t>Molecules</w:t>
      </w:r>
      <w:r w:rsidRPr="00112529">
        <w:rPr>
          <w:rFonts w:ascii="Times" w:hAnsi="Times" w:cs="Times"/>
          <w:noProof/>
        </w:rPr>
        <w:t xml:space="preserve"> (2016) </w:t>
      </w:r>
      <w:r w:rsidRPr="00112529">
        <w:rPr>
          <w:rFonts w:ascii="Times" w:hAnsi="Times" w:cs="Times"/>
          <w:b/>
          <w:bCs/>
          <w:noProof/>
        </w:rPr>
        <w:t>21</w:t>
      </w:r>
      <w:r w:rsidRPr="00112529">
        <w:rPr>
          <w:rFonts w:ascii="Times" w:hAnsi="Times" w:cs="Times"/>
          <w:noProof/>
        </w:rPr>
        <w:t>: doi:10.3390/molecules21070860</w:t>
      </w:r>
    </w:p>
    <w:p w14:paraId="643D3AC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39. </w:t>
      </w:r>
      <w:r w:rsidRPr="00112529">
        <w:rPr>
          <w:rFonts w:ascii="Times" w:hAnsi="Times" w:cs="Times"/>
          <w:noProof/>
        </w:rPr>
        <w:tab/>
        <w:t xml:space="preserve">Li Y, Kang C. Solution NMR spectroscopy in target-based drug discovery. </w:t>
      </w:r>
      <w:r w:rsidRPr="00112529">
        <w:rPr>
          <w:rFonts w:ascii="Times" w:hAnsi="Times" w:cs="Times"/>
          <w:i/>
          <w:iCs/>
          <w:noProof/>
        </w:rPr>
        <w:t>Molecules</w:t>
      </w:r>
      <w:r w:rsidRPr="00112529">
        <w:rPr>
          <w:rFonts w:ascii="Times" w:hAnsi="Times" w:cs="Times"/>
          <w:noProof/>
        </w:rPr>
        <w:t xml:space="preserve"> </w:t>
      </w:r>
      <w:r w:rsidRPr="00112529">
        <w:rPr>
          <w:rFonts w:ascii="Times" w:hAnsi="Times" w:cs="Times"/>
          <w:noProof/>
        </w:rPr>
        <w:lastRenderedPageBreak/>
        <w:t xml:space="preserve">(2017) </w:t>
      </w:r>
      <w:r w:rsidRPr="00112529">
        <w:rPr>
          <w:rFonts w:ascii="Times" w:hAnsi="Times" w:cs="Times"/>
          <w:b/>
          <w:bCs/>
          <w:noProof/>
        </w:rPr>
        <w:t>22</w:t>
      </w:r>
      <w:r w:rsidRPr="00112529">
        <w:rPr>
          <w:rFonts w:ascii="Times" w:hAnsi="Times" w:cs="Times"/>
          <w:noProof/>
        </w:rPr>
        <w:t>: doi:10.3390/molecules22091399</w:t>
      </w:r>
    </w:p>
    <w:p w14:paraId="1C04793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40. </w:t>
      </w:r>
      <w:r w:rsidRPr="00112529">
        <w:rPr>
          <w:rFonts w:ascii="Times" w:hAnsi="Times" w:cs="Times"/>
          <w:noProof/>
        </w:rPr>
        <w:tab/>
        <w:t xml:space="preserve">Sugiki T, Furuita K, Fujiwara T, Kojima C. Current NMR techniques for structure-based drug discovery. </w:t>
      </w:r>
      <w:r w:rsidRPr="00112529">
        <w:rPr>
          <w:rFonts w:ascii="Times" w:hAnsi="Times" w:cs="Times"/>
          <w:i/>
          <w:iCs/>
          <w:noProof/>
        </w:rPr>
        <w:t>Molecules</w:t>
      </w:r>
      <w:r w:rsidRPr="00112529">
        <w:rPr>
          <w:rFonts w:ascii="Times" w:hAnsi="Times" w:cs="Times"/>
          <w:noProof/>
        </w:rPr>
        <w:t xml:space="preserve"> (2018) </w:t>
      </w:r>
      <w:r w:rsidRPr="00112529">
        <w:rPr>
          <w:rFonts w:ascii="Times" w:hAnsi="Times" w:cs="Times"/>
          <w:b/>
          <w:bCs/>
          <w:noProof/>
        </w:rPr>
        <w:t>23</w:t>
      </w:r>
      <w:r w:rsidRPr="00112529">
        <w:rPr>
          <w:rFonts w:ascii="Times" w:hAnsi="Times" w:cs="Times"/>
          <w:noProof/>
        </w:rPr>
        <w:t>: doi:10.3390/molecules23010148</w:t>
      </w:r>
    </w:p>
    <w:p w14:paraId="72AA670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41. </w:t>
      </w:r>
      <w:r w:rsidRPr="00112529">
        <w:rPr>
          <w:rFonts w:ascii="Times" w:hAnsi="Times" w:cs="Times"/>
          <w:noProof/>
        </w:rPr>
        <w:tab/>
        <w:t xml:space="preserve">Kang C. Applications of in-cell NMR in structural biology and drug discovery. </w:t>
      </w:r>
      <w:r w:rsidRPr="00112529">
        <w:rPr>
          <w:rFonts w:ascii="Times" w:hAnsi="Times" w:cs="Times"/>
          <w:i/>
          <w:iCs/>
          <w:noProof/>
        </w:rPr>
        <w:t>Int J Mol Sci</w:t>
      </w:r>
      <w:r w:rsidRPr="00112529">
        <w:rPr>
          <w:rFonts w:ascii="Times" w:hAnsi="Times" w:cs="Times"/>
          <w:noProof/>
        </w:rPr>
        <w:t xml:space="preserve"> (2019) </w:t>
      </w:r>
      <w:r w:rsidRPr="00112529">
        <w:rPr>
          <w:rFonts w:ascii="Times" w:hAnsi="Times" w:cs="Times"/>
          <w:b/>
          <w:bCs/>
          <w:noProof/>
        </w:rPr>
        <w:t>20</w:t>
      </w:r>
      <w:r w:rsidRPr="00112529">
        <w:rPr>
          <w:rFonts w:ascii="Times" w:hAnsi="Times" w:cs="Times"/>
          <w:noProof/>
        </w:rPr>
        <w:t>: doi:10.3390/ijms20010139</w:t>
      </w:r>
    </w:p>
    <w:p w14:paraId="0E3E642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42. </w:t>
      </w:r>
      <w:r w:rsidRPr="00112529">
        <w:rPr>
          <w:rFonts w:ascii="Times" w:hAnsi="Times" w:cs="Times"/>
          <w:noProof/>
        </w:rPr>
        <w:tab/>
        <w:t xml:space="preserve">Kang C.  19 F-NMR in Target-based Drug Discovery . </w:t>
      </w:r>
      <w:r w:rsidRPr="00112529">
        <w:rPr>
          <w:rFonts w:ascii="Times" w:hAnsi="Times" w:cs="Times"/>
          <w:i/>
          <w:iCs/>
          <w:noProof/>
        </w:rPr>
        <w:t>Curr Med Chem</w:t>
      </w:r>
      <w:r w:rsidRPr="00112529">
        <w:rPr>
          <w:rFonts w:ascii="Times" w:hAnsi="Times" w:cs="Times"/>
          <w:noProof/>
        </w:rPr>
        <w:t xml:space="preserve"> (2019) </w:t>
      </w:r>
      <w:r w:rsidRPr="00112529">
        <w:rPr>
          <w:rFonts w:ascii="Times" w:hAnsi="Times" w:cs="Times"/>
          <w:b/>
          <w:bCs/>
          <w:noProof/>
        </w:rPr>
        <w:t>26</w:t>
      </w:r>
      <w:r w:rsidRPr="00112529">
        <w:rPr>
          <w:rFonts w:ascii="Times" w:hAnsi="Times" w:cs="Times"/>
          <w:noProof/>
        </w:rPr>
        <w:t>:4964–4983. doi:10.2174/0929867326666190610160534</w:t>
      </w:r>
    </w:p>
    <w:p w14:paraId="0A9547CC" w14:textId="77777777" w:rsidR="00112529" w:rsidRPr="00CA61AB" w:rsidRDefault="00112529" w:rsidP="00112529">
      <w:pPr>
        <w:widowControl w:val="0"/>
        <w:autoSpaceDE w:val="0"/>
        <w:autoSpaceDN w:val="0"/>
        <w:adjustRightInd w:val="0"/>
        <w:ind w:left="640" w:hanging="640"/>
        <w:rPr>
          <w:rFonts w:ascii="Times" w:hAnsi="Times" w:cs="Times"/>
          <w:noProof/>
          <w:lang w:val="nb-NO"/>
        </w:rPr>
      </w:pPr>
      <w:r w:rsidRPr="00112529">
        <w:rPr>
          <w:rFonts w:ascii="Times" w:hAnsi="Times" w:cs="Times"/>
          <w:noProof/>
        </w:rPr>
        <w:t xml:space="preserve">43. </w:t>
      </w:r>
      <w:r w:rsidRPr="00112529">
        <w:rPr>
          <w:rFonts w:ascii="Times" w:hAnsi="Times" w:cs="Times"/>
          <w:noProof/>
        </w:rPr>
        <w:tab/>
        <w:t xml:space="preserve">Pinto BNS, Teixeira MG, Alvarenga ES. Synthesis and structural elucidation of a phthalide analog using NMR analysis and DFT calculations. </w:t>
      </w:r>
      <w:r w:rsidRPr="00CA61AB">
        <w:rPr>
          <w:rFonts w:ascii="Times" w:hAnsi="Times" w:cs="Times"/>
          <w:i/>
          <w:iCs/>
          <w:noProof/>
          <w:lang w:val="nb-NO"/>
        </w:rPr>
        <w:t>Magn Reson Chem</w:t>
      </w:r>
      <w:r w:rsidRPr="00CA61AB">
        <w:rPr>
          <w:rFonts w:ascii="Times" w:hAnsi="Times" w:cs="Times"/>
          <w:noProof/>
          <w:lang w:val="nb-NO"/>
        </w:rPr>
        <w:t xml:space="preserve"> (2020) </w:t>
      </w:r>
      <w:r w:rsidRPr="00CA61AB">
        <w:rPr>
          <w:rFonts w:ascii="Times" w:hAnsi="Times" w:cs="Times"/>
          <w:b/>
          <w:bCs/>
          <w:noProof/>
          <w:lang w:val="nb-NO"/>
        </w:rPr>
        <w:t>58</w:t>
      </w:r>
      <w:r w:rsidRPr="00CA61AB">
        <w:rPr>
          <w:rFonts w:ascii="Times" w:hAnsi="Times" w:cs="Times"/>
          <w:noProof/>
          <w:lang w:val="nb-NO"/>
        </w:rPr>
        <w:t>:559–565. doi:10.1002/mrc.4976</w:t>
      </w:r>
    </w:p>
    <w:p w14:paraId="1BF01ADA" w14:textId="77777777" w:rsidR="00112529" w:rsidRPr="00112529" w:rsidRDefault="00112529" w:rsidP="00112529">
      <w:pPr>
        <w:widowControl w:val="0"/>
        <w:autoSpaceDE w:val="0"/>
        <w:autoSpaceDN w:val="0"/>
        <w:adjustRightInd w:val="0"/>
        <w:ind w:left="640" w:hanging="640"/>
        <w:rPr>
          <w:rFonts w:ascii="Times" w:hAnsi="Times" w:cs="Times"/>
          <w:noProof/>
        </w:rPr>
      </w:pPr>
      <w:r w:rsidRPr="00CA61AB">
        <w:rPr>
          <w:rFonts w:ascii="Times" w:hAnsi="Times" w:cs="Times"/>
          <w:noProof/>
          <w:lang w:val="nb-NO"/>
        </w:rPr>
        <w:t xml:space="preserve">44. </w:t>
      </w:r>
      <w:r w:rsidRPr="00CA61AB">
        <w:rPr>
          <w:rFonts w:ascii="Times" w:hAnsi="Times" w:cs="Times"/>
          <w:noProof/>
          <w:lang w:val="nb-NO"/>
        </w:rPr>
        <w:tab/>
        <w:t xml:space="preserve">Alvarenga ES, Teixeira MG, Lopes DT, Demuner AJ. </w:t>
      </w:r>
      <w:r w:rsidRPr="00112529">
        <w:rPr>
          <w:rFonts w:ascii="Times" w:hAnsi="Times" w:cs="Times"/>
          <w:noProof/>
        </w:rPr>
        <w:t xml:space="preserve">Computation and structural elucidation of compounds formed via epoxide alcoholysis. </w:t>
      </w:r>
      <w:r w:rsidRPr="00112529">
        <w:rPr>
          <w:rFonts w:ascii="Times" w:hAnsi="Times" w:cs="Times"/>
          <w:i/>
          <w:iCs/>
          <w:noProof/>
        </w:rPr>
        <w:t>Magn Reson Chem</w:t>
      </w:r>
      <w:r w:rsidRPr="00112529">
        <w:rPr>
          <w:rFonts w:ascii="Times" w:hAnsi="Times" w:cs="Times"/>
          <w:noProof/>
        </w:rPr>
        <w:t xml:space="preserve"> (2019) </w:t>
      </w:r>
      <w:r w:rsidRPr="00112529">
        <w:rPr>
          <w:rFonts w:ascii="Times" w:hAnsi="Times" w:cs="Times"/>
          <w:b/>
          <w:bCs/>
          <w:noProof/>
        </w:rPr>
        <w:t>57</w:t>
      </w:r>
      <w:r w:rsidRPr="00112529">
        <w:rPr>
          <w:rFonts w:ascii="Times" w:hAnsi="Times" w:cs="Times"/>
          <w:noProof/>
        </w:rPr>
        <w:t>:101–107. doi:10.1002/mrc.4818</w:t>
      </w:r>
    </w:p>
    <w:p w14:paraId="6542EA7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45. </w:t>
      </w:r>
      <w:r w:rsidRPr="00112529">
        <w:rPr>
          <w:rFonts w:ascii="Times" w:hAnsi="Times" w:cs="Times"/>
          <w:noProof/>
        </w:rPr>
        <w:tab/>
        <w:t xml:space="preserve">Foss BJ, Krane J. Structural elucidation by 1D and 2D NMR of three isomers of a carotenoid lysophosphocholine and its synthetic precursors. </w:t>
      </w:r>
      <w:r w:rsidRPr="00112529">
        <w:rPr>
          <w:rFonts w:ascii="Times" w:hAnsi="Times" w:cs="Times"/>
          <w:i/>
          <w:iCs/>
          <w:noProof/>
        </w:rPr>
        <w:t>Magn Reson Chem</w:t>
      </w:r>
      <w:r w:rsidRPr="00112529">
        <w:rPr>
          <w:rFonts w:ascii="Times" w:hAnsi="Times" w:cs="Times"/>
          <w:noProof/>
        </w:rPr>
        <w:t xml:space="preserve"> (2004) </w:t>
      </w:r>
      <w:r w:rsidRPr="00112529">
        <w:rPr>
          <w:rFonts w:ascii="Times" w:hAnsi="Times" w:cs="Times"/>
          <w:b/>
          <w:bCs/>
          <w:noProof/>
        </w:rPr>
        <w:t>42</w:t>
      </w:r>
      <w:r w:rsidRPr="00112529">
        <w:rPr>
          <w:rFonts w:ascii="Times" w:hAnsi="Times" w:cs="Times"/>
          <w:noProof/>
        </w:rPr>
        <w:t>:373–380. doi:10.1002/mrc.1365</w:t>
      </w:r>
    </w:p>
    <w:p w14:paraId="5328FBAB"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46. </w:t>
      </w:r>
      <w:r w:rsidRPr="00112529">
        <w:rPr>
          <w:rFonts w:ascii="Times" w:hAnsi="Times" w:cs="Times"/>
          <w:noProof/>
        </w:rPr>
        <w:tab/>
        <w:t xml:space="preserve">Sundekilde UK, Eggers N, Bertram HC. “NMR-Based Metabolomics of Food,” in </w:t>
      </w:r>
      <w:r w:rsidRPr="00112529">
        <w:rPr>
          <w:rFonts w:ascii="Times" w:hAnsi="Times" w:cs="Times"/>
          <w:i/>
          <w:iCs/>
          <w:noProof/>
        </w:rPr>
        <w:t>Methods in Molecular Biology</w:t>
      </w:r>
      <w:r w:rsidRPr="00112529">
        <w:rPr>
          <w:rFonts w:ascii="Times" w:hAnsi="Times" w:cs="Times"/>
          <w:noProof/>
        </w:rPr>
        <w:t xml:space="preserve"> (Humana Press Inc.), 335–344. doi:10.1007/978-1-4939-9690-2_18</w:t>
      </w:r>
    </w:p>
    <w:p w14:paraId="664BAA4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47. </w:t>
      </w:r>
      <w:r w:rsidRPr="00112529">
        <w:rPr>
          <w:rFonts w:ascii="Times" w:hAnsi="Times" w:cs="Times"/>
          <w:noProof/>
        </w:rPr>
        <w:tab/>
        <w:t xml:space="preserve">Fung F, Wang HS, Menon S. Food safety in the 21st century. </w:t>
      </w:r>
      <w:r w:rsidRPr="00112529">
        <w:rPr>
          <w:rFonts w:ascii="Times" w:hAnsi="Times" w:cs="Times"/>
          <w:i/>
          <w:iCs/>
          <w:noProof/>
        </w:rPr>
        <w:t>Biomed J</w:t>
      </w:r>
      <w:r w:rsidRPr="00112529">
        <w:rPr>
          <w:rFonts w:ascii="Times" w:hAnsi="Times" w:cs="Times"/>
          <w:noProof/>
        </w:rPr>
        <w:t xml:space="preserve"> (2018) </w:t>
      </w:r>
      <w:r w:rsidRPr="00112529">
        <w:rPr>
          <w:rFonts w:ascii="Times" w:hAnsi="Times" w:cs="Times"/>
          <w:b/>
          <w:bCs/>
          <w:noProof/>
        </w:rPr>
        <w:t>41</w:t>
      </w:r>
      <w:r w:rsidRPr="00112529">
        <w:rPr>
          <w:rFonts w:ascii="Times" w:hAnsi="Times" w:cs="Times"/>
          <w:noProof/>
        </w:rPr>
        <w:t>:88–95. doi:10.1016/j.bj.2018.03.003</w:t>
      </w:r>
    </w:p>
    <w:p w14:paraId="7FD174B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48. </w:t>
      </w:r>
      <w:r w:rsidRPr="00112529">
        <w:rPr>
          <w:rFonts w:ascii="Times" w:hAnsi="Times" w:cs="Times"/>
          <w:noProof/>
        </w:rPr>
        <w:tab/>
        <w:t xml:space="preserve">Sassu L, Puligheddu S, Puligheddu C, Palomba S, Muru E, Mattia C, Allevi C. Application of benchtop low-field NMR spectrometers in the refining industry: A multivariate calibration approach for rapid characterization of crude oils. </w:t>
      </w:r>
      <w:r w:rsidRPr="00112529">
        <w:rPr>
          <w:rFonts w:ascii="Times" w:hAnsi="Times" w:cs="Times"/>
          <w:i/>
          <w:iCs/>
          <w:noProof/>
        </w:rPr>
        <w:t>Magn Reson Chem</w:t>
      </w:r>
      <w:r w:rsidRPr="00112529">
        <w:rPr>
          <w:rFonts w:ascii="Times" w:hAnsi="Times" w:cs="Times"/>
          <w:noProof/>
        </w:rPr>
        <w:t xml:space="preserve"> (2020) </w:t>
      </w:r>
      <w:r w:rsidRPr="00112529">
        <w:rPr>
          <w:rFonts w:ascii="Times" w:hAnsi="Times" w:cs="Times"/>
          <w:b/>
          <w:bCs/>
          <w:noProof/>
        </w:rPr>
        <w:t>58</w:t>
      </w:r>
      <w:r w:rsidRPr="00112529">
        <w:rPr>
          <w:rFonts w:ascii="Times" w:hAnsi="Times" w:cs="Times"/>
          <w:noProof/>
        </w:rPr>
        <w:t>:1222–1233. doi:10.1002/mrc.5093</w:t>
      </w:r>
    </w:p>
    <w:p w14:paraId="2177460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49. </w:t>
      </w:r>
      <w:r w:rsidRPr="00112529">
        <w:rPr>
          <w:rFonts w:ascii="Times" w:hAnsi="Times" w:cs="Times"/>
          <w:noProof/>
        </w:rPr>
        <w:tab/>
        <w:t xml:space="preserve">Haloi S, Medhi T. Optimization and characterization of a glycolipid produced by Achromobacter sp. to use in petroleum industries. </w:t>
      </w:r>
      <w:r w:rsidRPr="00112529">
        <w:rPr>
          <w:rFonts w:ascii="Times" w:hAnsi="Times" w:cs="Times"/>
          <w:i/>
          <w:iCs/>
          <w:noProof/>
        </w:rPr>
        <w:t>J Basic Microbiol</w:t>
      </w:r>
      <w:r w:rsidRPr="00112529">
        <w:rPr>
          <w:rFonts w:ascii="Times" w:hAnsi="Times" w:cs="Times"/>
          <w:noProof/>
        </w:rPr>
        <w:t xml:space="preserve"> (2019) </w:t>
      </w:r>
      <w:r w:rsidRPr="00112529">
        <w:rPr>
          <w:rFonts w:ascii="Times" w:hAnsi="Times" w:cs="Times"/>
          <w:b/>
          <w:bCs/>
          <w:noProof/>
        </w:rPr>
        <w:t>59</w:t>
      </w:r>
      <w:r w:rsidRPr="00112529">
        <w:rPr>
          <w:rFonts w:ascii="Times" w:hAnsi="Times" w:cs="Times"/>
          <w:noProof/>
        </w:rPr>
        <w:t>:238–248. doi:10.1002/jobm.201800298</w:t>
      </w:r>
    </w:p>
    <w:p w14:paraId="77C75C2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50. </w:t>
      </w:r>
      <w:r w:rsidRPr="00112529">
        <w:rPr>
          <w:rFonts w:ascii="Times" w:hAnsi="Times" w:cs="Times"/>
          <w:noProof/>
        </w:rPr>
        <w:tab/>
        <w:t xml:space="preserve">Cseke LJ, Kirakosyan A, Kaufman PB, Warber SL, Duke JA, Brielmann HL. </w:t>
      </w:r>
      <w:r w:rsidRPr="00112529">
        <w:rPr>
          <w:rFonts w:ascii="Times" w:hAnsi="Times" w:cs="Times"/>
          <w:i/>
          <w:iCs/>
          <w:noProof/>
        </w:rPr>
        <w:t>Natural Products from Plants</w:t>
      </w:r>
      <w:r w:rsidRPr="00112529">
        <w:rPr>
          <w:rFonts w:ascii="Times" w:hAnsi="Times" w:cs="Times"/>
          <w:noProof/>
        </w:rPr>
        <w:t>. 2nd Ed. Florida, U.S.A: Taylor and Francis Ltd (2006).</w:t>
      </w:r>
    </w:p>
    <w:p w14:paraId="36263E0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51. </w:t>
      </w:r>
      <w:r w:rsidRPr="00112529">
        <w:rPr>
          <w:rFonts w:ascii="Times" w:hAnsi="Times" w:cs="Times"/>
          <w:noProof/>
        </w:rPr>
        <w:tab/>
        <w:t xml:space="preserve">Nichols DE. Psychedelics. </w:t>
      </w:r>
      <w:r w:rsidRPr="00112529">
        <w:rPr>
          <w:rFonts w:ascii="Times" w:hAnsi="Times" w:cs="Times"/>
          <w:i/>
          <w:iCs/>
          <w:noProof/>
        </w:rPr>
        <w:t>Pharmacol Rev</w:t>
      </w:r>
      <w:r w:rsidRPr="00112529">
        <w:rPr>
          <w:rFonts w:ascii="Times" w:hAnsi="Times" w:cs="Times"/>
          <w:noProof/>
        </w:rPr>
        <w:t xml:space="preserve"> (2016) </w:t>
      </w:r>
      <w:r w:rsidRPr="00112529">
        <w:rPr>
          <w:rFonts w:ascii="Times" w:hAnsi="Times" w:cs="Times"/>
          <w:b/>
          <w:bCs/>
          <w:noProof/>
        </w:rPr>
        <w:t>68</w:t>
      </w:r>
      <w:r w:rsidRPr="00112529">
        <w:rPr>
          <w:rFonts w:ascii="Times" w:hAnsi="Times" w:cs="Times"/>
          <w:noProof/>
        </w:rPr>
        <w:t>:264–355. doi:10.1124/pr.115.011478</w:t>
      </w:r>
    </w:p>
    <w:p w14:paraId="7427271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52. </w:t>
      </w:r>
      <w:r w:rsidRPr="00112529">
        <w:rPr>
          <w:rFonts w:ascii="Times" w:hAnsi="Times" w:cs="Times"/>
          <w:noProof/>
        </w:rPr>
        <w:tab/>
        <w:t>Salihu M, Muhammad AB, Wada BM, Abdullahi S. Natural Products Chemistry: A Pathway For Drugs Discovery. (2020).</w:t>
      </w:r>
    </w:p>
    <w:p w14:paraId="1D13FAF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53. </w:t>
      </w:r>
      <w:r w:rsidRPr="00112529">
        <w:rPr>
          <w:rFonts w:ascii="Times" w:hAnsi="Times" w:cs="Times"/>
          <w:noProof/>
        </w:rPr>
        <w:tab/>
        <w:t xml:space="preserve">Barton D, Meth-Cohn O. </w:t>
      </w:r>
      <w:r w:rsidRPr="00112529">
        <w:rPr>
          <w:rFonts w:ascii="Times" w:hAnsi="Times" w:cs="Times"/>
          <w:i/>
          <w:iCs/>
          <w:noProof/>
        </w:rPr>
        <w:t>Comprehensive Natural Products Chemistry</w:t>
      </w:r>
      <w:r w:rsidRPr="00112529">
        <w:rPr>
          <w:rFonts w:ascii="Times" w:hAnsi="Times" w:cs="Times"/>
          <w:noProof/>
        </w:rPr>
        <w:t>. 1st Ed. England: Pergamon Press (1999).</w:t>
      </w:r>
    </w:p>
    <w:p w14:paraId="2290C78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54. </w:t>
      </w:r>
      <w:r w:rsidRPr="00112529">
        <w:rPr>
          <w:rFonts w:ascii="Times" w:hAnsi="Times" w:cs="Times"/>
          <w:noProof/>
        </w:rPr>
        <w:tab/>
        <w:t xml:space="preserve">Nutt D. “Happier: A Psychopharmacology Perspective,” in </w:t>
      </w:r>
      <w:r w:rsidRPr="00112529">
        <w:rPr>
          <w:rFonts w:ascii="Times" w:hAnsi="Times" w:cs="Times"/>
          <w:i/>
          <w:iCs/>
          <w:noProof/>
        </w:rPr>
        <w:t>Unnatural Selection</w:t>
      </w:r>
      <w:r w:rsidRPr="00112529">
        <w:rPr>
          <w:rFonts w:ascii="Times" w:hAnsi="Times" w:cs="Times"/>
          <w:noProof/>
        </w:rPr>
        <w:t xml:space="preserve"> (Routledge), 173–180. doi:10.4324/9781849773669-32</w:t>
      </w:r>
    </w:p>
    <w:p w14:paraId="2742628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55. </w:t>
      </w:r>
      <w:r w:rsidRPr="00112529">
        <w:rPr>
          <w:rFonts w:ascii="Times" w:hAnsi="Times" w:cs="Times"/>
          <w:noProof/>
        </w:rPr>
        <w:tab/>
        <w:t xml:space="preserve">Tang SW, Tang WH. Opportunities in Novel Psychotropic Drug Design from Natural Compounds. </w:t>
      </w:r>
      <w:r w:rsidRPr="00112529">
        <w:rPr>
          <w:rFonts w:ascii="Times" w:hAnsi="Times" w:cs="Times"/>
          <w:i/>
          <w:iCs/>
          <w:noProof/>
        </w:rPr>
        <w:t>Int J Neuropsychopharmacol</w:t>
      </w:r>
      <w:r w:rsidRPr="00112529">
        <w:rPr>
          <w:rFonts w:ascii="Times" w:hAnsi="Times" w:cs="Times"/>
          <w:noProof/>
        </w:rPr>
        <w:t xml:space="preserve"> (2019) </w:t>
      </w:r>
      <w:r w:rsidRPr="00112529">
        <w:rPr>
          <w:rFonts w:ascii="Times" w:hAnsi="Times" w:cs="Times"/>
          <w:b/>
          <w:bCs/>
          <w:noProof/>
        </w:rPr>
        <w:t>22</w:t>
      </w:r>
      <w:r w:rsidRPr="00112529">
        <w:rPr>
          <w:rFonts w:ascii="Times" w:hAnsi="Times" w:cs="Times"/>
          <w:noProof/>
        </w:rPr>
        <w:t>:601–607. doi:10.1093/ijnp/pyz042</w:t>
      </w:r>
    </w:p>
    <w:p w14:paraId="38CB880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56. </w:t>
      </w:r>
      <w:r w:rsidRPr="00112529">
        <w:rPr>
          <w:rFonts w:ascii="Times" w:hAnsi="Times" w:cs="Times"/>
          <w:noProof/>
        </w:rPr>
        <w:tab/>
        <w:t xml:space="preserve">Fricke J, Kargbo R, Regestein L, Lenz C, Peschel G, Rosenbaum MA, Sherwood A, Hoffmeister D. Scalable Hybrid Synthetic/Biocatalytic Route to Psilocybin. </w:t>
      </w:r>
      <w:r w:rsidRPr="00112529">
        <w:rPr>
          <w:rFonts w:ascii="Times" w:hAnsi="Times" w:cs="Times"/>
          <w:i/>
          <w:iCs/>
          <w:noProof/>
        </w:rPr>
        <w:t>Chem - A Eur J</w:t>
      </w:r>
      <w:r w:rsidRPr="00112529">
        <w:rPr>
          <w:rFonts w:ascii="Times" w:hAnsi="Times" w:cs="Times"/>
          <w:noProof/>
        </w:rPr>
        <w:t xml:space="preserve"> (2020) </w:t>
      </w:r>
      <w:r w:rsidRPr="00112529">
        <w:rPr>
          <w:rFonts w:ascii="Times" w:hAnsi="Times" w:cs="Times"/>
          <w:b/>
          <w:bCs/>
          <w:noProof/>
        </w:rPr>
        <w:t>26</w:t>
      </w:r>
      <w:r w:rsidRPr="00112529">
        <w:rPr>
          <w:rFonts w:ascii="Times" w:hAnsi="Times" w:cs="Times"/>
          <w:noProof/>
        </w:rPr>
        <w:t>:8281–8285. doi:10.1002/chem.202000134</w:t>
      </w:r>
    </w:p>
    <w:p w14:paraId="732E2EF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57. </w:t>
      </w:r>
      <w:r w:rsidRPr="00112529">
        <w:rPr>
          <w:rFonts w:ascii="Times" w:hAnsi="Times" w:cs="Times"/>
          <w:noProof/>
        </w:rPr>
        <w:tab/>
        <w:t xml:space="preserve">Hofmann A. “Chemistry of LSD,” in </w:t>
      </w:r>
      <w:r w:rsidRPr="00112529">
        <w:rPr>
          <w:rFonts w:ascii="Times" w:hAnsi="Times" w:cs="Times"/>
          <w:i/>
          <w:iCs/>
          <w:noProof/>
        </w:rPr>
        <w:t>LSD- A Total Study</w:t>
      </w:r>
      <w:r w:rsidRPr="00112529">
        <w:rPr>
          <w:rFonts w:ascii="Times" w:hAnsi="Times" w:cs="Times"/>
          <w:noProof/>
        </w:rPr>
        <w:t xml:space="preserve"> (New York, U.S.: PJD Publications Limited), 107–141.</w:t>
      </w:r>
    </w:p>
    <w:p w14:paraId="4DCD6D7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58. </w:t>
      </w:r>
      <w:r w:rsidRPr="00112529">
        <w:rPr>
          <w:rFonts w:ascii="Times" w:hAnsi="Times" w:cs="Times"/>
          <w:noProof/>
        </w:rPr>
        <w:tab/>
        <w:t xml:space="preserve">Dinis-Oliveira RJ. Metabolism of psilocybin and psilocin: clinical and forensic toxicological relevance. </w:t>
      </w:r>
      <w:r w:rsidRPr="00112529">
        <w:rPr>
          <w:rFonts w:ascii="Times" w:hAnsi="Times" w:cs="Times"/>
          <w:i/>
          <w:iCs/>
          <w:noProof/>
        </w:rPr>
        <w:t>Drug Metab Rev</w:t>
      </w:r>
      <w:r w:rsidRPr="00112529">
        <w:rPr>
          <w:rFonts w:ascii="Times" w:hAnsi="Times" w:cs="Times"/>
          <w:noProof/>
        </w:rPr>
        <w:t xml:space="preserve"> (2017) </w:t>
      </w:r>
      <w:r w:rsidRPr="00112529">
        <w:rPr>
          <w:rFonts w:ascii="Times" w:hAnsi="Times" w:cs="Times"/>
          <w:b/>
          <w:bCs/>
          <w:noProof/>
        </w:rPr>
        <w:t>49</w:t>
      </w:r>
      <w:r w:rsidRPr="00112529">
        <w:rPr>
          <w:rFonts w:ascii="Times" w:hAnsi="Times" w:cs="Times"/>
          <w:noProof/>
        </w:rPr>
        <w:t>:84–91. doi:10.1080/03602532.2016.1278228</w:t>
      </w:r>
    </w:p>
    <w:p w14:paraId="5CED21B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59. </w:t>
      </w:r>
      <w:r w:rsidRPr="00112529">
        <w:rPr>
          <w:rFonts w:ascii="Times" w:hAnsi="Times" w:cs="Times"/>
          <w:noProof/>
        </w:rPr>
        <w:tab/>
        <w:t xml:space="preserve">Michely J, Eldar E, Martin IM, Dolan RJ. A mechanistic account of serotonin’s impact </w:t>
      </w:r>
      <w:r w:rsidRPr="00112529">
        <w:rPr>
          <w:rFonts w:ascii="Times" w:hAnsi="Times" w:cs="Times"/>
          <w:noProof/>
        </w:rPr>
        <w:lastRenderedPageBreak/>
        <w:t xml:space="preserve">on mood. </w:t>
      </w:r>
      <w:r w:rsidRPr="00112529">
        <w:rPr>
          <w:rFonts w:ascii="Times" w:hAnsi="Times" w:cs="Times"/>
          <w:i/>
          <w:iCs/>
          <w:noProof/>
        </w:rPr>
        <w:t>Nat Commun</w:t>
      </w:r>
      <w:r w:rsidRPr="00112529">
        <w:rPr>
          <w:rFonts w:ascii="Times" w:hAnsi="Times" w:cs="Times"/>
          <w:noProof/>
        </w:rPr>
        <w:t xml:space="preserve"> (2020) </w:t>
      </w:r>
      <w:r w:rsidRPr="00112529">
        <w:rPr>
          <w:rFonts w:ascii="Times" w:hAnsi="Times" w:cs="Times"/>
          <w:b/>
          <w:bCs/>
          <w:noProof/>
        </w:rPr>
        <w:t>11</w:t>
      </w:r>
      <w:r w:rsidRPr="00112529">
        <w:rPr>
          <w:rFonts w:ascii="Times" w:hAnsi="Times" w:cs="Times"/>
          <w:noProof/>
        </w:rPr>
        <w:t>:1–11. doi:10.1038/s41467-020-16090-2</w:t>
      </w:r>
    </w:p>
    <w:p w14:paraId="1032EE6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60. </w:t>
      </w:r>
      <w:r w:rsidRPr="00112529">
        <w:rPr>
          <w:rFonts w:ascii="Times" w:hAnsi="Times" w:cs="Times"/>
          <w:noProof/>
        </w:rPr>
        <w:tab/>
        <w:t xml:space="preserve">Boureau Y-L, Dayan P. Opponency Revisited: Competition and Cooperation Between Dopamine and Serotonin. </w:t>
      </w:r>
      <w:r w:rsidRPr="00112529">
        <w:rPr>
          <w:rFonts w:ascii="Times" w:hAnsi="Times" w:cs="Times"/>
          <w:i/>
          <w:iCs/>
          <w:noProof/>
        </w:rPr>
        <w:t>Neuropsychopharmacol Rev</w:t>
      </w:r>
      <w:r w:rsidRPr="00112529">
        <w:rPr>
          <w:rFonts w:ascii="Times" w:hAnsi="Times" w:cs="Times"/>
          <w:noProof/>
        </w:rPr>
        <w:t xml:space="preserve"> (2011) </w:t>
      </w:r>
      <w:r w:rsidRPr="00112529">
        <w:rPr>
          <w:rFonts w:ascii="Times" w:hAnsi="Times" w:cs="Times"/>
          <w:b/>
          <w:bCs/>
          <w:noProof/>
        </w:rPr>
        <w:t>36</w:t>
      </w:r>
      <w:r w:rsidRPr="00112529">
        <w:rPr>
          <w:rFonts w:ascii="Times" w:hAnsi="Times" w:cs="Times"/>
          <w:noProof/>
        </w:rPr>
        <w:t>:74–97. doi:10.1038/npp.2010.151</w:t>
      </w:r>
    </w:p>
    <w:p w14:paraId="0CF1A4F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61. </w:t>
      </w:r>
      <w:r w:rsidRPr="00112529">
        <w:rPr>
          <w:rFonts w:ascii="Times" w:hAnsi="Times" w:cs="Times"/>
          <w:noProof/>
        </w:rPr>
        <w:tab/>
        <w:t xml:space="preserve">Shulgin A, Shulgin A. </w:t>
      </w:r>
      <w:r w:rsidRPr="00112529">
        <w:rPr>
          <w:rFonts w:ascii="Times" w:hAnsi="Times" w:cs="Times"/>
          <w:i/>
          <w:iCs/>
          <w:noProof/>
        </w:rPr>
        <w:t>TiHKAL: The Continuation</w:t>
      </w:r>
      <w:r w:rsidRPr="00112529">
        <w:rPr>
          <w:rFonts w:ascii="Times" w:hAnsi="Times" w:cs="Times"/>
          <w:noProof/>
        </w:rPr>
        <w:t>. 1st ed. , ed. D. Joy Berkley, California, U.S.: Transform Press (1997).</w:t>
      </w:r>
    </w:p>
    <w:p w14:paraId="2D534C2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62. </w:t>
      </w:r>
      <w:r w:rsidRPr="00112529">
        <w:rPr>
          <w:rFonts w:ascii="Times" w:hAnsi="Times" w:cs="Times"/>
          <w:noProof/>
        </w:rPr>
        <w:tab/>
        <w:t xml:space="preserve">Muthukumaraswamy SD, Carhart-Harris RL, Moran RJ, Brookes MJ, Williams TM, Errtizoe D, Sessa B, Papadopoulos A, Bolstridge M, Singh KD, et al. Broadband cortical desynchronization underlies the human psychedelic state. </w:t>
      </w:r>
      <w:r w:rsidRPr="00112529">
        <w:rPr>
          <w:rFonts w:ascii="Times" w:hAnsi="Times" w:cs="Times"/>
          <w:i/>
          <w:iCs/>
          <w:noProof/>
        </w:rPr>
        <w:t>J Neurosci</w:t>
      </w:r>
      <w:r w:rsidRPr="00112529">
        <w:rPr>
          <w:rFonts w:ascii="Times" w:hAnsi="Times" w:cs="Times"/>
          <w:noProof/>
        </w:rPr>
        <w:t xml:space="preserve"> (2013) </w:t>
      </w:r>
      <w:r w:rsidRPr="00112529">
        <w:rPr>
          <w:rFonts w:ascii="Times" w:hAnsi="Times" w:cs="Times"/>
          <w:b/>
          <w:bCs/>
          <w:noProof/>
        </w:rPr>
        <w:t>33</w:t>
      </w:r>
      <w:r w:rsidRPr="00112529">
        <w:rPr>
          <w:rFonts w:ascii="Times" w:hAnsi="Times" w:cs="Times"/>
          <w:noProof/>
        </w:rPr>
        <w:t>:15171–15183. doi:10.1523/JNEUROSCI.2063-13.2013</w:t>
      </w:r>
    </w:p>
    <w:p w14:paraId="6F9CA67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63. </w:t>
      </w:r>
      <w:r w:rsidRPr="00112529">
        <w:rPr>
          <w:rFonts w:ascii="Times" w:hAnsi="Times" w:cs="Times"/>
          <w:noProof/>
        </w:rPr>
        <w:tab/>
        <w:t xml:space="preserve">Chen Q, Tesmer JJG. A Receptor on Acid. </w:t>
      </w:r>
      <w:r w:rsidRPr="00112529">
        <w:rPr>
          <w:rFonts w:ascii="Times" w:hAnsi="Times" w:cs="Times"/>
          <w:i/>
          <w:iCs/>
          <w:noProof/>
        </w:rPr>
        <w:t>Cell</w:t>
      </w:r>
      <w:r w:rsidRPr="00112529">
        <w:rPr>
          <w:rFonts w:ascii="Times" w:hAnsi="Times" w:cs="Times"/>
          <w:noProof/>
        </w:rPr>
        <w:t xml:space="preserve"> (2017) </w:t>
      </w:r>
      <w:r w:rsidRPr="00112529">
        <w:rPr>
          <w:rFonts w:ascii="Times" w:hAnsi="Times" w:cs="Times"/>
          <w:b/>
          <w:bCs/>
          <w:noProof/>
        </w:rPr>
        <w:t>168</w:t>
      </w:r>
      <w:r w:rsidRPr="00112529">
        <w:rPr>
          <w:rFonts w:ascii="Times" w:hAnsi="Times" w:cs="Times"/>
          <w:noProof/>
        </w:rPr>
        <w:t>:339–341. doi:10.1016/j.cell.2017.01.012</w:t>
      </w:r>
    </w:p>
    <w:p w14:paraId="67AB159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64. </w:t>
      </w:r>
      <w:r w:rsidRPr="00112529">
        <w:rPr>
          <w:rFonts w:ascii="Times" w:hAnsi="Times" w:cs="Times"/>
          <w:noProof/>
        </w:rPr>
        <w:tab/>
        <w:t xml:space="preserve">Hensler JG. “Serotonin,” in </w:t>
      </w:r>
      <w:r w:rsidRPr="00112529">
        <w:rPr>
          <w:rFonts w:ascii="Times" w:hAnsi="Times" w:cs="Times"/>
          <w:i/>
          <w:iCs/>
          <w:noProof/>
        </w:rPr>
        <w:t>Basic Neurochemistry</w:t>
      </w:r>
      <w:r w:rsidRPr="00112529">
        <w:rPr>
          <w:rFonts w:ascii="Times" w:hAnsi="Times" w:cs="Times"/>
          <w:noProof/>
        </w:rPr>
        <w:t xml:space="preserve"> (Elsevier), 300–322. doi:10.1016/B978-0-12-374947-5.00015-8</w:t>
      </w:r>
    </w:p>
    <w:p w14:paraId="2967631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65. </w:t>
      </w:r>
      <w:r w:rsidRPr="00112529">
        <w:rPr>
          <w:rFonts w:ascii="Times" w:hAnsi="Times" w:cs="Times"/>
          <w:noProof/>
        </w:rPr>
        <w:tab/>
        <w:t xml:space="preserve">De Vadder F, Grasset E, Holm LM, Karsenty G, Macpherson AJ, Olofsson LE, Bäckhed F. Gut microbiota regulates maturation of the adult enteric nervous system via enteric serotonin networks. </w:t>
      </w:r>
      <w:r w:rsidRPr="00112529">
        <w:rPr>
          <w:rFonts w:ascii="Times" w:hAnsi="Times" w:cs="Times"/>
          <w:i/>
          <w:iCs/>
          <w:noProof/>
        </w:rPr>
        <w:t>Proc Natl Acad Sci U S A</w:t>
      </w:r>
      <w:r w:rsidRPr="00112529">
        <w:rPr>
          <w:rFonts w:ascii="Times" w:hAnsi="Times" w:cs="Times"/>
          <w:noProof/>
        </w:rPr>
        <w:t xml:space="preserve"> (2018) </w:t>
      </w:r>
      <w:r w:rsidRPr="00112529">
        <w:rPr>
          <w:rFonts w:ascii="Times" w:hAnsi="Times" w:cs="Times"/>
          <w:b/>
          <w:bCs/>
          <w:noProof/>
        </w:rPr>
        <w:t>115</w:t>
      </w:r>
      <w:r w:rsidRPr="00112529">
        <w:rPr>
          <w:rFonts w:ascii="Times" w:hAnsi="Times" w:cs="Times"/>
          <w:noProof/>
        </w:rPr>
        <w:t>:6458–6463. doi:10.1073/pnas.1720017115</w:t>
      </w:r>
    </w:p>
    <w:p w14:paraId="7E508BF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66. </w:t>
      </w:r>
      <w:r w:rsidRPr="00112529">
        <w:rPr>
          <w:rFonts w:ascii="Times" w:hAnsi="Times" w:cs="Times"/>
          <w:noProof/>
        </w:rPr>
        <w:tab/>
        <w:t xml:space="preserve">Saunders JM, Moreno JL, Ibi D, Sikaroodi M, Kang DJ, Muñoz-Moreno R, Dalmet SS, García-Sastre A, Gillevet PM, Dozmorov MG, et al. Gut microbiota manipulation during the prepubertal period shapes behavioral abnormalities in a mouse neurodevelopmental disorder model. </w:t>
      </w:r>
      <w:r w:rsidRPr="00112529">
        <w:rPr>
          <w:rFonts w:ascii="Times" w:hAnsi="Times" w:cs="Times"/>
          <w:i/>
          <w:iCs/>
          <w:noProof/>
        </w:rPr>
        <w:t>Sci Rep</w:t>
      </w:r>
      <w:r w:rsidRPr="00112529">
        <w:rPr>
          <w:rFonts w:ascii="Times" w:hAnsi="Times" w:cs="Times"/>
          <w:noProof/>
        </w:rPr>
        <w:t xml:space="preserve"> (2020) </w:t>
      </w:r>
      <w:r w:rsidRPr="00112529">
        <w:rPr>
          <w:rFonts w:ascii="Times" w:hAnsi="Times" w:cs="Times"/>
          <w:b/>
          <w:bCs/>
          <w:noProof/>
        </w:rPr>
        <w:t>10</w:t>
      </w:r>
      <w:r w:rsidRPr="00112529">
        <w:rPr>
          <w:rFonts w:ascii="Times" w:hAnsi="Times" w:cs="Times"/>
          <w:noProof/>
        </w:rPr>
        <w:t>:1–13. doi:10.1038/s41598-020-61635-6</w:t>
      </w:r>
    </w:p>
    <w:p w14:paraId="7317830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67. </w:t>
      </w:r>
      <w:r w:rsidRPr="00112529">
        <w:rPr>
          <w:rFonts w:ascii="Times" w:hAnsi="Times" w:cs="Times"/>
          <w:noProof/>
        </w:rPr>
        <w:tab/>
        <w:t xml:space="preserve">Fröhlich EE, Farzi A, Mayerhofer R, Reichmann F, Jačan A, Wagner B, Zinser E, Bordag N, Magnes C, Fröhlich E, et al. Cognitive impairment by antibiotic-induced gut dysbiosis: Analysis of gut microbiota-brain communication. </w:t>
      </w:r>
      <w:r w:rsidRPr="00112529">
        <w:rPr>
          <w:rFonts w:ascii="Times" w:hAnsi="Times" w:cs="Times"/>
          <w:i/>
          <w:iCs/>
          <w:noProof/>
        </w:rPr>
        <w:t>Brain Behav Immun</w:t>
      </w:r>
      <w:r w:rsidRPr="00112529">
        <w:rPr>
          <w:rFonts w:ascii="Times" w:hAnsi="Times" w:cs="Times"/>
          <w:noProof/>
        </w:rPr>
        <w:t xml:space="preserve"> (2016) </w:t>
      </w:r>
      <w:r w:rsidRPr="00112529">
        <w:rPr>
          <w:rFonts w:ascii="Times" w:hAnsi="Times" w:cs="Times"/>
          <w:b/>
          <w:bCs/>
          <w:noProof/>
        </w:rPr>
        <w:t>56</w:t>
      </w:r>
      <w:r w:rsidRPr="00112529">
        <w:rPr>
          <w:rFonts w:ascii="Times" w:hAnsi="Times" w:cs="Times"/>
          <w:noProof/>
        </w:rPr>
        <w:t>:140–155. doi:10.1016/j.bbi.2016.02.020</w:t>
      </w:r>
    </w:p>
    <w:p w14:paraId="680AE28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68. </w:t>
      </w:r>
      <w:r w:rsidRPr="00112529">
        <w:rPr>
          <w:rFonts w:ascii="Times" w:hAnsi="Times" w:cs="Times"/>
          <w:noProof/>
        </w:rPr>
        <w:tab/>
        <w:t xml:space="preserve">Roseman L, Nutt DJ, Carhart-Harris RL. Quality of Acute Psychedelic Experience Predicts Therapeutic Efficacy of Psilocybin for Treatment-Resistant Depression. </w:t>
      </w:r>
      <w:r w:rsidRPr="00112529">
        <w:rPr>
          <w:rFonts w:ascii="Times" w:hAnsi="Times" w:cs="Times"/>
          <w:i/>
          <w:iCs/>
          <w:noProof/>
        </w:rPr>
        <w:t>Front Pharmacol</w:t>
      </w:r>
      <w:r w:rsidRPr="00112529">
        <w:rPr>
          <w:rFonts w:ascii="Times" w:hAnsi="Times" w:cs="Times"/>
          <w:noProof/>
        </w:rPr>
        <w:t xml:space="preserve"> (2018) </w:t>
      </w:r>
      <w:r w:rsidRPr="00112529">
        <w:rPr>
          <w:rFonts w:ascii="Times" w:hAnsi="Times" w:cs="Times"/>
          <w:b/>
          <w:bCs/>
          <w:noProof/>
        </w:rPr>
        <w:t>8</w:t>
      </w:r>
      <w:r w:rsidRPr="00112529">
        <w:rPr>
          <w:rFonts w:ascii="Times" w:hAnsi="Times" w:cs="Times"/>
          <w:noProof/>
        </w:rPr>
        <w:t>:974. doi:10.3389/fphar.2017.00974</w:t>
      </w:r>
    </w:p>
    <w:p w14:paraId="04A17BC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69. </w:t>
      </w:r>
      <w:r w:rsidRPr="00112529">
        <w:rPr>
          <w:rFonts w:ascii="Times" w:hAnsi="Times" w:cs="Times"/>
          <w:noProof/>
        </w:rPr>
        <w:tab/>
        <w:t xml:space="preserve">Zeifman RJ, Wagner AC, Watts R, Kettner H, Mertens LJ, Carhart-Harris RL. Post-Psychedelic Reductions in Experiential Avoidance Are Associated With Decreases in Depression Severity and Suicidal Ideation. </w:t>
      </w:r>
      <w:r w:rsidRPr="00112529">
        <w:rPr>
          <w:rFonts w:ascii="Times" w:hAnsi="Times" w:cs="Times"/>
          <w:i/>
          <w:iCs/>
          <w:noProof/>
        </w:rPr>
        <w:t>Front Psychiatry</w:t>
      </w:r>
      <w:r w:rsidRPr="00112529">
        <w:rPr>
          <w:rFonts w:ascii="Times" w:hAnsi="Times" w:cs="Times"/>
          <w:noProof/>
        </w:rPr>
        <w:t xml:space="preserve"> (2020) </w:t>
      </w:r>
      <w:r w:rsidRPr="00112529">
        <w:rPr>
          <w:rFonts w:ascii="Times" w:hAnsi="Times" w:cs="Times"/>
          <w:b/>
          <w:bCs/>
          <w:noProof/>
        </w:rPr>
        <w:t>11</w:t>
      </w:r>
      <w:r w:rsidRPr="00112529">
        <w:rPr>
          <w:rFonts w:ascii="Times" w:hAnsi="Times" w:cs="Times"/>
          <w:noProof/>
        </w:rPr>
        <w:t>:1. doi:10.3389/fpsyt.2020.00782</w:t>
      </w:r>
    </w:p>
    <w:p w14:paraId="4215A11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70. </w:t>
      </w:r>
      <w:r w:rsidRPr="00112529">
        <w:rPr>
          <w:rFonts w:ascii="Times" w:hAnsi="Times" w:cs="Times"/>
          <w:noProof/>
        </w:rPr>
        <w:tab/>
        <w:t xml:space="preserve">Watts R, Day C, Krzanowski J, Nutt D, Carhart-Harris R. Patients’ Accounts of Increased “Connectedness” and “Acceptance” After Psilocybin for Treatment-Resistant Depression. </w:t>
      </w:r>
      <w:r w:rsidRPr="00112529">
        <w:rPr>
          <w:rFonts w:ascii="Times" w:hAnsi="Times" w:cs="Times"/>
          <w:i/>
          <w:iCs/>
          <w:noProof/>
        </w:rPr>
        <w:t>J Humanist Psychol</w:t>
      </w:r>
      <w:r w:rsidRPr="00112529">
        <w:rPr>
          <w:rFonts w:ascii="Times" w:hAnsi="Times" w:cs="Times"/>
          <w:noProof/>
        </w:rPr>
        <w:t xml:space="preserve"> (2017) </w:t>
      </w:r>
      <w:r w:rsidRPr="00112529">
        <w:rPr>
          <w:rFonts w:ascii="Times" w:hAnsi="Times" w:cs="Times"/>
          <w:b/>
          <w:bCs/>
          <w:noProof/>
        </w:rPr>
        <w:t>57</w:t>
      </w:r>
      <w:r w:rsidRPr="00112529">
        <w:rPr>
          <w:rFonts w:ascii="Times" w:hAnsi="Times" w:cs="Times"/>
          <w:noProof/>
        </w:rPr>
        <w:t>:520–564. doi:10.1177/0022167817709585</w:t>
      </w:r>
    </w:p>
    <w:p w14:paraId="52D19A2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71. </w:t>
      </w:r>
      <w:r w:rsidRPr="00112529">
        <w:rPr>
          <w:rFonts w:ascii="Times" w:hAnsi="Times" w:cs="Times"/>
          <w:noProof/>
        </w:rPr>
        <w:tab/>
        <w:t xml:space="preserve">Carhart-Harris RL, Bolstridge M, Rucker J, Day CMJ, Erritzoe D, Kaelen M, Bloomfield M, Rickard JA, Forbes B, Feilding A, et al. Psilocybin with psychological support for treatment-resistant depression: an open-label feasibility study. </w:t>
      </w:r>
      <w:r w:rsidRPr="00112529">
        <w:rPr>
          <w:rFonts w:ascii="Times" w:hAnsi="Times" w:cs="Times"/>
          <w:i/>
          <w:iCs/>
          <w:noProof/>
        </w:rPr>
        <w:t>The Lancet Psychiatry</w:t>
      </w:r>
      <w:r w:rsidRPr="00112529">
        <w:rPr>
          <w:rFonts w:ascii="Times" w:hAnsi="Times" w:cs="Times"/>
          <w:noProof/>
        </w:rPr>
        <w:t xml:space="preserve"> (2016) </w:t>
      </w:r>
      <w:r w:rsidRPr="00112529">
        <w:rPr>
          <w:rFonts w:ascii="Times" w:hAnsi="Times" w:cs="Times"/>
          <w:b/>
          <w:bCs/>
          <w:noProof/>
        </w:rPr>
        <w:t>3</w:t>
      </w:r>
      <w:r w:rsidRPr="00112529">
        <w:rPr>
          <w:rFonts w:ascii="Times" w:hAnsi="Times" w:cs="Times"/>
          <w:noProof/>
        </w:rPr>
        <w:t>:619–627. doi:10.1016/S2215-0366(16)30065-7</w:t>
      </w:r>
    </w:p>
    <w:p w14:paraId="4E13260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72. </w:t>
      </w:r>
      <w:r w:rsidRPr="00112529">
        <w:rPr>
          <w:rFonts w:ascii="Times" w:hAnsi="Times" w:cs="Times"/>
          <w:noProof/>
        </w:rPr>
        <w:tab/>
        <w:t xml:space="preserve">Meikle SE, Liknaitzky P, Rossell SL, Ross M, Strauss N, Thomas N, Murray G, Williams M, Castle DJ. Psilocybin-assisted therapy for depression: How do we advance the field? </w:t>
      </w:r>
      <w:r w:rsidRPr="00112529">
        <w:rPr>
          <w:rFonts w:ascii="Times" w:hAnsi="Times" w:cs="Times"/>
          <w:i/>
          <w:iCs/>
          <w:noProof/>
        </w:rPr>
        <w:t>Aust N Z J Psychiatry</w:t>
      </w:r>
      <w:r w:rsidRPr="00112529">
        <w:rPr>
          <w:rFonts w:ascii="Times" w:hAnsi="Times" w:cs="Times"/>
          <w:noProof/>
        </w:rPr>
        <w:t xml:space="preserve"> (2020) </w:t>
      </w:r>
      <w:r w:rsidRPr="00112529">
        <w:rPr>
          <w:rFonts w:ascii="Times" w:hAnsi="Times" w:cs="Times"/>
          <w:b/>
          <w:bCs/>
          <w:noProof/>
        </w:rPr>
        <w:t>54</w:t>
      </w:r>
      <w:r w:rsidRPr="00112529">
        <w:rPr>
          <w:rFonts w:ascii="Times" w:hAnsi="Times" w:cs="Times"/>
          <w:noProof/>
        </w:rPr>
        <w:t>:225–231. doi:10.1177/0004867419888575</w:t>
      </w:r>
    </w:p>
    <w:p w14:paraId="4FA7ABCB"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73. </w:t>
      </w:r>
      <w:r w:rsidRPr="00112529">
        <w:rPr>
          <w:rFonts w:ascii="Times" w:hAnsi="Times" w:cs="Times"/>
          <w:noProof/>
        </w:rPr>
        <w:tab/>
        <w:t xml:space="preserve">Nutt D, Erritzoe D, Carhart-Harris R. Psychedelic Psychiatry’s Brave New World. </w:t>
      </w:r>
      <w:r w:rsidRPr="00112529">
        <w:rPr>
          <w:rFonts w:ascii="Times" w:hAnsi="Times" w:cs="Times"/>
          <w:i/>
          <w:iCs/>
          <w:noProof/>
        </w:rPr>
        <w:t>Cell</w:t>
      </w:r>
      <w:r w:rsidRPr="00112529">
        <w:rPr>
          <w:rFonts w:ascii="Times" w:hAnsi="Times" w:cs="Times"/>
          <w:noProof/>
        </w:rPr>
        <w:t xml:space="preserve"> (2020) </w:t>
      </w:r>
      <w:r w:rsidRPr="00112529">
        <w:rPr>
          <w:rFonts w:ascii="Times" w:hAnsi="Times" w:cs="Times"/>
          <w:b/>
          <w:bCs/>
          <w:noProof/>
        </w:rPr>
        <w:t>181</w:t>
      </w:r>
      <w:r w:rsidRPr="00112529">
        <w:rPr>
          <w:rFonts w:ascii="Times" w:hAnsi="Times" w:cs="Times"/>
          <w:noProof/>
        </w:rPr>
        <w:t>:24–28. doi:10.1016/j.cell.2020.03.020</w:t>
      </w:r>
    </w:p>
    <w:p w14:paraId="6E767A3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74. </w:t>
      </w:r>
      <w:r w:rsidRPr="00112529">
        <w:rPr>
          <w:rFonts w:ascii="Times" w:hAnsi="Times" w:cs="Times"/>
          <w:noProof/>
        </w:rPr>
        <w:tab/>
        <w:t xml:space="preserve">Bergfeld IO, Mantione M, Figee M, Schuurman PR, Lok A, Denys D. Treatment-resistant depression and suicidality. </w:t>
      </w:r>
      <w:r w:rsidRPr="00112529">
        <w:rPr>
          <w:rFonts w:ascii="Times" w:hAnsi="Times" w:cs="Times"/>
          <w:i/>
          <w:iCs/>
          <w:noProof/>
        </w:rPr>
        <w:t>J Affect Disord</w:t>
      </w:r>
      <w:r w:rsidRPr="00112529">
        <w:rPr>
          <w:rFonts w:ascii="Times" w:hAnsi="Times" w:cs="Times"/>
          <w:noProof/>
        </w:rPr>
        <w:t xml:space="preserve"> (2018) </w:t>
      </w:r>
      <w:r w:rsidRPr="00112529">
        <w:rPr>
          <w:rFonts w:ascii="Times" w:hAnsi="Times" w:cs="Times"/>
          <w:b/>
          <w:bCs/>
          <w:noProof/>
        </w:rPr>
        <w:t>235</w:t>
      </w:r>
      <w:r w:rsidRPr="00112529">
        <w:rPr>
          <w:rFonts w:ascii="Times" w:hAnsi="Times" w:cs="Times"/>
          <w:noProof/>
        </w:rPr>
        <w:t xml:space="preserve">:362–367. </w:t>
      </w:r>
      <w:r w:rsidRPr="00112529">
        <w:rPr>
          <w:rFonts w:ascii="Times" w:hAnsi="Times" w:cs="Times"/>
          <w:noProof/>
        </w:rPr>
        <w:lastRenderedPageBreak/>
        <w:t>doi:10.1016/j.jad.2018.04.016</w:t>
      </w:r>
    </w:p>
    <w:p w14:paraId="523C5AC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75. </w:t>
      </w:r>
      <w:r w:rsidRPr="00112529">
        <w:rPr>
          <w:rFonts w:ascii="Times" w:hAnsi="Times" w:cs="Times"/>
          <w:noProof/>
        </w:rPr>
        <w:tab/>
        <w:t xml:space="preserve">Hawton K, Casañas I Comabella C, Haw C, Saunders K. Risk factors for suicide in individuals with depression: A systematic review. </w:t>
      </w:r>
      <w:r w:rsidRPr="00112529">
        <w:rPr>
          <w:rFonts w:ascii="Times" w:hAnsi="Times" w:cs="Times"/>
          <w:i/>
          <w:iCs/>
          <w:noProof/>
        </w:rPr>
        <w:t>J Affect Disord</w:t>
      </w:r>
      <w:r w:rsidRPr="00112529">
        <w:rPr>
          <w:rFonts w:ascii="Times" w:hAnsi="Times" w:cs="Times"/>
          <w:noProof/>
        </w:rPr>
        <w:t xml:space="preserve"> (2013) </w:t>
      </w:r>
      <w:r w:rsidRPr="00112529">
        <w:rPr>
          <w:rFonts w:ascii="Times" w:hAnsi="Times" w:cs="Times"/>
          <w:b/>
          <w:bCs/>
          <w:noProof/>
        </w:rPr>
        <w:t>147</w:t>
      </w:r>
      <w:r w:rsidRPr="00112529">
        <w:rPr>
          <w:rFonts w:ascii="Times" w:hAnsi="Times" w:cs="Times"/>
          <w:noProof/>
        </w:rPr>
        <w:t>:17–28. doi:10.1016/j.jad.2013.01.004</w:t>
      </w:r>
    </w:p>
    <w:p w14:paraId="7073CF1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76. </w:t>
      </w:r>
      <w:r w:rsidRPr="00112529">
        <w:rPr>
          <w:rFonts w:ascii="Times" w:hAnsi="Times" w:cs="Times"/>
          <w:noProof/>
        </w:rPr>
        <w:tab/>
        <w:t xml:space="preserve">Miranda R, Gallagher M, Bauchner B, Vaysman R, Marroquín B. Cognitive inflexibility as a prospective predictor of suicidal ideation among young adults with a suicide attempt history. </w:t>
      </w:r>
      <w:r w:rsidRPr="00112529">
        <w:rPr>
          <w:rFonts w:ascii="Times" w:hAnsi="Times" w:cs="Times"/>
          <w:i/>
          <w:iCs/>
          <w:noProof/>
        </w:rPr>
        <w:t>Depress Anxiety</w:t>
      </w:r>
      <w:r w:rsidRPr="00112529">
        <w:rPr>
          <w:rFonts w:ascii="Times" w:hAnsi="Times" w:cs="Times"/>
          <w:noProof/>
        </w:rPr>
        <w:t xml:space="preserve"> (2012) </w:t>
      </w:r>
      <w:r w:rsidRPr="00112529">
        <w:rPr>
          <w:rFonts w:ascii="Times" w:hAnsi="Times" w:cs="Times"/>
          <w:b/>
          <w:bCs/>
          <w:noProof/>
        </w:rPr>
        <w:t>29</w:t>
      </w:r>
      <w:r w:rsidRPr="00112529">
        <w:rPr>
          <w:rFonts w:ascii="Times" w:hAnsi="Times" w:cs="Times"/>
          <w:noProof/>
        </w:rPr>
        <w:t>:180–186. doi:10.1002/da.20915</w:t>
      </w:r>
    </w:p>
    <w:p w14:paraId="25DDCD0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77. </w:t>
      </w:r>
      <w:r w:rsidRPr="00112529">
        <w:rPr>
          <w:rFonts w:ascii="Times" w:hAnsi="Times" w:cs="Times"/>
          <w:noProof/>
        </w:rPr>
        <w:tab/>
        <w:t xml:space="preserve">Watts R, Luoma JB. The use of the psychological flexibility model to support psychedelic assisted therapy. </w:t>
      </w:r>
      <w:r w:rsidRPr="00112529">
        <w:rPr>
          <w:rFonts w:ascii="Times" w:hAnsi="Times" w:cs="Times"/>
          <w:i/>
          <w:iCs/>
          <w:noProof/>
        </w:rPr>
        <w:t>J Context Behav Sci</w:t>
      </w:r>
      <w:r w:rsidRPr="00112529">
        <w:rPr>
          <w:rFonts w:ascii="Times" w:hAnsi="Times" w:cs="Times"/>
          <w:noProof/>
        </w:rPr>
        <w:t xml:space="preserve"> (2020) </w:t>
      </w:r>
      <w:r w:rsidRPr="00112529">
        <w:rPr>
          <w:rFonts w:ascii="Times" w:hAnsi="Times" w:cs="Times"/>
          <w:b/>
          <w:bCs/>
          <w:noProof/>
        </w:rPr>
        <w:t>15</w:t>
      </w:r>
      <w:r w:rsidRPr="00112529">
        <w:rPr>
          <w:rFonts w:ascii="Times" w:hAnsi="Times" w:cs="Times"/>
          <w:noProof/>
        </w:rPr>
        <w:t>:92–102. doi:10.1016/j.jcbs.2019.12.004</w:t>
      </w:r>
    </w:p>
    <w:p w14:paraId="490E52D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78. </w:t>
      </w:r>
      <w:r w:rsidRPr="00112529">
        <w:rPr>
          <w:rFonts w:ascii="Times" w:hAnsi="Times" w:cs="Times"/>
          <w:noProof/>
        </w:rPr>
        <w:tab/>
        <w:t xml:space="preserve">Nutt D. </w:t>
      </w:r>
      <w:r w:rsidRPr="00112529">
        <w:rPr>
          <w:rFonts w:ascii="Times" w:hAnsi="Times" w:cs="Times"/>
          <w:i/>
          <w:iCs/>
          <w:noProof/>
        </w:rPr>
        <w:t>Drugs without the hot air: making sense of legal and illegal drugs</w:t>
      </w:r>
      <w:r w:rsidRPr="00112529">
        <w:rPr>
          <w:rFonts w:ascii="Times" w:hAnsi="Times" w:cs="Times"/>
          <w:noProof/>
        </w:rPr>
        <w:t>. 2nd ed. Cambridge, England: UIT Cambridge Ltd. (2012).</w:t>
      </w:r>
    </w:p>
    <w:p w14:paraId="458CD3C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79. </w:t>
      </w:r>
      <w:r w:rsidRPr="00112529">
        <w:rPr>
          <w:rFonts w:ascii="Times" w:hAnsi="Times" w:cs="Times"/>
          <w:noProof/>
        </w:rPr>
        <w:tab/>
        <w:t xml:space="preserve">Sherwood AM, Claveau R, Lancelotta R, Kaylo KW, Lenoch K. Synthesis and Characterization of 5-MeO-DMT Succinate for Clinical Use. </w:t>
      </w:r>
      <w:r w:rsidRPr="00112529">
        <w:rPr>
          <w:rFonts w:ascii="Times" w:hAnsi="Times" w:cs="Times"/>
          <w:i/>
          <w:iCs/>
          <w:noProof/>
        </w:rPr>
        <w:t>ACS Omega</w:t>
      </w:r>
      <w:r w:rsidRPr="00112529">
        <w:rPr>
          <w:rFonts w:ascii="Times" w:hAnsi="Times" w:cs="Times"/>
          <w:noProof/>
        </w:rPr>
        <w:t xml:space="preserve"> (2020) </w:t>
      </w:r>
      <w:r w:rsidRPr="00112529">
        <w:rPr>
          <w:rFonts w:ascii="Times" w:hAnsi="Times" w:cs="Times"/>
          <w:b/>
          <w:bCs/>
          <w:noProof/>
        </w:rPr>
        <w:t>5</w:t>
      </w:r>
      <w:r w:rsidRPr="00112529">
        <w:rPr>
          <w:rFonts w:ascii="Times" w:hAnsi="Times" w:cs="Times"/>
          <w:noProof/>
        </w:rPr>
        <w:t>:32067–32075. doi:10.1021/acsomega.0c05099</w:t>
      </w:r>
    </w:p>
    <w:p w14:paraId="46A552A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80. </w:t>
      </w:r>
      <w:r w:rsidRPr="00112529">
        <w:rPr>
          <w:rFonts w:ascii="Times" w:hAnsi="Times" w:cs="Times"/>
          <w:noProof/>
        </w:rPr>
        <w:tab/>
        <w:t xml:space="preserve">Cozzi N V., Daley PF. Synthesis and characterization of high-purity N,N-dimethyltryptamine hemifumarate for human clinical trials. </w:t>
      </w:r>
      <w:r w:rsidRPr="00112529">
        <w:rPr>
          <w:rFonts w:ascii="Times" w:hAnsi="Times" w:cs="Times"/>
          <w:i/>
          <w:iCs/>
          <w:noProof/>
        </w:rPr>
        <w:t>Drug Test Anal</w:t>
      </w:r>
      <w:r w:rsidRPr="00112529">
        <w:rPr>
          <w:rFonts w:ascii="Times" w:hAnsi="Times" w:cs="Times"/>
          <w:noProof/>
        </w:rPr>
        <w:t xml:space="preserve"> (2020) </w:t>
      </w:r>
      <w:r w:rsidRPr="00112529">
        <w:rPr>
          <w:rFonts w:ascii="Times" w:hAnsi="Times" w:cs="Times"/>
          <w:b/>
          <w:bCs/>
          <w:noProof/>
        </w:rPr>
        <w:t>12</w:t>
      </w:r>
      <w:r w:rsidRPr="00112529">
        <w:rPr>
          <w:rFonts w:ascii="Times" w:hAnsi="Times" w:cs="Times"/>
          <w:noProof/>
        </w:rPr>
        <w:t>:1483–1493. doi:10.1002/dta.2889</w:t>
      </w:r>
    </w:p>
    <w:p w14:paraId="4F61D1C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81. </w:t>
      </w:r>
      <w:r w:rsidRPr="00112529">
        <w:rPr>
          <w:rFonts w:ascii="Times" w:hAnsi="Times" w:cs="Times"/>
          <w:noProof/>
        </w:rPr>
        <w:tab/>
        <w:t xml:space="preserve">Brandt SD, Kavanagh P V., Westphal F, Stratford A, Elliott SP, Hoang K, Wallach J, Halberstadt AL. Return of the lysergamides. Part I: Analytical and behavioural characterization of 1-propionyl-d-lysergic acid diethylamide (1P-LSD). </w:t>
      </w:r>
      <w:r w:rsidRPr="00112529">
        <w:rPr>
          <w:rFonts w:ascii="Times" w:hAnsi="Times" w:cs="Times"/>
          <w:i/>
          <w:iCs/>
          <w:noProof/>
        </w:rPr>
        <w:t>Drug Test Anal</w:t>
      </w:r>
      <w:r w:rsidRPr="00112529">
        <w:rPr>
          <w:rFonts w:ascii="Times" w:hAnsi="Times" w:cs="Times"/>
          <w:noProof/>
        </w:rPr>
        <w:t xml:space="preserve"> (2016) </w:t>
      </w:r>
      <w:r w:rsidRPr="00112529">
        <w:rPr>
          <w:rFonts w:ascii="Times" w:hAnsi="Times" w:cs="Times"/>
          <w:b/>
          <w:bCs/>
          <w:noProof/>
        </w:rPr>
        <w:t>8</w:t>
      </w:r>
      <w:r w:rsidRPr="00112529">
        <w:rPr>
          <w:rFonts w:ascii="Times" w:hAnsi="Times" w:cs="Times"/>
          <w:noProof/>
        </w:rPr>
        <w:t>:891–902. doi:10.1002/dta.1884</w:t>
      </w:r>
    </w:p>
    <w:p w14:paraId="76BA713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82. </w:t>
      </w:r>
      <w:r w:rsidRPr="00112529">
        <w:rPr>
          <w:rFonts w:ascii="Times" w:hAnsi="Times" w:cs="Times"/>
          <w:noProof/>
        </w:rPr>
        <w:tab/>
        <w:t xml:space="preserve">Brandt SD, Kavanagh P V., Westphal F, Elliott SP, Wallach J, Colestock T, Burrow TE, Chapman SJ, Stratford A, Nichols DE, et al. Return of the lysergamides. Part II: Analytical and behavioural characterization of N6-allyl-6-norlysergic acid diethylamide (AL-LAD) and (2’S,4’S)-lysergic acid 2,4-dimethylazetidide (LSZ). </w:t>
      </w:r>
      <w:r w:rsidRPr="00112529">
        <w:rPr>
          <w:rFonts w:ascii="Times" w:hAnsi="Times" w:cs="Times"/>
          <w:i/>
          <w:iCs/>
          <w:noProof/>
        </w:rPr>
        <w:t>Drug Test Anal</w:t>
      </w:r>
      <w:r w:rsidRPr="00112529">
        <w:rPr>
          <w:rFonts w:ascii="Times" w:hAnsi="Times" w:cs="Times"/>
          <w:noProof/>
        </w:rPr>
        <w:t xml:space="preserve"> (2017) </w:t>
      </w:r>
      <w:r w:rsidRPr="00112529">
        <w:rPr>
          <w:rFonts w:ascii="Times" w:hAnsi="Times" w:cs="Times"/>
          <w:b/>
          <w:bCs/>
          <w:noProof/>
        </w:rPr>
        <w:t>9</w:t>
      </w:r>
      <w:r w:rsidRPr="00112529">
        <w:rPr>
          <w:rFonts w:ascii="Times" w:hAnsi="Times" w:cs="Times"/>
          <w:noProof/>
        </w:rPr>
        <w:t>:38–50. doi:10.1002/dta.1985</w:t>
      </w:r>
    </w:p>
    <w:p w14:paraId="69968A0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83. </w:t>
      </w:r>
      <w:r w:rsidRPr="00112529">
        <w:rPr>
          <w:rFonts w:ascii="Times" w:hAnsi="Times" w:cs="Times"/>
          <w:noProof/>
        </w:rPr>
        <w:tab/>
        <w:t xml:space="preserve">Brandt SD, Kavanagh P V., Westphal F, Elliott SP, Wallach J, Stratford A, Nichols DE, Halberstadt AL. Return of the lysergamides. Part III: Analytical characterization of N6-ethyl-6-norlysergic acid diethylamide (ETH-LAD) and 1-propionyl ETH-LAD (1P–ETH-LAD). </w:t>
      </w:r>
      <w:r w:rsidRPr="00112529">
        <w:rPr>
          <w:rFonts w:ascii="Times" w:hAnsi="Times" w:cs="Times"/>
          <w:i/>
          <w:iCs/>
          <w:noProof/>
        </w:rPr>
        <w:t>Drug Test Anal</w:t>
      </w:r>
      <w:r w:rsidRPr="00112529">
        <w:rPr>
          <w:rFonts w:ascii="Times" w:hAnsi="Times" w:cs="Times"/>
          <w:noProof/>
        </w:rPr>
        <w:t xml:space="preserve"> (2017) </w:t>
      </w:r>
      <w:r w:rsidRPr="00112529">
        <w:rPr>
          <w:rFonts w:ascii="Times" w:hAnsi="Times" w:cs="Times"/>
          <w:b/>
          <w:bCs/>
          <w:noProof/>
        </w:rPr>
        <w:t>9</w:t>
      </w:r>
      <w:r w:rsidRPr="00112529">
        <w:rPr>
          <w:rFonts w:ascii="Times" w:hAnsi="Times" w:cs="Times"/>
          <w:noProof/>
        </w:rPr>
        <w:t>:1641–1649. doi:10.1002/dta.2196</w:t>
      </w:r>
    </w:p>
    <w:p w14:paraId="4F3ACF6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84. </w:t>
      </w:r>
      <w:r w:rsidRPr="00112529">
        <w:rPr>
          <w:rFonts w:ascii="Times" w:hAnsi="Times" w:cs="Times"/>
          <w:noProof/>
        </w:rPr>
        <w:tab/>
        <w:t xml:space="preserve">Brandt SD, Kavanagh P V., Twamley B, Westphal F, Elliott SP, Wallach J, Stratford A, Klein LM, McCorvy JD, Nichols DE, et al. Return of the lysergamides. Part IV: Analytical and pharmacological characterization of lysergic acid morpholide (LSM-775). </w:t>
      </w:r>
      <w:r w:rsidRPr="00112529">
        <w:rPr>
          <w:rFonts w:ascii="Times" w:hAnsi="Times" w:cs="Times"/>
          <w:i/>
          <w:iCs/>
          <w:noProof/>
        </w:rPr>
        <w:t>Drug Test Anal</w:t>
      </w:r>
      <w:r w:rsidRPr="00112529">
        <w:rPr>
          <w:rFonts w:ascii="Times" w:hAnsi="Times" w:cs="Times"/>
          <w:noProof/>
        </w:rPr>
        <w:t xml:space="preserve"> (2018) </w:t>
      </w:r>
      <w:r w:rsidRPr="00112529">
        <w:rPr>
          <w:rFonts w:ascii="Times" w:hAnsi="Times" w:cs="Times"/>
          <w:b/>
          <w:bCs/>
          <w:noProof/>
        </w:rPr>
        <w:t>10</w:t>
      </w:r>
      <w:r w:rsidRPr="00112529">
        <w:rPr>
          <w:rFonts w:ascii="Times" w:hAnsi="Times" w:cs="Times"/>
          <w:noProof/>
        </w:rPr>
        <w:t>:310–322. doi:10.1002/dta.2222</w:t>
      </w:r>
    </w:p>
    <w:p w14:paraId="1E3311C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85. </w:t>
      </w:r>
      <w:r w:rsidRPr="00112529">
        <w:rPr>
          <w:rFonts w:ascii="Times" w:hAnsi="Times" w:cs="Times"/>
          <w:noProof/>
        </w:rPr>
        <w:tab/>
        <w:t xml:space="preserve">Brandt SD, Kavanagh P V., Westphal F, Stratford A, Elliott SP, Dowling G, Wallach J, Halberstadt AL. Return of the lysergamides. Part V: Analytical and behavioural characterization of 1-butanoyl-d-lysergic acid diethylamide (1B-LSD). </w:t>
      </w:r>
      <w:r w:rsidRPr="00112529">
        <w:rPr>
          <w:rFonts w:ascii="Times" w:hAnsi="Times" w:cs="Times"/>
          <w:i/>
          <w:iCs/>
          <w:noProof/>
        </w:rPr>
        <w:t>Drug Test Anal</w:t>
      </w:r>
      <w:r w:rsidRPr="00112529">
        <w:rPr>
          <w:rFonts w:ascii="Times" w:hAnsi="Times" w:cs="Times"/>
          <w:noProof/>
        </w:rPr>
        <w:t xml:space="preserve"> (2019) </w:t>
      </w:r>
      <w:r w:rsidRPr="00112529">
        <w:rPr>
          <w:rFonts w:ascii="Times" w:hAnsi="Times" w:cs="Times"/>
          <w:b/>
          <w:bCs/>
          <w:noProof/>
        </w:rPr>
        <w:t>11</w:t>
      </w:r>
      <w:r w:rsidRPr="00112529">
        <w:rPr>
          <w:rFonts w:ascii="Times" w:hAnsi="Times" w:cs="Times"/>
          <w:noProof/>
        </w:rPr>
        <w:t>:1122–1133. doi:10.1002/dta.2613</w:t>
      </w:r>
    </w:p>
    <w:p w14:paraId="283E196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86. </w:t>
      </w:r>
      <w:r w:rsidRPr="00112529">
        <w:rPr>
          <w:rFonts w:ascii="Times" w:hAnsi="Times" w:cs="Times"/>
          <w:noProof/>
        </w:rPr>
        <w:tab/>
        <w:t xml:space="preserve">Brandt SD, Kavanagh P V., Westphal F, Stratford A, Odland AU, Klein AK, Dowling G, Dempster NM, Wallach J, Passie T, et al. Return of the lysergamides. Part VI: Analytical and behavioural characterization of 1-cyclopropanoyl-d-lysergic acid diethylamide (1CP-LSD). </w:t>
      </w:r>
      <w:r w:rsidRPr="00112529">
        <w:rPr>
          <w:rFonts w:ascii="Times" w:hAnsi="Times" w:cs="Times"/>
          <w:i/>
          <w:iCs/>
          <w:noProof/>
        </w:rPr>
        <w:t>Drug Test Anal</w:t>
      </w:r>
      <w:r w:rsidRPr="00112529">
        <w:rPr>
          <w:rFonts w:ascii="Times" w:hAnsi="Times" w:cs="Times"/>
          <w:noProof/>
        </w:rPr>
        <w:t xml:space="preserve"> (2020) </w:t>
      </w:r>
      <w:r w:rsidRPr="00112529">
        <w:rPr>
          <w:rFonts w:ascii="Times" w:hAnsi="Times" w:cs="Times"/>
          <w:b/>
          <w:bCs/>
          <w:noProof/>
        </w:rPr>
        <w:t>12</w:t>
      </w:r>
      <w:r w:rsidRPr="00112529">
        <w:rPr>
          <w:rFonts w:ascii="Times" w:hAnsi="Times" w:cs="Times"/>
          <w:noProof/>
        </w:rPr>
        <w:t>:812–826. doi:10.1002/dta.2789</w:t>
      </w:r>
    </w:p>
    <w:p w14:paraId="7162100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87. </w:t>
      </w:r>
      <w:r w:rsidRPr="00112529">
        <w:rPr>
          <w:rFonts w:ascii="Times" w:hAnsi="Times" w:cs="Times"/>
          <w:noProof/>
        </w:rPr>
        <w:tab/>
        <w:t xml:space="preserve">Brandt SD, Kavanagh P V., Westphal F, Stratford A, Elliott SP, Dowling G, Halberstadt AL. Analytical profile of N-ethyl-N-cyclopropyl lysergamide (ECPLA), an isomer of lysergic acid 2,4-dimethylazetidide (LSZ). </w:t>
      </w:r>
      <w:r w:rsidRPr="00112529">
        <w:rPr>
          <w:rFonts w:ascii="Times" w:hAnsi="Times" w:cs="Times"/>
          <w:i/>
          <w:iCs/>
          <w:noProof/>
        </w:rPr>
        <w:t>Drug Test Anal</w:t>
      </w:r>
      <w:r w:rsidRPr="00112529">
        <w:rPr>
          <w:rFonts w:ascii="Times" w:hAnsi="Times" w:cs="Times"/>
          <w:noProof/>
        </w:rPr>
        <w:t xml:space="preserve"> (2020) </w:t>
      </w:r>
      <w:r w:rsidRPr="00112529">
        <w:rPr>
          <w:rFonts w:ascii="Times" w:hAnsi="Times" w:cs="Times"/>
          <w:b/>
          <w:bCs/>
          <w:noProof/>
        </w:rPr>
        <w:t>12</w:t>
      </w:r>
      <w:r w:rsidRPr="00112529">
        <w:rPr>
          <w:rFonts w:ascii="Times" w:hAnsi="Times" w:cs="Times"/>
          <w:noProof/>
        </w:rPr>
        <w:t>:1514–1521. doi:10.1002/dta.2911</w:t>
      </w:r>
    </w:p>
    <w:p w14:paraId="5A0F08C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88. </w:t>
      </w:r>
      <w:r w:rsidRPr="00112529">
        <w:rPr>
          <w:rFonts w:ascii="Times" w:hAnsi="Times" w:cs="Times"/>
          <w:noProof/>
        </w:rPr>
        <w:tab/>
        <w:t xml:space="preserve">Buchanan MS, Carroll AR, Pass D, Quinn RJ. NMR spectral assignments of a new chlorotryptamine alkaloid and its analogues from Acacia confusa. </w:t>
      </w:r>
      <w:r w:rsidRPr="00112529">
        <w:rPr>
          <w:rFonts w:ascii="Times" w:hAnsi="Times" w:cs="Times"/>
          <w:i/>
          <w:iCs/>
          <w:noProof/>
        </w:rPr>
        <w:t>Magn Reson Chem</w:t>
      </w:r>
      <w:r w:rsidRPr="00112529">
        <w:rPr>
          <w:rFonts w:ascii="Times" w:hAnsi="Times" w:cs="Times"/>
          <w:noProof/>
        </w:rPr>
        <w:t xml:space="preserve"> (2007) </w:t>
      </w:r>
      <w:r w:rsidRPr="00112529">
        <w:rPr>
          <w:rFonts w:ascii="Times" w:hAnsi="Times" w:cs="Times"/>
          <w:b/>
          <w:bCs/>
          <w:noProof/>
        </w:rPr>
        <w:t>45</w:t>
      </w:r>
      <w:r w:rsidRPr="00112529">
        <w:rPr>
          <w:rFonts w:ascii="Times" w:hAnsi="Times" w:cs="Times"/>
          <w:noProof/>
        </w:rPr>
        <w:t>:359–361. doi:10.1002/mrc.1959</w:t>
      </w:r>
    </w:p>
    <w:p w14:paraId="0DCFD75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lastRenderedPageBreak/>
        <w:t xml:space="preserve">89. </w:t>
      </w:r>
      <w:r w:rsidRPr="00112529">
        <w:rPr>
          <w:rFonts w:ascii="Times" w:hAnsi="Times" w:cs="Times"/>
          <w:noProof/>
        </w:rPr>
        <w:tab/>
        <w:t xml:space="preserve">Alias A, Hazni H, Jaafar FM, Awang K, Ismail NH. Alkaloids from fissistigma latifolium (Dunal) merr. </w:t>
      </w:r>
      <w:r w:rsidRPr="00112529">
        <w:rPr>
          <w:rFonts w:ascii="Times" w:hAnsi="Times" w:cs="Times"/>
          <w:i/>
          <w:iCs/>
          <w:noProof/>
        </w:rPr>
        <w:t>Molecules</w:t>
      </w:r>
      <w:r w:rsidRPr="00112529">
        <w:rPr>
          <w:rFonts w:ascii="Times" w:hAnsi="Times" w:cs="Times"/>
          <w:noProof/>
        </w:rPr>
        <w:t xml:space="preserve"> (2010) </w:t>
      </w:r>
      <w:r w:rsidRPr="00112529">
        <w:rPr>
          <w:rFonts w:ascii="Times" w:hAnsi="Times" w:cs="Times"/>
          <w:b/>
          <w:bCs/>
          <w:noProof/>
        </w:rPr>
        <w:t>15</w:t>
      </w:r>
      <w:r w:rsidRPr="00112529">
        <w:rPr>
          <w:rFonts w:ascii="Times" w:hAnsi="Times" w:cs="Times"/>
          <w:noProof/>
        </w:rPr>
        <w:t>:4583–4588. doi:10.3390/molecules15074583</w:t>
      </w:r>
    </w:p>
    <w:p w14:paraId="7983F3E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90. </w:t>
      </w:r>
      <w:r w:rsidRPr="00112529">
        <w:rPr>
          <w:rFonts w:ascii="Times" w:hAnsi="Times" w:cs="Times"/>
          <w:noProof/>
        </w:rPr>
        <w:tab/>
        <w:t xml:space="preserve">Zhi KK, Yang ZD, Shi DF, Yao XJ, Wang MG. Desmodeleganine, a new alkaloid from the leaves of Desmodium elegans as a potential monoamine oxidase inhibitor. </w:t>
      </w:r>
      <w:r w:rsidRPr="00112529">
        <w:rPr>
          <w:rFonts w:ascii="Times" w:hAnsi="Times" w:cs="Times"/>
          <w:i/>
          <w:iCs/>
          <w:noProof/>
        </w:rPr>
        <w:t>Fitoterapia</w:t>
      </w:r>
      <w:r w:rsidRPr="00112529">
        <w:rPr>
          <w:rFonts w:ascii="Times" w:hAnsi="Times" w:cs="Times"/>
          <w:noProof/>
        </w:rPr>
        <w:t xml:space="preserve"> (2014) </w:t>
      </w:r>
      <w:r w:rsidRPr="00112529">
        <w:rPr>
          <w:rFonts w:ascii="Times" w:hAnsi="Times" w:cs="Times"/>
          <w:b/>
          <w:bCs/>
          <w:noProof/>
        </w:rPr>
        <w:t>98</w:t>
      </w:r>
      <w:r w:rsidRPr="00112529">
        <w:rPr>
          <w:rFonts w:ascii="Times" w:hAnsi="Times" w:cs="Times"/>
          <w:noProof/>
        </w:rPr>
        <w:t>:160–165. doi:10.1016/j.fitote.2014.07.022</w:t>
      </w:r>
    </w:p>
    <w:p w14:paraId="5631991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91. </w:t>
      </w:r>
      <w:r w:rsidRPr="00112529">
        <w:rPr>
          <w:rFonts w:ascii="Times" w:hAnsi="Times" w:cs="Times"/>
          <w:noProof/>
        </w:rPr>
        <w:tab/>
        <w:t xml:space="preserve">Amariz IA e., Pereira ECV, Alencar Filho JMT de, Silva JP da, Souza NAC de, de Oliveira AP, Rolim LA, Pereira RN. Chemical study of Mimosa tenuiflora barks. </w:t>
      </w:r>
      <w:r w:rsidRPr="00112529">
        <w:rPr>
          <w:rFonts w:ascii="Times" w:hAnsi="Times" w:cs="Times"/>
          <w:i/>
          <w:iCs/>
          <w:noProof/>
        </w:rPr>
        <w:t>Nat Prod Res</w:t>
      </w:r>
      <w:r w:rsidRPr="00112529">
        <w:rPr>
          <w:rFonts w:ascii="Times" w:hAnsi="Times" w:cs="Times"/>
          <w:noProof/>
        </w:rPr>
        <w:t xml:space="preserve"> (2020) doi:10.1080/14786419.2020.1813135</w:t>
      </w:r>
    </w:p>
    <w:p w14:paraId="47CB315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92. </w:t>
      </w:r>
      <w:r w:rsidRPr="00112529">
        <w:rPr>
          <w:rFonts w:ascii="Times" w:hAnsi="Times" w:cs="Times"/>
          <w:noProof/>
        </w:rPr>
        <w:tab/>
        <w:t xml:space="preserve">Pereira GM, Moreira LGL, Neto T da SN, Moreira de Almeida WA, Almeida-Lima J, Rocha HAO, Barbosa EG, Zuanazzi JAS, de Almeida MV, Grazul RM, et al. Isolation, spectral characterization, molecular docking, and cytotoxic activity of alkaloids from Erythroxylum pungens O. E. Shulz. </w:t>
      </w:r>
      <w:r w:rsidRPr="00112529">
        <w:rPr>
          <w:rFonts w:ascii="Times" w:hAnsi="Times" w:cs="Times"/>
          <w:i/>
          <w:iCs/>
          <w:noProof/>
        </w:rPr>
        <w:t>Phytochemistry</w:t>
      </w:r>
      <w:r w:rsidRPr="00112529">
        <w:rPr>
          <w:rFonts w:ascii="Times" w:hAnsi="Times" w:cs="Times"/>
          <w:noProof/>
        </w:rPr>
        <w:t xml:space="preserve"> (2018) </w:t>
      </w:r>
      <w:r w:rsidRPr="00112529">
        <w:rPr>
          <w:rFonts w:ascii="Times" w:hAnsi="Times" w:cs="Times"/>
          <w:b/>
          <w:bCs/>
          <w:noProof/>
        </w:rPr>
        <w:t>155</w:t>
      </w:r>
      <w:r w:rsidRPr="00112529">
        <w:rPr>
          <w:rFonts w:ascii="Times" w:hAnsi="Times" w:cs="Times"/>
          <w:noProof/>
        </w:rPr>
        <w:t>:12–18. doi:10.1016/j.phytochem.2018.07.003</w:t>
      </w:r>
    </w:p>
    <w:p w14:paraId="5931C27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93. </w:t>
      </w:r>
      <w:r w:rsidRPr="00112529">
        <w:rPr>
          <w:rFonts w:ascii="Times" w:hAnsi="Times" w:cs="Times"/>
          <w:noProof/>
        </w:rPr>
        <w:tab/>
        <w:t xml:space="preserve">Tsochatzis E, Lopes JA, Reniero F, Holland M, Åberg J, Guillou C. Identification of 1-butyl-lysergic acid diethylamide (1B-LSD) in seized blotter paper using an integrated workflow of analytical techniques and chemo-informatics. </w:t>
      </w:r>
      <w:r w:rsidRPr="00112529">
        <w:rPr>
          <w:rFonts w:ascii="Times" w:hAnsi="Times" w:cs="Times"/>
          <w:i/>
          <w:iCs/>
          <w:noProof/>
        </w:rPr>
        <w:t>Molecules</w:t>
      </w:r>
      <w:r w:rsidRPr="00112529">
        <w:rPr>
          <w:rFonts w:ascii="Times" w:hAnsi="Times" w:cs="Times"/>
          <w:noProof/>
        </w:rPr>
        <w:t xml:space="preserve"> (2020) </w:t>
      </w:r>
      <w:r w:rsidRPr="00112529">
        <w:rPr>
          <w:rFonts w:ascii="Times" w:hAnsi="Times" w:cs="Times"/>
          <w:b/>
          <w:bCs/>
          <w:noProof/>
        </w:rPr>
        <w:t>25</w:t>
      </w:r>
      <w:r w:rsidRPr="00112529">
        <w:rPr>
          <w:rFonts w:ascii="Times" w:hAnsi="Times" w:cs="Times"/>
          <w:noProof/>
        </w:rPr>
        <w:t>: doi:10.3390/molecules25030712</w:t>
      </w:r>
    </w:p>
    <w:p w14:paraId="64FDDE2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94. </w:t>
      </w:r>
      <w:r w:rsidRPr="00112529">
        <w:rPr>
          <w:rFonts w:ascii="Times" w:hAnsi="Times" w:cs="Times"/>
          <w:noProof/>
        </w:rPr>
        <w:tab/>
        <w:t xml:space="preserve">Lenz C, Wick J, Braga D, García-Altares M, Lackner G, Hertweck C, Gressler M, Hoffmeister D. Injury-Triggered Blueing Reactions of Psilocybe “Magic” Mushrooms. </w:t>
      </w:r>
      <w:r w:rsidRPr="00112529">
        <w:rPr>
          <w:rFonts w:ascii="Times" w:hAnsi="Times" w:cs="Times"/>
          <w:i/>
          <w:iCs/>
          <w:noProof/>
        </w:rPr>
        <w:t>Angew Chemie - Int Ed</w:t>
      </w:r>
      <w:r w:rsidRPr="00112529">
        <w:rPr>
          <w:rFonts w:ascii="Times" w:hAnsi="Times" w:cs="Times"/>
          <w:noProof/>
        </w:rPr>
        <w:t xml:space="preserve"> (2020) </w:t>
      </w:r>
      <w:r w:rsidRPr="00112529">
        <w:rPr>
          <w:rFonts w:ascii="Times" w:hAnsi="Times" w:cs="Times"/>
          <w:b/>
          <w:bCs/>
          <w:noProof/>
        </w:rPr>
        <w:t>59</w:t>
      </w:r>
      <w:r w:rsidRPr="00112529">
        <w:rPr>
          <w:rFonts w:ascii="Times" w:hAnsi="Times" w:cs="Times"/>
          <w:noProof/>
        </w:rPr>
        <w:t>:1450–1454. doi:10.1002/anie.201910175</w:t>
      </w:r>
    </w:p>
    <w:p w14:paraId="7A3FEA8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95. </w:t>
      </w:r>
      <w:r w:rsidRPr="00112529">
        <w:rPr>
          <w:rFonts w:ascii="Times" w:hAnsi="Times" w:cs="Times"/>
          <w:noProof/>
        </w:rPr>
        <w:tab/>
        <w:t xml:space="preserve">Blei F, Dörner S, Fricke J, Baldeweg F, Trottmann F, Komor A, Meyer F, Hertweck C, Hoffmeister D. Simultaneous Production of Psilocybin and a Cocktail of β-Carboline Monoamine Oxidase Inhibitors in “Magic” Mushrooms. </w:t>
      </w:r>
      <w:r w:rsidRPr="00112529">
        <w:rPr>
          <w:rFonts w:ascii="Times" w:hAnsi="Times" w:cs="Times"/>
          <w:i/>
          <w:iCs/>
          <w:noProof/>
        </w:rPr>
        <w:t>Chem - A Eur J</w:t>
      </w:r>
      <w:r w:rsidRPr="00112529">
        <w:rPr>
          <w:rFonts w:ascii="Times" w:hAnsi="Times" w:cs="Times"/>
          <w:noProof/>
        </w:rPr>
        <w:t xml:space="preserve"> (2020) </w:t>
      </w:r>
      <w:r w:rsidRPr="00112529">
        <w:rPr>
          <w:rFonts w:ascii="Times" w:hAnsi="Times" w:cs="Times"/>
          <w:b/>
          <w:bCs/>
          <w:noProof/>
        </w:rPr>
        <w:t>26</w:t>
      </w:r>
      <w:r w:rsidRPr="00112529">
        <w:rPr>
          <w:rFonts w:ascii="Times" w:hAnsi="Times" w:cs="Times"/>
          <w:noProof/>
        </w:rPr>
        <w:t>:729–734. doi:10.1002/chem.201904363</w:t>
      </w:r>
    </w:p>
    <w:p w14:paraId="0115735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96. </w:t>
      </w:r>
      <w:r w:rsidRPr="00112529">
        <w:rPr>
          <w:rFonts w:ascii="Times" w:hAnsi="Times" w:cs="Times"/>
          <w:noProof/>
        </w:rPr>
        <w:tab/>
        <w:t xml:space="preserve">Shoda T, Fukuhara K, Goda Y, Okuda H. Enzyme-assisted synthesis of the glucuronide conjugate of psilocin, an hallucinogenic component of magic mushrooms. </w:t>
      </w:r>
      <w:r w:rsidRPr="00112529">
        <w:rPr>
          <w:rFonts w:ascii="Times" w:hAnsi="Times" w:cs="Times"/>
          <w:i/>
          <w:iCs/>
          <w:noProof/>
        </w:rPr>
        <w:t>Drug Test Anal</w:t>
      </w:r>
      <w:r w:rsidRPr="00112529">
        <w:rPr>
          <w:rFonts w:ascii="Times" w:hAnsi="Times" w:cs="Times"/>
          <w:noProof/>
        </w:rPr>
        <w:t xml:space="preserve"> (2011) </w:t>
      </w:r>
      <w:r w:rsidRPr="00112529">
        <w:rPr>
          <w:rFonts w:ascii="Times" w:hAnsi="Times" w:cs="Times"/>
          <w:b/>
          <w:bCs/>
          <w:noProof/>
        </w:rPr>
        <w:t>3</w:t>
      </w:r>
      <w:r w:rsidRPr="00112529">
        <w:rPr>
          <w:rFonts w:ascii="Times" w:hAnsi="Times" w:cs="Times"/>
          <w:noProof/>
        </w:rPr>
        <w:t>:594–596. doi:10.1002/dta.244</w:t>
      </w:r>
    </w:p>
    <w:p w14:paraId="2EF6CE4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97. </w:t>
      </w:r>
      <w:r w:rsidRPr="00112529">
        <w:rPr>
          <w:rFonts w:ascii="Times" w:hAnsi="Times" w:cs="Times"/>
          <w:noProof/>
        </w:rPr>
        <w:tab/>
        <w:t xml:space="preserve">Kamata T, Nishikawa M, Katagi M, Tsuchihashi H. Optimized glucuronide hydrolysis for the detection of psilocin in human urine samples. </w:t>
      </w:r>
      <w:r w:rsidRPr="00112529">
        <w:rPr>
          <w:rFonts w:ascii="Times" w:hAnsi="Times" w:cs="Times"/>
          <w:i/>
          <w:iCs/>
          <w:noProof/>
        </w:rPr>
        <w:t>J Chromatogr B Anal Technol Biomed Life Sci</w:t>
      </w:r>
      <w:r w:rsidRPr="00112529">
        <w:rPr>
          <w:rFonts w:ascii="Times" w:hAnsi="Times" w:cs="Times"/>
          <w:noProof/>
        </w:rPr>
        <w:t xml:space="preserve"> (2003) </w:t>
      </w:r>
      <w:r w:rsidRPr="00112529">
        <w:rPr>
          <w:rFonts w:ascii="Times" w:hAnsi="Times" w:cs="Times"/>
          <w:b/>
          <w:bCs/>
          <w:noProof/>
        </w:rPr>
        <w:t>796</w:t>
      </w:r>
      <w:r w:rsidRPr="00112529">
        <w:rPr>
          <w:rFonts w:ascii="Times" w:hAnsi="Times" w:cs="Times"/>
          <w:noProof/>
        </w:rPr>
        <w:t>:421–427. doi:10.1016/j.jchromb.2003.08.030</w:t>
      </w:r>
    </w:p>
    <w:p w14:paraId="4D53AB4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98. </w:t>
      </w:r>
      <w:r w:rsidRPr="00112529">
        <w:rPr>
          <w:rFonts w:ascii="Times" w:hAnsi="Times" w:cs="Times"/>
          <w:noProof/>
        </w:rPr>
        <w:tab/>
        <w:t xml:space="preserve">Costa TOG, Morales RAV, Brito JP, Gordo M, Pinto AC, Bloch C. Occurrence of bufotenin in the Osteocephalus genus (Anura: Hylidae). </w:t>
      </w:r>
      <w:r w:rsidRPr="00112529">
        <w:rPr>
          <w:rFonts w:ascii="Times" w:hAnsi="Times" w:cs="Times"/>
          <w:i/>
          <w:iCs/>
          <w:noProof/>
        </w:rPr>
        <w:t>Toxicon</w:t>
      </w:r>
      <w:r w:rsidRPr="00112529">
        <w:rPr>
          <w:rFonts w:ascii="Times" w:hAnsi="Times" w:cs="Times"/>
          <w:noProof/>
        </w:rPr>
        <w:t xml:space="preserve"> (2005) </w:t>
      </w:r>
      <w:r w:rsidRPr="00112529">
        <w:rPr>
          <w:rFonts w:ascii="Times" w:hAnsi="Times" w:cs="Times"/>
          <w:b/>
          <w:bCs/>
          <w:noProof/>
        </w:rPr>
        <w:t>46</w:t>
      </w:r>
      <w:r w:rsidRPr="00112529">
        <w:rPr>
          <w:rFonts w:ascii="Times" w:hAnsi="Times" w:cs="Times"/>
          <w:noProof/>
        </w:rPr>
        <w:t>:371–375. doi:10.1016/j.toxicon.2005.02.006</w:t>
      </w:r>
    </w:p>
    <w:p w14:paraId="1DDE4D9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99. </w:t>
      </w:r>
      <w:r w:rsidRPr="00112529">
        <w:rPr>
          <w:rFonts w:ascii="Times" w:hAnsi="Times" w:cs="Times"/>
          <w:noProof/>
        </w:rPr>
        <w:tab/>
        <w:t xml:space="preserve">Shirota O, Hakamata W, Goda Y. Concise large-scale synthesis of psilocin and psilocybin, principal hallucinogenic constituents of “magic mushroom.” </w:t>
      </w:r>
      <w:r w:rsidRPr="00112529">
        <w:rPr>
          <w:rFonts w:ascii="Times" w:hAnsi="Times" w:cs="Times"/>
          <w:i/>
          <w:iCs/>
          <w:noProof/>
        </w:rPr>
        <w:t>J Nat Prod</w:t>
      </w:r>
      <w:r w:rsidRPr="00112529">
        <w:rPr>
          <w:rFonts w:ascii="Times" w:hAnsi="Times" w:cs="Times"/>
          <w:noProof/>
        </w:rPr>
        <w:t xml:space="preserve"> (2003) </w:t>
      </w:r>
      <w:r w:rsidRPr="00112529">
        <w:rPr>
          <w:rFonts w:ascii="Times" w:hAnsi="Times" w:cs="Times"/>
          <w:b/>
          <w:bCs/>
          <w:noProof/>
        </w:rPr>
        <w:t>66</w:t>
      </w:r>
      <w:r w:rsidRPr="00112529">
        <w:rPr>
          <w:rFonts w:ascii="Times" w:hAnsi="Times" w:cs="Times"/>
          <w:noProof/>
        </w:rPr>
        <w:t>:885–887. doi:10.1021/np030059u</w:t>
      </w:r>
    </w:p>
    <w:p w14:paraId="74549CE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100. </w:t>
      </w:r>
      <w:r w:rsidRPr="00112529">
        <w:rPr>
          <w:rFonts w:ascii="Times" w:hAnsi="Times" w:cs="Times"/>
          <w:noProof/>
        </w:rPr>
        <w:tab/>
        <w:t xml:space="preserve">Salamone SJ, Li Z, McNally AJ, Vitone S, Wu RS. Epimerization studies of LSD using 1H nuclear magnetic resonance (NMR) spectroscopy. </w:t>
      </w:r>
      <w:r w:rsidRPr="00112529">
        <w:rPr>
          <w:rFonts w:ascii="Times" w:hAnsi="Times" w:cs="Times"/>
          <w:i/>
          <w:iCs/>
          <w:noProof/>
        </w:rPr>
        <w:t>J Anal Toxicol</w:t>
      </w:r>
      <w:r w:rsidRPr="00112529">
        <w:rPr>
          <w:rFonts w:ascii="Times" w:hAnsi="Times" w:cs="Times"/>
          <w:noProof/>
        </w:rPr>
        <w:t xml:space="preserve"> (1997) </w:t>
      </w:r>
      <w:r w:rsidRPr="00112529">
        <w:rPr>
          <w:rFonts w:ascii="Times" w:hAnsi="Times" w:cs="Times"/>
          <w:b/>
          <w:bCs/>
          <w:noProof/>
        </w:rPr>
        <w:t>21</w:t>
      </w:r>
      <w:r w:rsidRPr="00112529">
        <w:rPr>
          <w:rFonts w:ascii="Times" w:hAnsi="Times" w:cs="Times"/>
          <w:noProof/>
        </w:rPr>
        <w:t>:492–497. doi:10.1093/jat/21.6.492</w:t>
      </w:r>
    </w:p>
    <w:p w14:paraId="6D15644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101. </w:t>
      </w:r>
      <w:r w:rsidRPr="00112529">
        <w:rPr>
          <w:rFonts w:ascii="Times" w:hAnsi="Times" w:cs="Times"/>
          <w:noProof/>
        </w:rPr>
        <w:tab/>
        <w:t xml:space="preserve">Migliaccio GP, Shieh TLN, Byrn SR, Hathaway BA, Nichols DE. Comparison of Solution Conformational Preferences for the Hallucinogens Bufotenin and Psilocin Using 360-MHz Proton NMR Spectroscopy. </w:t>
      </w:r>
      <w:r w:rsidRPr="00112529">
        <w:rPr>
          <w:rFonts w:ascii="Times" w:hAnsi="Times" w:cs="Times"/>
          <w:i/>
          <w:iCs/>
          <w:noProof/>
        </w:rPr>
        <w:t>J Med Chem</w:t>
      </w:r>
      <w:r w:rsidRPr="00112529">
        <w:rPr>
          <w:rFonts w:ascii="Times" w:hAnsi="Times" w:cs="Times"/>
          <w:noProof/>
        </w:rPr>
        <w:t xml:space="preserve"> (1981) </w:t>
      </w:r>
      <w:r w:rsidRPr="00112529">
        <w:rPr>
          <w:rFonts w:ascii="Times" w:hAnsi="Times" w:cs="Times"/>
          <w:b/>
          <w:bCs/>
          <w:noProof/>
        </w:rPr>
        <w:t>24</w:t>
      </w:r>
      <w:r w:rsidRPr="00112529">
        <w:rPr>
          <w:rFonts w:ascii="Times" w:hAnsi="Times" w:cs="Times"/>
          <w:noProof/>
        </w:rPr>
        <w:t>:206–209. doi:10.1021/jm00134a016</w:t>
      </w:r>
    </w:p>
    <w:p w14:paraId="68B5B1F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102. </w:t>
      </w:r>
      <w:r w:rsidRPr="00112529">
        <w:rPr>
          <w:rFonts w:ascii="Times" w:hAnsi="Times" w:cs="Times"/>
          <w:noProof/>
        </w:rPr>
        <w:tab/>
        <w:t>Vogel WH. Physiological Disposition of 5-methoxytryptamine and the Rope Climbing Performance of Rats*. (1969).</w:t>
      </w:r>
    </w:p>
    <w:p w14:paraId="1D79426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103. </w:t>
      </w:r>
      <w:r w:rsidRPr="00112529">
        <w:rPr>
          <w:rFonts w:ascii="Times" w:hAnsi="Times" w:cs="Times"/>
          <w:noProof/>
        </w:rPr>
        <w:tab/>
        <w:t>Vogel WH, Evans BD. Structure-activity-relationships of certain hallucinogenic substances based on brain levels. Pergamon Press (1977).</w:t>
      </w:r>
    </w:p>
    <w:p w14:paraId="4FF50B9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104. </w:t>
      </w:r>
      <w:r w:rsidRPr="00112529">
        <w:rPr>
          <w:rFonts w:ascii="Times" w:hAnsi="Times" w:cs="Times"/>
          <w:noProof/>
        </w:rPr>
        <w:tab/>
        <w:t xml:space="preserve">Glennon RA, Gessner PK. Serotonin Receptor Binding Affinities of Tryptamine Analogs. </w:t>
      </w:r>
      <w:r w:rsidRPr="00112529">
        <w:rPr>
          <w:rFonts w:ascii="Times" w:hAnsi="Times" w:cs="Times"/>
          <w:i/>
          <w:iCs/>
          <w:noProof/>
        </w:rPr>
        <w:t>J Med Chem</w:t>
      </w:r>
      <w:r w:rsidRPr="00112529">
        <w:rPr>
          <w:rFonts w:ascii="Times" w:hAnsi="Times" w:cs="Times"/>
          <w:noProof/>
        </w:rPr>
        <w:t xml:space="preserve"> (1979) </w:t>
      </w:r>
      <w:r w:rsidRPr="00112529">
        <w:rPr>
          <w:rFonts w:ascii="Times" w:hAnsi="Times" w:cs="Times"/>
          <w:b/>
          <w:bCs/>
          <w:noProof/>
        </w:rPr>
        <w:t>22</w:t>
      </w:r>
      <w:r w:rsidRPr="00112529">
        <w:rPr>
          <w:rFonts w:ascii="Times" w:hAnsi="Times" w:cs="Times"/>
          <w:noProof/>
        </w:rPr>
        <w:t>:428–432. doi:10.1021/jm00190a014</w:t>
      </w:r>
    </w:p>
    <w:p w14:paraId="06CA4CB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lastRenderedPageBreak/>
        <w:t xml:space="preserve">105. </w:t>
      </w:r>
      <w:r w:rsidRPr="00112529">
        <w:rPr>
          <w:rFonts w:ascii="Times" w:hAnsi="Times" w:cs="Times"/>
          <w:noProof/>
        </w:rPr>
        <w:tab/>
        <w:t xml:space="preserve">Lovell RA, Freedman DX. Stereospecific Receptor Sites for d-Lysergic Acid Diethylamide in Rat Brain: Effects of Neurotransmitters, Amine Antagonists, and Other Psychotropic Drugs. </w:t>
      </w:r>
      <w:r w:rsidRPr="00112529">
        <w:rPr>
          <w:rFonts w:ascii="Times" w:hAnsi="Times" w:cs="Times"/>
          <w:i/>
          <w:iCs/>
          <w:noProof/>
        </w:rPr>
        <w:t>Mol Pharmacol</w:t>
      </w:r>
      <w:r w:rsidRPr="00112529">
        <w:rPr>
          <w:rFonts w:ascii="Times" w:hAnsi="Times" w:cs="Times"/>
          <w:noProof/>
        </w:rPr>
        <w:t xml:space="preserve"> (1976) </w:t>
      </w:r>
      <w:r w:rsidRPr="00112529">
        <w:rPr>
          <w:rFonts w:ascii="Times" w:hAnsi="Times" w:cs="Times"/>
          <w:b/>
          <w:bCs/>
          <w:noProof/>
        </w:rPr>
        <w:t>12</w:t>
      </w:r>
      <w:r w:rsidRPr="00112529">
        <w:rPr>
          <w:rFonts w:ascii="Times" w:hAnsi="Times" w:cs="Times"/>
          <w:noProof/>
        </w:rPr>
        <w:t>:</w:t>
      </w:r>
    </w:p>
    <w:p w14:paraId="19EEC0E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106. </w:t>
      </w:r>
      <w:r w:rsidRPr="00112529">
        <w:rPr>
          <w:rFonts w:ascii="Times" w:hAnsi="Times" w:cs="Times"/>
          <w:noProof/>
        </w:rPr>
        <w:tab/>
        <w:t xml:space="preserve">Fillion GMB, Rouselle J-C, Fillion M-P, Beaudoin DM, Goiny MR, Deniau J-M, Jacob JJ. High-Affinity Binding of [3H]5-Hydroxytryptamine to Brain Synaptosomal Membranes: Comparison with [3H]Lysergic Acid Diethylamide Binding. </w:t>
      </w:r>
      <w:r w:rsidRPr="00112529">
        <w:rPr>
          <w:rFonts w:ascii="Times" w:hAnsi="Times" w:cs="Times"/>
          <w:i/>
          <w:iCs/>
          <w:noProof/>
        </w:rPr>
        <w:t>Mol Pharmacol</w:t>
      </w:r>
      <w:r w:rsidRPr="00112529">
        <w:rPr>
          <w:rFonts w:ascii="Times" w:hAnsi="Times" w:cs="Times"/>
          <w:noProof/>
        </w:rPr>
        <w:t xml:space="preserve"> (1978) </w:t>
      </w:r>
      <w:r w:rsidRPr="00112529">
        <w:rPr>
          <w:rFonts w:ascii="Times" w:hAnsi="Times" w:cs="Times"/>
          <w:b/>
          <w:bCs/>
          <w:noProof/>
        </w:rPr>
        <w:t>14</w:t>
      </w:r>
      <w:r w:rsidRPr="00112529">
        <w:rPr>
          <w:rFonts w:ascii="Times" w:hAnsi="Times" w:cs="Times"/>
          <w:noProof/>
        </w:rPr>
        <w:t>:</w:t>
      </w:r>
    </w:p>
    <w:p w14:paraId="776C553B"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107. </w:t>
      </w:r>
      <w:r w:rsidRPr="00112529">
        <w:rPr>
          <w:rFonts w:ascii="Times" w:hAnsi="Times" w:cs="Times"/>
          <w:noProof/>
        </w:rPr>
        <w:tab/>
        <w:t xml:space="preserve">Gessner PK, Godse DD, Krull AH, McMullan JM. Structure-activity relationships among 5-methoxy-N:N-dimethyltryptamine, 4-hydroxy-N:N-dimethyltryptamine (psilocin) and other substituted tryptamines. </w:t>
      </w:r>
      <w:r w:rsidRPr="00112529">
        <w:rPr>
          <w:rFonts w:ascii="Times" w:hAnsi="Times" w:cs="Times"/>
          <w:i/>
          <w:iCs/>
          <w:noProof/>
        </w:rPr>
        <w:t>Life Sci</w:t>
      </w:r>
      <w:r w:rsidRPr="00112529">
        <w:rPr>
          <w:rFonts w:ascii="Times" w:hAnsi="Times" w:cs="Times"/>
          <w:noProof/>
        </w:rPr>
        <w:t xml:space="preserve"> (1968) </w:t>
      </w:r>
      <w:r w:rsidRPr="00112529">
        <w:rPr>
          <w:rFonts w:ascii="Times" w:hAnsi="Times" w:cs="Times"/>
          <w:b/>
          <w:bCs/>
          <w:noProof/>
        </w:rPr>
        <w:t>7</w:t>
      </w:r>
      <w:r w:rsidRPr="00112529">
        <w:rPr>
          <w:rFonts w:ascii="Times" w:hAnsi="Times" w:cs="Times"/>
          <w:noProof/>
        </w:rPr>
        <w:t>:267–277. doi:10.1016/0024-3205(68)90200-2</w:t>
      </w:r>
    </w:p>
    <w:p w14:paraId="120EB26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108. </w:t>
      </w:r>
      <w:r w:rsidRPr="00112529">
        <w:rPr>
          <w:rFonts w:ascii="Times" w:hAnsi="Times" w:cs="Times"/>
          <w:noProof/>
        </w:rPr>
        <w:tab/>
        <w:t xml:space="preserve">Carhart-Harris RL, Roseman L, Bolstridge M, Demetriou L, Pannekoek JN, Wall MB, Tanner M, Kaelen M, McGonigle J, Murphy K, et al. Psilocybin for treatment-resistant depression: FMRI-measured brain mechanisms. </w:t>
      </w:r>
      <w:r w:rsidRPr="00112529">
        <w:rPr>
          <w:rFonts w:ascii="Times" w:hAnsi="Times" w:cs="Times"/>
          <w:i/>
          <w:iCs/>
          <w:noProof/>
        </w:rPr>
        <w:t>Sci Rep</w:t>
      </w:r>
      <w:r w:rsidRPr="00112529">
        <w:rPr>
          <w:rFonts w:ascii="Times" w:hAnsi="Times" w:cs="Times"/>
          <w:noProof/>
        </w:rPr>
        <w:t xml:space="preserve"> (2017) </w:t>
      </w:r>
      <w:r w:rsidRPr="00112529">
        <w:rPr>
          <w:rFonts w:ascii="Times" w:hAnsi="Times" w:cs="Times"/>
          <w:b/>
          <w:bCs/>
          <w:noProof/>
        </w:rPr>
        <w:t>7</w:t>
      </w:r>
      <w:r w:rsidRPr="00112529">
        <w:rPr>
          <w:rFonts w:ascii="Times" w:hAnsi="Times" w:cs="Times"/>
          <w:noProof/>
        </w:rPr>
        <w:t>: doi:10.1038/s41598-017-13282-7</w:t>
      </w:r>
    </w:p>
    <w:p w14:paraId="58DF819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109. </w:t>
      </w:r>
      <w:r w:rsidRPr="00112529">
        <w:rPr>
          <w:rFonts w:ascii="Times" w:hAnsi="Times" w:cs="Times"/>
          <w:noProof/>
        </w:rPr>
        <w:tab/>
        <w:t xml:space="preserve">Roseman L, Demetriou L, Wall MB, Nutt DJ, Carhart-Harris RL. Increased amygdala responses to emotional faces after psilocybin for treatment-resistant depression. </w:t>
      </w:r>
      <w:r w:rsidRPr="00112529">
        <w:rPr>
          <w:rFonts w:ascii="Times" w:hAnsi="Times" w:cs="Times"/>
          <w:i/>
          <w:iCs/>
          <w:noProof/>
        </w:rPr>
        <w:t>Neuropharmacology</w:t>
      </w:r>
      <w:r w:rsidRPr="00112529">
        <w:rPr>
          <w:rFonts w:ascii="Times" w:hAnsi="Times" w:cs="Times"/>
          <w:noProof/>
        </w:rPr>
        <w:t xml:space="preserve"> (2018) </w:t>
      </w:r>
      <w:r w:rsidRPr="00112529">
        <w:rPr>
          <w:rFonts w:ascii="Times" w:hAnsi="Times" w:cs="Times"/>
          <w:b/>
          <w:bCs/>
          <w:noProof/>
        </w:rPr>
        <w:t>142</w:t>
      </w:r>
      <w:r w:rsidRPr="00112529">
        <w:rPr>
          <w:rFonts w:ascii="Times" w:hAnsi="Times" w:cs="Times"/>
          <w:noProof/>
        </w:rPr>
        <w:t>:263–269. doi:10.1016/j.neuropharm.2017.12.041</w:t>
      </w:r>
    </w:p>
    <w:p w14:paraId="117C86E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110. </w:t>
      </w:r>
      <w:r w:rsidRPr="00112529">
        <w:rPr>
          <w:rFonts w:ascii="Times" w:hAnsi="Times" w:cs="Times"/>
          <w:noProof/>
        </w:rPr>
        <w:tab/>
        <w:t xml:space="preserve">Felix M, Stefan B. Acute effects of lysergic acid diethylamide (LSD) on resting brain function. </w:t>
      </w:r>
      <w:r w:rsidRPr="00112529">
        <w:rPr>
          <w:rFonts w:ascii="Times" w:hAnsi="Times" w:cs="Times"/>
          <w:i/>
          <w:iCs/>
          <w:noProof/>
        </w:rPr>
        <w:t>Swiss Med Wkly</w:t>
      </w:r>
      <w:r w:rsidRPr="00112529">
        <w:rPr>
          <w:rFonts w:ascii="Times" w:hAnsi="Times" w:cs="Times"/>
          <w:noProof/>
        </w:rPr>
        <w:t xml:space="preserve"> (2019) </w:t>
      </w:r>
      <w:r w:rsidRPr="00112529">
        <w:rPr>
          <w:rFonts w:ascii="Times" w:hAnsi="Times" w:cs="Times"/>
          <w:b/>
          <w:bCs/>
          <w:noProof/>
        </w:rPr>
        <w:t>149</w:t>
      </w:r>
      <w:r w:rsidRPr="00112529">
        <w:rPr>
          <w:rFonts w:ascii="Times" w:hAnsi="Times" w:cs="Times"/>
          <w:noProof/>
        </w:rPr>
        <w:t>: doi:10.4414/smw.2019.20124</w:t>
      </w:r>
    </w:p>
    <w:p w14:paraId="71512DF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111. </w:t>
      </w:r>
      <w:r w:rsidRPr="00112529">
        <w:rPr>
          <w:rFonts w:ascii="Times" w:hAnsi="Times" w:cs="Times"/>
          <w:noProof/>
        </w:rPr>
        <w:tab/>
        <w:t xml:space="preserve">Carhart-Harris RL, Erritzoe D, Williams T, Stone JM, Reed LJ, Colasanti A, Tyacke RJ, Leech R, Malizia AL, Murphy K, et al. Neural correlates of the psychedelic state as determined by fMRI studies with psilocybin. </w:t>
      </w:r>
      <w:r w:rsidRPr="00112529">
        <w:rPr>
          <w:rFonts w:ascii="Times" w:hAnsi="Times" w:cs="Times"/>
          <w:i/>
          <w:iCs/>
          <w:noProof/>
        </w:rPr>
        <w:t>Proc Natl Acad Sci U S A</w:t>
      </w:r>
      <w:r w:rsidRPr="00112529">
        <w:rPr>
          <w:rFonts w:ascii="Times" w:hAnsi="Times" w:cs="Times"/>
          <w:noProof/>
        </w:rPr>
        <w:t xml:space="preserve"> (2012) </w:t>
      </w:r>
      <w:r w:rsidRPr="00112529">
        <w:rPr>
          <w:rFonts w:ascii="Times" w:hAnsi="Times" w:cs="Times"/>
          <w:b/>
          <w:bCs/>
          <w:noProof/>
        </w:rPr>
        <w:t>109</w:t>
      </w:r>
      <w:r w:rsidRPr="00112529">
        <w:rPr>
          <w:rFonts w:ascii="Times" w:hAnsi="Times" w:cs="Times"/>
          <w:noProof/>
        </w:rPr>
        <w:t>:2138–2143. doi:10.1073/pnas.1119598109</w:t>
      </w:r>
    </w:p>
    <w:p w14:paraId="525CCD2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112. </w:t>
      </w:r>
      <w:r w:rsidRPr="00112529">
        <w:rPr>
          <w:rFonts w:ascii="Times" w:hAnsi="Times" w:cs="Times"/>
          <w:noProof/>
        </w:rPr>
        <w:tab/>
        <w:t xml:space="preserve">Tófoli LF, de Araujo DB. “Treating Addiction: Perspectives from EEG and Imaging Studies on Psychedelics,” in </w:t>
      </w:r>
      <w:r w:rsidRPr="00112529">
        <w:rPr>
          <w:rFonts w:ascii="Times" w:hAnsi="Times" w:cs="Times"/>
          <w:i/>
          <w:iCs/>
          <w:noProof/>
        </w:rPr>
        <w:t>International Review of Neurobiology</w:t>
      </w:r>
      <w:r w:rsidRPr="00112529">
        <w:rPr>
          <w:rFonts w:ascii="Times" w:hAnsi="Times" w:cs="Times"/>
          <w:noProof/>
        </w:rPr>
        <w:t xml:space="preserve"> (Academic Press Inc.), 157–185. doi:10.1016/bs.irn.2016.06.005</w:t>
      </w:r>
    </w:p>
    <w:p w14:paraId="4D36E6AC" w14:textId="77777777" w:rsidR="00112529" w:rsidRPr="00112529" w:rsidRDefault="00112529" w:rsidP="00112529">
      <w:pPr>
        <w:widowControl w:val="0"/>
        <w:autoSpaceDE w:val="0"/>
        <w:autoSpaceDN w:val="0"/>
        <w:adjustRightInd w:val="0"/>
        <w:ind w:left="640" w:hanging="640"/>
        <w:rPr>
          <w:rFonts w:ascii="Times" w:hAnsi="Times" w:cs="Times"/>
          <w:noProof/>
        </w:rPr>
      </w:pPr>
      <w:r w:rsidRPr="00CA61AB">
        <w:rPr>
          <w:rFonts w:ascii="Times" w:hAnsi="Times" w:cs="Times"/>
          <w:noProof/>
          <w:lang w:val="nb-NO"/>
        </w:rPr>
        <w:t xml:space="preserve">113. </w:t>
      </w:r>
      <w:r w:rsidRPr="00CA61AB">
        <w:rPr>
          <w:rFonts w:ascii="Times" w:hAnsi="Times" w:cs="Times"/>
          <w:noProof/>
          <w:lang w:val="nb-NO"/>
        </w:rPr>
        <w:tab/>
        <w:t xml:space="preserve">Kometer M, Pokorny T, Seifritz E, Volleinweider FX. </w:t>
      </w:r>
      <w:r w:rsidRPr="00112529">
        <w:rPr>
          <w:rFonts w:ascii="Times" w:hAnsi="Times" w:cs="Times"/>
          <w:noProof/>
        </w:rPr>
        <w:t xml:space="preserve">Psilocybin-induced spiritual experiences and insightfulness are associated with synchronization of neuronal oscillations. </w:t>
      </w:r>
      <w:r w:rsidRPr="00112529">
        <w:rPr>
          <w:rFonts w:ascii="Times" w:hAnsi="Times" w:cs="Times"/>
          <w:i/>
          <w:iCs/>
          <w:noProof/>
        </w:rPr>
        <w:t>Psychopharmacology (Berl)</w:t>
      </w:r>
      <w:r w:rsidRPr="00112529">
        <w:rPr>
          <w:rFonts w:ascii="Times" w:hAnsi="Times" w:cs="Times"/>
          <w:noProof/>
        </w:rPr>
        <w:t xml:space="preserve"> (2015) </w:t>
      </w:r>
      <w:r w:rsidRPr="00112529">
        <w:rPr>
          <w:rFonts w:ascii="Times" w:hAnsi="Times" w:cs="Times"/>
          <w:b/>
          <w:bCs/>
          <w:noProof/>
        </w:rPr>
        <w:t>232</w:t>
      </w:r>
      <w:r w:rsidRPr="00112529">
        <w:rPr>
          <w:rFonts w:ascii="Times" w:hAnsi="Times" w:cs="Times"/>
          <w:noProof/>
        </w:rPr>
        <w:t>:3663–3676. doi:10.1007/s00213-015-4026-7</w:t>
      </w:r>
    </w:p>
    <w:p w14:paraId="4E3C335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114. </w:t>
      </w:r>
      <w:r w:rsidRPr="00112529">
        <w:rPr>
          <w:rFonts w:ascii="Times" w:hAnsi="Times" w:cs="Times"/>
          <w:noProof/>
        </w:rPr>
        <w:tab/>
        <w:t xml:space="preserve">Riba J, Anderer P, Morte A, Urbano G, Jané F, Saletu B, Barbanoj MJ. Topographic pharmaco-EEG mapping of the effects of the South American psychoactive beverage ayahuasca in healthy volunteers. </w:t>
      </w:r>
      <w:r w:rsidRPr="00112529">
        <w:rPr>
          <w:rFonts w:ascii="Times" w:hAnsi="Times" w:cs="Times"/>
          <w:i/>
          <w:iCs/>
          <w:noProof/>
        </w:rPr>
        <w:t>Br J Clin Pharmacol</w:t>
      </w:r>
      <w:r w:rsidRPr="00112529">
        <w:rPr>
          <w:rFonts w:ascii="Times" w:hAnsi="Times" w:cs="Times"/>
          <w:noProof/>
        </w:rPr>
        <w:t xml:space="preserve"> (2002) </w:t>
      </w:r>
      <w:r w:rsidRPr="00112529">
        <w:rPr>
          <w:rFonts w:ascii="Times" w:hAnsi="Times" w:cs="Times"/>
          <w:b/>
          <w:bCs/>
          <w:noProof/>
        </w:rPr>
        <w:t>53</w:t>
      </w:r>
      <w:r w:rsidRPr="00112529">
        <w:rPr>
          <w:rFonts w:ascii="Times" w:hAnsi="Times" w:cs="Times"/>
          <w:noProof/>
        </w:rPr>
        <w:t>:613–628. doi:10.1046/j.1365-2125.2002.01609.x</w:t>
      </w:r>
    </w:p>
    <w:p w14:paraId="768A8F2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115. </w:t>
      </w:r>
      <w:r w:rsidRPr="00112529">
        <w:rPr>
          <w:rFonts w:ascii="Times" w:hAnsi="Times" w:cs="Times"/>
          <w:noProof/>
        </w:rPr>
        <w:tab/>
        <w:t xml:space="preserve">Barnett L, Muthukumaraswamy SD, Carhart-Harris RL, Seth AK. Decreased directed functional connectivity in the psychedelic state. </w:t>
      </w:r>
      <w:r w:rsidRPr="00112529">
        <w:rPr>
          <w:rFonts w:ascii="Times" w:hAnsi="Times" w:cs="Times"/>
          <w:i/>
          <w:iCs/>
          <w:noProof/>
        </w:rPr>
        <w:t>Neuroimage</w:t>
      </w:r>
      <w:r w:rsidRPr="00112529">
        <w:rPr>
          <w:rFonts w:ascii="Times" w:hAnsi="Times" w:cs="Times"/>
          <w:noProof/>
        </w:rPr>
        <w:t xml:space="preserve"> (2020) </w:t>
      </w:r>
      <w:r w:rsidRPr="00112529">
        <w:rPr>
          <w:rFonts w:ascii="Times" w:hAnsi="Times" w:cs="Times"/>
          <w:b/>
          <w:bCs/>
          <w:noProof/>
        </w:rPr>
        <w:t>209</w:t>
      </w:r>
      <w:r w:rsidRPr="00112529">
        <w:rPr>
          <w:rFonts w:ascii="Times" w:hAnsi="Times" w:cs="Times"/>
          <w:noProof/>
        </w:rPr>
        <w:t>: doi:10.1016/j.neuroimage.2019.116462</w:t>
      </w:r>
    </w:p>
    <w:p w14:paraId="3CA2E9B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116. </w:t>
      </w:r>
      <w:r w:rsidRPr="00112529">
        <w:rPr>
          <w:rFonts w:ascii="Times" w:hAnsi="Times" w:cs="Times"/>
          <w:noProof/>
        </w:rPr>
        <w:tab/>
        <w:t xml:space="preserve">Schartner MM, Carhart-Harris RL, Barrett AB, Seth AK, Muthukumaraswamy SD. Increased spontaneous MEG signal diversity for psychoactive doses of ketamine, LSD and psilocybin. </w:t>
      </w:r>
      <w:r w:rsidRPr="00112529">
        <w:rPr>
          <w:rFonts w:ascii="Times" w:hAnsi="Times" w:cs="Times"/>
          <w:i/>
          <w:iCs/>
          <w:noProof/>
        </w:rPr>
        <w:t>Sci Rep</w:t>
      </w:r>
      <w:r w:rsidRPr="00112529">
        <w:rPr>
          <w:rFonts w:ascii="Times" w:hAnsi="Times" w:cs="Times"/>
          <w:noProof/>
        </w:rPr>
        <w:t xml:space="preserve"> (2017) </w:t>
      </w:r>
      <w:r w:rsidRPr="00112529">
        <w:rPr>
          <w:rFonts w:ascii="Times" w:hAnsi="Times" w:cs="Times"/>
          <w:b/>
          <w:bCs/>
          <w:noProof/>
        </w:rPr>
        <w:t>7</w:t>
      </w:r>
      <w:r w:rsidRPr="00112529">
        <w:rPr>
          <w:rFonts w:ascii="Times" w:hAnsi="Times" w:cs="Times"/>
          <w:noProof/>
        </w:rPr>
        <w:t>: doi:10.1038/srep46421</w:t>
      </w:r>
    </w:p>
    <w:p w14:paraId="50ECF8C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117. </w:t>
      </w:r>
      <w:r w:rsidRPr="00112529">
        <w:rPr>
          <w:rFonts w:ascii="Times" w:hAnsi="Times" w:cs="Times"/>
          <w:noProof/>
        </w:rPr>
        <w:tab/>
        <w:t xml:space="preserve">Timmermann C, Spriggs MJ, Kaelen M, Leech R, Nutt DJ, Moran RJ, Carhart-Harris RL, Muthukumaraswamy SD. LSD modulates effective connectivity and neural adaptation mechanisms in an auditory oddball paradigm. </w:t>
      </w:r>
      <w:r w:rsidRPr="00112529">
        <w:rPr>
          <w:rFonts w:ascii="Times" w:hAnsi="Times" w:cs="Times"/>
          <w:i/>
          <w:iCs/>
          <w:noProof/>
        </w:rPr>
        <w:t>Neuropharmacology</w:t>
      </w:r>
      <w:r w:rsidRPr="00112529">
        <w:rPr>
          <w:rFonts w:ascii="Times" w:hAnsi="Times" w:cs="Times"/>
          <w:noProof/>
        </w:rPr>
        <w:t xml:space="preserve"> (2018) </w:t>
      </w:r>
      <w:r w:rsidRPr="00112529">
        <w:rPr>
          <w:rFonts w:ascii="Times" w:hAnsi="Times" w:cs="Times"/>
          <w:b/>
          <w:bCs/>
          <w:noProof/>
        </w:rPr>
        <w:t>142</w:t>
      </w:r>
      <w:r w:rsidRPr="00112529">
        <w:rPr>
          <w:rFonts w:ascii="Times" w:hAnsi="Times" w:cs="Times"/>
          <w:noProof/>
        </w:rPr>
        <w:t>:251–262. doi:10.1016/j.neuropharm.2017.10.039</w:t>
      </w:r>
    </w:p>
    <w:p w14:paraId="2E11E32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118. </w:t>
      </w:r>
      <w:r w:rsidRPr="00112529">
        <w:rPr>
          <w:rFonts w:ascii="Times" w:hAnsi="Times" w:cs="Times"/>
          <w:noProof/>
        </w:rPr>
        <w:tab/>
        <w:t xml:space="preserve">Pallavicini C, Vilas MG, Villarreal M, Zamberlan F, Muthukumaraswamy S, Nutt D, Carhart-Harris R, Tagliazucchi E. Spectral signatures of serotonergic psychedelics and glutamatergic dissociatives. </w:t>
      </w:r>
      <w:r w:rsidRPr="00112529">
        <w:rPr>
          <w:rFonts w:ascii="Times" w:hAnsi="Times" w:cs="Times"/>
          <w:i/>
          <w:iCs/>
          <w:noProof/>
        </w:rPr>
        <w:t>Neuroimage</w:t>
      </w:r>
      <w:r w:rsidRPr="00112529">
        <w:rPr>
          <w:rFonts w:ascii="Times" w:hAnsi="Times" w:cs="Times"/>
          <w:noProof/>
        </w:rPr>
        <w:t xml:space="preserve"> (2019) </w:t>
      </w:r>
      <w:r w:rsidRPr="00112529">
        <w:rPr>
          <w:rFonts w:ascii="Times" w:hAnsi="Times" w:cs="Times"/>
          <w:b/>
          <w:bCs/>
          <w:noProof/>
        </w:rPr>
        <w:t>200</w:t>
      </w:r>
      <w:r w:rsidRPr="00112529">
        <w:rPr>
          <w:rFonts w:ascii="Times" w:hAnsi="Times" w:cs="Times"/>
          <w:noProof/>
        </w:rPr>
        <w:t>:281–291. doi:10.1016/j.neuroimage.2019.06.053</w:t>
      </w:r>
    </w:p>
    <w:p w14:paraId="7F454E9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119. </w:t>
      </w:r>
      <w:r w:rsidRPr="00112529">
        <w:rPr>
          <w:rFonts w:ascii="Times" w:hAnsi="Times" w:cs="Times"/>
          <w:noProof/>
        </w:rPr>
        <w:tab/>
        <w:t xml:space="preserve">Carhart-Harris RL, Muthukumaraswamy S, Roseman L, Kaelen M, Droog W, Murphy </w:t>
      </w:r>
      <w:r w:rsidRPr="00112529">
        <w:rPr>
          <w:rFonts w:ascii="Times" w:hAnsi="Times" w:cs="Times"/>
          <w:noProof/>
        </w:rPr>
        <w:lastRenderedPageBreak/>
        <w:t xml:space="preserve">K, Tagliazucchi E, Schenberg EE, Nest T, Orban C, et al. Neural correlates of the LSD experience revealed by multimodal neuroimaging. </w:t>
      </w:r>
      <w:r w:rsidRPr="00112529">
        <w:rPr>
          <w:rFonts w:ascii="Times" w:hAnsi="Times" w:cs="Times"/>
          <w:i/>
          <w:iCs/>
          <w:noProof/>
        </w:rPr>
        <w:t>Proc Natl Acad Sci U S A</w:t>
      </w:r>
      <w:r w:rsidRPr="00112529">
        <w:rPr>
          <w:rFonts w:ascii="Times" w:hAnsi="Times" w:cs="Times"/>
          <w:noProof/>
        </w:rPr>
        <w:t xml:space="preserve"> (2016) </w:t>
      </w:r>
      <w:r w:rsidRPr="00112529">
        <w:rPr>
          <w:rFonts w:ascii="Times" w:hAnsi="Times" w:cs="Times"/>
          <w:b/>
          <w:bCs/>
          <w:noProof/>
        </w:rPr>
        <w:t>113</w:t>
      </w:r>
      <w:r w:rsidRPr="00112529">
        <w:rPr>
          <w:rFonts w:ascii="Times" w:hAnsi="Times" w:cs="Times"/>
          <w:noProof/>
        </w:rPr>
        <w:t>:4853–4858. doi:10.1073/pnas.1518377113</w:t>
      </w:r>
    </w:p>
    <w:p w14:paraId="20E448B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120. </w:t>
      </w:r>
      <w:r w:rsidRPr="00112529">
        <w:rPr>
          <w:rFonts w:ascii="Times" w:hAnsi="Times" w:cs="Times"/>
          <w:noProof/>
        </w:rPr>
        <w:tab/>
        <w:t xml:space="preserve">Muthukumaraswamy SD, Carhart-Harris RL, Moran RJ, Brookes MJ, Williams TM, Errtizoe D, Sessa B, Papadopoulos A, Bolstridge M, Singh KD, et al. Broadband cortical desynchronization underlies the human psychedelic state. </w:t>
      </w:r>
      <w:r w:rsidRPr="00112529">
        <w:rPr>
          <w:rFonts w:ascii="Times" w:hAnsi="Times" w:cs="Times"/>
          <w:i/>
          <w:iCs/>
          <w:noProof/>
        </w:rPr>
        <w:t>J Neurosci</w:t>
      </w:r>
      <w:r w:rsidRPr="00112529">
        <w:rPr>
          <w:rFonts w:ascii="Times" w:hAnsi="Times" w:cs="Times"/>
          <w:noProof/>
        </w:rPr>
        <w:t xml:space="preserve"> (2013) </w:t>
      </w:r>
      <w:r w:rsidRPr="00112529">
        <w:rPr>
          <w:rFonts w:ascii="Times" w:hAnsi="Times" w:cs="Times"/>
          <w:b/>
          <w:bCs/>
          <w:noProof/>
        </w:rPr>
        <w:t>33</w:t>
      </w:r>
      <w:r w:rsidRPr="00112529">
        <w:rPr>
          <w:rFonts w:ascii="Times" w:hAnsi="Times" w:cs="Times"/>
          <w:noProof/>
        </w:rPr>
        <w:t>:15171–15183. doi:10.1523/JNEUROSCI.2063-13.2013</w:t>
      </w:r>
    </w:p>
    <w:p w14:paraId="70C5D90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121. </w:t>
      </w:r>
      <w:r w:rsidRPr="00112529">
        <w:rPr>
          <w:rFonts w:ascii="Times" w:hAnsi="Times" w:cs="Times"/>
          <w:noProof/>
        </w:rPr>
        <w:tab/>
        <w:t xml:space="preserve">Beharry S, Gibbons S. An overview of emerging and new psychoactive substances in the United Kingdom. </w:t>
      </w:r>
      <w:r w:rsidRPr="00112529">
        <w:rPr>
          <w:rFonts w:ascii="Times" w:hAnsi="Times" w:cs="Times"/>
          <w:i/>
          <w:iCs/>
          <w:noProof/>
        </w:rPr>
        <w:t>Forensic Sci Int</w:t>
      </w:r>
      <w:r w:rsidRPr="00112529">
        <w:rPr>
          <w:rFonts w:ascii="Times" w:hAnsi="Times" w:cs="Times"/>
          <w:noProof/>
        </w:rPr>
        <w:t xml:space="preserve"> (2016) </w:t>
      </w:r>
      <w:r w:rsidRPr="00112529">
        <w:rPr>
          <w:rFonts w:ascii="Times" w:hAnsi="Times" w:cs="Times"/>
          <w:b/>
          <w:bCs/>
          <w:noProof/>
        </w:rPr>
        <w:t>267</w:t>
      </w:r>
      <w:r w:rsidRPr="00112529">
        <w:rPr>
          <w:rFonts w:ascii="Times" w:hAnsi="Times" w:cs="Times"/>
          <w:noProof/>
        </w:rPr>
        <w:t>:25–34. doi:10.1016/j.forsciint.2016.08.013</w:t>
      </w:r>
    </w:p>
    <w:p w14:paraId="7125131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122. </w:t>
      </w:r>
      <w:r w:rsidRPr="00112529">
        <w:rPr>
          <w:rFonts w:ascii="Times" w:hAnsi="Times" w:cs="Times"/>
          <w:noProof/>
        </w:rPr>
        <w:tab/>
        <w:t xml:space="preserve">Halberstadt AL, Geyer MA. Characterization of the head-twitch response induced by hallucinogens in mice: Detection of the behavior based on the dynamics of head movement. </w:t>
      </w:r>
      <w:r w:rsidRPr="00112529">
        <w:rPr>
          <w:rFonts w:ascii="Times" w:hAnsi="Times" w:cs="Times"/>
          <w:i/>
          <w:iCs/>
          <w:noProof/>
        </w:rPr>
        <w:t>Psychopharmacology (Berl)</w:t>
      </w:r>
      <w:r w:rsidRPr="00112529">
        <w:rPr>
          <w:rFonts w:ascii="Times" w:hAnsi="Times" w:cs="Times"/>
          <w:noProof/>
        </w:rPr>
        <w:t xml:space="preserve"> (2013) </w:t>
      </w:r>
      <w:r w:rsidRPr="00112529">
        <w:rPr>
          <w:rFonts w:ascii="Times" w:hAnsi="Times" w:cs="Times"/>
          <w:b/>
          <w:bCs/>
          <w:noProof/>
        </w:rPr>
        <w:t>227</w:t>
      </w:r>
      <w:r w:rsidRPr="00112529">
        <w:rPr>
          <w:rFonts w:ascii="Times" w:hAnsi="Times" w:cs="Times"/>
          <w:noProof/>
        </w:rPr>
        <w:t>: doi:10.1007/s00213-013-3006-z</w:t>
      </w:r>
    </w:p>
    <w:p w14:paraId="3659BF3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123. </w:t>
      </w:r>
      <w:r w:rsidRPr="00112529">
        <w:rPr>
          <w:rFonts w:ascii="Times" w:hAnsi="Times" w:cs="Times"/>
          <w:noProof/>
        </w:rPr>
        <w:tab/>
        <w:t xml:space="preserve">Wagmann L, Richter LHJ, Kehl T, Wack F, Bergstrand MP, Brandt SD, Stratford A, Maurer HH, Meyer MR. In vitro metabolic fate of nine LSD-based new psychoactive substances and their analytical detectability in different urinary screening procedures. </w:t>
      </w:r>
      <w:r w:rsidRPr="00112529">
        <w:rPr>
          <w:rFonts w:ascii="Times" w:hAnsi="Times" w:cs="Times"/>
          <w:i/>
          <w:iCs/>
          <w:noProof/>
        </w:rPr>
        <w:t>Anal Bioanal Chem</w:t>
      </w:r>
      <w:r w:rsidRPr="00112529">
        <w:rPr>
          <w:rFonts w:ascii="Times" w:hAnsi="Times" w:cs="Times"/>
          <w:noProof/>
        </w:rPr>
        <w:t xml:space="preserve"> (2019) </w:t>
      </w:r>
      <w:r w:rsidRPr="00112529">
        <w:rPr>
          <w:rFonts w:ascii="Times" w:hAnsi="Times" w:cs="Times"/>
          <w:b/>
          <w:bCs/>
          <w:noProof/>
        </w:rPr>
        <w:t>411</w:t>
      </w:r>
      <w:r w:rsidRPr="00112529">
        <w:rPr>
          <w:rFonts w:ascii="Times" w:hAnsi="Times" w:cs="Times"/>
          <w:noProof/>
        </w:rPr>
        <w:t>:4751–4763. doi:10.1007/s00216-018-1558-9</w:t>
      </w:r>
    </w:p>
    <w:p w14:paraId="2C091F1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124. </w:t>
      </w:r>
      <w:r w:rsidRPr="00112529">
        <w:rPr>
          <w:rFonts w:ascii="Times" w:hAnsi="Times" w:cs="Times"/>
          <w:noProof/>
        </w:rPr>
        <w:tab/>
        <w:t xml:space="preserve">Akhtar A. The Flaws and Human Harms of Animal Experimentation. </w:t>
      </w:r>
      <w:r w:rsidRPr="00112529">
        <w:rPr>
          <w:rFonts w:ascii="Times" w:hAnsi="Times" w:cs="Times"/>
          <w:i/>
          <w:iCs/>
          <w:noProof/>
        </w:rPr>
        <w:t>Cambridge Q Healthc Ethics</w:t>
      </w:r>
      <w:r w:rsidRPr="00112529">
        <w:rPr>
          <w:rFonts w:ascii="Times" w:hAnsi="Times" w:cs="Times"/>
          <w:noProof/>
        </w:rPr>
        <w:t xml:space="preserve"> (2015) </w:t>
      </w:r>
      <w:r w:rsidRPr="00112529">
        <w:rPr>
          <w:rFonts w:ascii="Times" w:hAnsi="Times" w:cs="Times"/>
          <w:b/>
          <w:bCs/>
          <w:noProof/>
        </w:rPr>
        <w:t>24</w:t>
      </w:r>
      <w:r w:rsidRPr="00112529">
        <w:rPr>
          <w:rFonts w:ascii="Times" w:hAnsi="Times" w:cs="Times"/>
          <w:noProof/>
        </w:rPr>
        <w:t>:407–419. doi:10.1017/S0963180115000079</w:t>
      </w:r>
    </w:p>
    <w:p w14:paraId="74FB3A4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125. </w:t>
      </w:r>
      <w:r w:rsidRPr="00112529">
        <w:rPr>
          <w:rFonts w:ascii="Times" w:hAnsi="Times" w:cs="Times"/>
          <w:noProof/>
        </w:rPr>
        <w:tab/>
        <w:t>The Association of the British Pharmaceutical Industry. Guidelines for Phase 1 Clinical Trials 2018 edition. (2018). Available at: https://www.abpi.org.uk/publications/guidelines-for-phase-i-clinical-trials-2018-edition/ [Accessed June 25, 2021]</w:t>
      </w:r>
    </w:p>
    <w:p w14:paraId="64F6BB9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126. </w:t>
      </w:r>
      <w:r w:rsidRPr="00112529">
        <w:rPr>
          <w:rFonts w:ascii="Times" w:hAnsi="Times" w:cs="Times"/>
          <w:noProof/>
        </w:rPr>
        <w:tab/>
        <w:t xml:space="preserve">Bauer BE. Catching Up With the Psychedelic Entourage Effect-Part 1: How We Got Here - Psychedelic Science Review. </w:t>
      </w:r>
      <w:r w:rsidRPr="00112529">
        <w:rPr>
          <w:rFonts w:ascii="Times" w:hAnsi="Times" w:cs="Times"/>
          <w:i/>
          <w:iCs/>
          <w:noProof/>
        </w:rPr>
        <w:t>Psychedelic Sci Rev</w:t>
      </w:r>
      <w:r w:rsidRPr="00112529">
        <w:rPr>
          <w:rFonts w:ascii="Times" w:hAnsi="Times" w:cs="Times"/>
          <w:noProof/>
        </w:rPr>
        <w:t xml:space="preserve"> (2020) Available at: https://psychedelicreview.com/catching-up-with-the-psychedelic-entourage-effect-part-1-how-we-got-here/ [Accessed June 16, 2021]</w:t>
      </w:r>
    </w:p>
    <w:p w14:paraId="6887399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127. </w:t>
      </w:r>
      <w:r w:rsidRPr="00112529">
        <w:rPr>
          <w:rFonts w:ascii="Times" w:hAnsi="Times" w:cs="Times"/>
          <w:noProof/>
        </w:rPr>
        <w:tab/>
        <w:t xml:space="preserve">Bauer BE. Hamilton Morris on 5-MeO-DMT, the Entourage Effect, and Protecting Toads - Psychedelic Science Review. </w:t>
      </w:r>
      <w:r w:rsidRPr="00112529">
        <w:rPr>
          <w:rFonts w:ascii="Times" w:hAnsi="Times" w:cs="Times"/>
          <w:i/>
          <w:iCs/>
          <w:noProof/>
        </w:rPr>
        <w:t>Psychedelic Sci Rev</w:t>
      </w:r>
      <w:r w:rsidRPr="00112529">
        <w:rPr>
          <w:rFonts w:ascii="Times" w:hAnsi="Times" w:cs="Times"/>
          <w:noProof/>
        </w:rPr>
        <w:t xml:space="preserve"> (2020) Available at: https://psychedelicreview.com/hamilton-morris-on-5-meo-dmt-the-entourage-effect-and-protecting-toads/ [Accessed June 23, 2021]</w:t>
      </w:r>
    </w:p>
    <w:p w14:paraId="26B9365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128. </w:t>
      </w:r>
      <w:r w:rsidRPr="00112529">
        <w:rPr>
          <w:rFonts w:ascii="Times" w:hAnsi="Times" w:cs="Times"/>
          <w:noProof/>
        </w:rPr>
        <w:tab/>
        <w:t xml:space="preserve">Bauer BE. 5-MeO-DMT, Toad Secretions, and the Entourage Effect - Psychedelic Science Review. </w:t>
      </w:r>
      <w:r w:rsidRPr="00112529">
        <w:rPr>
          <w:rFonts w:ascii="Times" w:hAnsi="Times" w:cs="Times"/>
          <w:i/>
          <w:iCs/>
          <w:noProof/>
        </w:rPr>
        <w:t>Psychedelic Sci Rev</w:t>
      </w:r>
      <w:r w:rsidRPr="00112529">
        <w:rPr>
          <w:rFonts w:ascii="Times" w:hAnsi="Times" w:cs="Times"/>
          <w:noProof/>
        </w:rPr>
        <w:t xml:space="preserve"> (2019) Available at: https://psychedelicreview.com/5-meo-dmt-toad-venom-and-the-entourage-effect/ [Accessed June 23, 2021]</w:t>
      </w:r>
    </w:p>
    <w:p w14:paraId="2A6765D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129. </w:t>
      </w:r>
      <w:r w:rsidRPr="00112529">
        <w:rPr>
          <w:rFonts w:ascii="Times" w:hAnsi="Times" w:cs="Times"/>
          <w:noProof/>
        </w:rPr>
        <w:tab/>
        <w:t xml:space="preserve">Farah T. Is Toad Venom Better than Synthetic 5-MeO-DMT? </w:t>
      </w:r>
      <w:r w:rsidRPr="00112529">
        <w:rPr>
          <w:rFonts w:ascii="Times" w:hAnsi="Times" w:cs="Times"/>
          <w:i/>
          <w:iCs/>
          <w:noProof/>
        </w:rPr>
        <w:t>Double Blind</w:t>
      </w:r>
      <w:r w:rsidRPr="00112529">
        <w:rPr>
          <w:rFonts w:ascii="Times" w:hAnsi="Times" w:cs="Times"/>
          <w:noProof/>
        </w:rPr>
        <w:t xml:space="preserve"> (2020) Available at: https://doubleblindmag.com/toad-venom-vs-synthetic-5-meo-dmt/ [Accessed June 23, 2021]</w:t>
      </w:r>
    </w:p>
    <w:p w14:paraId="5BBA39E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130. </w:t>
      </w:r>
      <w:r w:rsidRPr="00112529">
        <w:rPr>
          <w:rFonts w:ascii="Times" w:hAnsi="Times" w:cs="Times"/>
          <w:noProof/>
        </w:rPr>
        <w:tab/>
        <w:t xml:space="preserve">Uthaug M V., Lancelotta R, Szabo A, Davis AK, Riba J, Ramaekers JG. Prospective examination of synthetic 5-methoxy-N,N-dimethyltryptamine inhalation: effects on salivary IL-6, cortisol levels, affect, and non-judgment. </w:t>
      </w:r>
      <w:r w:rsidRPr="00112529">
        <w:rPr>
          <w:rFonts w:ascii="Times" w:hAnsi="Times" w:cs="Times"/>
          <w:i/>
          <w:iCs/>
          <w:noProof/>
        </w:rPr>
        <w:t>Psychopharmacology (Berl)</w:t>
      </w:r>
      <w:r w:rsidRPr="00112529">
        <w:rPr>
          <w:rFonts w:ascii="Times" w:hAnsi="Times" w:cs="Times"/>
          <w:noProof/>
        </w:rPr>
        <w:t xml:space="preserve"> (2020) </w:t>
      </w:r>
      <w:r w:rsidRPr="00112529">
        <w:rPr>
          <w:rFonts w:ascii="Times" w:hAnsi="Times" w:cs="Times"/>
          <w:b/>
          <w:bCs/>
          <w:noProof/>
        </w:rPr>
        <w:t>237</w:t>
      </w:r>
      <w:r w:rsidRPr="00112529">
        <w:rPr>
          <w:rFonts w:ascii="Times" w:hAnsi="Times" w:cs="Times"/>
          <w:noProof/>
        </w:rPr>
        <w:t>:773–785. doi:10.1007/s00213-019-05414-w</w:t>
      </w:r>
    </w:p>
    <w:p w14:paraId="124C1C2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131. </w:t>
      </w:r>
      <w:r w:rsidRPr="00112529">
        <w:rPr>
          <w:rFonts w:ascii="Times" w:hAnsi="Times" w:cs="Times"/>
          <w:noProof/>
        </w:rPr>
        <w:tab/>
        <w:t xml:space="preserve">Uthaug M V., Lancelotta R, van Oorsouw K, Kuypers KPC, Mason N, Rak J, Šuláková A, Jurok R, Maryška M, Kuchař M, et al. A single inhalation of vapor from dried toad secretion containing 5-methoxy-N,N-dimethyltryptamine (5-MeO-DMT) in a naturalistic setting is related to sustained enhancement of satisfaction with life, mindfulness-related capacities, and a decrement of psychopathological symptoms. </w:t>
      </w:r>
      <w:r w:rsidRPr="00112529">
        <w:rPr>
          <w:rFonts w:ascii="Times" w:hAnsi="Times" w:cs="Times"/>
          <w:i/>
          <w:iCs/>
          <w:noProof/>
        </w:rPr>
        <w:t>Psychopharmacology (Berl)</w:t>
      </w:r>
      <w:r w:rsidRPr="00112529">
        <w:rPr>
          <w:rFonts w:ascii="Times" w:hAnsi="Times" w:cs="Times"/>
          <w:noProof/>
        </w:rPr>
        <w:t xml:space="preserve"> (2019) </w:t>
      </w:r>
      <w:r w:rsidRPr="00112529">
        <w:rPr>
          <w:rFonts w:ascii="Times" w:hAnsi="Times" w:cs="Times"/>
          <w:b/>
          <w:bCs/>
          <w:noProof/>
        </w:rPr>
        <w:t>236</w:t>
      </w:r>
      <w:r w:rsidRPr="00112529">
        <w:rPr>
          <w:rFonts w:ascii="Times" w:hAnsi="Times" w:cs="Times"/>
          <w:noProof/>
        </w:rPr>
        <w:t>:2653–2666. doi:10.1007/s00213-019-05236-w</w:t>
      </w:r>
    </w:p>
    <w:p w14:paraId="0CDFBCD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132. </w:t>
      </w:r>
      <w:r w:rsidRPr="00112529">
        <w:rPr>
          <w:rFonts w:ascii="Times" w:hAnsi="Times" w:cs="Times"/>
          <w:noProof/>
        </w:rPr>
        <w:tab/>
        <w:t xml:space="preserve">Guzmán G, Guzmán G, Allen JW, Gartz J. A Worldwide geographical distribution of </w:t>
      </w:r>
      <w:r w:rsidRPr="00112529">
        <w:rPr>
          <w:rFonts w:ascii="Times" w:hAnsi="Times" w:cs="Times"/>
          <w:noProof/>
        </w:rPr>
        <w:lastRenderedPageBreak/>
        <w:t>the Neurotropic Fungi, an analysis and discussion. Available at: http://citeseerx.ist.psu.edu/viewdoc/summary?doi=10.1.1.534.1328 [Accessed June 10, 2021]</w:t>
      </w:r>
    </w:p>
    <w:p w14:paraId="7E5D177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133. </w:t>
      </w:r>
      <w:r w:rsidRPr="00112529">
        <w:rPr>
          <w:rFonts w:ascii="Times" w:hAnsi="Times" w:cs="Times"/>
          <w:noProof/>
        </w:rPr>
        <w:tab/>
        <w:t xml:space="preserve">Zhuk O, Jasicka-Misiak I, Poliwoda A, Kazakova A, Godovan V V., Halama M, Wieczorek PP. Research on acute toxicity and the behavioral effects of methanolic extract from psilocybin mushrooms and psilocin in mice. </w:t>
      </w:r>
      <w:r w:rsidRPr="00112529">
        <w:rPr>
          <w:rFonts w:ascii="Times" w:hAnsi="Times" w:cs="Times"/>
          <w:i/>
          <w:iCs/>
          <w:noProof/>
        </w:rPr>
        <w:t>Toxins (Basel)</w:t>
      </w:r>
      <w:r w:rsidRPr="00112529">
        <w:rPr>
          <w:rFonts w:ascii="Times" w:hAnsi="Times" w:cs="Times"/>
          <w:noProof/>
        </w:rPr>
        <w:t xml:space="preserve"> (2015) </w:t>
      </w:r>
      <w:r w:rsidRPr="00112529">
        <w:rPr>
          <w:rFonts w:ascii="Times" w:hAnsi="Times" w:cs="Times"/>
          <w:b/>
          <w:bCs/>
          <w:noProof/>
        </w:rPr>
        <w:t>7</w:t>
      </w:r>
      <w:r w:rsidRPr="00112529">
        <w:rPr>
          <w:rFonts w:ascii="Times" w:hAnsi="Times" w:cs="Times"/>
          <w:noProof/>
        </w:rPr>
        <w:t>:1018–1029. doi:10.3390/toxins7041018</w:t>
      </w:r>
    </w:p>
    <w:p w14:paraId="545A1E6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134. </w:t>
      </w:r>
      <w:r w:rsidRPr="00112529">
        <w:rPr>
          <w:rFonts w:ascii="Times" w:hAnsi="Times" w:cs="Times"/>
          <w:noProof/>
        </w:rPr>
        <w:tab/>
        <w:t xml:space="preserve">Malone DT, Jongejan D, Taylor DA. Cannabidiol reverses the reduction in social interaction produced by low dose Δ9-tetrahydrocannabinol in rats. </w:t>
      </w:r>
      <w:r w:rsidRPr="00112529">
        <w:rPr>
          <w:rFonts w:ascii="Times" w:hAnsi="Times" w:cs="Times"/>
          <w:i/>
          <w:iCs/>
          <w:noProof/>
        </w:rPr>
        <w:t>Pharmacol Biochem Behav</w:t>
      </w:r>
      <w:r w:rsidRPr="00112529">
        <w:rPr>
          <w:rFonts w:ascii="Times" w:hAnsi="Times" w:cs="Times"/>
          <w:noProof/>
        </w:rPr>
        <w:t xml:space="preserve"> (2009) </w:t>
      </w:r>
      <w:r w:rsidRPr="00112529">
        <w:rPr>
          <w:rFonts w:ascii="Times" w:hAnsi="Times" w:cs="Times"/>
          <w:b/>
          <w:bCs/>
          <w:noProof/>
        </w:rPr>
        <w:t>93</w:t>
      </w:r>
      <w:r w:rsidRPr="00112529">
        <w:rPr>
          <w:rFonts w:ascii="Times" w:hAnsi="Times" w:cs="Times"/>
          <w:noProof/>
        </w:rPr>
        <w:t>:91–96. doi:10.1016/j.pbb.2009.04.010</w:t>
      </w:r>
    </w:p>
    <w:p w14:paraId="204C235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135. </w:t>
      </w:r>
      <w:r w:rsidRPr="00112529">
        <w:rPr>
          <w:rFonts w:ascii="Times" w:hAnsi="Times" w:cs="Times"/>
          <w:noProof/>
        </w:rPr>
        <w:tab/>
        <w:t xml:space="preserve">Davies C, Bhattacharyya S. Cannabidiol as a potential treatment for psychosis. </w:t>
      </w:r>
      <w:r w:rsidRPr="00112529">
        <w:rPr>
          <w:rFonts w:ascii="Times" w:hAnsi="Times" w:cs="Times"/>
          <w:i/>
          <w:iCs/>
          <w:noProof/>
        </w:rPr>
        <w:t>Ther Adv Psychopharmacol</w:t>
      </w:r>
      <w:r w:rsidRPr="00112529">
        <w:rPr>
          <w:rFonts w:ascii="Times" w:hAnsi="Times" w:cs="Times"/>
          <w:noProof/>
        </w:rPr>
        <w:t xml:space="preserve"> (2019) </w:t>
      </w:r>
      <w:r w:rsidRPr="00112529">
        <w:rPr>
          <w:rFonts w:ascii="Times" w:hAnsi="Times" w:cs="Times"/>
          <w:b/>
          <w:bCs/>
          <w:noProof/>
        </w:rPr>
        <w:t>9</w:t>
      </w:r>
      <w:r w:rsidRPr="00112529">
        <w:rPr>
          <w:rFonts w:ascii="Times" w:hAnsi="Times" w:cs="Times"/>
          <w:noProof/>
        </w:rPr>
        <w:t>:204512531988191. doi:10.1177/2045125319881916</w:t>
      </w:r>
    </w:p>
    <w:p w14:paraId="23F3971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136. </w:t>
      </w:r>
      <w:r w:rsidRPr="00112529">
        <w:rPr>
          <w:rFonts w:ascii="Times" w:hAnsi="Times" w:cs="Times"/>
          <w:noProof/>
        </w:rPr>
        <w:tab/>
        <w:t xml:space="preserve">McKenna DJ, Towers GHN, Abbott F. Monoamine oxidase inhibitors in South American hallucinogenic plants: Tryptamine and β-carboline constituents of Ayahuasca. </w:t>
      </w:r>
      <w:r w:rsidRPr="00112529">
        <w:rPr>
          <w:rFonts w:ascii="Times" w:hAnsi="Times" w:cs="Times"/>
          <w:i/>
          <w:iCs/>
          <w:noProof/>
        </w:rPr>
        <w:t>J Ethnopharmacol</w:t>
      </w:r>
      <w:r w:rsidRPr="00112529">
        <w:rPr>
          <w:rFonts w:ascii="Times" w:hAnsi="Times" w:cs="Times"/>
          <w:noProof/>
        </w:rPr>
        <w:t xml:space="preserve"> (1984) </w:t>
      </w:r>
      <w:r w:rsidRPr="00112529">
        <w:rPr>
          <w:rFonts w:ascii="Times" w:hAnsi="Times" w:cs="Times"/>
          <w:b/>
          <w:bCs/>
          <w:noProof/>
        </w:rPr>
        <w:t>10</w:t>
      </w:r>
      <w:r w:rsidRPr="00112529">
        <w:rPr>
          <w:rFonts w:ascii="Times" w:hAnsi="Times" w:cs="Times"/>
          <w:noProof/>
        </w:rPr>
        <w:t>:195–223. doi:10.1016/0378-8741(84)90003-5</w:t>
      </w:r>
    </w:p>
    <w:p w14:paraId="52F938A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137. </w:t>
      </w:r>
      <w:r w:rsidRPr="00112529">
        <w:rPr>
          <w:rFonts w:ascii="Times" w:hAnsi="Times" w:cs="Times"/>
          <w:noProof/>
        </w:rPr>
        <w:tab/>
        <w:t xml:space="preserve">Estrella-Parra EA, Almanza-Pérez JC, Alarcón-Aguilar FJ. Ayahuasca: Uses, Phytochemical and Biological Activities. </w:t>
      </w:r>
      <w:r w:rsidRPr="00112529">
        <w:rPr>
          <w:rFonts w:ascii="Times" w:hAnsi="Times" w:cs="Times"/>
          <w:i/>
          <w:iCs/>
          <w:noProof/>
        </w:rPr>
        <w:t>Nat Products Bioprospect</w:t>
      </w:r>
      <w:r w:rsidRPr="00112529">
        <w:rPr>
          <w:rFonts w:ascii="Times" w:hAnsi="Times" w:cs="Times"/>
          <w:noProof/>
        </w:rPr>
        <w:t xml:space="preserve"> (2019) </w:t>
      </w:r>
      <w:r w:rsidRPr="00112529">
        <w:rPr>
          <w:rFonts w:ascii="Times" w:hAnsi="Times" w:cs="Times"/>
          <w:b/>
          <w:bCs/>
          <w:noProof/>
        </w:rPr>
        <w:t>9</w:t>
      </w:r>
      <w:r w:rsidRPr="00112529">
        <w:rPr>
          <w:rFonts w:ascii="Times" w:hAnsi="Times" w:cs="Times"/>
          <w:noProof/>
        </w:rPr>
        <w:t>:251–265. doi:10.1007/s13659-019-0210-5</w:t>
      </w:r>
    </w:p>
    <w:p w14:paraId="3E0062C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138. </w:t>
      </w:r>
      <w:r w:rsidRPr="00112529">
        <w:rPr>
          <w:rFonts w:ascii="Times" w:hAnsi="Times" w:cs="Times"/>
          <w:noProof/>
        </w:rPr>
        <w:tab/>
        <w:t xml:space="preserve">Uthaug M V., van Oorsouw K, Kuypers KPC, van Boxtel M, Broers NJ, Mason NL, Toennes SW, Riba J, Ramaekers JG. Sub-acute and long-term effects of ayahuasca on affect and cognitive thinking style and their association with ego dissolution. </w:t>
      </w:r>
      <w:r w:rsidRPr="00112529">
        <w:rPr>
          <w:rFonts w:ascii="Times" w:hAnsi="Times" w:cs="Times"/>
          <w:i/>
          <w:iCs/>
          <w:noProof/>
        </w:rPr>
        <w:t>Psychopharmacology (Berl)</w:t>
      </w:r>
      <w:r w:rsidRPr="00112529">
        <w:rPr>
          <w:rFonts w:ascii="Times" w:hAnsi="Times" w:cs="Times"/>
          <w:noProof/>
        </w:rPr>
        <w:t xml:space="preserve"> (2018) </w:t>
      </w:r>
      <w:r w:rsidRPr="00112529">
        <w:rPr>
          <w:rFonts w:ascii="Times" w:hAnsi="Times" w:cs="Times"/>
          <w:b/>
          <w:bCs/>
          <w:noProof/>
        </w:rPr>
        <w:t>235</w:t>
      </w:r>
      <w:r w:rsidRPr="00112529">
        <w:rPr>
          <w:rFonts w:ascii="Times" w:hAnsi="Times" w:cs="Times"/>
          <w:noProof/>
        </w:rPr>
        <w:t>:2979–2989. doi:10.1007/s00213-018-4988-3</w:t>
      </w:r>
    </w:p>
    <w:p w14:paraId="2FDB020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139. </w:t>
      </w:r>
      <w:r w:rsidRPr="00112529">
        <w:rPr>
          <w:rFonts w:ascii="Times" w:hAnsi="Times" w:cs="Times"/>
          <w:noProof/>
        </w:rPr>
        <w:tab/>
        <w:t xml:space="preserve">Caspar AT, Kollas AB, Maurer HH, Meyer MR. Development of a quantitative approach in blood plasma for low-dosed hallucinogens and opioids using LC-high resolution mass spectrometry. </w:t>
      </w:r>
      <w:r w:rsidRPr="00112529">
        <w:rPr>
          <w:rFonts w:ascii="Times" w:hAnsi="Times" w:cs="Times"/>
          <w:i/>
          <w:iCs/>
          <w:noProof/>
        </w:rPr>
        <w:t>Talanta</w:t>
      </w:r>
      <w:r w:rsidRPr="00112529">
        <w:rPr>
          <w:rFonts w:ascii="Times" w:hAnsi="Times" w:cs="Times"/>
          <w:noProof/>
        </w:rPr>
        <w:t xml:space="preserve"> (2018) </w:t>
      </w:r>
      <w:r w:rsidRPr="00112529">
        <w:rPr>
          <w:rFonts w:ascii="Times" w:hAnsi="Times" w:cs="Times"/>
          <w:b/>
          <w:bCs/>
          <w:noProof/>
        </w:rPr>
        <w:t>176</w:t>
      </w:r>
      <w:r w:rsidRPr="00112529">
        <w:rPr>
          <w:rFonts w:ascii="Times" w:hAnsi="Times" w:cs="Times"/>
          <w:noProof/>
        </w:rPr>
        <w:t>:635–645. doi:10.1016/j.talanta.2017.08.063</w:t>
      </w:r>
    </w:p>
    <w:p w14:paraId="7FEA93A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140. </w:t>
      </w:r>
      <w:r w:rsidRPr="00112529">
        <w:rPr>
          <w:rFonts w:ascii="Times" w:hAnsi="Times" w:cs="Times"/>
          <w:noProof/>
        </w:rPr>
        <w:tab/>
        <w:t xml:space="preserve">Steuer AE, Poetzsch M, Stock L, Eisenbeiss L, Schmid Y, Liechti ME, Kraemer T. Development and validation of an ultra-fast and sensitive microflow liquid chromatography-tandem mass spectrometry (MFLC-MS/MS) method for quantification of LSD and its metabolites in plasma and application to a controlled LSD administration study in humans. </w:t>
      </w:r>
      <w:r w:rsidRPr="00112529">
        <w:rPr>
          <w:rFonts w:ascii="Times" w:hAnsi="Times" w:cs="Times"/>
          <w:i/>
          <w:iCs/>
          <w:noProof/>
        </w:rPr>
        <w:t>Drug Test Anal</w:t>
      </w:r>
      <w:r w:rsidRPr="00112529">
        <w:rPr>
          <w:rFonts w:ascii="Times" w:hAnsi="Times" w:cs="Times"/>
          <w:noProof/>
        </w:rPr>
        <w:t xml:space="preserve"> (2017) </w:t>
      </w:r>
      <w:r w:rsidRPr="00112529">
        <w:rPr>
          <w:rFonts w:ascii="Times" w:hAnsi="Times" w:cs="Times"/>
          <w:b/>
          <w:bCs/>
          <w:noProof/>
        </w:rPr>
        <w:t>9</w:t>
      </w:r>
      <w:r w:rsidRPr="00112529">
        <w:rPr>
          <w:rFonts w:ascii="Times" w:hAnsi="Times" w:cs="Times"/>
          <w:noProof/>
        </w:rPr>
        <w:t>:788–797. doi:10.1002/dta.2042</w:t>
      </w:r>
    </w:p>
    <w:p w14:paraId="65301D5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141. </w:t>
      </w:r>
      <w:r w:rsidRPr="00112529">
        <w:rPr>
          <w:rFonts w:ascii="Times" w:hAnsi="Times" w:cs="Times"/>
          <w:noProof/>
        </w:rPr>
        <w:tab/>
        <w:t xml:space="preserve">Brown RT, Nicholas CR, Cozzi N V., Gassman MC, Cooper KM, Muller D, Thomas CD, Hetzel SJ, Henriquez KM, Ribaudo AS, et al. Pharmacokinetics of Escalating Doses of Oral Psilocybin in Healthy Adults. </w:t>
      </w:r>
      <w:r w:rsidRPr="00112529">
        <w:rPr>
          <w:rFonts w:ascii="Times" w:hAnsi="Times" w:cs="Times"/>
          <w:i/>
          <w:iCs/>
          <w:noProof/>
        </w:rPr>
        <w:t>Clin Pharmacokinet</w:t>
      </w:r>
      <w:r w:rsidRPr="00112529">
        <w:rPr>
          <w:rFonts w:ascii="Times" w:hAnsi="Times" w:cs="Times"/>
          <w:noProof/>
        </w:rPr>
        <w:t xml:space="preserve"> (2017) </w:t>
      </w:r>
      <w:r w:rsidRPr="00112529">
        <w:rPr>
          <w:rFonts w:ascii="Times" w:hAnsi="Times" w:cs="Times"/>
          <w:b/>
          <w:bCs/>
          <w:noProof/>
        </w:rPr>
        <w:t>56</w:t>
      </w:r>
      <w:r w:rsidRPr="00112529">
        <w:rPr>
          <w:rFonts w:ascii="Times" w:hAnsi="Times" w:cs="Times"/>
          <w:noProof/>
        </w:rPr>
        <w:t>:1543–1554. doi:10.1007/s40262-017-0540-6</w:t>
      </w:r>
    </w:p>
    <w:p w14:paraId="01E2E6E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142. </w:t>
      </w:r>
      <w:r w:rsidRPr="00112529">
        <w:rPr>
          <w:rFonts w:ascii="Times" w:hAnsi="Times" w:cs="Times"/>
          <w:noProof/>
        </w:rPr>
        <w:tab/>
        <w:t xml:space="preserve">Li X, Shen B, Jiang Z, Huang Y, Zhuo X. Rapid screening of drugs of abuse in human urine by high-performance liquid chromatography coupled with high resolution and high mass accuracy hybrid linear ion trap-Orbitrap mass spectrometry. </w:t>
      </w:r>
      <w:r w:rsidRPr="00112529">
        <w:rPr>
          <w:rFonts w:ascii="Times" w:hAnsi="Times" w:cs="Times"/>
          <w:i/>
          <w:iCs/>
          <w:noProof/>
        </w:rPr>
        <w:t>J Chromatogr A</w:t>
      </w:r>
      <w:r w:rsidRPr="00112529">
        <w:rPr>
          <w:rFonts w:ascii="Times" w:hAnsi="Times" w:cs="Times"/>
          <w:noProof/>
        </w:rPr>
        <w:t xml:space="preserve"> (2013) </w:t>
      </w:r>
      <w:r w:rsidRPr="00112529">
        <w:rPr>
          <w:rFonts w:ascii="Times" w:hAnsi="Times" w:cs="Times"/>
          <w:b/>
          <w:bCs/>
          <w:noProof/>
        </w:rPr>
        <w:t>1302</w:t>
      </w:r>
      <w:r w:rsidRPr="00112529">
        <w:rPr>
          <w:rFonts w:ascii="Times" w:hAnsi="Times" w:cs="Times"/>
          <w:noProof/>
        </w:rPr>
        <w:t>:95–104. doi:10.1016/j.chroma.2013.06.028</w:t>
      </w:r>
    </w:p>
    <w:p w14:paraId="78C00FC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143. </w:t>
      </w:r>
      <w:r w:rsidRPr="00112529">
        <w:rPr>
          <w:rFonts w:ascii="Times" w:hAnsi="Times" w:cs="Times"/>
          <w:noProof/>
        </w:rPr>
        <w:tab/>
        <w:t xml:space="preserve">Emwas AHM. The strengths and weaknesses of NMR spectroscopy and mass spectrometry with particular focus on metabolomics research. </w:t>
      </w:r>
      <w:r w:rsidRPr="00112529">
        <w:rPr>
          <w:rFonts w:ascii="Times" w:hAnsi="Times" w:cs="Times"/>
          <w:i/>
          <w:iCs/>
          <w:noProof/>
        </w:rPr>
        <w:t>Methods Mol Biol</w:t>
      </w:r>
      <w:r w:rsidRPr="00112529">
        <w:rPr>
          <w:rFonts w:ascii="Times" w:hAnsi="Times" w:cs="Times"/>
          <w:noProof/>
        </w:rPr>
        <w:t xml:space="preserve"> (2015) </w:t>
      </w:r>
      <w:r w:rsidRPr="00112529">
        <w:rPr>
          <w:rFonts w:ascii="Times" w:hAnsi="Times" w:cs="Times"/>
          <w:b/>
          <w:bCs/>
          <w:noProof/>
        </w:rPr>
        <w:t>1277</w:t>
      </w:r>
      <w:r w:rsidRPr="00112529">
        <w:rPr>
          <w:rFonts w:ascii="Times" w:hAnsi="Times" w:cs="Times"/>
          <w:noProof/>
        </w:rPr>
        <w:t>:161–193. doi:10.1007/978-1-4939-2377-9_13</w:t>
      </w:r>
    </w:p>
    <w:p w14:paraId="7B29BDB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144. </w:t>
      </w:r>
      <w:r w:rsidRPr="00112529">
        <w:rPr>
          <w:rFonts w:ascii="Times" w:hAnsi="Times" w:cs="Times"/>
          <w:noProof/>
        </w:rPr>
        <w:tab/>
        <w:t xml:space="preserve">Dunn WB, Broadhurst DI, Atherton HJ, Goodacre R, Griffin JL. Systems level studies of mammalian metabolomes: The roles of mass spectrometry and nuclear magnetic resonance spectroscopy. </w:t>
      </w:r>
      <w:r w:rsidRPr="00112529">
        <w:rPr>
          <w:rFonts w:ascii="Times" w:hAnsi="Times" w:cs="Times"/>
          <w:i/>
          <w:iCs/>
          <w:noProof/>
        </w:rPr>
        <w:t>Chem Soc Rev</w:t>
      </w:r>
      <w:r w:rsidRPr="00112529">
        <w:rPr>
          <w:rFonts w:ascii="Times" w:hAnsi="Times" w:cs="Times"/>
          <w:noProof/>
        </w:rPr>
        <w:t xml:space="preserve"> (2011) </w:t>
      </w:r>
      <w:r w:rsidRPr="00112529">
        <w:rPr>
          <w:rFonts w:ascii="Times" w:hAnsi="Times" w:cs="Times"/>
          <w:b/>
          <w:bCs/>
          <w:noProof/>
        </w:rPr>
        <w:t>40</w:t>
      </w:r>
      <w:r w:rsidRPr="00112529">
        <w:rPr>
          <w:rFonts w:ascii="Times" w:hAnsi="Times" w:cs="Times"/>
          <w:noProof/>
        </w:rPr>
        <w:t>:387–426. doi:10.1039/b906712b</w:t>
      </w:r>
    </w:p>
    <w:p w14:paraId="0B606C2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145. </w:t>
      </w:r>
      <w:r w:rsidRPr="00112529">
        <w:rPr>
          <w:rFonts w:ascii="Times" w:hAnsi="Times" w:cs="Times"/>
          <w:noProof/>
        </w:rPr>
        <w:tab/>
        <w:t xml:space="preserve">Emwas AH, Roy R, McKay RT, Tenori L, Saccenti E, Nagana Gowda GA, Raftery D, Alahmari F, Jaremko L, Jaremko M, et al. Nmr spectroscopy for metabolomics research. </w:t>
      </w:r>
      <w:r w:rsidRPr="00112529">
        <w:rPr>
          <w:rFonts w:ascii="Times" w:hAnsi="Times" w:cs="Times"/>
          <w:i/>
          <w:iCs/>
          <w:noProof/>
        </w:rPr>
        <w:t>Metabolites</w:t>
      </w:r>
      <w:r w:rsidRPr="00112529">
        <w:rPr>
          <w:rFonts w:ascii="Times" w:hAnsi="Times" w:cs="Times"/>
          <w:noProof/>
        </w:rPr>
        <w:t xml:space="preserve"> (2019) </w:t>
      </w:r>
      <w:r w:rsidRPr="00112529">
        <w:rPr>
          <w:rFonts w:ascii="Times" w:hAnsi="Times" w:cs="Times"/>
          <w:b/>
          <w:bCs/>
          <w:noProof/>
        </w:rPr>
        <w:t>9</w:t>
      </w:r>
      <w:r w:rsidRPr="00112529">
        <w:rPr>
          <w:rFonts w:ascii="Times" w:hAnsi="Times" w:cs="Times"/>
          <w:noProof/>
        </w:rPr>
        <w:t>: doi:10.3390/metabo9070123</w:t>
      </w:r>
    </w:p>
    <w:p w14:paraId="0D21D71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lastRenderedPageBreak/>
        <w:t xml:space="preserve">146. </w:t>
      </w:r>
      <w:r w:rsidRPr="00112529">
        <w:rPr>
          <w:rFonts w:ascii="Times" w:hAnsi="Times" w:cs="Times"/>
          <w:noProof/>
        </w:rPr>
        <w:tab/>
        <w:t xml:space="preserve">Imbenotte M, Azaroual N, Cartigny B, Vermeersch G, Lhermitte M. Identification and quantitation of xenobiotics by 1H NMR spectroscopy in poisoning cases. </w:t>
      </w:r>
      <w:r w:rsidRPr="00112529">
        <w:rPr>
          <w:rFonts w:ascii="Times" w:hAnsi="Times" w:cs="Times"/>
          <w:i/>
          <w:iCs/>
          <w:noProof/>
        </w:rPr>
        <w:t>Forensic Sci Int</w:t>
      </w:r>
      <w:r w:rsidRPr="00112529">
        <w:rPr>
          <w:rFonts w:ascii="Times" w:hAnsi="Times" w:cs="Times"/>
          <w:noProof/>
        </w:rPr>
        <w:t xml:space="preserve"> (2003) </w:t>
      </w:r>
      <w:r w:rsidRPr="00112529">
        <w:rPr>
          <w:rFonts w:ascii="Times" w:hAnsi="Times" w:cs="Times"/>
          <w:b/>
          <w:bCs/>
          <w:noProof/>
        </w:rPr>
        <w:t>133</w:t>
      </w:r>
      <w:r w:rsidRPr="00112529">
        <w:rPr>
          <w:rFonts w:ascii="Times" w:hAnsi="Times" w:cs="Times"/>
          <w:noProof/>
        </w:rPr>
        <w:t>:132–135. doi:10.1016/S0379-0738(03)00059-8</w:t>
      </w:r>
    </w:p>
    <w:p w14:paraId="6644FBF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147. </w:t>
      </w:r>
      <w:r w:rsidRPr="00112529">
        <w:rPr>
          <w:rFonts w:ascii="Times" w:hAnsi="Times" w:cs="Times"/>
          <w:noProof/>
        </w:rPr>
        <w:tab/>
        <w:t xml:space="preserve">Liu J, Decatur J, Proni G, Champeil E. Identification and quantitation of 3,4-methylenedioxy-N-methylamphetamine (MDMA, ecstasy) in human urine by 1H NMR spectroscopy. Application to five cases of intoxication. </w:t>
      </w:r>
      <w:r w:rsidRPr="00112529">
        <w:rPr>
          <w:rFonts w:ascii="Times" w:hAnsi="Times" w:cs="Times"/>
          <w:i/>
          <w:iCs/>
          <w:noProof/>
        </w:rPr>
        <w:t>Forensic Sci Int</w:t>
      </w:r>
      <w:r w:rsidRPr="00112529">
        <w:rPr>
          <w:rFonts w:ascii="Times" w:hAnsi="Times" w:cs="Times"/>
          <w:noProof/>
        </w:rPr>
        <w:t xml:space="preserve"> (2010) </w:t>
      </w:r>
      <w:r w:rsidRPr="00112529">
        <w:rPr>
          <w:rFonts w:ascii="Times" w:hAnsi="Times" w:cs="Times"/>
          <w:b/>
          <w:bCs/>
          <w:noProof/>
        </w:rPr>
        <w:t>194</w:t>
      </w:r>
      <w:r w:rsidRPr="00112529">
        <w:rPr>
          <w:rFonts w:ascii="Times" w:hAnsi="Times" w:cs="Times"/>
          <w:noProof/>
        </w:rPr>
        <w:t>:103–107. doi:10.1016/j.forsciint.2009.10.022</w:t>
      </w:r>
    </w:p>
    <w:p w14:paraId="7F8353E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148. </w:t>
      </w:r>
      <w:r w:rsidRPr="00112529">
        <w:rPr>
          <w:rFonts w:ascii="Times" w:hAnsi="Times" w:cs="Times"/>
          <w:noProof/>
        </w:rPr>
        <w:tab/>
        <w:t xml:space="preserve">Nieddu M, Carta A, Burrai L, Porcu MC, Culeddu N, Pirisi MA, Boatto G. Screening method for five commonly used amphetamines in urine by NMR spectroscopy. </w:t>
      </w:r>
      <w:r w:rsidRPr="00112529">
        <w:rPr>
          <w:rFonts w:ascii="Times" w:hAnsi="Times" w:cs="Times"/>
          <w:i/>
          <w:iCs/>
          <w:noProof/>
        </w:rPr>
        <w:t>Appl Magn Reson</w:t>
      </w:r>
      <w:r w:rsidRPr="00112529">
        <w:rPr>
          <w:rFonts w:ascii="Times" w:hAnsi="Times" w:cs="Times"/>
          <w:noProof/>
        </w:rPr>
        <w:t xml:space="preserve"> (2014) </w:t>
      </w:r>
      <w:r w:rsidRPr="00112529">
        <w:rPr>
          <w:rFonts w:ascii="Times" w:hAnsi="Times" w:cs="Times"/>
          <w:b/>
          <w:bCs/>
          <w:noProof/>
        </w:rPr>
        <w:t>45</w:t>
      </w:r>
      <w:r w:rsidRPr="00112529">
        <w:rPr>
          <w:rFonts w:ascii="Times" w:hAnsi="Times" w:cs="Times"/>
          <w:noProof/>
        </w:rPr>
        <w:t>:135–144. doi:10.1007/s00723-013-0507-1</w:t>
      </w:r>
    </w:p>
    <w:p w14:paraId="6C36939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149. </w:t>
      </w:r>
      <w:r w:rsidRPr="00112529">
        <w:rPr>
          <w:rFonts w:ascii="Times" w:hAnsi="Times" w:cs="Times"/>
          <w:noProof/>
        </w:rPr>
        <w:tab/>
        <w:t xml:space="preserve">Alshamleh I, Krause N, Richter C, Kurrle N, Serve H, Günther UL, Schwalbe H. Real‐Time NMR Spectroscopy for Studying Metabolism. </w:t>
      </w:r>
      <w:r w:rsidRPr="00112529">
        <w:rPr>
          <w:rFonts w:ascii="Times" w:hAnsi="Times" w:cs="Times"/>
          <w:i/>
          <w:iCs/>
          <w:noProof/>
        </w:rPr>
        <w:t>Angew Chemie</w:t>
      </w:r>
      <w:r w:rsidRPr="00112529">
        <w:rPr>
          <w:rFonts w:ascii="Times" w:hAnsi="Times" w:cs="Times"/>
          <w:noProof/>
        </w:rPr>
        <w:t xml:space="preserve"> (2020) </w:t>
      </w:r>
      <w:r w:rsidRPr="00112529">
        <w:rPr>
          <w:rFonts w:ascii="Times" w:hAnsi="Times" w:cs="Times"/>
          <w:b/>
          <w:bCs/>
          <w:noProof/>
        </w:rPr>
        <w:t>132</w:t>
      </w:r>
      <w:r w:rsidRPr="00112529">
        <w:rPr>
          <w:rFonts w:ascii="Times" w:hAnsi="Times" w:cs="Times"/>
          <w:noProof/>
        </w:rPr>
        <w:t>:2324–2328. doi:10.1002/ange.201912919</w:t>
      </w:r>
    </w:p>
    <w:p w14:paraId="04C8FD9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150. </w:t>
      </w:r>
      <w:r w:rsidRPr="00112529">
        <w:rPr>
          <w:rFonts w:ascii="Times" w:hAnsi="Times" w:cs="Times"/>
          <w:noProof/>
        </w:rPr>
        <w:tab/>
        <w:t xml:space="preserve">Barker SA. N, N-dimethyltryptamine (DMT), an endogenous hallucinogen: Past, present, and future research to determine its role and function. </w:t>
      </w:r>
      <w:r w:rsidRPr="00112529">
        <w:rPr>
          <w:rFonts w:ascii="Times" w:hAnsi="Times" w:cs="Times"/>
          <w:i/>
          <w:iCs/>
          <w:noProof/>
        </w:rPr>
        <w:t>Front Neurosci</w:t>
      </w:r>
      <w:r w:rsidRPr="00112529">
        <w:rPr>
          <w:rFonts w:ascii="Times" w:hAnsi="Times" w:cs="Times"/>
          <w:noProof/>
        </w:rPr>
        <w:t xml:space="preserve"> (2018) </w:t>
      </w:r>
      <w:r w:rsidRPr="00112529">
        <w:rPr>
          <w:rFonts w:ascii="Times" w:hAnsi="Times" w:cs="Times"/>
          <w:b/>
          <w:bCs/>
          <w:noProof/>
        </w:rPr>
        <w:t>12</w:t>
      </w:r>
      <w:r w:rsidRPr="00112529">
        <w:rPr>
          <w:rFonts w:ascii="Times" w:hAnsi="Times" w:cs="Times"/>
          <w:noProof/>
        </w:rPr>
        <w:t>:536. doi:10.3389/fnins.2018.00536</w:t>
      </w:r>
    </w:p>
    <w:p w14:paraId="2DB48B4E"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151. </w:t>
      </w:r>
      <w:r w:rsidRPr="00112529">
        <w:rPr>
          <w:rFonts w:ascii="Times" w:hAnsi="Times" w:cs="Times"/>
          <w:noProof/>
        </w:rPr>
        <w:tab/>
        <w:t xml:space="preserve">Cakic V, Potkonyak J, Marshall A. Dimethyltryptamine (DMT): Subjective effects and patterns of use among Australian recreational users. </w:t>
      </w:r>
      <w:r w:rsidRPr="00112529">
        <w:rPr>
          <w:rFonts w:ascii="Times" w:hAnsi="Times" w:cs="Times"/>
          <w:i/>
          <w:iCs/>
          <w:noProof/>
        </w:rPr>
        <w:t>Drug Alcohol Depend</w:t>
      </w:r>
      <w:r w:rsidRPr="00112529">
        <w:rPr>
          <w:rFonts w:ascii="Times" w:hAnsi="Times" w:cs="Times"/>
          <w:noProof/>
        </w:rPr>
        <w:t xml:space="preserve"> (2010) </w:t>
      </w:r>
      <w:r w:rsidRPr="00112529">
        <w:rPr>
          <w:rFonts w:ascii="Times" w:hAnsi="Times" w:cs="Times"/>
          <w:b/>
          <w:bCs/>
          <w:noProof/>
        </w:rPr>
        <w:t>111</w:t>
      </w:r>
      <w:r w:rsidRPr="00112529">
        <w:rPr>
          <w:rFonts w:ascii="Times" w:hAnsi="Times" w:cs="Times"/>
          <w:noProof/>
        </w:rPr>
        <w:t>:30–37. doi:10.1016/j.drugalcdep.2010.03.015</w:t>
      </w:r>
    </w:p>
    <w:p w14:paraId="0250EAD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152. </w:t>
      </w:r>
      <w:r w:rsidRPr="00112529">
        <w:rPr>
          <w:rFonts w:ascii="Times" w:hAnsi="Times" w:cs="Times"/>
          <w:noProof/>
        </w:rPr>
        <w:tab/>
        <w:t xml:space="preserve">Ruffell S, Netzband N, Bird C, Young AH, Juruena MF. The pharmacological interaction of compounds in ayahuasca: A systematic review. </w:t>
      </w:r>
      <w:r w:rsidRPr="00112529">
        <w:rPr>
          <w:rFonts w:ascii="Times" w:hAnsi="Times" w:cs="Times"/>
          <w:i/>
          <w:iCs/>
          <w:noProof/>
        </w:rPr>
        <w:t>Brazilian J Psychiatry</w:t>
      </w:r>
      <w:r w:rsidRPr="00112529">
        <w:rPr>
          <w:rFonts w:ascii="Times" w:hAnsi="Times" w:cs="Times"/>
          <w:noProof/>
        </w:rPr>
        <w:t xml:space="preserve"> (2020) </w:t>
      </w:r>
      <w:r w:rsidRPr="00112529">
        <w:rPr>
          <w:rFonts w:ascii="Times" w:hAnsi="Times" w:cs="Times"/>
          <w:b/>
          <w:bCs/>
          <w:noProof/>
        </w:rPr>
        <w:t>42</w:t>
      </w:r>
      <w:r w:rsidRPr="00112529">
        <w:rPr>
          <w:rFonts w:ascii="Times" w:hAnsi="Times" w:cs="Times"/>
          <w:noProof/>
        </w:rPr>
        <w:t>:646–656. doi:10.1590/1516-4446-2020-0884</w:t>
      </w:r>
    </w:p>
    <w:p w14:paraId="754DA96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153. </w:t>
      </w:r>
      <w:r w:rsidRPr="00112529">
        <w:rPr>
          <w:rFonts w:ascii="Times" w:hAnsi="Times" w:cs="Times"/>
          <w:noProof/>
        </w:rPr>
        <w:tab/>
        <w:t xml:space="preserve">Dinis-Oliveira RJ, Pereira CL, da Silva DD. Pharmacokinetic and Pharmacodynamic Aspects of Peyote and Mescaline: Clinical and Forensic Repercussions. </w:t>
      </w:r>
      <w:r w:rsidRPr="00112529">
        <w:rPr>
          <w:rFonts w:ascii="Times" w:hAnsi="Times" w:cs="Times"/>
          <w:i/>
          <w:iCs/>
          <w:noProof/>
        </w:rPr>
        <w:t>Curr Mol Pharmacol</w:t>
      </w:r>
      <w:r w:rsidRPr="00112529">
        <w:rPr>
          <w:rFonts w:ascii="Times" w:hAnsi="Times" w:cs="Times"/>
          <w:noProof/>
        </w:rPr>
        <w:t xml:space="preserve"> (2018) </w:t>
      </w:r>
      <w:r w:rsidRPr="00112529">
        <w:rPr>
          <w:rFonts w:ascii="Times" w:hAnsi="Times" w:cs="Times"/>
          <w:b/>
          <w:bCs/>
          <w:noProof/>
        </w:rPr>
        <w:t>12</w:t>
      </w:r>
      <w:r w:rsidRPr="00112529">
        <w:rPr>
          <w:rFonts w:ascii="Times" w:hAnsi="Times" w:cs="Times"/>
          <w:noProof/>
        </w:rPr>
        <w:t>:184–194. doi:10.2174/1874467211666181010154139</w:t>
      </w:r>
    </w:p>
    <w:p w14:paraId="3F68747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154. </w:t>
      </w:r>
      <w:r w:rsidRPr="00112529">
        <w:rPr>
          <w:rFonts w:ascii="Times" w:hAnsi="Times" w:cs="Times"/>
          <w:noProof/>
        </w:rPr>
        <w:tab/>
        <w:t xml:space="preserve">Gupta K, Mahajan R. Applications and diagnostic potential of dried blood spots. </w:t>
      </w:r>
      <w:r w:rsidRPr="00112529">
        <w:rPr>
          <w:rFonts w:ascii="Times" w:hAnsi="Times" w:cs="Times"/>
          <w:i/>
          <w:iCs/>
          <w:noProof/>
        </w:rPr>
        <w:t>Int J Appl Basic Med Res</w:t>
      </w:r>
      <w:r w:rsidRPr="00112529">
        <w:rPr>
          <w:rFonts w:ascii="Times" w:hAnsi="Times" w:cs="Times"/>
          <w:noProof/>
        </w:rPr>
        <w:t xml:space="preserve"> (2018) </w:t>
      </w:r>
      <w:r w:rsidRPr="00112529">
        <w:rPr>
          <w:rFonts w:ascii="Times" w:hAnsi="Times" w:cs="Times"/>
          <w:b/>
          <w:bCs/>
          <w:noProof/>
        </w:rPr>
        <w:t>8</w:t>
      </w:r>
      <w:r w:rsidRPr="00112529">
        <w:rPr>
          <w:rFonts w:ascii="Times" w:hAnsi="Times" w:cs="Times"/>
          <w:noProof/>
        </w:rPr>
        <w:t>:1. doi:10.4103/ijabmr.ijabmr_7_18</w:t>
      </w:r>
    </w:p>
    <w:p w14:paraId="2549C67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155. </w:t>
      </w:r>
      <w:r w:rsidRPr="00112529">
        <w:rPr>
          <w:rFonts w:ascii="Times" w:hAnsi="Times" w:cs="Times"/>
          <w:noProof/>
        </w:rPr>
        <w:tab/>
        <w:t xml:space="preserve">Constantinou MA, Papakonstantinou E, Benaki D, Spraul M, Shulpis K, Koupparis MA, Mikros E. Application of nuclear magnetic resonance spectroscopy combined with principal component analysis in detecting inborn errors of metabolism using blood spots: A metabonomic approach. </w:t>
      </w:r>
      <w:r w:rsidRPr="00112529">
        <w:rPr>
          <w:rFonts w:ascii="Times" w:hAnsi="Times" w:cs="Times"/>
          <w:i/>
          <w:iCs/>
          <w:noProof/>
        </w:rPr>
        <w:t>Anal Chim Acta</w:t>
      </w:r>
      <w:r w:rsidRPr="00112529">
        <w:rPr>
          <w:rFonts w:ascii="Times" w:hAnsi="Times" w:cs="Times"/>
          <w:noProof/>
        </w:rPr>
        <w:t xml:space="preserve"> (2004) </w:t>
      </w:r>
      <w:r w:rsidRPr="00112529">
        <w:rPr>
          <w:rFonts w:ascii="Times" w:hAnsi="Times" w:cs="Times"/>
          <w:b/>
          <w:bCs/>
          <w:noProof/>
        </w:rPr>
        <w:t>511</w:t>
      </w:r>
      <w:r w:rsidRPr="00112529">
        <w:rPr>
          <w:rFonts w:ascii="Times" w:hAnsi="Times" w:cs="Times"/>
          <w:noProof/>
        </w:rPr>
        <w:t>:303–312. doi:10.1016/j.aca.2004.02.012</w:t>
      </w:r>
    </w:p>
    <w:p w14:paraId="1A4E872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156. </w:t>
      </w:r>
      <w:r w:rsidRPr="00112529">
        <w:rPr>
          <w:rFonts w:ascii="Times" w:hAnsi="Times" w:cs="Times"/>
          <w:noProof/>
        </w:rPr>
        <w:tab/>
        <w:t xml:space="preserve">Gardner A, Parkes HG, Carpenter GH, So PW. Developing and Standardizing a Protocol for Quantitative Proton Nuclear Magnetic Resonance ( 1 H NMR) Spectroscopy of Saliva. </w:t>
      </w:r>
      <w:r w:rsidRPr="00112529">
        <w:rPr>
          <w:rFonts w:ascii="Times" w:hAnsi="Times" w:cs="Times"/>
          <w:i/>
          <w:iCs/>
          <w:noProof/>
        </w:rPr>
        <w:t>J Proteome Res</w:t>
      </w:r>
      <w:r w:rsidRPr="00112529">
        <w:rPr>
          <w:rFonts w:ascii="Times" w:hAnsi="Times" w:cs="Times"/>
          <w:noProof/>
        </w:rPr>
        <w:t xml:space="preserve"> (2018) </w:t>
      </w:r>
      <w:r w:rsidRPr="00112529">
        <w:rPr>
          <w:rFonts w:ascii="Times" w:hAnsi="Times" w:cs="Times"/>
          <w:b/>
          <w:bCs/>
          <w:noProof/>
        </w:rPr>
        <w:t>17</w:t>
      </w:r>
      <w:r w:rsidRPr="00112529">
        <w:rPr>
          <w:rFonts w:ascii="Times" w:hAnsi="Times" w:cs="Times"/>
          <w:noProof/>
        </w:rPr>
        <w:t>:1521–1531. doi:10.1021/acs.jproteome.7b00847</w:t>
      </w:r>
    </w:p>
    <w:p w14:paraId="51A40CE1"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157. </w:t>
      </w:r>
      <w:r w:rsidRPr="00112529">
        <w:rPr>
          <w:rFonts w:ascii="Times" w:hAnsi="Times" w:cs="Times"/>
          <w:noProof/>
        </w:rPr>
        <w:tab/>
        <w:t xml:space="preserve">Van Der Graaf M. In vivo magnetic resonance spectroscopy: Basic methodology and clinical applications. </w:t>
      </w:r>
      <w:r w:rsidRPr="00112529">
        <w:rPr>
          <w:rFonts w:ascii="Times" w:hAnsi="Times" w:cs="Times"/>
          <w:i/>
          <w:iCs/>
          <w:noProof/>
        </w:rPr>
        <w:t>Eur Biophys J</w:t>
      </w:r>
      <w:r w:rsidRPr="00112529">
        <w:rPr>
          <w:rFonts w:ascii="Times" w:hAnsi="Times" w:cs="Times"/>
          <w:noProof/>
        </w:rPr>
        <w:t xml:space="preserve"> (2010) </w:t>
      </w:r>
      <w:r w:rsidRPr="00112529">
        <w:rPr>
          <w:rFonts w:ascii="Times" w:hAnsi="Times" w:cs="Times"/>
          <w:b/>
          <w:bCs/>
          <w:noProof/>
        </w:rPr>
        <w:t>39</w:t>
      </w:r>
      <w:r w:rsidRPr="00112529">
        <w:rPr>
          <w:rFonts w:ascii="Times" w:hAnsi="Times" w:cs="Times"/>
          <w:noProof/>
        </w:rPr>
        <w:t>: doi:10.1007/s00249-009-0517-y</w:t>
      </w:r>
    </w:p>
    <w:p w14:paraId="1D8EFD8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158. </w:t>
      </w:r>
      <w:r w:rsidRPr="00112529">
        <w:rPr>
          <w:rFonts w:ascii="Times" w:hAnsi="Times" w:cs="Times"/>
          <w:noProof/>
        </w:rPr>
        <w:tab/>
        <w:t xml:space="preserve">Zhu H, Barker PB. MR spectroscopy and spectroscopic imaging of the brain. </w:t>
      </w:r>
      <w:r w:rsidRPr="00112529">
        <w:rPr>
          <w:rFonts w:ascii="Times" w:hAnsi="Times" w:cs="Times"/>
          <w:i/>
          <w:iCs/>
          <w:noProof/>
        </w:rPr>
        <w:t>Methods Mol Biol</w:t>
      </w:r>
      <w:r w:rsidRPr="00112529">
        <w:rPr>
          <w:rFonts w:ascii="Times" w:hAnsi="Times" w:cs="Times"/>
          <w:noProof/>
        </w:rPr>
        <w:t xml:space="preserve"> (2010) </w:t>
      </w:r>
      <w:r w:rsidRPr="00112529">
        <w:rPr>
          <w:rFonts w:ascii="Times" w:hAnsi="Times" w:cs="Times"/>
          <w:b/>
          <w:bCs/>
          <w:noProof/>
        </w:rPr>
        <w:t>711</w:t>
      </w:r>
      <w:r w:rsidRPr="00112529">
        <w:rPr>
          <w:rFonts w:ascii="Times" w:hAnsi="Times" w:cs="Times"/>
          <w:noProof/>
        </w:rPr>
        <w:t>: doi:10.1007/978-1-61737-992-5_9</w:t>
      </w:r>
    </w:p>
    <w:p w14:paraId="11A15CE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159. </w:t>
      </w:r>
      <w:r w:rsidRPr="00112529">
        <w:rPr>
          <w:rFonts w:ascii="Times" w:hAnsi="Times" w:cs="Times"/>
          <w:noProof/>
        </w:rPr>
        <w:tab/>
        <w:t xml:space="preserve">Kumar J, Liddle EB, Fernandes CC, Palaniyappan L, Hall EL, Robson SE, Simmonite M, Fiesal J, Katshu MZ, Qureshi A, et al. Glutathione and glutamate in schizophrenia: a 7T MRS study. </w:t>
      </w:r>
      <w:r w:rsidRPr="00112529">
        <w:rPr>
          <w:rFonts w:ascii="Times" w:hAnsi="Times" w:cs="Times"/>
          <w:i/>
          <w:iCs/>
          <w:noProof/>
        </w:rPr>
        <w:t>Mol Psychiatry</w:t>
      </w:r>
      <w:r w:rsidRPr="00112529">
        <w:rPr>
          <w:rFonts w:ascii="Times" w:hAnsi="Times" w:cs="Times"/>
          <w:noProof/>
        </w:rPr>
        <w:t xml:space="preserve"> (2020) </w:t>
      </w:r>
      <w:r w:rsidRPr="00112529">
        <w:rPr>
          <w:rFonts w:ascii="Times" w:hAnsi="Times" w:cs="Times"/>
          <w:b/>
          <w:bCs/>
          <w:noProof/>
        </w:rPr>
        <w:t>25</w:t>
      </w:r>
      <w:r w:rsidRPr="00112529">
        <w:rPr>
          <w:rFonts w:ascii="Times" w:hAnsi="Times" w:cs="Times"/>
          <w:noProof/>
        </w:rPr>
        <w:t>:873–882. doi:10.1038/s41380-018-0104-7</w:t>
      </w:r>
    </w:p>
    <w:p w14:paraId="767574C9"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160. </w:t>
      </w:r>
      <w:r w:rsidRPr="00112529">
        <w:rPr>
          <w:rFonts w:ascii="Times" w:hAnsi="Times" w:cs="Times"/>
          <w:noProof/>
        </w:rPr>
        <w:tab/>
        <w:t xml:space="preserve">Ramadan S, Lin A, Stanwell P. Glutamate and glutamine: A review of in vivo MRS in the human brain. </w:t>
      </w:r>
      <w:r w:rsidRPr="00112529">
        <w:rPr>
          <w:rFonts w:ascii="Times" w:hAnsi="Times" w:cs="Times"/>
          <w:i/>
          <w:iCs/>
          <w:noProof/>
        </w:rPr>
        <w:t>NMR Biomed</w:t>
      </w:r>
      <w:r w:rsidRPr="00112529">
        <w:rPr>
          <w:rFonts w:ascii="Times" w:hAnsi="Times" w:cs="Times"/>
          <w:noProof/>
        </w:rPr>
        <w:t xml:space="preserve"> (2013) </w:t>
      </w:r>
      <w:r w:rsidRPr="00112529">
        <w:rPr>
          <w:rFonts w:ascii="Times" w:hAnsi="Times" w:cs="Times"/>
          <w:b/>
          <w:bCs/>
          <w:noProof/>
        </w:rPr>
        <w:t>26</w:t>
      </w:r>
      <w:r w:rsidRPr="00112529">
        <w:rPr>
          <w:rFonts w:ascii="Times" w:hAnsi="Times" w:cs="Times"/>
          <w:noProof/>
        </w:rPr>
        <w:t>:1630–1646. doi:10.1002/nbm.3045</w:t>
      </w:r>
    </w:p>
    <w:p w14:paraId="130E3AA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161. </w:t>
      </w:r>
      <w:r w:rsidRPr="00112529">
        <w:rPr>
          <w:rFonts w:ascii="Times" w:hAnsi="Times" w:cs="Times"/>
          <w:noProof/>
        </w:rPr>
        <w:tab/>
        <w:t xml:space="preserve">Yksel C, Öngür D. Magnetic resonance spectroscopy studies of glutamate-related abnormalities in mood disorders. </w:t>
      </w:r>
      <w:r w:rsidRPr="00112529">
        <w:rPr>
          <w:rFonts w:ascii="Times" w:hAnsi="Times" w:cs="Times"/>
          <w:i/>
          <w:iCs/>
          <w:noProof/>
        </w:rPr>
        <w:t>Biol Psychiatry</w:t>
      </w:r>
      <w:r w:rsidRPr="00112529">
        <w:rPr>
          <w:rFonts w:ascii="Times" w:hAnsi="Times" w:cs="Times"/>
          <w:noProof/>
        </w:rPr>
        <w:t xml:space="preserve"> (2010) </w:t>
      </w:r>
      <w:r w:rsidRPr="00112529">
        <w:rPr>
          <w:rFonts w:ascii="Times" w:hAnsi="Times" w:cs="Times"/>
          <w:b/>
          <w:bCs/>
          <w:noProof/>
        </w:rPr>
        <w:t>68</w:t>
      </w:r>
      <w:r w:rsidRPr="00112529">
        <w:rPr>
          <w:rFonts w:ascii="Times" w:hAnsi="Times" w:cs="Times"/>
          <w:noProof/>
        </w:rPr>
        <w:t>:785–794. doi:10.1016/j.biopsych.2010.06.016</w:t>
      </w:r>
    </w:p>
    <w:p w14:paraId="23EE023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162. </w:t>
      </w:r>
      <w:r w:rsidRPr="00112529">
        <w:rPr>
          <w:rFonts w:ascii="Times" w:hAnsi="Times" w:cs="Times"/>
          <w:noProof/>
        </w:rPr>
        <w:tab/>
        <w:t xml:space="preserve">Schür RR, Draisma LWR, Wijnen JP, Boks MP, Koevoets MGJC, Joëls M, Klomp DW, Kahn RS, Vinkers CH. Brain GABA levels across psychiatric disorders: A </w:t>
      </w:r>
      <w:r w:rsidRPr="00112529">
        <w:rPr>
          <w:rFonts w:ascii="Times" w:hAnsi="Times" w:cs="Times"/>
          <w:noProof/>
        </w:rPr>
        <w:lastRenderedPageBreak/>
        <w:t xml:space="preserve">systematic literature review and meta-analysis of 1H-MRS studies. </w:t>
      </w:r>
      <w:r w:rsidRPr="00112529">
        <w:rPr>
          <w:rFonts w:ascii="Times" w:hAnsi="Times" w:cs="Times"/>
          <w:i/>
          <w:iCs/>
          <w:noProof/>
        </w:rPr>
        <w:t>Hum Brain Mapp</w:t>
      </w:r>
      <w:r w:rsidRPr="00112529">
        <w:rPr>
          <w:rFonts w:ascii="Times" w:hAnsi="Times" w:cs="Times"/>
          <w:noProof/>
        </w:rPr>
        <w:t xml:space="preserve"> (2016) </w:t>
      </w:r>
      <w:r w:rsidRPr="00112529">
        <w:rPr>
          <w:rFonts w:ascii="Times" w:hAnsi="Times" w:cs="Times"/>
          <w:b/>
          <w:bCs/>
          <w:noProof/>
        </w:rPr>
        <w:t>37</w:t>
      </w:r>
      <w:r w:rsidRPr="00112529">
        <w:rPr>
          <w:rFonts w:ascii="Times" w:hAnsi="Times" w:cs="Times"/>
          <w:noProof/>
        </w:rPr>
        <w:t>:3337–3352. doi:10.1002/hbm.23244</w:t>
      </w:r>
    </w:p>
    <w:p w14:paraId="7CD721F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163. </w:t>
      </w:r>
      <w:r w:rsidRPr="00112529">
        <w:rPr>
          <w:rFonts w:ascii="Times" w:hAnsi="Times" w:cs="Times"/>
          <w:noProof/>
        </w:rPr>
        <w:tab/>
        <w:t xml:space="preserve">Silberbauer LR, Spurny B, Handschuh P, Klöbl M, Bednarik P, Reiter B, Ritter V, Trost P, Konadu ME, Windpassinger M, et al. Effect of Ketamine on Limbic GABA and Glutamate: A Human In Vivo Multivoxel Magnetic Resonance Spectroscopy Study. </w:t>
      </w:r>
      <w:r w:rsidRPr="00112529">
        <w:rPr>
          <w:rFonts w:ascii="Times" w:hAnsi="Times" w:cs="Times"/>
          <w:i/>
          <w:iCs/>
          <w:noProof/>
        </w:rPr>
        <w:t>Front Psychiatry</w:t>
      </w:r>
      <w:r w:rsidRPr="00112529">
        <w:rPr>
          <w:rFonts w:ascii="Times" w:hAnsi="Times" w:cs="Times"/>
          <w:noProof/>
        </w:rPr>
        <w:t xml:space="preserve"> (2020) </w:t>
      </w:r>
      <w:r w:rsidRPr="00112529">
        <w:rPr>
          <w:rFonts w:ascii="Times" w:hAnsi="Times" w:cs="Times"/>
          <w:b/>
          <w:bCs/>
          <w:noProof/>
        </w:rPr>
        <w:t>11</w:t>
      </w:r>
      <w:r w:rsidRPr="00112529">
        <w:rPr>
          <w:rFonts w:ascii="Times" w:hAnsi="Times" w:cs="Times"/>
          <w:noProof/>
        </w:rPr>
        <w:t>:1. doi:10.3389/fpsyt.2020.549903</w:t>
      </w:r>
    </w:p>
    <w:p w14:paraId="643EC67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164. </w:t>
      </w:r>
      <w:r w:rsidRPr="00112529">
        <w:rPr>
          <w:rFonts w:ascii="Times" w:hAnsi="Times" w:cs="Times"/>
          <w:noProof/>
        </w:rPr>
        <w:tab/>
        <w:t xml:space="preserve">Puts NAJ, Edden RAE. In vivo magnetic resonance spectroscopy of GABA: A methodological review. </w:t>
      </w:r>
      <w:r w:rsidRPr="00112529">
        <w:rPr>
          <w:rFonts w:ascii="Times" w:hAnsi="Times" w:cs="Times"/>
          <w:i/>
          <w:iCs/>
          <w:noProof/>
        </w:rPr>
        <w:t>Prog Nucl Magn Reson Spectrosc</w:t>
      </w:r>
      <w:r w:rsidRPr="00112529">
        <w:rPr>
          <w:rFonts w:ascii="Times" w:hAnsi="Times" w:cs="Times"/>
          <w:noProof/>
        </w:rPr>
        <w:t xml:space="preserve"> (2012) </w:t>
      </w:r>
      <w:r w:rsidRPr="00112529">
        <w:rPr>
          <w:rFonts w:ascii="Times" w:hAnsi="Times" w:cs="Times"/>
          <w:b/>
          <w:bCs/>
          <w:noProof/>
        </w:rPr>
        <w:t>60</w:t>
      </w:r>
      <w:r w:rsidRPr="00112529">
        <w:rPr>
          <w:rFonts w:ascii="Times" w:hAnsi="Times" w:cs="Times"/>
          <w:noProof/>
        </w:rPr>
        <w:t>:29–41. doi:10.1016/j.pnmrs.2011.06.001</w:t>
      </w:r>
    </w:p>
    <w:p w14:paraId="5751877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165. </w:t>
      </w:r>
      <w:r w:rsidRPr="00112529">
        <w:rPr>
          <w:rFonts w:ascii="Times" w:hAnsi="Times" w:cs="Times"/>
          <w:noProof/>
        </w:rPr>
        <w:tab/>
        <w:t xml:space="preserve">Godlewska BR, Near J, Cowen PJ. Neurochemistry of major depression: A study using magnetic resonance spectroscopy. </w:t>
      </w:r>
      <w:r w:rsidRPr="00112529">
        <w:rPr>
          <w:rFonts w:ascii="Times" w:hAnsi="Times" w:cs="Times"/>
          <w:i/>
          <w:iCs/>
          <w:noProof/>
        </w:rPr>
        <w:t>Psychopharmacology (Berl)</w:t>
      </w:r>
      <w:r w:rsidRPr="00112529">
        <w:rPr>
          <w:rFonts w:ascii="Times" w:hAnsi="Times" w:cs="Times"/>
          <w:noProof/>
        </w:rPr>
        <w:t xml:space="preserve"> (2015) </w:t>
      </w:r>
      <w:r w:rsidRPr="00112529">
        <w:rPr>
          <w:rFonts w:ascii="Times" w:hAnsi="Times" w:cs="Times"/>
          <w:b/>
          <w:bCs/>
          <w:noProof/>
        </w:rPr>
        <w:t>232</w:t>
      </w:r>
      <w:r w:rsidRPr="00112529">
        <w:rPr>
          <w:rFonts w:ascii="Times" w:hAnsi="Times" w:cs="Times"/>
          <w:noProof/>
        </w:rPr>
        <w:t>:501–507. doi:10.1007/s00213-014-3687-y</w:t>
      </w:r>
    </w:p>
    <w:p w14:paraId="6DC5F8A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166. </w:t>
      </w:r>
      <w:r w:rsidRPr="00112529">
        <w:rPr>
          <w:rFonts w:ascii="Times" w:hAnsi="Times" w:cs="Times"/>
          <w:noProof/>
        </w:rPr>
        <w:tab/>
        <w:t xml:space="preserve">Parmar A, Sharan P, Khandelwal SK, Agarwal K, Sharma U, Jagannathan NR. Brain neurochemistry in unmedicated obsessive–compulsive disorder patients and effects of 12-week escitalopram treatment: 1H-magnetic resonance spectroscopy study. </w:t>
      </w:r>
      <w:r w:rsidRPr="00112529">
        <w:rPr>
          <w:rFonts w:ascii="Times" w:hAnsi="Times" w:cs="Times"/>
          <w:i/>
          <w:iCs/>
          <w:noProof/>
        </w:rPr>
        <w:t>Psychiatry Clin Neurosci</w:t>
      </w:r>
      <w:r w:rsidRPr="00112529">
        <w:rPr>
          <w:rFonts w:ascii="Times" w:hAnsi="Times" w:cs="Times"/>
          <w:noProof/>
        </w:rPr>
        <w:t xml:space="preserve"> (2019) </w:t>
      </w:r>
      <w:r w:rsidRPr="00112529">
        <w:rPr>
          <w:rFonts w:ascii="Times" w:hAnsi="Times" w:cs="Times"/>
          <w:b/>
          <w:bCs/>
          <w:noProof/>
        </w:rPr>
        <w:t>73</w:t>
      </w:r>
      <w:r w:rsidRPr="00112529">
        <w:rPr>
          <w:rFonts w:ascii="Times" w:hAnsi="Times" w:cs="Times"/>
          <w:noProof/>
        </w:rPr>
        <w:t>:386–393. doi:10.1111/pcn.12850</w:t>
      </w:r>
    </w:p>
    <w:p w14:paraId="5EE20400"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167. </w:t>
      </w:r>
      <w:r w:rsidRPr="00112529">
        <w:rPr>
          <w:rFonts w:ascii="Times" w:hAnsi="Times" w:cs="Times"/>
          <w:noProof/>
        </w:rPr>
        <w:tab/>
        <w:t xml:space="preserve">Masaki C, Sharpley AL, Godlewska BR, Berrington A, Hashimoto T, Singh N, Vasudevan SR, Emir UE, Churchill GC, Cowen PJ. Effects of the potential lithium-mimetic, ebselen, on brain neurochemistry: A magnetic resonance spectroscopy study at 7 tesla. </w:t>
      </w:r>
      <w:r w:rsidRPr="00112529">
        <w:rPr>
          <w:rFonts w:ascii="Times" w:hAnsi="Times" w:cs="Times"/>
          <w:i/>
          <w:iCs/>
          <w:noProof/>
        </w:rPr>
        <w:t>Psychopharmacology (Berl)</w:t>
      </w:r>
      <w:r w:rsidRPr="00112529">
        <w:rPr>
          <w:rFonts w:ascii="Times" w:hAnsi="Times" w:cs="Times"/>
          <w:noProof/>
        </w:rPr>
        <w:t xml:space="preserve"> (2016) </w:t>
      </w:r>
      <w:r w:rsidRPr="00112529">
        <w:rPr>
          <w:rFonts w:ascii="Times" w:hAnsi="Times" w:cs="Times"/>
          <w:b/>
          <w:bCs/>
          <w:noProof/>
        </w:rPr>
        <w:t>233</w:t>
      </w:r>
      <w:r w:rsidRPr="00112529">
        <w:rPr>
          <w:rFonts w:ascii="Times" w:hAnsi="Times" w:cs="Times"/>
          <w:noProof/>
        </w:rPr>
        <w:t>:1097–1104. doi:10.1007/s00213-015-4189-2</w:t>
      </w:r>
    </w:p>
    <w:p w14:paraId="1FC0574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168. </w:t>
      </w:r>
      <w:r w:rsidRPr="00112529">
        <w:rPr>
          <w:rFonts w:ascii="Times" w:hAnsi="Times" w:cs="Times"/>
          <w:noProof/>
        </w:rPr>
        <w:tab/>
        <w:t xml:space="preserve">Sampedro F, Revenga MDLF, Valle M, Roberto N, Domínguez-Clavé E, Elices M, Luna LE, Crippa JAS, Hallak JEC, Araujo DBD, et al. Assessing the psychedelic “after-glow” in ayahuasca users: Post-acute neurometabolic and functional connectivity changes are associated with enhanced mindfulness capacities. </w:t>
      </w:r>
      <w:r w:rsidRPr="00112529">
        <w:rPr>
          <w:rFonts w:ascii="Times" w:hAnsi="Times" w:cs="Times"/>
          <w:i/>
          <w:iCs/>
          <w:noProof/>
        </w:rPr>
        <w:t>Int J Neuropsychopharmacol</w:t>
      </w:r>
      <w:r w:rsidRPr="00112529">
        <w:rPr>
          <w:rFonts w:ascii="Times" w:hAnsi="Times" w:cs="Times"/>
          <w:noProof/>
        </w:rPr>
        <w:t xml:space="preserve"> (2017) </w:t>
      </w:r>
      <w:r w:rsidRPr="00112529">
        <w:rPr>
          <w:rFonts w:ascii="Times" w:hAnsi="Times" w:cs="Times"/>
          <w:b/>
          <w:bCs/>
          <w:noProof/>
        </w:rPr>
        <w:t>20</w:t>
      </w:r>
      <w:r w:rsidRPr="00112529">
        <w:rPr>
          <w:rFonts w:ascii="Times" w:hAnsi="Times" w:cs="Times"/>
          <w:noProof/>
        </w:rPr>
        <w:t>:698–711. doi:10.1093/ijnp/pyx036</w:t>
      </w:r>
    </w:p>
    <w:p w14:paraId="30E1327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169. </w:t>
      </w:r>
      <w:r w:rsidRPr="00112529">
        <w:rPr>
          <w:rFonts w:ascii="Times" w:hAnsi="Times" w:cs="Times"/>
          <w:noProof/>
        </w:rPr>
        <w:tab/>
        <w:t xml:space="preserve">Ladd ME, Bachert P, Meyerspeer M, Moser E, Nagel AM, Norris DG, Schmitter S, Speck O, Straub S, Zaiss M. Pros and cons of ultra-high-field MRI/MRS for human application. </w:t>
      </w:r>
      <w:r w:rsidRPr="00112529">
        <w:rPr>
          <w:rFonts w:ascii="Times" w:hAnsi="Times" w:cs="Times"/>
          <w:i/>
          <w:iCs/>
          <w:noProof/>
        </w:rPr>
        <w:t>Prog Nucl Magn Reson Spectrosc</w:t>
      </w:r>
      <w:r w:rsidRPr="00112529">
        <w:rPr>
          <w:rFonts w:ascii="Times" w:hAnsi="Times" w:cs="Times"/>
          <w:noProof/>
        </w:rPr>
        <w:t xml:space="preserve"> (2018) </w:t>
      </w:r>
      <w:r w:rsidRPr="00112529">
        <w:rPr>
          <w:rFonts w:ascii="Times" w:hAnsi="Times" w:cs="Times"/>
          <w:b/>
          <w:bCs/>
          <w:noProof/>
        </w:rPr>
        <w:t>109</w:t>
      </w:r>
      <w:r w:rsidRPr="00112529">
        <w:rPr>
          <w:rFonts w:ascii="Times" w:hAnsi="Times" w:cs="Times"/>
          <w:noProof/>
        </w:rPr>
        <w:t>:1–50. doi:10.1016/j.pnmrs.2018.06.001</w:t>
      </w:r>
    </w:p>
    <w:p w14:paraId="4A5A83E8"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170. </w:t>
      </w:r>
      <w:r w:rsidRPr="00112529">
        <w:rPr>
          <w:rFonts w:ascii="Times" w:hAnsi="Times" w:cs="Times"/>
          <w:noProof/>
        </w:rPr>
        <w:tab/>
        <w:t xml:space="preserve">Budinger TF, Bird MD. MRI and MRS of the human brain at magnetic fields of 14 T to 20 T: Technical feasibility, safety, and neuroscience horizons. </w:t>
      </w:r>
      <w:r w:rsidRPr="00112529">
        <w:rPr>
          <w:rFonts w:ascii="Times" w:hAnsi="Times" w:cs="Times"/>
          <w:i/>
          <w:iCs/>
          <w:noProof/>
        </w:rPr>
        <w:t>Neuroimage</w:t>
      </w:r>
      <w:r w:rsidRPr="00112529">
        <w:rPr>
          <w:rFonts w:ascii="Times" w:hAnsi="Times" w:cs="Times"/>
          <w:noProof/>
        </w:rPr>
        <w:t xml:space="preserve"> (2018) </w:t>
      </w:r>
      <w:r w:rsidRPr="00112529">
        <w:rPr>
          <w:rFonts w:ascii="Times" w:hAnsi="Times" w:cs="Times"/>
          <w:b/>
          <w:bCs/>
          <w:noProof/>
        </w:rPr>
        <w:t>168</w:t>
      </w:r>
      <w:r w:rsidRPr="00112529">
        <w:rPr>
          <w:rFonts w:ascii="Times" w:hAnsi="Times" w:cs="Times"/>
          <w:noProof/>
        </w:rPr>
        <w:t>:509–531. doi:10.1016/j.neuroimage.2017.01.067</w:t>
      </w:r>
    </w:p>
    <w:p w14:paraId="0D83325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171. </w:t>
      </w:r>
      <w:r w:rsidRPr="00112529">
        <w:rPr>
          <w:rFonts w:ascii="Times" w:hAnsi="Times" w:cs="Times"/>
          <w:noProof/>
        </w:rPr>
        <w:tab/>
        <w:t xml:space="preserve">Budinger TF, Bird MD, Frydman L, Long JR, Mareci TH, Rooney WD, Rosen B, Schenck JF, Schepkin VD, Sherry AD, et al. Toward 20 T magnetic resonance for human brain studies: opportunities for discovery and neuroscience rationale. </w:t>
      </w:r>
      <w:r w:rsidRPr="00112529">
        <w:rPr>
          <w:rFonts w:ascii="Times" w:hAnsi="Times" w:cs="Times"/>
          <w:i/>
          <w:iCs/>
          <w:noProof/>
        </w:rPr>
        <w:t>Magn Reson Mater Physics, Biol Med</w:t>
      </w:r>
      <w:r w:rsidRPr="00112529">
        <w:rPr>
          <w:rFonts w:ascii="Times" w:hAnsi="Times" w:cs="Times"/>
          <w:noProof/>
        </w:rPr>
        <w:t xml:space="preserve"> (2016) </w:t>
      </w:r>
      <w:r w:rsidRPr="00112529">
        <w:rPr>
          <w:rFonts w:ascii="Times" w:hAnsi="Times" w:cs="Times"/>
          <w:b/>
          <w:bCs/>
          <w:noProof/>
        </w:rPr>
        <w:t>29</w:t>
      </w:r>
      <w:r w:rsidRPr="00112529">
        <w:rPr>
          <w:rFonts w:ascii="Times" w:hAnsi="Times" w:cs="Times"/>
          <w:noProof/>
        </w:rPr>
        <w:t>:617–639. doi:10.1007/s10334-016-0561-4</w:t>
      </w:r>
    </w:p>
    <w:p w14:paraId="7D2F5CB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172. </w:t>
      </w:r>
      <w:r w:rsidRPr="00112529">
        <w:rPr>
          <w:rFonts w:ascii="Times" w:hAnsi="Times" w:cs="Times"/>
          <w:noProof/>
        </w:rPr>
        <w:tab/>
        <w:t xml:space="preserve">Deelchand DK, Moortele PF Van De, Adriany G, Iltis I, Andersen P, Strupp JP, Thomas Vaughan J, Uurbil K, Henry PG. In vivo 1H NMR spectroscopy of the human brain at 9.4 T: Initial results. </w:t>
      </w:r>
      <w:r w:rsidRPr="00112529">
        <w:rPr>
          <w:rFonts w:ascii="Times" w:hAnsi="Times" w:cs="Times"/>
          <w:i/>
          <w:iCs/>
          <w:noProof/>
        </w:rPr>
        <w:t>J Magn Reson</w:t>
      </w:r>
      <w:r w:rsidRPr="00112529">
        <w:rPr>
          <w:rFonts w:ascii="Times" w:hAnsi="Times" w:cs="Times"/>
          <w:noProof/>
        </w:rPr>
        <w:t xml:space="preserve"> (2010) </w:t>
      </w:r>
      <w:r w:rsidRPr="00112529">
        <w:rPr>
          <w:rFonts w:ascii="Times" w:hAnsi="Times" w:cs="Times"/>
          <w:b/>
          <w:bCs/>
          <w:noProof/>
        </w:rPr>
        <w:t>206</w:t>
      </w:r>
      <w:r w:rsidRPr="00112529">
        <w:rPr>
          <w:rFonts w:ascii="Times" w:hAnsi="Times" w:cs="Times"/>
          <w:noProof/>
        </w:rPr>
        <w:t>:74–80. doi:10.1016/j.jmr.2010.06.006</w:t>
      </w:r>
    </w:p>
    <w:p w14:paraId="1D04D74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173. </w:t>
      </w:r>
      <w:r w:rsidRPr="00112529">
        <w:rPr>
          <w:rFonts w:ascii="Times" w:hAnsi="Times" w:cs="Times"/>
          <w:noProof/>
        </w:rPr>
        <w:tab/>
        <w:t xml:space="preserve">Mason NL, Kuypers KPC, Müller F, Reckweg J, Tse DHY, Toennes SW, Hutten NRPW, Jansen JFA, Stiers P, Feilding A, et al. Me, myself, bye: regional alterations in glutamate and the experience of ego dissolution with psilocybin. </w:t>
      </w:r>
      <w:r w:rsidRPr="00112529">
        <w:rPr>
          <w:rFonts w:ascii="Times" w:hAnsi="Times" w:cs="Times"/>
          <w:i/>
          <w:iCs/>
          <w:noProof/>
        </w:rPr>
        <w:t>Neuropsychopharmacology</w:t>
      </w:r>
      <w:r w:rsidRPr="00112529">
        <w:rPr>
          <w:rFonts w:ascii="Times" w:hAnsi="Times" w:cs="Times"/>
          <w:noProof/>
        </w:rPr>
        <w:t xml:space="preserve"> (2020) </w:t>
      </w:r>
      <w:r w:rsidRPr="00112529">
        <w:rPr>
          <w:rFonts w:ascii="Times" w:hAnsi="Times" w:cs="Times"/>
          <w:b/>
          <w:bCs/>
          <w:noProof/>
        </w:rPr>
        <w:t>45</w:t>
      </w:r>
      <w:r w:rsidRPr="00112529">
        <w:rPr>
          <w:rFonts w:ascii="Times" w:hAnsi="Times" w:cs="Times"/>
          <w:noProof/>
        </w:rPr>
        <w:t>:2003–2011. doi:10.1038/s41386-020-0718-8</w:t>
      </w:r>
    </w:p>
    <w:p w14:paraId="5DC2E5B4"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174. </w:t>
      </w:r>
      <w:r w:rsidRPr="00112529">
        <w:rPr>
          <w:rFonts w:ascii="Times" w:hAnsi="Times" w:cs="Times"/>
          <w:noProof/>
        </w:rPr>
        <w:tab/>
        <w:t xml:space="preserve">Grachev ID, Apkarian AV. Chemical mapping of anxiety in the brain of healthy humans: An in vivo 1H‐MRS study on the effects of sex, age, and brain region. </w:t>
      </w:r>
      <w:r w:rsidRPr="00112529">
        <w:rPr>
          <w:rFonts w:ascii="Times" w:hAnsi="Times" w:cs="Times"/>
          <w:i/>
          <w:iCs/>
          <w:noProof/>
        </w:rPr>
        <w:t>Hum Brain Mapp</w:t>
      </w:r>
      <w:r w:rsidRPr="00112529">
        <w:rPr>
          <w:rFonts w:ascii="Times" w:hAnsi="Times" w:cs="Times"/>
          <w:noProof/>
        </w:rPr>
        <w:t xml:space="preserve"> (2000) </w:t>
      </w:r>
      <w:r w:rsidRPr="00112529">
        <w:rPr>
          <w:rFonts w:ascii="Times" w:hAnsi="Times" w:cs="Times"/>
          <w:b/>
          <w:bCs/>
          <w:noProof/>
        </w:rPr>
        <w:t>11</w:t>
      </w:r>
      <w:r w:rsidRPr="00112529">
        <w:rPr>
          <w:rFonts w:ascii="Times" w:hAnsi="Times" w:cs="Times"/>
          <w:noProof/>
        </w:rPr>
        <w:t>:261. doi:10.1002/1097-0193(200012)11:4&lt;261::aid-hbm30&gt;3.0.co;2-6</w:t>
      </w:r>
    </w:p>
    <w:p w14:paraId="18F3055B"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175. </w:t>
      </w:r>
      <w:r w:rsidRPr="00112529">
        <w:rPr>
          <w:rFonts w:ascii="Times" w:hAnsi="Times" w:cs="Times"/>
          <w:noProof/>
        </w:rPr>
        <w:tab/>
        <w:t xml:space="preserve">Millière R, Carhart-Harris RL, Roseman L, Trautwein FM, Berkovich-Ohana A. </w:t>
      </w:r>
      <w:r w:rsidRPr="00112529">
        <w:rPr>
          <w:rFonts w:ascii="Times" w:hAnsi="Times" w:cs="Times"/>
          <w:noProof/>
        </w:rPr>
        <w:lastRenderedPageBreak/>
        <w:t xml:space="preserve">Psychedelics, Meditation, and Self-Consciousness. </w:t>
      </w:r>
      <w:r w:rsidRPr="00112529">
        <w:rPr>
          <w:rFonts w:ascii="Times" w:hAnsi="Times" w:cs="Times"/>
          <w:i/>
          <w:iCs/>
          <w:noProof/>
        </w:rPr>
        <w:t>Front Psychol</w:t>
      </w:r>
      <w:r w:rsidRPr="00112529">
        <w:rPr>
          <w:rFonts w:ascii="Times" w:hAnsi="Times" w:cs="Times"/>
          <w:noProof/>
        </w:rPr>
        <w:t xml:space="preserve"> (2018) </w:t>
      </w:r>
      <w:r w:rsidRPr="00112529">
        <w:rPr>
          <w:rFonts w:ascii="Times" w:hAnsi="Times" w:cs="Times"/>
          <w:b/>
          <w:bCs/>
          <w:noProof/>
        </w:rPr>
        <w:t>9</w:t>
      </w:r>
      <w:r w:rsidRPr="00112529">
        <w:rPr>
          <w:rFonts w:ascii="Times" w:hAnsi="Times" w:cs="Times"/>
          <w:noProof/>
        </w:rPr>
        <w:t>: doi:10.3389/FPSYG.2018.01475</w:t>
      </w:r>
    </w:p>
    <w:p w14:paraId="3E213B2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176. </w:t>
      </w:r>
      <w:r w:rsidRPr="00112529">
        <w:rPr>
          <w:rFonts w:ascii="Times" w:hAnsi="Times" w:cs="Times"/>
          <w:noProof/>
        </w:rPr>
        <w:tab/>
        <w:t xml:space="preserve">Barrett F. In patients with major depressive disorder, psilocybin administration is associated with reduced amygdala response to negative affective stimuli and normalization of cortical glutamate one week after psilocybin, and improved cognitive flexibility one and four weeks after psilocybin. </w:t>
      </w:r>
      <w:r w:rsidRPr="00112529">
        <w:rPr>
          <w:rFonts w:ascii="Times" w:hAnsi="Times" w:cs="Times"/>
          <w:i/>
          <w:iCs/>
          <w:noProof/>
        </w:rPr>
        <w:t>Neuropsychopharmacology</w:t>
      </w:r>
      <w:r w:rsidRPr="00112529">
        <w:rPr>
          <w:rFonts w:ascii="Times" w:hAnsi="Times" w:cs="Times"/>
          <w:noProof/>
        </w:rPr>
        <w:t xml:space="preserve"> (2019) </w:t>
      </w:r>
      <w:r w:rsidRPr="00112529">
        <w:rPr>
          <w:rFonts w:ascii="Times" w:hAnsi="Times" w:cs="Times"/>
          <w:b/>
          <w:bCs/>
          <w:noProof/>
        </w:rPr>
        <w:t>44</w:t>
      </w:r>
      <w:r w:rsidRPr="00112529">
        <w:rPr>
          <w:rFonts w:ascii="Times" w:hAnsi="Times" w:cs="Times"/>
          <w:noProof/>
        </w:rPr>
        <w:t>:76–77. doi:10.1002/CENTRAL/CN-02119348</w:t>
      </w:r>
    </w:p>
    <w:p w14:paraId="1BE7A28F"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177. </w:t>
      </w:r>
      <w:r w:rsidRPr="00112529">
        <w:rPr>
          <w:rFonts w:ascii="Times" w:hAnsi="Times" w:cs="Times"/>
          <w:noProof/>
        </w:rPr>
        <w:tab/>
        <w:t xml:space="preserve">Jelen LA, King S, Mullins PG, Stone JM. Beyond static measures: A review of functional magnetic resonance spectroscopy and its potential to investigate dynamic glutamatergic abnormalities in schizophrenia. </w:t>
      </w:r>
      <w:r w:rsidRPr="00112529">
        <w:rPr>
          <w:rFonts w:ascii="Times" w:hAnsi="Times" w:cs="Times"/>
          <w:i/>
          <w:iCs/>
          <w:noProof/>
        </w:rPr>
        <w:t>J Psychopharmacol</w:t>
      </w:r>
      <w:r w:rsidRPr="00112529">
        <w:rPr>
          <w:rFonts w:ascii="Times" w:hAnsi="Times" w:cs="Times"/>
          <w:noProof/>
        </w:rPr>
        <w:t xml:space="preserve"> (2018) </w:t>
      </w:r>
      <w:r w:rsidRPr="00112529">
        <w:rPr>
          <w:rFonts w:ascii="Times" w:hAnsi="Times" w:cs="Times"/>
          <w:b/>
          <w:bCs/>
          <w:noProof/>
        </w:rPr>
        <w:t>32</w:t>
      </w:r>
      <w:r w:rsidRPr="00112529">
        <w:rPr>
          <w:rFonts w:ascii="Times" w:hAnsi="Times" w:cs="Times"/>
          <w:noProof/>
        </w:rPr>
        <w:t>:497–508. doi:10.1177/0269881117747579</w:t>
      </w:r>
    </w:p>
    <w:p w14:paraId="20541BCC"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178. </w:t>
      </w:r>
      <w:r w:rsidRPr="00112529">
        <w:rPr>
          <w:rFonts w:ascii="Times" w:hAnsi="Times" w:cs="Times"/>
          <w:noProof/>
        </w:rPr>
        <w:tab/>
        <w:t xml:space="preserve">Griffin JL. Twenty years of metabonomics: so what has metabonomics done for toxicology? </w:t>
      </w:r>
      <w:r w:rsidRPr="00112529">
        <w:rPr>
          <w:rFonts w:ascii="Times" w:hAnsi="Times" w:cs="Times"/>
          <w:i/>
          <w:iCs/>
          <w:noProof/>
        </w:rPr>
        <w:t>Xenobiotica</w:t>
      </w:r>
      <w:r w:rsidRPr="00112529">
        <w:rPr>
          <w:rFonts w:ascii="Times" w:hAnsi="Times" w:cs="Times"/>
          <w:noProof/>
        </w:rPr>
        <w:t xml:space="preserve"> (2020) </w:t>
      </w:r>
      <w:r w:rsidRPr="00112529">
        <w:rPr>
          <w:rFonts w:ascii="Times" w:hAnsi="Times" w:cs="Times"/>
          <w:b/>
          <w:bCs/>
          <w:noProof/>
        </w:rPr>
        <w:t>50</w:t>
      </w:r>
      <w:r w:rsidRPr="00112529">
        <w:rPr>
          <w:rFonts w:ascii="Times" w:hAnsi="Times" w:cs="Times"/>
          <w:noProof/>
        </w:rPr>
        <w:t>:110–114. doi:10.1080/00498254.2019.1697015</w:t>
      </w:r>
    </w:p>
    <w:p w14:paraId="55BB1E6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179. </w:t>
      </w:r>
      <w:r w:rsidRPr="00112529">
        <w:rPr>
          <w:rFonts w:ascii="Times" w:hAnsi="Times" w:cs="Times"/>
          <w:noProof/>
        </w:rPr>
        <w:tab/>
        <w:t xml:space="preserve">Vojinovic D, Radjabzadeh D, Kurilshikov A, Amin N, Wijmenga C, Franke L, Ikram MA, Uitterlinden AG, Zhernakova A, Fu J, et al. Relationship between gut microbiota and circulating metabolites in population-based cohorts. </w:t>
      </w:r>
      <w:r w:rsidRPr="00112529">
        <w:rPr>
          <w:rFonts w:ascii="Times" w:hAnsi="Times" w:cs="Times"/>
          <w:i/>
          <w:iCs/>
          <w:noProof/>
        </w:rPr>
        <w:t>Nat Commun</w:t>
      </w:r>
      <w:r w:rsidRPr="00112529">
        <w:rPr>
          <w:rFonts w:ascii="Times" w:hAnsi="Times" w:cs="Times"/>
          <w:noProof/>
        </w:rPr>
        <w:t xml:space="preserve"> (2019) </w:t>
      </w:r>
      <w:r w:rsidRPr="00112529">
        <w:rPr>
          <w:rFonts w:ascii="Times" w:hAnsi="Times" w:cs="Times"/>
          <w:b/>
          <w:bCs/>
          <w:noProof/>
        </w:rPr>
        <w:t>10</w:t>
      </w:r>
      <w:r w:rsidRPr="00112529">
        <w:rPr>
          <w:rFonts w:ascii="Times" w:hAnsi="Times" w:cs="Times"/>
          <w:noProof/>
        </w:rPr>
        <w:t>:1–7. doi:10.1038/s41467-019-13721-1</w:t>
      </w:r>
    </w:p>
    <w:p w14:paraId="068A1F3A"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180. </w:t>
      </w:r>
      <w:r w:rsidRPr="00112529">
        <w:rPr>
          <w:rFonts w:ascii="Times" w:hAnsi="Times" w:cs="Times"/>
          <w:noProof/>
        </w:rPr>
        <w:tab/>
        <w:t xml:space="preserve">Vernocchi P, Del Chierico F, Putignani L. Gut microbiota profiling: Metabolomics based approach to unravel compounds affecting human health. </w:t>
      </w:r>
      <w:r w:rsidRPr="00112529">
        <w:rPr>
          <w:rFonts w:ascii="Times" w:hAnsi="Times" w:cs="Times"/>
          <w:i/>
          <w:iCs/>
          <w:noProof/>
        </w:rPr>
        <w:t>Front Microbiol</w:t>
      </w:r>
      <w:r w:rsidRPr="00112529">
        <w:rPr>
          <w:rFonts w:ascii="Times" w:hAnsi="Times" w:cs="Times"/>
          <w:noProof/>
        </w:rPr>
        <w:t xml:space="preserve"> (2016) </w:t>
      </w:r>
      <w:r w:rsidRPr="00112529">
        <w:rPr>
          <w:rFonts w:ascii="Times" w:hAnsi="Times" w:cs="Times"/>
          <w:b/>
          <w:bCs/>
          <w:noProof/>
        </w:rPr>
        <w:t>7</w:t>
      </w:r>
      <w:r w:rsidRPr="00112529">
        <w:rPr>
          <w:rFonts w:ascii="Times" w:hAnsi="Times" w:cs="Times"/>
          <w:noProof/>
        </w:rPr>
        <w:t>:1144. doi:10.3389/fmicb.2016.01144</w:t>
      </w:r>
    </w:p>
    <w:p w14:paraId="7BDCA452"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181. </w:t>
      </w:r>
      <w:r w:rsidRPr="00112529">
        <w:rPr>
          <w:rFonts w:ascii="Times" w:hAnsi="Times" w:cs="Times"/>
          <w:noProof/>
        </w:rPr>
        <w:tab/>
        <w:t xml:space="preserve">Calvani R, Brasili E, Praticò G, Sciubba F, Roselli M, Finamore A, Marini F, Marzetti E, Miccheli A. Application of NMR-based metabolomics to the study of gut microbiota in obesity. in </w:t>
      </w:r>
      <w:r w:rsidRPr="00112529">
        <w:rPr>
          <w:rFonts w:ascii="Times" w:hAnsi="Times" w:cs="Times"/>
          <w:i/>
          <w:iCs/>
          <w:noProof/>
        </w:rPr>
        <w:t>Journal of Clinical Gastroenterology</w:t>
      </w:r>
      <w:r w:rsidRPr="00112529">
        <w:rPr>
          <w:rFonts w:ascii="Times" w:hAnsi="Times" w:cs="Times"/>
          <w:noProof/>
        </w:rPr>
        <w:t xml:space="preserve"> (Lippincott Williams and Wilkins), S5–S7. doi:10.1097/MCG.0000000000000236</w:t>
      </w:r>
    </w:p>
    <w:p w14:paraId="5A98DD1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182. </w:t>
      </w:r>
      <w:r w:rsidRPr="00112529">
        <w:rPr>
          <w:rFonts w:ascii="Times" w:hAnsi="Times" w:cs="Times"/>
          <w:noProof/>
        </w:rPr>
        <w:tab/>
        <w:t xml:space="preserve">Swann J, Wang Y, Abecia L, Costabile A, Tuohy K, Gibson G, Roberts D, Sidaway J, Jones H, Wilson ID, et al. Gut microbiome modulates the toxicity of hydrazine: A metabonomic study. </w:t>
      </w:r>
      <w:r w:rsidRPr="00112529">
        <w:rPr>
          <w:rFonts w:ascii="Times" w:hAnsi="Times" w:cs="Times"/>
          <w:i/>
          <w:iCs/>
          <w:noProof/>
        </w:rPr>
        <w:t>Mol Biosyst</w:t>
      </w:r>
      <w:r w:rsidRPr="00112529">
        <w:rPr>
          <w:rFonts w:ascii="Times" w:hAnsi="Times" w:cs="Times"/>
          <w:noProof/>
        </w:rPr>
        <w:t xml:space="preserve"> (2009) </w:t>
      </w:r>
      <w:r w:rsidRPr="00112529">
        <w:rPr>
          <w:rFonts w:ascii="Times" w:hAnsi="Times" w:cs="Times"/>
          <w:b/>
          <w:bCs/>
          <w:noProof/>
        </w:rPr>
        <w:t>5</w:t>
      </w:r>
      <w:r w:rsidRPr="00112529">
        <w:rPr>
          <w:rFonts w:ascii="Times" w:hAnsi="Times" w:cs="Times"/>
          <w:noProof/>
        </w:rPr>
        <w:t>:351–355. doi:10.1039/b811468d</w:t>
      </w:r>
    </w:p>
    <w:p w14:paraId="3566AC93"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183. </w:t>
      </w:r>
      <w:r w:rsidRPr="00112529">
        <w:rPr>
          <w:rFonts w:ascii="Times" w:hAnsi="Times" w:cs="Times"/>
          <w:noProof/>
        </w:rPr>
        <w:tab/>
        <w:t xml:space="preserve">Shulgin A, Shulgin A. </w:t>
      </w:r>
      <w:r w:rsidRPr="00112529">
        <w:rPr>
          <w:rFonts w:ascii="Times" w:hAnsi="Times" w:cs="Times"/>
          <w:i/>
          <w:iCs/>
          <w:noProof/>
        </w:rPr>
        <w:t>PiHKAL: A Chemical Love Story</w:t>
      </w:r>
      <w:r w:rsidRPr="00112529">
        <w:rPr>
          <w:rFonts w:ascii="Times" w:hAnsi="Times" w:cs="Times"/>
          <w:noProof/>
        </w:rPr>
        <w:t>. 1st ed. , ed. D. Joy Berkley, California, U.S.: Transform Press (1991).</w:t>
      </w:r>
    </w:p>
    <w:p w14:paraId="3EF7487D"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184. </w:t>
      </w:r>
      <w:r w:rsidRPr="00112529">
        <w:rPr>
          <w:rFonts w:ascii="Times" w:hAnsi="Times" w:cs="Times"/>
          <w:noProof/>
        </w:rPr>
        <w:tab/>
        <w:t xml:space="preserve">Fotiou E. Working with “La Medicina”: Elements of Healing in Contemporary Ayahuasca Rituals. </w:t>
      </w:r>
      <w:r w:rsidRPr="00112529">
        <w:rPr>
          <w:rFonts w:ascii="Times" w:hAnsi="Times" w:cs="Times"/>
          <w:i/>
          <w:iCs/>
          <w:noProof/>
        </w:rPr>
        <w:t>Anthropol Conscious</w:t>
      </w:r>
      <w:r w:rsidRPr="00112529">
        <w:rPr>
          <w:rFonts w:ascii="Times" w:hAnsi="Times" w:cs="Times"/>
          <w:noProof/>
        </w:rPr>
        <w:t xml:space="preserve"> (2012) </w:t>
      </w:r>
      <w:r w:rsidRPr="00112529">
        <w:rPr>
          <w:rFonts w:ascii="Times" w:hAnsi="Times" w:cs="Times"/>
          <w:b/>
          <w:bCs/>
          <w:noProof/>
        </w:rPr>
        <w:t>23</w:t>
      </w:r>
      <w:r w:rsidRPr="00112529">
        <w:rPr>
          <w:rFonts w:ascii="Times" w:hAnsi="Times" w:cs="Times"/>
          <w:noProof/>
        </w:rPr>
        <w:t>:6–27. doi:10.1111/j.1556-3537.2012.01054.x</w:t>
      </w:r>
    </w:p>
    <w:p w14:paraId="2FA4A905"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185. </w:t>
      </w:r>
      <w:r w:rsidRPr="00112529">
        <w:rPr>
          <w:rFonts w:ascii="Times" w:hAnsi="Times" w:cs="Times"/>
          <w:noProof/>
        </w:rPr>
        <w:tab/>
        <w:t xml:space="preserve">Morais LH, Schreiber HL, Mazmanian SK. The gut microbiota–brain axis in behaviour and brain disorders. </w:t>
      </w:r>
      <w:r w:rsidRPr="00112529">
        <w:rPr>
          <w:rFonts w:ascii="Times" w:hAnsi="Times" w:cs="Times"/>
          <w:i/>
          <w:iCs/>
          <w:noProof/>
        </w:rPr>
        <w:t>Nat Rev Microbiol</w:t>
      </w:r>
      <w:r w:rsidRPr="00112529">
        <w:rPr>
          <w:rFonts w:ascii="Times" w:hAnsi="Times" w:cs="Times"/>
          <w:noProof/>
        </w:rPr>
        <w:t xml:space="preserve"> (2021) </w:t>
      </w:r>
      <w:r w:rsidRPr="00112529">
        <w:rPr>
          <w:rFonts w:ascii="Times" w:hAnsi="Times" w:cs="Times"/>
          <w:b/>
          <w:bCs/>
          <w:noProof/>
        </w:rPr>
        <w:t>19</w:t>
      </w:r>
      <w:r w:rsidRPr="00112529">
        <w:rPr>
          <w:rFonts w:ascii="Times" w:hAnsi="Times" w:cs="Times"/>
          <w:noProof/>
        </w:rPr>
        <w:t>:241–255. doi:10.1038/s41579-020-00460-0</w:t>
      </w:r>
    </w:p>
    <w:p w14:paraId="5AF4F4D7"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186. </w:t>
      </w:r>
      <w:r w:rsidRPr="00112529">
        <w:rPr>
          <w:rFonts w:ascii="Times" w:hAnsi="Times" w:cs="Times"/>
          <w:noProof/>
        </w:rPr>
        <w:tab/>
        <w:t xml:space="preserve">Cryan JF, O’riordan KJ, Cowan CSM, Sandhu K V., Bastiaanssen TFS, Boehme M, Codagnone MG, Cussotto S, Fulling C, Golubeva A V., et al. The microbiota-gut-brain axis. </w:t>
      </w:r>
      <w:r w:rsidRPr="00112529">
        <w:rPr>
          <w:rFonts w:ascii="Times" w:hAnsi="Times" w:cs="Times"/>
          <w:i/>
          <w:iCs/>
          <w:noProof/>
        </w:rPr>
        <w:t>Physiol Rev</w:t>
      </w:r>
      <w:r w:rsidRPr="00112529">
        <w:rPr>
          <w:rFonts w:ascii="Times" w:hAnsi="Times" w:cs="Times"/>
          <w:noProof/>
        </w:rPr>
        <w:t xml:space="preserve"> (2019) </w:t>
      </w:r>
      <w:r w:rsidRPr="00112529">
        <w:rPr>
          <w:rFonts w:ascii="Times" w:hAnsi="Times" w:cs="Times"/>
          <w:b/>
          <w:bCs/>
          <w:noProof/>
        </w:rPr>
        <w:t>99</w:t>
      </w:r>
      <w:r w:rsidRPr="00112529">
        <w:rPr>
          <w:rFonts w:ascii="Times" w:hAnsi="Times" w:cs="Times"/>
          <w:noProof/>
        </w:rPr>
        <w:t>:1877–2013. doi:10.1152/physrev.00018.2018</w:t>
      </w:r>
    </w:p>
    <w:p w14:paraId="0261B5A6" w14:textId="77777777" w:rsidR="00112529" w:rsidRPr="00112529" w:rsidRDefault="00112529" w:rsidP="00112529">
      <w:pPr>
        <w:widowControl w:val="0"/>
        <w:autoSpaceDE w:val="0"/>
        <w:autoSpaceDN w:val="0"/>
        <w:adjustRightInd w:val="0"/>
        <w:ind w:left="640" w:hanging="640"/>
        <w:rPr>
          <w:rFonts w:ascii="Times" w:hAnsi="Times" w:cs="Times"/>
          <w:noProof/>
        </w:rPr>
      </w:pPr>
      <w:r w:rsidRPr="00112529">
        <w:rPr>
          <w:rFonts w:ascii="Times" w:hAnsi="Times" w:cs="Times"/>
          <w:noProof/>
        </w:rPr>
        <w:t xml:space="preserve">187. </w:t>
      </w:r>
      <w:r w:rsidRPr="00112529">
        <w:rPr>
          <w:rFonts w:ascii="Times" w:hAnsi="Times" w:cs="Times"/>
          <w:noProof/>
        </w:rPr>
        <w:tab/>
        <w:t xml:space="preserve">Wang HX, Wang YP. Gut microbiota-brain axis. </w:t>
      </w:r>
      <w:r w:rsidRPr="00112529">
        <w:rPr>
          <w:rFonts w:ascii="Times" w:hAnsi="Times" w:cs="Times"/>
          <w:i/>
          <w:iCs/>
          <w:noProof/>
        </w:rPr>
        <w:t>Chin Med J (Engl)</w:t>
      </w:r>
      <w:r w:rsidRPr="00112529">
        <w:rPr>
          <w:rFonts w:ascii="Times" w:hAnsi="Times" w:cs="Times"/>
          <w:noProof/>
        </w:rPr>
        <w:t xml:space="preserve"> (2016) </w:t>
      </w:r>
      <w:r w:rsidRPr="00112529">
        <w:rPr>
          <w:rFonts w:ascii="Times" w:hAnsi="Times" w:cs="Times"/>
          <w:b/>
          <w:bCs/>
          <w:noProof/>
        </w:rPr>
        <w:t>129</w:t>
      </w:r>
      <w:r w:rsidRPr="00112529">
        <w:rPr>
          <w:rFonts w:ascii="Times" w:hAnsi="Times" w:cs="Times"/>
          <w:noProof/>
        </w:rPr>
        <w:t>:2373–2380. doi:10.4103/0366-6999.190667</w:t>
      </w:r>
    </w:p>
    <w:p w14:paraId="7982571A" w14:textId="77777777" w:rsidR="00112529" w:rsidRPr="00112529" w:rsidRDefault="00112529" w:rsidP="00112529">
      <w:pPr>
        <w:widowControl w:val="0"/>
        <w:autoSpaceDE w:val="0"/>
        <w:autoSpaceDN w:val="0"/>
        <w:adjustRightInd w:val="0"/>
        <w:ind w:left="640" w:hanging="640"/>
        <w:rPr>
          <w:rFonts w:ascii="Times" w:hAnsi="Times" w:cs="Times"/>
          <w:noProof/>
        </w:rPr>
      </w:pPr>
      <w:r w:rsidRPr="00CA61AB">
        <w:rPr>
          <w:rFonts w:ascii="Times" w:hAnsi="Times" w:cs="Times"/>
          <w:noProof/>
          <w:lang w:val="nb-NO"/>
        </w:rPr>
        <w:t xml:space="preserve">188. </w:t>
      </w:r>
      <w:r w:rsidRPr="00CA61AB">
        <w:rPr>
          <w:rFonts w:ascii="Times" w:hAnsi="Times" w:cs="Times"/>
          <w:noProof/>
          <w:lang w:val="nb-NO"/>
        </w:rPr>
        <w:tab/>
        <w:t xml:space="preserve">Foster JA, McVey Neufeld KA. </w:t>
      </w:r>
      <w:r w:rsidRPr="00112529">
        <w:rPr>
          <w:rFonts w:ascii="Times" w:hAnsi="Times" w:cs="Times"/>
          <w:noProof/>
        </w:rPr>
        <w:t xml:space="preserve">Gut-brain axis: How the microbiome influences anxiety and depression. </w:t>
      </w:r>
      <w:r w:rsidRPr="00112529">
        <w:rPr>
          <w:rFonts w:ascii="Times" w:hAnsi="Times" w:cs="Times"/>
          <w:i/>
          <w:iCs/>
          <w:noProof/>
        </w:rPr>
        <w:t>Trends Neurosci</w:t>
      </w:r>
      <w:r w:rsidRPr="00112529">
        <w:rPr>
          <w:rFonts w:ascii="Times" w:hAnsi="Times" w:cs="Times"/>
          <w:noProof/>
        </w:rPr>
        <w:t xml:space="preserve"> (2013) </w:t>
      </w:r>
      <w:r w:rsidRPr="00112529">
        <w:rPr>
          <w:rFonts w:ascii="Times" w:hAnsi="Times" w:cs="Times"/>
          <w:b/>
          <w:bCs/>
          <w:noProof/>
        </w:rPr>
        <w:t>36</w:t>
      </w:r>
      <w:r w:rsidRPr="00112529">
        <w:rPr>
          <w:rFonts w:ascii="Times" w:hAnsi="Times" w:cs="Times"/>
          <w:noProof/>
        </w:rPr>
        <w:t>:305–312. doi:10.1016/j.tins.2013.01.005</w:t>
      </w:r>
    </w:p>
    <w:p w14:paraId="0D84D959" w14:textId="5354CAAC" w:rsidR="00552D82" w:rsidRDefault="009263E4" w:rsidP="00B37692">
      <w:pPr>
        <w:widowControl w:val="0"/>
        <w:autoSpaceDE w:val="0"/>
        <w:autoSpaceDN w:val="0"/>
        <w:adjustRightInd w:val="0"/>
        <w:ind w:left="640" w:hanging="640"/>
        <w:rPr>
          <w:rFonts w:ascii="Times" w:eastAsiaTheme="minorEastAsia" w:hAnsi="Times" w:cs="Times"/>
          <w:color w:val="000000"/>
        </w:rPr>
      </w:pPr>
      <w:r>
        <w:rPr>
          <w:rFonts w:ascii="Times" w:eastAsiaTheme="minorEastAsia" w:hAnsi="Times" w:cs="Times"/>
          <w:color w:val="000000"/>
        </w:rPr>
        <w:fldChar w:fldCharType="end"/>
      </w:r>
    </w:p>
    <w:p w14:paraId="76F01979" w14:textId="77777777" w:rsidR="00B37692" w:rsidRDefault="00B37692" w:rsidP="00B37692">
      <w:pPr>
        <w:widowControl w:val="0"/>
        <w:autoSpaceDE w:val="0"/>
        <w:autoSpaceDN w:val="0"/>
        <w:adjustRightInd w:val="0"/>
        <w:ind w:left="640" w:hanging="640"/>
        <w:rPr>
          <w:rFonts w:ascii="Times" w:eastAsiaTheme="minorEastAsia" w:hAnsi="Times" w:cs="Times"/>
          <w:color w:val="000000"/>
        </w:rPr>
      </w:pPr>
    </w:p>
    <w:p w14:paraId="23A866C1" w14:textId="661EDA9C" w:rsidR="00626D2B" w:rsidRDefault="00FC3660" w:rsidP="00E50706">
      <w:r>
        <w:t xml:space="preserve">Figure 1. The molecular structures of the serotonin neurotransmitter and the </w:t>
      </w:r>
      <w:proofErr w:type="spellStart"/>
      <w:r>
        <w:t>indolealkylamines</w:t>
      </w:r>
      <w:proofErr w:type="spellEnd"/>
      <w:r>
        <w:t xml:space="preserve"> class of psychedelic molecules (tryptamine moiety highlighted in red). </w:t>
      </w:r>
      <w:r w:rsidRPr="00FC3660">
        <w:rPr>
          <w:b/>
          <w:bCs/>
        </w:rPr>
        <w:t>(A)</w:t>
      </w:r>
      <w:r>
        <w:t xml:space="preserve"> Serotonin; 5-hydroxytryptamine (5-HT). </w:t>
      </w:r>
      <w:r w:rsidRPr="00FC3660">
        <w:rPr>
          <w:b/>
          <w:bCs/>
        </w:rPr>
        <w:t xml:space="preserve">(B) </w:t>
      </w:r>
      <w:r>
        <w:t>Psilocybin; 4-phosphoryloxy-</w:t>
      </w:r>
      <w:proofErr w:type="gramStart"/>
      <w:r>
        <w:t>N,N</w:t>
      </w:r>
      <w:proofErr w:type="gramEnd"/>
      <w:r>
        <w:t xml:space="preserve">-dimethyltryptamine (4-PO-DMT). </w:t>
      </w:r>
      <w:r w:rsidRPr="00FC3660">
        <w:rPr>
          <w:b/>
          <w:bCs/>
        </w:rPr>
        <w:t>(C)</w:t>
      </w:r>
      <w:r>
        <w:t xml:space="preserve"> Psilocin; 4-hydroxy-</w:t>
      </w:r>
      <w:proofErr w:type="gramStart"/>
      <w:r>
        <w:t>N,N</w:t>
      </w:r>
      <w:proofErr w:type="gramEnd"/>
      <w:r>
        <w:t>-dimethyltryptamine (4-OH-</w:t>
      </w:r>
      <w:r>
        <w:lastRenderedPageBreak/>
        <w:t>DM</w:t>
      </w:r>
      <w:r w:rsidRPr="00FC3660">
        <w:t>T).</w:t>
      </w:r>
      <w:r w:rsidRPr="00FC3660">
        <w:rPr>
          <w:b/>
          <w:bCs/>
        </w:rPr>
        <w:t xml:space="preserve"> (D)</w:t>
      </w:r>
      <w:r>
        <w:t xml:space="preserve"> </w:t>
      </w:r>
      <w:proofErr w:type="gramStart"/>
      <w:r>
        <w:t>N,N</w:t>
      </w:r>
      <w:proofErr w:type="gramEnd"/>
      <w:r>
        <w:t xml:space="preserve">-dimethyltryptamine (DMT). </w:t>
      </w:r>
      <w:r w:rsidRPr="00FC3660">
        <w:rPr>
          <w:b/>
          <w:bCs/>
        </w:rPr>
        <w:t>(E)</w:t>
      </w:r>
      <w:r>
        <w:t xml:space="preserve"> 5-methoxy-</w:t>
      </w:r>
      <w:proofErr w:type="gramStart"/>
      <w:r>
        <w:t>N,N</w:t>
      </w:r>
      <w:proofErr w:type="gramEnd"/>
      <w:r>
        <w:t xml:space="preserve">-dimethyltryptamine (5-MeO-DMT). </w:t>
      </w:r>
      <w:r w:rsidRPr="00FC3660">
        <w:rPr>
          <w:b/>
          <w:bCs/>
        </w:rPr>
        <w:t xml:space="preserve">(F) </w:t>
      </w:r>
      <w:r>
        <w:t>Lysergic acid diethylamide (LSD).</w:t>
      </w:r>
    </w:p>
    <w:p w14:paraId="190035B2" w14:textId="77777777" w:rsidR="00926770" w:rsidRDefault="00926770" w:rsidP="00E50706"/>
    <w:p w14:paraId="24EC1C05" w14:textId="29F0911D" w:rsidR="00926770" w:rsidRDefault="00926770" w:rsidP="00E50706">
      <w:r>
        <w:t xml:space="preserve">Figure 2. A flowchart of the LSD derivatives </w:t>
      </w:r>
      <w:r w:rsidR="00072F2F">
        <w:t>that were analyse</w:t>
      </w:r>
      <w:r w:rsidR="00883112">
        <w:t>d</w:t>
      </w:r>
      <w:r w:rsidR="00072F2F">
        <w:t xml:space="preserve"> using </w:t>
      </w:r>
      <w:r w:rsidR="00883112" w:rsidRPr="00F00BA9">
        <w:rPr>
          <w:color w:val="000000" w:themeColor="text1"/>
          <w:shd w:val="clear" w:color="auto" w:fill="FFFFFF"/>
          <w:vertAlign w:val="superscript"/>
        </w:rPr>
        <w:t>1</w:t>
      </w:r>
      <w:r w:rsidR="00883112" w:rsidRPr="00F00BA9">
        <w:rPr>
          <w:color w:val="000000" w:themeColor="text1"/>
          <w:shd w:val="clear" w:color="auto" w:fill="FFFFFF"/>
        </w:rPr>
        <w:t>H</w:t>
      </w:r>
      <w:r w:rsidR="00883112" w:rsidRPr="005B0778">
        <w:rPr>
          <w:color w:val="000000" w:themeColor="text1"/>
        </w:rPr>
        <w:t xml:space="preserve"> NMR</w:t>
      </w:r>
      <w:r w:rsidR="00883112">
        <w:rPr>
          <w:color w:val="000000" w:themeColor="text1"/>
        </w:rPr>
        <w:t xml:space="preserve"> spectroscopy in the studies conducted by Brandt</w:t>
      </w:r>
      <w:r w:rsidR="009C350B">
        <w:rPr>
          <w:color w:val="000000" w:themeColor="text1"/>
        </w:rPr>
        <w:t xml:space="preserve"> </w:t>
      </w:r>
      <w:proofErr w:type="gramStart"/>
      <w:r w:rsidR="009C350B" w:rsidRPr="00CA61AB">
        <w:rPr>
          <w:i/>
          <w:iCs/>
          <w:color w:val="000000" w:themeColor="text1"/>
        </w:rPr>
        <w:t>et al</w:t>
      </w:r>
      <w:r w:rsidR="009C350B">
        <w:rPr>
          <w:color w:val="000000" w:themeColor="text1"/>
        </w:rPr>
        <w:t>..</w:t>
      </w:r>
      <w:proofErr w:type="gramEnd"/>
      <w:r w:rsidR="009C350B">
        <w:rPr>
          <w:color w:val="000000" w:themeColor="text1"/>
        </w:rPr>
        <w:t xml:space="preserve"> The </w:t>
      </w:r>
      <w:r w:rsidR="00D05710">
        <w:rPr>
          <w:color w:val="000000" w:themeColor="text1"/>
        </w:rPr>
        <w:t xml:space="preserve">LSD </w:t>
      </w:r>
      <w:r w:rsidR="009C350B">
        <w:rPr>
          <w:color w:val="000000" w:themeColor="text1"/>
        </w:rPr>
        <w:t>derivatives in yellow boxes highlight pot</w:t>
      </w:r>
      <w:r w:rsidR="00B05213">
        <w:rPr>
          <w:color w:val="000000" w:themeColor="text1"/>
        </w:rPr>
        <w:t>ential prodrugs and</w:t>
      </w:r>
      <w:r w:rsidR="00D05710">
        <w:rPr>
          <w:color w:val="000000" w:themeColor="text1"/>
        </w:rPr>
        <w:t xml:space="preserve"> LSD</w:t>
      </w:r>
      <w:r w:rsidR="00B05213">
        <w:rPr>
          <w:color w:val="000000" w:themeColor="text1"/>
        </w:rPr>
        <w:t xml:space="preserve"> derivatives in </w:t>
      </w:r>
      <w:r w:rsidR="00D05710">
        <w:rPr>
          <w:color w:val="000000" w:themeColor="text1"/>
        </w:rPr>
        <w:t xml:space="preserve">red boxes highlight derivatives that have not been implicated as being prodrugs. </w:t>
      </w:r>
    </w:p>
    <w:sectPr w:rsidR="00926770" w:rsidSect="0030129B">
      <w:type w:val="continuous"/>
      <w:pgSz w:w="11900" w:h="16840"/>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27D57" w14:textId="77777777" w:rsidR="005F506A" w:rsidRDefault="005F506A" w:rsidP="00430E66">
      <w:r>
        <w:separator/>
      </w:r>
    </w:p>
  </w:endnote>
  <w:endnote w:type="continuationSeparator" w:id="0">
    <w:p w14:paraId="7360C569" w14:textId="77777777" w:rsidR="005F506A" w:rsidRDefault="005F506A" w:rsidP="00430E66">
      <w:r>
        <w:continuationSeparator/>
      </w:r>
    </w:p>
  </w:endnote>
  <w:endnote w:type="continuationNotice" w:id="1">
    <w:p w14:paraId="3B6B2641" w14:textId="77777777" w:rsidR="005F506A" w:rsidRDefault="005F50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6722176"/>
      <w:docPartObj>
        <w:docPartGallery w:val="Page Numbers (Bottom of Page)"/>
        <w:docPartUnique/>
      </w:docPartObj>
    </w:sdtPr>
    <w:sdtEndPr>
      <w:rPr>
        <w:rStyle w:val="PageNumber"/>
      </w:rPr>
    </w:sdtEndPr>
    <w:sdtContent>
      <w:p w14:paraId="6A8DD20D" w14:textId="2E9893B1" w:rsidR="00E50706" w:rsidRDefault="00E50706" w:rsidP="008142B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AA550E" w14:textId="77777777" w:rsidR="00E50706" w:rsidRDefault="00E507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7392860"/>
      <w:docPartObj>
        <w:docPartGallery w:val="Page Numbers (Bottom of Page)"/>
        <w:docPartUnique/>
      </w:docPartObj>
    </w:sdtPr>
    <w:sdtEndPr>
      <w:rPr>
        <w:rStyle w:val="PageNumber"/>
      </w:rPr>
    </w:sdtEndPr>
    <w:sdtContent>
      <w:p w14:paraId="177DB8F8" w14:textId="5046BA74" w:rsidR="00E50706" w:rsidRDefault="00E50706" w:rsidP="008142B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B25543" w14:textId="77777777" w:rsidR="00E50706" w:rsidRDefault="00E50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1C609" w14:textId="77777777" w:rsidR="005F506A" w:rsidRDefault="005F506A" w:rsidP="00430E66">
      <w:r>
        <w:separator/>
      </w:r>
    </w:p>
  </w:footnote>
  <w:footnote w:type="continuationSeparator" w:id="0">
    <w:p w14:paraId="4E324B73" w14:textId="77777777" w:rsidR="005F506A" w:rsidRDefault="005F506A" w:rsidP="00430E66">
      <w:r>
        <w:continuationSeparator/>
      </w:r>
    </w:p>
  </w:footnote>
  <w:footnote w:type="continuationNotice" w:id="1">
    <w:p w14:paraId="66E11085" w14:textId="77777777" w:rsidR="005F506A" w:rsidRDefault="005F50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7BFC"/>
    <w:multiLevelType w:val="multilevel"/>
    <w:tmpl w:val="A036D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2C6EC7"/>
    <w:multiLevelType w:val="multilevel"/>
    <w:tmpl w:val="3732E6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382380E"/>
    <w:multiLevelType w:val="multilevel"/>
    <w:tmpl w:val="84B452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8B95B5C"/>
    <w:multiLevelType w:val="hybridMultilevel"/>
    <w:tmpl w:val="AAE80F4A"/>
    <w:lvl w:ilvl="0" w:tplc="CBBC9604">
      <w:start w:val="25"/>
      <w:numFmt w:val="bullet"/>
      <w:lvlText w:val="-"/>
      <w:lvlJc w:val="left"/>
      <w:pPr>
        <w:ind w:left="720" w:hanging="360"/>
      </w:pPr>
      <w:rPr>
        <w:rFonts w:ascii="Times" w:eastAsiaTheme="minorEastAsia"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026B02"/>
    <w:multiLevelType w:val="hybridMultilevel"/>
    <w:tmpl w:val="E0E8A2E0"/>
    <w:lvl w:ilvl="0" w:tplc="6FFA44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EC2024"/>
    <w:multiLevelType w:val="hybridMultilevel"/>
    <w:tmpl w:val="75D4B7C4"/>
    <w:lvl w:ilvl="0" w:tplc="08090011">
      <w:start w:val="1"/>
      <w:numFmt w:val="decimal"/>
      <w:lvlText w:val="%1)"/>
      <w:lvlJc w:val="left"/>
      <w:pPr>
        <w:ind w:left="720" w:hanging="360"/>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AC33F8"/>
    <w:multiLevelType w:val="hybridMultilevel"/>
    <w:tmpl w:val="1F0EE5E6"/>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DA59A7"/>
    <w:multiLevelType w:val="hybridMultilevel"/>
    <w:tmpl w:val="4E2EB58C"/>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0"/>
  </w:num>
  <w:num w:numId="5">
    <w:abstractNumId w:val="3"/>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19B"/>
    <w:rsid w:val="000014E8"/>
    <w:rsid w:val="00003264"/>
    <w:rsid w:val="000045A8"/>
    <w:rsid w:val="00005653"/>
    <w:rsid w:val="0000586A"/>
    <w:rsid w:val="00006608"/>
    <w:rsid w:val="000074FE"/>
    <w:rsid w:val="000100D1"/>
    <w:rsid w:val="00011108"/>
    <w:rsid w:val="00011B7D"/>
    <w:rsid w:val="000145C7"/>
    <w:rsid w:val="000200DC"/>
    <w:rsid w:val="0002096F"/>
    <w:rsid w:val="00020A90"/>
    <w:rsid w:val="0002210B"/>
    <w:rsid w:val="0002373F"/>
    <w:rsid w:val="000239CC"/>
    <w:rsid w:val="00025A44"/>
    <w:rsid w:val="00027CA5"/>
    <w:rsid w:val="0003013E"/>
    <w:rsid w:val="00030235"/>
    <w:rsid w:val="000307D8"/>
    <w:rsid w:val="0003306E"/>
    <w:rsid w:val="0003364D"/>
    <w:rsid w:val="00034E4E"/>
    <w:rsid w:val="00035006"/>
    <w:rsid w:val="00036E80"/>
    <w:rsid w:val="00036FE0"/>
    <w:rsid w:val="000402F7"/>
    <w:rsid w:val="000410B8"/>
    <w:rsid w:val="0004118C"/>
    <w:rsid w:val="00042889"/>
    <w:rsid w:val="00042A17"/>
    <w:rsid w:val="00044E0C"/>
    <w:rsid w:val="00045ADB"/>
    <w:rsid w:val="00050D4E"/>
    <w:rsid w:val="00051467"/>
    <w:rsid w:val="000554BD"/>
    <w:rsid w:val="00062ABD"/>
    <w:rsid w:val="00063BCE"/>
    <w:rsid w:val="00064B5E"/>
    <w:rsid w:val="0006779C"/>
    <w:rsid w:val="0007026C"/>
    <w:rsid w:val="00070281"/>
    <w:rsid w:val="0007093A"/>
    <w:rsid w:val="00070A44"/>
    <w:rsid w:val="000723CF"/>
    <w:rsid w:val="00072F2F"/>
    <w:rsid w:val="00074E8E"/>
    <w:rsid w:val="000763FA"/>
    <w:rsid w:val="00077E90"/>
    <w:rsid w:val="00077E98"/>
    <w:rsid w:val="0008119D"/>
    <w:rsid w:val="00082273"/>
    <w:rsid w:val="00082B9C"/>
    <w:rsid w:val="00083084"/>
    <w:rsid w:val="00083910"/>
    <w:rsid w:val="00084733"/>
    <w:rsid w:val="00084FE1"/>
    <w:rsid w:val="00085093"/>
    <w:rsid w:val="00085B14"/>
    <w:rsid w:val="0008648E"/>
    <w:rsid w:val="00086A49"/>
    <w:rsid w:val="00086CC5"/>
    <w:rsid w:val="00092A45"/>
    <w:rsid w:val="0009301B"/>
    <w:rsid w:val="000A1A34"/>
    <w:rsid w:val="000A2D19"/>
    <w:rsid w:val="000A3FFB"/>
    <w:rsid w:val="000A455D"/>
    <w:rsid w:val="000A47C1"/>
    <w:rsid w:val="000B0349"/>
    <w:rsid w:val="000B0BDD"/>
    <w:rsid w:val="000B2D36"/>
    <w:rsid w:val="000B76AD"/>
    <w:rsid w:val="000C027B"/>
    <w:rsid w:val="000C0C68"/>
    <w:rsid w:val="000C0EB3"/>
    <w:rsid w:val="000C1F42"/>
    <w:rsid w:val="000C2C68"/>
    <w:rsid w:val="000C33B7"/>
    <w:rsid w:val="000C40DF"/>
    <w:rsid w:val="000C5671"/>
    <w:rsid w:val="000D47D1"/>
    <w:rsid w:val="000E039E"/>
    <w:rsid w:val="000E09A0"/>
    <w:rsid w:val="000E19BF"/>
    <w:rsid w:val="000E3EFC"/>
    <w:rsid w:val="000E5FAF"/>
    <w:rsid w:val="000F244F"/>
    <w:rsid w:val="000F2718"/>
    <w:rsid w:val="000F2E8E"/>
    <w:rsid w:val="000F3228"/>
    <w:rsid w:val="000F45B4"/>
    <w:rsid w:val="000F4DDA"/>
    <w:rsid w:val="000F5339"/>
    <w:rsid w:val="000F697F"/>
    <w:rsid w:val="0010097C"/>
    <w:rsid w:val="00100D92"/>
    <w:rsid w:val="001013B5"/>
    <w:rsid w:val="001013E5"/>
    <w:rsid w:val="001033CF"/>
    <w:rsid w:val="0010580B"/>
    <w:rsid w:val="001060F9"/>
    <w:rsid w:val="0010737E"/>
    <w:rsid w:val="00110726"/>
    <w:rsid w:val="00110C9E"/>
    <w:rsid w:val="00110FFC"/>
    <w:rsid w:val="00112529"/>
    <w:rsid w:val="0011577F"/>
    <w:rsid w:val="00115847"/>
    <w:rsid w:val="001172C1"/>
    <w:rsid w:val="001205CA"/>
    <w:rsid w:val="00121D85"/>
    <w:rsid w:val="00122FE5"/>
    <w:rsid w:val="001248D4"/>
    <w:rsid w:val="00127119"/>
    <w:rsid w:val="00127919"/>
    <w:rsid w:val="00130AD2"/>
    <w:rsid w:val="00131A35"/>
    <w:rsid w:val="00131B35"/>
    <w:rsid w:val="00133B53"/>
    <w:rsid w:val="00133BD7"/>
    <w:rsid w:val="00133FD5"/>
    <w:rsid w:val="00136C9B"/>
    <w:rsid w:val="0013745F"/>
    <w:rsid w:val="00137C26"/>
    <w:rsid w:val="001404C6"/>
    <w:rsid w:val="00140B2D"/>
    <w:rsid w:val="001418E7"/>
    <w:rsid w:val="00144017"/>
    <w:rsid w:val="00144C16"/>
    <w:rsid w:val="00144F61"/>
    <w:rsid w:val="0014612B"/>
    <w:rsid w:val="0015084A"/>
    <w:rsid w:val="00155AE8"/>
    <w:rsid w:val="001568F2"/>
    <w:rsid w:val="0015726B"/>
    <w:rsid w:val="001574CE"/>
    <w:rsid w:val="00157A3E"/>
    <w:rsid w:val="00157ADA"/>
    <w:rsid w:val="00160564"/>
    <w:rsid w:val="00161AAA"/>
    <w:rsid w:val="0016388C"/>
    <w:rsid w:val="00163922"/>
    <w:rsid w:val="00164219"/>
    <w:rsid w:val="00165686"/>
    <w:rsid w:val="001661E9"/>
    <w:rsid w:val="001667BB"/>
    <w:rsid w:val="00167813"/>
    <w:rsid w:val="001706DE"/>
    <w:rsid w:val="00171BD2"/>
    <w:rsid w:val="00173177"/>
    <w:rsid w:val="001746CD"/>
    <w:rsid w:val="00174EB1"/>
    <w:rsid w:val="00180351"/>
    <w:rsid w:val="00181367"/>
    <w:rsid w:val="00185FF5"/>
    <w:rsid w:val="00190235"/>
    <w:rsid w:val="001910B7"/>
    <w:rsid w:val="00192153"/>
    <w:rsid w:val="00192374"/>
    <w:rsid w:val="00194B00"/>
    <w:rsid w:val="001954A8"/>
    <w:rsid w:val="001A3137"/>
    <w:rsid w:val="001A3C6E"/>
    <w:rsid w:val="001A450F"/>
    <w:rsid w:val="001A5CAB"/>
    <w:rsid w:val="001A771F"/>
    <w:rsid w:val="001A7835"/>
    <w:rsid w:val="001B0979"/>
    <w:rsid w:val="001B46C3"/>
    <w:rsid w:val="001B4C2E"/>
    <w:rsid w:val="001C2AFB"/>
    <w:rsid w:val="001C3D27"/>
    <w:rsid w:val="001C3F07"/>
    <w:rsid w:val="001C48BA"/>
    <w:rsid w:val="001C560C"/>
    <w:rsid w:val="001C6725"/>
    <w:rsid w:val="001C6FE2"/>
    <w:rsid w:val="001C74AB"/>
    <w:rsid w:val="001C768F"/>
    <w:rsid w:val="001C7AEC"/>
    <w:rsid w:val="001D33EE"/>
    <w:rsid w:val="001D42FE"/>
    <w:rsid w:val="001D6146"/>
    <w:rsid w:val="001D79F1"/>
    <w:rsid w:val="001E02FD"/>
    <w:rsid w:val="001E0627"/>
    <w:rsid w:val="001E37EF"/>
    <w:rsid w:val="001E3C8B"/>
    <w:rsid w:val="001E56CF"/>
    <w:rsid w:val="001E7691"/>
    <w:rsid w:val="001F002D"/>
    <w:rsid w:val="001F065E"/>
    <w:rsid w:val="001F1612"/>
    <w:rsid w:val="001F22D4"/>
    <w:rsid w:val="001F3485"/>
    <w:rsid w:val="001F522D"/>
    <w:rsid w:val="001F6CA4"/>
    <w:rsid w:val="001F7048"/>
    <w:rsid w:val="001F77D7"/>
    <w:rsid w:val="002007F2"/>
    <w:rsid w:val="00200F03"/>
    <w:rsid w:val="00201AF3"/>
    <w:rsid w:val="00203ADB"/>
    <w:rsid w:val="002042CD"/>
    <w:rsid w:val="00205FA6"/>
    <w:rsid w:val="002073D3"/>
    <w:rsid w:val="002079EB"/>
    <w:rsid w:val="00207A08"/>
    <w:rsid w:val="00210A1C"/>
    <w:rsid w:val="00210B91"/>
    <w:rsid w:val="00213EB6"/>
    <w:rsid w:val="00214C46"/>
    <w:rsid w:val="00215250"/>
    <w:rsid w:val="00215496"/>
    <w:rsid w:val="00215F4E"/>
    <w:rsid w:val="00220B91"/>
    <w:rsid w:val="00220C44"/>
    <w:rsid w:val="00220D14"/>
    <w:rsid w:val="00221A8B"/>
    <w:rsid w:val="00223E4C"/>
    <w:rsid w:val="002252E9"/>
    <w:rsid w:val="00225534"/>
    <w:rsid w:val="00225782"/>
    <w:rsid w:val="00227711"/>
    <w:rsid w:val="002279D3"/>
    <w:rsid w:val="00230604"/>
    <w:rsid w:val="002307FB"/>
    <w:rsid w:val="00231334"/>
    <w:rsid w:val="00232526"/>
    <w:rsid w:val="00232E67"/>
    <w:rsid w:val="0023346C"/>
    <w:rsid w:val="00233707"/>
    <w:rsid w:val="00234E56"/>
    <w:rsid w:val="0023735F"/>
    <w:rsid w:val="00237C96"/>
    <w:rsid w:val="00240AD6"/>
    <w:rsid w:val="002419F9"/>
    <w:rsid w:val="00243BF8"/>
    <w:rsid w:val="002461C1"/>
    <w:rsid w:val="00246640"/>
    <w:rsid w:val="00246762"/>
    <w:rsid w:val="00246A72"/>
    <w:rsid w:val="0024754D"/>
    <w:rsid w:val="00247A77"/>
    <w:rsid w:val="00247AB5"/>
    <w:rsid w:val="002542F1"/>
    <w:rsid w:val="0025477A"/>
    <w:rsid w:val="0025565C"/>
    <w:rsid w:val="00255CDC"/>
    <w:rsid w:val="002565A8"/>
    <w:rsid w:val="002567D8"/>
    <w:rsid w:val="00257028"/>
    <w:rsid w:val="0025732E"/>
    <w:rsid w:val="00262D0E"/>
    <w:rsid w:val="00263EF7"/>
    <w:rsid w:val="00264D28"/>
    <w:rsid w:val="0026645C"/>
    <w:rsid w:val="00270245"/>
    <w:rsid w:val="002726A0"/>
    <w:rsid w:val="00272E72"/>
    <w:rsid w:val="002732E9"/>
    <w:rsid w:val="00277D1A"/>
    <w:rsid w:val="0028059E"/>
    <w:rsid w:val="002812FA"/>
    <w:rsid w:val="00281566"/>
    <w:rsid w:val="002852E2"/>
    <w:rsid w:val="002878CC"/>
    <w:rsid w:val="0029089B"/>
    <w:rsid w:val="00291B30"/>
    <w:rsid w:val="002929B9"/>
    <w:rsid w:val="00293A55"/>
    <w:rsid w:val="00295106"/>
    <w:rsid w:val="00296C04"/>
    <w:rsid w:val="00297365"/>
    <w:rsid w:val="00297494"/>
    <w:rsid w:val="002A1DC6"/>
    <w:rsid w:val="002A3340"/>
    <w:rsid w:val="002A352C"/>
    <w:rsid w:val="002A3EB0"/>
    <w:rsid w:val="002A50C0"/>
    <w:rsid w:val="002A5AF4"/>
    <w:rsid w:val="002A5F74"/>
    <w:rsid w:val="002A7CA0"/>
    <w:rsid w:val="002B0FE8"/>
    <w:rsid w:val="002B1160"/>
    <w:rsid w:val="002B2471"/>
    <w:rsid w:val="002B2DDC"/>
    <w:rsid w:val="002B41B5"/>
    <w:rsid w:val="002B7E68"/>
    <w:rsid w:val="002C03F9"/>
    <w:rsid w:val="002C0718"/>
    <w:rsid w:val="002C170B"/>
    <w:rsid w:val="002C3EA7"/>
    <w:rsid w:val="002C43F1"/>
    <w:rsid w:val="002C47AA"/>
    <w:rsid w:val="002C4896"/>
    <w:rsid w:val="002C668A"/>
    <w:rsid w:val="002C7794"/>
    <w:rsid w:val="002D0445"/>
    <w:rsid w:val="002D4FC5"/>
    <w:rsid w:val="002D5330"/>
    <w:rsid w:val="002E550F"/>
    <w:rsid w:val="002E7AD4"/>
    <w:rsid w:val="002F5C6C"/>
    <w:rsid w:val="002F61C1"/>
    <w:rsid w:val="002F666D"/>
    <w:rsid w:val="0030129B"/>
    <w:rsid w:val="003015D3"/>
    <w:rsid w:val="00304934"/>
    <w:rsid w:val="00306032"/>
    <w:rsid w:val="0030684A"/>
    <w:rsid w:val="00310A26"/>
    <w:rsid w:val="00311520"/>
    <w:rsid w:val="003164EE"/>
    <w:rsid w:val="00317769"/>
    <w:rsid w:val="00317861"/>
    <w:rsid w:val="00322761"/>
    <w:rsid w:val="003233A2"/>
    <w:rsid w:val="00325557"/>
    <w:rsid w:val="00325AB7"/>
    <w:rsid w:val="00325C12"/>
    <w:rsid w:val="003266DB"/>
    <w:rsid w:val="003352C6"/>
    <w:rsid w:val="00335BE5"/>
    <w:rsid w:val="003370E0"/>
    <w:rsid w:val="00337826"/>
    <w:rsid w:val="00337870"/>
    <w:rsid w:val="00340177"/>
    <w:rsid w:val="00342832"/>
    <w:rsid w:val="003432E2"/>
    <w:rsid w:val="00343BBA"/>
    <w:rsid w:val="003445A8"/>
    <w:rsid w:val="00344E14"/>
    <w:rsid w:val="00346F10"/>
    <w:rsid w:val="00347BFE"/>
    <w:rsid w:val="00347DF6"/>
    <w:rsid w:val="00347FBD"/>
    <w:rsid w:val="003520D8"/>
    <w:rsid w:val="0035287D"/>
    <w:rsid w:val="003534C7"/>
    <w:rsid w:val="00354B0F"/>
    <w:rsid w:val="003550F2"/>
    <w:rsid w:val="00355C5A"/>
    <w:rsid w:val="0036019C"/>
    <w:rsid w:val="003606F7"/>
    <w:rsid w:val="00361CBE"/>
    <w:rsid w:val="003620B4"/>
    <w:rsid w:val="0036256F"/>
    <w:rsid w:val="00363279"/>
    <w:rsid w:val="00365FA8"/>
    <w:rsid w:val="00366FE0"/>
    <w:rsid w:val="003674FD"/>
    <w:rsid w:val="00367EEC"/>
    <w:rsid w:val="00367F32"/>
    <w:rsid w:val="00371402"/>
    <w:rsid w:val="00372789"/>
    <w:rsid w:val="00374222"/>
    <w:rsid w:val="00377DAC"/>
    <w:rsid w:val="00380C7F"/>
    <w:rsid w:val="00380E55"/>
    <w:rsid w:val="003814AB"/>
    <w:rsid w:val="003829E8"/>
    <w:rsid w:val="00382A0C"/>
    <w:rsid w:val="00383315"/>
    <w:rsid w:val="00383A81"/>
    <w:rsid w:val="00383D92"/>
    <w:rsid w:val="00384260"/>
    <w:rsid w:val="0038565A"/>
    <w:rsid w:val="00391E74"/>
    <w:rsid w:val="0039268E"/>
    <w:rsid w:val="00392975"/>
    <w:rsid w:val="00392A4D"/>
    <w:rsid w:val="003947FA"/>
    <w:rsid w:val="00395C1E"/>
    <w:rsid w:val="003A0B64"/>
    <w:rsid w:val="003A0FFD"/>
    <w:rsid w:val="003A13C4"/>
    <w:rsid w:val="003A22B3"/>
    <w:rsid w:val="003A38E6"/>
    <w:rsid w:val="003A60A7"/>
    <w:rsid w:val="003B11E9"/>
    <w:rsid w:val="003B1759"/>
    <w:rsid w:val="003B1C8C"/>
    <w:rsid w:val="003B2B26"/>
    <w:rsid w:val="003B2BF1"/>
    <w:rsid w:val="003B4803"/>
    <w:rsid w:val="003B4A37"/>
    <w:rsid w:val="003B5AB5"/>
    <w:rsid w:val="003B5CC2"/>
    <w:rsid w:val="003B636A"/>
    <w:rsid w:val="003B6798"/>
    <w:rsid w:val="003B6BD5"/>
    <w:rsid w:val="003C176D"/>
    <w:rsid w:val="003C17D4"/>
    <w:rsid w:val="003C1FC6"/>
    <w:rsid w:val="003C26C7"/>
    <w:rsid w:val="003C51B0"/>
    <w:rsid w:val="003D2BF3"/>
    <w:rsid w:val="003D3641"/>
    <w:rsid w:val="003D42F7"/>
    <w:rsid w:val="003D4B39"/>
    <w:rsid w:val="003D523A"/>
    <w:rsid w:val="003D6428"/>
    <w:rsid w:val="003D6BC1"/>
    <w:rsid w:val="003D7012"/>
    <w:rsid w:val="003E0B87"/>
    <w:rsid w:val="003E18CA"/>
    <w:rsid w:val="003E500B"/>
    <w:rsid w:val="003E53D0"/>
    <w:rsid w:val="003F030B"/>
    <w:rsid w:val="003F0E91"/>
    <w:rsid w:val="003F18A0"/>
    <w:rsid w:val="003F284E"/>
    <w:rsid w:val="003F3759"/>
    <w:rsid w:val="003F4DD0"/>
    <w:rsid w:val="003F5075"/>
    <w:rsid w:val="003F55EB"/>
    <w:rsid w:val="00404BC4"/>
    <w:rsid w:val="004059F8"/>
    <w:rsid w:val="00405B1D"/>
    <w:rsid w:val="00406E47"/>
    <w:rsid w:val="0040786E"/>
    <w:rsid w:val="004116CF"/>
    <w:rsid w:val="00412046"/>
    <w:rsid w:val="00412566"/>
    <w:rsid w:val="00412AC1"/>
    <w:rsid w:val="00412AD8"/>
    <w:rsid w:val="0041409E"/>
    <w:rsid w:val="00415227"/>
    <w:rsid w:val="00416725"/>
    <w:rsid w:val="0041700A"/>
    <w:rsid w:val="004174B2"/>
    <w:rsid w:val="00417BA2"/>
    <w:rsid w:val="00420E67"/>
    <w:rsid w:val="00425EC9"/>
    <w:rsid w:val="004271E8"/>
    <w:rsid w:val="0042778B"/>
    <w:rsid w:val="00427AC1"/>
    <w:rsid w:val="00430E66"/>
    <w:rsid w:val="00431675"/>
    <w:rsid w:val="0043203F"/>
    <w:rsid w:val="00433150"/>
    <w:rsid w:val="00434702"/>
    <w:rsid w:val="004351DF"/>
    <w:rsid w:val="00436FF9"/>
    <w:rsid w:val="004426C8"/>
    <w:rsid w:val="00442786"/>
    <w:rsid w:val="004442BB"/>
    <w:rsid w:val="004465EE"/>
    <w:rsid w:val="00446987"/>
    <w:rsid w:val="0045097F"/>
    <w:rsid w:val="00451786"/>
    <w:rsid w:val="004561A9"/>
    <w:rsid w:val="00456429"/>
    <w:rsid w:val="0045682C"/>
    <w:rsid w:val="00456E44"/>
    <w:rsid w:val="00460A86"/>
    <w:rsid w:val="0046376E"/>
    <w:rsid w:val="004665AF"/>
    <w:rsid w:val="00466C08"/>
    <w:rsid w:val="00467B1B"/>
    <w:rsid w:val="00470B02"/>
    <w:rsid w:val="00470B65"/>
    <w:rsid w:val="00475D1B"/>
    <w:rsid w:val="0047779E"/>
    <w:rsid w:val="00483526"/>
    <w:rsid w:val="0048396E"/>
    <w:rsid w:val="00483CB5"/>
    <w:rsid w:val="00484192"/>
    <w:rsid w:val="00484EB6"/>
    <w:rsid w:val="00486027"/>
    <w:rsid w:val="0049088D"/>
    <w:rsid w:val="00491006"/>
    <w:rsid w:val="00491C26"/>
    <w:rsid w:val="004921CC"/>
    <w:rsid w:val="00492D67"/>
    <w:rsid w:val="004948FA"/>
    <w:rsid w:val="00494DD2"/>
    <w:rsid w:val="00495291"/>
    <w:rsid w:val="00496573"/>
    <w:rsid w:val="004A097D"/>
    <w:rsid w:val="004A24D9"/>
    <w:rsid w:val="004A6CBB"/>
    <w:rsid w:val="004B0D82"/>
    <w:rsid w:val="004B3F03"/>
    <w:rsid w:val="004B55A1"/>
    <w:rsid w:val="004B6059"/>
    <w:rsid w:val="004B67A4"/>
    <w:rsid w:val="004B69AC"/>
    <w:rsid w:val="004B6D7B"/>
    <w:rsid w:val="004C146D"/>
    <w:rsid w:val="004C16A9"/>
    <w:rsid w:val="004C1D28"/>
    <w:rsid w:val="004C4975"/>
    <w:rsid w:val="004C753C"/>
    <w:rsid w:val="004D251D"/>
    <w:rsid w:val="004D60BA"/>
    <w:rsid w:val="004D6770"/>
    <w:rsid w:val="004D73D1"/>
    <w:rsid w:val="004D7804"/>
    <w:rsid w:val="004E1004"/>
    <w:rsid w:val="004E2A1D"/>
    <w:rsid w:val="004E424D"/>
    <w:rsid w:val="004E7EBC"/>
    <w:rsid w:val="004F3D28"/>
    <w:rsid w:val="004F492C"/>
    <w:rsid w:val="004F4E8C"/>
    <w:rsid w:val="004F6F95"/>
    <w:rsid w:val="004F7C9C"/>
    <w:rsid w:val="00500BC1"/>
    <w:rsid w:val="005016BF"/>
    <w:rsid w:val="00502CC7"/>
    <w:rsid w:val="0050406A"/>
    <w:rsid w:val="00504418"/>
    <w:rsid w:val="0050454C"/>
    <w:rsid w:val="00505C8B"/>
    <w:rsid w:val="00505D21"/>
    <w:rsid w:val="00507135"/>
    <w:rsid w:val="00507EA6"/>
    <w:rsid w:val="005110A9"/>
    <w:rsid w:val="00511724"/>
    <w:rsid w:val="005117AA"/>
    <w:rsid w:val="00513510"/>
    <w:rsid w:val="00515BC4"/>
    <w:rsid w:val="00520098"/>
    <w:rsid w:val="00520354"/>
    <w:rsid w:val="005205F1"/>
    <w:rsid w:val="00521401"/>
    <w:rsid w:val="005218A0"/>
    <w:rsid w:val="005230C9"/>
    <w:rsid w:val="00524B64"/>
    <w:rsid w:val="00524C50"/>
    <w:rsid w:val="00525ED2"/>
    <w:rsid w:val="00526533"/>
    <w:rsid w:val="0053316E"/>
    <w:rsid w:val="00534208"/>
    <w:rsid w:val="005344E2"/>
    <w:rsid w:val="00535988"/>
    <w:rsid w:val="0054127A"/>
    <w:rsid w:val="005418FE"/>
    <w:rsid w:val="00541CEB"/>
    <w:rsid w:val="00542EA1"/>
    <w:rsid w:val="00543636"/>
    <w:rsid w:val="00544903"/>
    <w:rsid w:val="005456C8"/>
    <w:rsid w:val="00545FDA"/>
    <w:rsid w:val="00550E1A"/>
    <w:rsid w:val="00550F5A"/>
    <w:rsid w:val="005511FA"/>
    <w:rsid w:val="00552D82"/>
    <w:rsid w:val="00554FAB"/>
    <w:rsid w:val="00556073"/>
    <w:rsid w:val="00556A30"/>
    <w:rsid w:val="005575DD"/>
    <w:rsid w:val="00557CFB"/>
    <w:rsid w:val="00560994"/>
    <w:rsid w:val="005613C9"/>
    <w:rsid w:val="00562136"/>
    <w:rsid w:val="0056315F"/>
    <w:rsid w:val="00563D44"/>
    <w:rsid w:val="0056513C"/>
    <w:rsid w:val="0056705B"/>
    <w:rsid w:val="0056773C"/>
    <w:rsid w:val="0057130C"/>
    <w:rsid w:val="00572E84"/>
    <w:rsid w:val="00573096"/>
    <w:rsid w:val="005740AA"/>
    <w:rsid w:val="005757A4"/>
    <w:rsid w:val="00576756"/>
    <w:rsid w:val="00577133"/>
    <w:rsid w:val="0057778B"/>
    <w:rsid w:val="00581FCF"/>
    <w:rsid w:val="00587815"/>
    <w:rsid w:val="00587D58"/>
    <w:rsid w:val="005903C8"/>
    <w:rsid w:val="00590BCE"/>
    <w:rsid w:val="00591132"/>
    <w:rsid w:val="00591DF8"/>
    <w:rsid w:val="00591FEC"/>
    <w:rsid w:val="005934BB"/>
    <w:rsid w:val="00594323"/>
    <w:rsid w:val="005945FA"/>
    <w:rsid w:val="0059471B"/>
    <w:rsid w:val="00596775"/>
    <w:rsid w:val="005A158E"/>
    <w:rsid w:val="005A1D99"/>
    <w:rsid w:val="005A3769"/>
    <w:rsid w:val="005A69B5"/>
    <w:rsid w:val="005A765B"/>
    <w:rsid w:val="005B0778"/>
    <w:rsid w:val="005B0A60"/>
    <w:rsid w:val="005B1369"/>
    <w:rsid w:val="005B18DA"/>
    <w:rsid w:val="005B2D1D"/>
    <w:rsid w:val="005B3A9F"/>
    <w:rsid w:val="005C0654"/>
    <w:rsid w:val="005C0C61"/>
    <w:rsid w:val="005C1451"/>
    <w:rsid w:val="005C176E"/>
    <w:rsid w:val="005C1E82"/>
    <w:rsid w:val="005C21BB"/>
    <w:rsid w:val="005C2A8B"/>
    <w:rsid w:val="005C2E9E"/>
    <w:rsid w:val="005C2F88"/>
    <w:rsid w:val="005C3131"/>
    <w:rsid w:val="005C3E28"/>
    <w:rsid w:val="005C4C11"/>
    <w:rsid w:val="005C66D1"/>
    <w:rsid w:val="005C7E76"/>
    <w:rsid w:val="005D0388"/>
    <w:rsid w:val="005D0BF8"/>
    <w:rsid w:val="005D0E11"/>
    <w:rsid w:val="005D166D"/>
    <w:rsid w:val="005D26B7"/>
    <w:rsid w:val="005D3D09"/>
    <w:rsid w:val="005D71C4"/>
    <w:rsid w:val="005E297B"/>
    <w:rsid w:val="005E3917"/>
    <w:rsid w:val="005E5C77"/>
    <w:rsid w:val="005E7DEE"/>
    <w:rsid w:val="005F0C9B"/>
    <w:rsid w:val="005F11BD"/>
    <w:rsid w:val="005F3130"/>
    <w:rsid w:val="005F3846"/>
    <w:rsid w:val="005F497D"/>
    <w:rsid w:val="005F502D"/>
    <w:rsid w:val="005F506A"/>
    <w:rsid w:val="005F5756"/>
    <w:rsid w:val="005F78B7"/>
    <w:rsid w:val="006039AB"/>
    <w:rsid w:val="00604576"/>
    <w:rsid w:val="006049C9"/>
    <w:rsid w:val="0060531A"/>
    <w:rsid w:val="00607000"/>
    <w:rsid w:val="006076DF"/>
    <w:rsid w:val="00607F9B"/>
    <w:rsid w:val="00610038"/>
    <w:rsid w:val="00611B2F"/>
    <w:rsid w:val="00611CE3"/>
    <w:rsid w:val="006141AC"/>
    <w:rsid w:val="0061435C"/>
    <w:rsid w:val="006145DD"/>
    <w:rsid w:val="00614DB2"/>
    <w:rsid w:val="00614EE5"/>
    <w:rsid w:val="006152E9"/>
    <w:rsid w:val="00616946"/>
    <w:rsid w:val="006170F9"/>
    <w:rsid w:val="00617FCD"/>
    <w:rsid w:val="00620B75"/>
    <w:rsid w:val="00623BCE"/>
    <w:rsid w:val="00624D25"/>
    <w:rsid w:val="00625C20"/>
    <w:rsid w:val="00626A78"/>
    <w:rsid w:val="00626D2B"/>
    <w:rsid w:val="00630E90"/>
    <w:rsid w:val="00632BF2"/>
    <w:rsid w:val="00637D87"/>
    <w:rsid w:val="00640B50"/>
    <w:rsid w:val="006411F0"/>
    <w:rsid w:val="00641923"/>
    <w:rsid w:val="0064204C"/>
    <w:rsid w:val="006449F6"/>
    <w:rsid w:val="00645819"/>
    <w:rsid w:val="006459F6"/>
    <w:rsid w:val="0064723F"/>
    <w:rsid w:val="006508EA"/>
    <w:rsid w:val="00654307"/>
    <w:rsid w:val="00654835"/>
    <w:rsid w:val="00661EB6"/>
    <w:rsid w:val="006636BC"/>
    <w:rsid w:val="00665A28"/>
    <w:rsid w:val="0066763F"/>
    <w:rsid w:val="00667900"/>
    <w:rsid w:val="00671605"/>
    <w:rsid w:val="00671AFE"/>
    <w:rsid w:val="00671F53"/>
    <w:rsid w:val="00673993"/>
    <w:rsid w:val="0067413E"/>
    <w:rsid w:val="006777A2"/>
    <w:rsid w:val="0068264C"/>
    <w:rsid w:val="00684A49"/>
    <w:rsid w:val="006866AA"/>
    <w:rsid w:val="00687D11"/>
    <w:rsid w:val="006901C3"/>
    <w:rsid w:val="006902F3"/>
    <w:rsid w:val="00690707"/>
    <w:rsid w:val="006930C0"/>
    <w:rsid w:val="00695085"/>
    <w:rsid w:val="00695890"/>
    <w:rsid w:val="00696B50"/>
    <w:rsid w:val="00697087"/>
    <w:rsid w:val="006970B2"/>
    <w:rsid w:val="006970D6"/>
    <w:rsid w:val="006A1E08"/>
    <w:rsid w:val="006A1F92"/>
    <w:rsid w:val="006A2A28"/>
    <w:rsid w:val="006A3604"/>
    <w:rsid w:val="006A390C"/>
    <w:rsid w:val="006A3B82"/>
    <w:rsid w:val="006A529A"/>
    <w:rsid w:val="006A5323"/>
    <w:rsid w:val="006A6B4C"/>
    <w:rsid w:val="006A7111"/>
    <w:rsid w:val="006B36C9"/>
    <w:rsid w:val="006B4018"/>
    <w:rsid w:val="006B451F"/>
    <w:rsid w:val="006B5E7E"/>
    <w:rsid w:val="006B6D00"/>
    <w:rsid w:val="006B7CEE"/>
    <w:rsid w:val="006C0B69"/>
    <w:rsid w:val="006C176E"/>
    <w:rsid w:val="006C2121"/>
    <w:rsid w:val="006C2FF8"/>
    <w:rsid w:val="006C3E18"/>
    <w:rsid w:val="006C4ADB"/>
    <w:rsid w:val="006C74E5"/>
    <w:rsid w:val="006D04F0"/>
    <w:rsid w:val="006D0852"/>
    <w:rsid w:val="006D0D1A"/>
    <w:rsid w:val="006D193C"/>
    <w:rsid w:val="006E1CBB"/>
    <w:rsid w:val="006E3B85"/>
    <w:rsid w:val="006E702F"/>
    <w:rsid w:val="006F6A82"/>
    <w:rsid w:val="006F7687"/>
    <w:rsid w:val="00703038"/>
    <w:rsid w:val="00703064"/>
    <w:rsid w:val="00704A6D"/>
    <w:rsid w:val="00710B70"/>
    <w:rsid w:val="00711E79"/>
    <w:rsid w:val="00711FFB"/>
    <w:rsid w:val="00715827"/>
    <w:rsid w:val="00715D01"/>
    <w:rsid w:val="00716CDB"/>
    <w:rsid w:val="00717EA1"/>
    <w:rsid w:val="00720126"/>
    <w:rsid w:val="00720DCF"/>
    <w:rsid w:val="0072156E"/>
    <w:rsid w:val="0072158C"/>
    <w:rsid w:val="00721774"/>
    <w:rsid w:val="0072187A"/>
    <w:rsid w:val="0072256C"/>
    <w:rsid w:val="0072304C"/>
    <w:rsid w:val="00723C2C"/>
    <w:rsid w:val="00723C58"/>
    <w:rsid w:val="00725FFC"/>
    <w:rsid w:val="00727608"/>
    <w:rsid w:val="00730A13"/>
    <w:rsid w:val="00731CA1"/>
    <w:rsid w:val="00732DE0"/>
    <w:rsid w:val="00733625"/>
    <w:rsid w:val="0073475C"/>
    <w:rsid w:val="00735182"/>
    <w:rsid w:val="00735362"/>
    <w:rsid w:val="00736B40"/>
    <w:rsid w:val="00737356"/>
    <w:rsid w:val="00737C07"/>
    <w:rsid w:val="00740C36"/>
    <w:rsid w:val="0074261A"/>
    <w:rsid w:val="007433F1"/>
    <w:rsid w:val="0074434F"/>
    <w:rsid w:val="007443F2"/>
    <w:rsid w:val="00744931"/>
    <w:rsid w:val="0075137F"/>
    <w:rsid w:val="00751933"/>
    <w:rsid w:val="00751E7A"/>
    <w:rsid w:val="0075263E"/>
    <w:rsid w:val="007558AF"/>
    <w:rsid w:val="00755F6A"/>
    <w:rsid w:val="00756ADE"/>
    <w:rsid w:val="00757E11"/>
    <w:rsid w:val="007602BA"/>
    <w:rsid w:val="00761F89"/>
    <w:rsid w:val="007622C9"/>
    <w:rsid w:val="00762EBF"/>
    <w:rsid w:val="00764B41"/>
    <w:rsid w:val="0076544C"/>
    <w:rsid w:val="007658BC"/>
    <w:rsid w:val="00772A11"/>
    <w:rsid w:val="00774303"/>
    <w:rsid w:val="00774E2B"/>
    <w:rsid w:val="00774E7E"/>
    <w:rsid w:val="00775258"/>
    <w:rsid w:val="00775F34"/>
    <w:rsid w:val="00776D68"/>
    <w:rsid w:val="00777027"/>
    <w:rsid w:val="00777217"/>
    <w:rsid w:val="00777E72"/>
    <w:rsid w:val="007808A5"/>
    <w:rsid w:val="00780D6F"/>
    <w:rsid w:val="007810E6"/>
    <w:rsid w:val="0078152C"/>
    <w:rsid w:val="00781EB7"/>
    <w:rsid w:val="00782BBC"/>
    <w:rsid w:val="00784826"/>
    <w:rsid w:val="0078675B"/>
    <w:rsid w:val="00790142"/>
    <w:rsid w:val="0079586E"/>
    <w:rsid w:val="007A2D03"/>
    <w:rsid w:val="007A4BAD"/>
    <w:rsid w:val="007A4D39"/>
    <w:rsid w:val="007A6857"/>
    <w:rsid w:val="007A73B2"/>
    <w:rsid w:val="007B0483"/>
    <w:rsid w:val="007B08FA"/>
    <w:rsid w:val="007B198C"/>
    <w:rsid w:val="007B1ED9"/>
    <w:rsid w:val="007B3542"/>
    <w:rsid w:val="007B4533"/>
    <w:rsid w:val="007B4707"/>
    <w:rsid w:val="007B4BC8"/>
    <w:rsid w:val="007B5210"/>
    <w:rsid w:val="007B560F"/>
    <w:rsid w:val="007C122A"/>
    <w:rsid w:val="007C1B69"/>
    <w:rsid w:val="007C3456"/>
    <w:rsid w:val="007C3E36"/>
    <w:rsid w:val="007C65A4"/>
    <w:rsid w:val="007C7D38"/>
    <w:rsid w:val="007D0395"/>
    <w:rsid w:val="007D7870"/>
    <w:rsid w:val="007E006C"/>
    <w:rsid w:val="007E17B4"/>
    <w:rsid w:val="007E3C9A"/>
    <w:rsid w:val="007E4B31"/>
    <w:rsid w:val="007F0399"/>
    <w:rsid w:val="007F4370"/>
    <w:rsid w:val="007F7CCC"/>
    <w:rsid w:val="008022E1"/>
    <w:rsid w:val="00802CC6"/>
    <w:rsid w:val="00805FF1"/>
    <w:rsid w:val="00812A43"/>
    <w:rsid w:val="00812B54"/>
    <w:rsid w:val="00813D94"/>
    <w:rsid w:val="00813F00"/>
    <w:rsid w:val="00814947"/>
    <w:rsid w:val="0081577C"/>
    <w:rsid w:val="008166AF"/>
    <w:rsid w:val="0082054A"/>
    <w:rsid w:val="00822ABC"/>
    <w:rsid w:val="00824342"/>
    <w:rsid w:val="0082526D"/>
    <w:rsid w:val="00831274"/>
    <w:rsid w:val="00831388"/>
    <w:rsid w:val="0083436D"/>
    <w:rsid w:val="0083571F"/>
    <w:rsid w:val="00836F31"/>
    <w:rsid w:val="008402D2"/>
    <w:rsid w:val="00840FB8"/>
    <w:rsid w:val="008415D5"/>
    <w:rsid w:val="00844611"/>
    <w:rsid w:val="00844797"/>
    <w:rsid w:val="0084630A"/>
    <w:rsid w:val="00846610"/>
    <w:rsid w:val="0085017D"/>
    <w:rsid w:val="00850F1B"/>
    <w:rsid w:val="008514FF"/>
    <w:rsid w:val="00852173"/>
    <w:rsid w:val="008524BD"/>
    <w:rsid w:val="00853A05"/>
    <w:rsid w:val="00853F7D"/>
    <w:rsid w:val="00854A74"/>
    <w:rsid w:val="00854B8F"/>
    <w:rsid w:val="00854D98"/>
    <w:rsid w:val="008605C5"/>
    <w:rsid w:val="0086129E"/>
    <w:rsid w:val="0086253D"/>
    <w:rsid w:val="008645CB"/>
    <w:rsid w:val="0086664C"/>
    <w:rsid w:val="0086685C"/>
    <w:rsid w:val="00866DCF"/>
    <w:rsid w:val="00873C8C"/>
    <w:rsid w:val="00875CC2"/>
    <w:rsid w:val="00876477"/>
    <w:rsid w:val="00880264"/>
    <w:rsid w:val="008807DB"/>
    <w:rsid w:val="008810C3"/>
    <w:rsid w:val="0088285F"/>
    <w:rsid w:val="00883112"/>
    <w:rsid w:val="00883A30"/>
    <w:rsid w:val="00884EFB"/>
    <w:rsid w:val="00886C47"/>
    <w:rsid w:val="008911EE"/>
    <w:rsid w:val="008926ED"/>
    <w:rsid w:val="008939F7"/>
    <w:rsid w:val="00893F99"/>
    <w:rsid w:val="00894B45"/>
    <w:rsid w:val="00894D35"/>
    <w:rsid w:val="0089536C"/>
    <w:rsid w:val="00896196"/>
    <w:rsid w:val="008974A5"/>
    <w:rsid w:val="008979D0"/>
    <w:rsid w:val="008A014D"/>
    <w:rsid w:val="008A1739"/>
    <w:rsid w:val="008A21A9"/>
    <w:rsid w:val="008A3418"/>
    <w:rsid w:val="008A3EB6"/>
    <w:rsid w:val="008A4381"/>
    <w:rsid w:val="008A75C8"/>
    <w:rsid w:val="008A7EE6"/>
    <w:rsid w:val="008B41E5"/>
    <w:rsid w:val="008B4F18"/>
    <w:rsid w:val="008B5ABE"/>
    <w:rsid w:val="008B696C"/>
    <w:rsid w:val="008B7801"/>
    <w:rsid w:val="008C2CCC"/>
    <w:rsid w:val="008C6C90"/>
    <w:rsid w:val="008D12F7"/>
    <w:rsid w:val="008D283B"/>
    <w:rsid w:val="008D4C33"/>
    <w:rsid w:val="008D508C"/>
    <w:rsid w:val="008D6C66"/>
    <w:rsid w:val="008D7B17"/>
    <w:rsid w:val="008E1440"/>
    <w:rsid w:val="008E2362"/>
    <w:rsid w:val="008E4C7C"/>
    <w:rsid w:val="008F0835"/>
    <w:rsid w:val="008F16A8"/>
    <w:rsid w:val="008F56BC"/>
    <w:rsid w:val="008F77F7"/>
    <w:rsid w:val="008F7826"/>
    <w:rsid w:val="00900134"/>
    <w:rsid w:val="00900C6A"/>
    <w:rsid w:val="00901E11"/>
    <w:rsid w:val="00901E61"/>
    <w:rsid w:val="00904331"/>
    <w:rsid w:val="00904F32"/>
    <w:rsid w:val="00904F93"/>
    <w:rsid w:val="00905BE3"/>
    <w:rsid w:val="009065D6"/>
    <w:rsid w:val="00906EDF"/>
    <w:rsid w:val="009072F4"/>
    <w:rsid w:val="0091245A"/>
    <w:rsid w:val="00913F10"/>
    <w:rsid w:val="009162A2"/>
    <w:rsid w:val="009263E4"/>
    <w:rsid w:val="00926770"/>
    <w:rsid w:val="00927224"/>
    <w:rsid w:val="00931946"/>
    <w:rsid w:val="00931EA2"/>
    <w:rsid w:val="00932A3C"/>
    <w:rsid w:val="00933145"/>
    <w:rsid w:val="00934B2D"/>
    <w:rsid w:val="00935764"/>
    <w:rsid w:val="009415EC"/>
    <w:rsid w:val="009419BE"/>
    <w:rsid w:val="00941A5B"/>
    <w:rsid w:val="00942A9B"/>
    <w:rsid w:val="0094355E"/>
    <w:rsid w:val="0094607E"/>
    <w:rsid w:val="00950834"/>
    <w:rsid w:val="00953954"/>
    <w:rsid w:val="0095426C"/>
    <w:rsid w:val="00954300"/>
    <w:rsid w:val="009548A5"/>
    <w:rsid w:val="00955E7D"/>
    <w:rsid w:val="00956657"/>
    <w:rsid w:val="00956A7D"/>
    <w:rsid w:val="00961223"/>
    <w:rsid w:val="009622FD"/>
    <w:rsid w:val="009625FA"/>
    <w:rsid w:val="00963D0E"/>
    <w:rsid w:val="00964FDE"/>
    <w:rsid w:val="0096592C"/>
    <w:rsid w:val="00966577"/>
    <w:rsid w:val="00966C0C"/>
    <w:rsid w:val="00966C33"/>
    <w:rsid w:val="0097037A"/>
    <w:rsid w:val="009729CF"/>
    <w:rsid w:val="00975F20"/>
    <w:rsid w:val="00976AE5"/>
    <w:rsid w:val="00980DEC"/>
    <w:rsid w:val="0098190C"/>
    <w:rsid w:val="009841CF"/>
    <w:rsid w:val="00987488"/>
    <w:rsid w:val="0098766F"/>
    <w:rsid w:val="00987945"/>
    <w:rsid w:val="00992406"/>
    <w:rsid w:val="00995FDF"/>
    <w:rsid w:val="009A24E8"/>
    <w:rsid w:val="009A25BA"/>
    <w:rsid w:val="009A59C0"/>
    <w:rsid w:val="009A7446"/>
    <w:rsid w:val="009A74B4"/>
    <w:rsid w:val="009A7668"/>
    <w:rsid w:val="009B1875"/>
    <w:rsid w:val="009B3E6B"/>
    <w:rsid w:val="009B47C2"/>
    <w:rsid w:val="009B73FA"/>
    <w:rsid w:val="009B778D"/>
    <w:rsid w:val="009B7A2F"/>
    <w:rsid w:val="009C2E48"/>
    <w:rsid w:val="009C350B"/>
    <w:rsid w:val="009C6D12"/>
    <w:rsid w:val="009C7263"/>
    <w:rsid w:val="009D0680"/>
    <w:rsid w:val="009D1606"/>
    <w:rsid w:val="009D224F"/>
    <w:rsid w:val="009D27F1"/>
    <w:rsid w:val="009D2F78"/>
    <w:rsid w:val="009D3206"/>
    <w:rsid w:val="009D322A"/>
    <w:rsid w:val="009D5A88"/>
    <w:rsid w:val="009D5B8F"/>
    <w:rsid w:val="009D74E6"/>
    <w:rsid w:val="009E0933"/>
    <w:rsid w:val="009E0B61"/>
    <w:rsid w:val="009E1114"/>
    <w:rsid w:val="009E180A"/>
    <w:rsid w:val="009E19DE"/>
    <w:rsid w:val="009E3181"/>
    <w:rsid w:val="009E3255"/>
    <w:rsid w:val="009E4114"/>
    <w:rsid w:val="009E5282"/>
    <w:rsid w:val="009E5471"/>
    <w:rsid w:val="009E5625"/>
    <w:rsid w:val="009E5C0B"/>
    <w:rsid w:val="009E64D5"/>
    <w:rsid w:val="009E7CA8"/>
    <w:rsid w:val="009F083F"/>
    <w:rsid w:val="009F2640"/>
    <w:rsid w:val="009F5956"/>
    <w:rsid w:val="009F5F55"/>
    <w:rsid w:val="009F7A0F"/>
    <w:rsid w:val="00A02C5E"/>
    <w:rsid w:val="00A04BC5"/>
    <w:rsid w:val="00A05E45"/>
    <w:rsid w:val="00A06A26"/>
    <w:rsid w:val="00A11792"/>
    <w:rsid w:val="00A134AD"/>
    <w:rsid w:val="00A14CD9"/>
    <w:rsid w:val="00A16EA0"/>
    <w:rsid w:val="00A213C6"/>
    <w:rsid w:val="00A2684A"/>
    <w:rsid w:val="00A272DC"/>
    <w:rsid w:val="00A27612"/>
    <w:rsid w:val="00A2789D"/>
    <w:rsid w:val="00A31BA0"/>
    <w:rsid w:val="00A35878"/>
    <w:rsid w:val="00A36890"/>
    <w:rsid w:val="00A36A2E"/>
    <w:rsid w:val="00A3733F"/>
    <w:rsid w:val="00A379B5"/>
    <w:rsid w:val="00A402FE"/>
    <w:rsid w:val="00A41045"/>
    <w:rsid w:val="00A43DDC"/>
    <w:rsid w:val="00A519D9"/>
    <w:rsid w:val="00A52124"/>
    <w:rsid w:val="00A52259"/>
    <w:rsid w:val="00A5449B"/>
    <w:rsid w:val="00A54B52"/>
    <w:rsid w:val="00A55862"/>
    <w:rsid w:val="00A56A54"/>
    <w:rsid w:val="00A56EE6"/>
    <w:rsid w:val="00A57DAE"/>
    <w:rsid w:val="00A6181D"/>
    <w:rsid w:val="00A623E6"/>
    <w:rsid w:val="00A628ED"/>
    <w:rsid w:val="00A63007"/>
    <w:rsid w:val="00A6309D"/>
    <w:rsid w:val="00A674EA"/>
    <w:rsid w:val="00A67ED8"/>
    <w:rsid w:val="00A72D48"/>
    <w:rsid w:val="00A73524"/>
    <w:rsid w:val="00A73E8E"/>
    <w:rsid w:val="00A745F1"/>
    <w:rsid w:val="00A74737"/>
    <w:rsid w:val="00A75FCA"/>
    <w:rsid w:val="00A769C6"/>
    <w:rsid w:val="00A7746C"/>
    <w:rsid w:val="00A818B6"/>
    <w:rsid w:val="00A82803"/>
    <w:rsid w:val="00A844D3"/>
    <w:rsid w:val="00A847AF"/>
    <w:rsid w:val="00A84D8A"/>
    <w:rsid w:val="00A86253"/>
    <w:rsid w:val="00A87638"/>
    <w:rsid w:val="00A9041F"/>
    <w:rsid w:val="00A926C0"/>
    <w:rsid w:val="00A93655"/>
    <w:rsid w:val="00A93954"/>
    <w:rsid w:val="00A96288"/>
    <w:rsid w:val="00A96755"/>
    <w:rsid w:val="00AA1029"/>
    <w:rsid w:val="00AA3EC6"/>
    <w:rsid w:val="00AA4AD4"/>
    <w:rsid w:val="00AA73E3"/>
    <w:rsid w:val="00AA78DE"/>
    <w:rsid w:val="00AB0930"/>
    <w:rsid w:val="00AB0EB1"/>
    <w:rsid w:val="00AB2541"/>
    <w:rsid w:val="00AB5C26"/>
    <w:rsid w:val="00AB60B4"/>
    <w:rsid w:val="00AC096A"/>
    <w:rsid w:val="00AC0CF0"/>
    <w:rsid w:val="00AC2919"/>
    <w:rsid w:val="00AC46E8"/>
    <w:rsid w:val="00AC730A"/>
    <w:rsid w:val="00AC7DAA"/>
    <w:rsid w:val="00AD0A62"/>
    <w:rsid w:val="00AD1020"/>
    <w:rsid w:val="00AD4377"/>
    <w:rsid w:val="00AD64BC"/>
    <w:rsid w:val="00AE1E1D"/>
    <w:rsid w:val="00AE201E"/>
    <w:rsid w:val="00AE2A7E"/>
    <w:rsid w:val="00AF0C79"/>
    <w:rsid w:val="00AF1037"/>
    <w:rsid w:val="00AF20A1"/>
    <w:rsid w:val="00AF320E"/>
    <w:rsid w:val="00AF43D1"/>
    <w:rsid w:val="00AF4527"/>
    <w:rsid w:val="00AF4B07"/>
    <w:rsid w:val="00AF531F"/>
    <w:rsid w:val="00B0098B"/>
    <w:rsid w:val="00B009A1"/>
    <w:rsid w:val="00B01ECB"/>
    <w:rsid w:val="00B023E8"/>
    <w:rsid w:val="00B0268A"/>
    <w:rsid w:val="00B04AA1"/>
    <w:rsid w:val="00B05213"/>
    <w:rsid w:val="00B067E0"/>
    <w:rsid w:val="00B07848"/>
    <w:rsid w:val="00B07C39"/>
    <w:rsid w:val="00B07EB2"/>
    <w:rsid w:val="00B10D11"/>
    <w:rsid w:val="00B11846"/>
    <w:rsid w:val="00B12B1E"/>
    <w:rsid w:val="00B16321"/>
    <w:rsid w:val="00B16E17"/>
    <w:rsid w:val="00B206E0"/>
    <w:rsid w:val="00B21005"/>
    <w:rsid w:val="00B21781"/>
    <w:rsid w:val="00B232EB"/>
    <w:rsid w:val="00B25477"/>
    <w:rsid w:val="00B25886"/>
    <w:rsid w:val="00B268C0"/>
    <w:rsid w:val="00B271FB"/>
    <w:rsid w:val="00B279FC"/>
    <w:rsid w:val="00B27B79"/>
    <w:rsid w:val="00B27DFA"/>
    <w:rsid w:val="00B30B2C"/>
    <w:rsid w:val="00B30DD6"/>
    <w:rsid w:val="00B34C4D"/>
    <w:rsid w:val="00B37692"/>
    <w:rsid w:val="00B413D2"/>
    <w:rsid w:val="00B42EEA"/>
    <w:rsid w:val="00B4384F"/>
    <w:rsid w:val="00B4592A"/>
    <w:rsid w:val="00B4737C"/>
    <w:rsid w:val="00B511A2"/>
    <w:rsid w:val="00B51590"/>
    <w:rsid w:val="00B5189D"/>
    <w:rsid w:val="00B53B13"/>
    <w:rsid w:val="00B67A0C"/>
    <w:rsid w:val="00B67CD0"/>
    <w:rsid w:val="00B71216"/>
    <w:rsid w:val="00B71D39"/>
    <w:rsid w:val="00B7315A"/>
    <w:rsid w:val="00B73A96"/>
    <w:rsid w:val="00B74E6C"/>
    <w:rsid w:val="00B80B38"/>
    <w:rsid w:val="00B83B2A"/>
    <w:rsid w:val="00B846C6"/>
    <w:rsid w:val="00B8555F"/>
    <w:rsid w:val="00B87EF8"/>
    <w:rsid w:val="00B901AC"/>
    <w:rsid w:val="00B904C7"/>
    <w:rsid w:val="00B9054E"/>
    <w:rsid w:val="00B90CEC"/>
    <w:rsid w:val="00B95B62"/>
    <w:rsid w:val="00B970A1"/>
    <w:rsid w:val="00B971C6"/>
    <w:rsid w:val="00BA03AC"/>
    <w:rsid w:val="00BA09F3"/>
    <w:rsid w:val="00BA2792"/>
    <w:rsid w:val="00BA3C60"/>
    <w:rsid w:val="00BA3D94"/>
    <w:rsid w:val="00BA4150"/>
    <w:rsid w:val="00BA4D52"/>
    <w:rsid w:val="00BA5BBA"/>
    <w:rsid w:val="00BA6513"/>
    <w:rsid w:val="00BA716D"/>
    <w:rsid w:val="00BA73F9"/>
    <w:rsid w:val="00BA77A1"/>
    <w:rsid w:val="00BB38C0"/>
    <w:rsid w:val="00BB6031"/>
    <w:rsid w:val="00BB678B"/>
    <w:rsid w:val="00BB6890"/>
    <w:rsid w:val="00BB7D24"/>
    <w:rsid w:val="00BC09C8"/>
    <w:rsid w:val="00BC120E"/>
    <w:rsid w:val="00BC1884"/>
    <w:rsid w:val="00BC3477"/>
    <w:rsid w:val="00BC5D33"/>
    <w:rsid w:val="00BC7621"/>
    <w:rsid w:val="00BD0BB0"/>
    <w:rsid w:val="00BD1D10"/>
    <w:rsid w:val="00BD2AA8"/>
    <w:rsid w:val="00BD2BD0"/>
    <w:rsid w:val="00BD3115"/>
    <w:rsid w:val="00BD4535"/>
    <w:rsid w:val="00BD4699"/>
    <w:rsid w:val="00BD5D72"/>
    <w:rsid w:val="00BE06A3"/>
    <w:rsid w:val="00BE2A3B"/>
    <w:rsid w:val="00BE3964"/>
    <w:rsid w:val="00BE45F9"/>
    <w:rsid w:val="00BE48EB"/>
    <w:rsid w:val="00BE53B3"/>
    <w:rsid w:val="00BE6FA0"/>
    <w:rsid w:val="00BE799F"/>
    <w:rsid w:val="00BF0CB9"/>
    <w:rsid w:val="00BF35A1"/>
    <w:rsid w:val="00BF3E04"/>
    <w:rsid w:val="00BF5497"/>
    <w:rsid w:val="00BF7D19"/>
    <w:rsid w:val="00C0208F"/>
    <w:rsid w:val="00C0447B"/>
    <w:rsid w:val="00C0587E"/>
    <w:rsid w:val="00C06D6D"/>
    <w:rsid w:val="00C07A6A"/>
    <w:rsid w:val="00C10351"/>
    <w:rsid w:val="00C11FF0"/>
    <w:rsid w:val="00C12C29"/>
    <w:rsid w:val="00C138FC"/>
    <w:rsid w:val="00C1395A"/>
    <w:rsid w:val="00C1395B"/>
    <w:rsid w:val="00C152C0"/>
    <w:rsid w:val="00C157F6"/>
    <w:rsid w:val="00C16B21"/>
    <w:rsid w:val="00C17947"/>
    <w:rsid w:val="00C22B75"/>
    <w:rsid w:val="00C2316D"/>
    <w:rsid w:val="00C23AE0"/>
    <w:rsid w:val="00C23C45"/>
    <w:rsid w:val="00C267F0"/>
    <w:rsid w:val="00C272B3"/>
    <w:rsid w:val="00C276C9"/>
    <w:rsid w:val="00C27D06"/>
    <w:rsid w:val="00C30537"/>
    <w:rsid w:val="00C32ED5"/>
    <w:rsid w:val="00C3372B"/>
    <w:rsid w:val="00C33DCB"/>
    <w:rsid w:val="00C350F1"/>
    <w:rsid w:val="00C35D92"/>
    <w:rsid w:val="00C36326"/>
    <w:rsid w:val="00C3637B"/>
    <w:rsid w:val="00C37310"/>
    <w:rsid w:val="00C3744D"/>
    <w:rsid w:val="00C37C58"/>
    <w:rsid w:val="00C407FF"/>
    <w:rsid w:val="00C42F4C"/>
    <w:rsid w:val="00C46307"/>
    <w:rsid w:val="00C463BC"/>
    <w:rsid w:val="00C473BC"/>
    <w:rsid w:val="00C474E5"/>
    <w:rsid w:val="00C5045F"/>
    <w:rsid w:val="00C50687"/>
    <w:rsid w:val="00C50956"/>
    <w:rsid w:val="00C51029"/>
    <w:rsid w:val="00C52A2F"/>
    <w:rsid w:val="00C544B3"/>
    <w:rsid w:val="00C557E4"/>
    <w:rsid w:val="00C5669C"/>
    <w:rsid w:val="00C56B0B"/>
    <w:rsid w:val="00C56C2D"/>
    <w:rsid w:val="00C60C80"/>
    <w:rsid w:val="00C627D6"/>
    <w:rsid w:val="00C62A31"/>
    <w:rsid w:val="00C64B2F"/>
    <w:rsid w:val="00C66637"/>
    <w:rsid w:val="00C66AE5"/>
    <w:rsid w:val="00C66EE1"/>
    <w:rsid w:val="00C66F56"/>
    <w:rsid w:val="00C67D7F"/>
    <w:rsid w:val="00C70BFD"/>
    <w:rsid w:val="00C72FE9"/>
    <w:rsid w:val="00C738D0"/>
    <w:rsid w:val="00C73FB3"/>
    <w:rsid w:val="00C74A8A"/>
    <w:rsid w:val="00C7607E"/>
    <w:rsid w:val="00C76A85"/>
    <w:rsid w:val="00C77B39"/>
    <w:rsid w:val="00C8173B"/>
    <w:rsid w:val="00C82246"/>
    <w:rsid w:val="00C847AD"/>
    <w:rsid w:val="00C864A7"/>
    <w:rsid w:val="00C8727B"/>
    <w:rsid w:val="00C915BA"/>
    <w:rsid w:val="00C91DCF"/>
    <w:rsid w:val="00C9363F"/>
    <w:rsid w:val="00C93AF1"/>
    <w:rsid w:val="00C971AC"/>
    <w:rsid w:val="00CA489F"/>
    <w:rsid w:val="00CA48E0"/>
    <w:rsid w:val="00CA61AB"/>
    <w:rsid w:val="00CA692E"/>
    <w:rsid w:val="00CA79D1"/>
    <w:rsid w:val="00CA7A31"/>
    <w:rsid w:val="00CB03EE"/>
    <w:rsid w:val="00CB10F7"/>
    <w:rsid w:val="00CB3DF6"/>
    <w:rsid w:val="00CB5AA6"/>
    <w:rsid w:val="00CB7066"/>
    <w:rsid w:val="00CB7846"/>
    <w:rsid w:val="00CB7AB1"/>
    <w:rsid w:val="00CB7B85"/>
    <w:rsid w:val="00CC0B30"/>
    <w:rsid w:val="00CC207A"/>
    <w:rsid w:val="00CC44B4"/>
    <w:rsid w:val="00CD01D9"/>
    <w:rsid w:val="00CD14E0"/>
    <w:rsid w:val="00CD1DDB"/>
    <w:rsid w:val="00CD2D42"/>
    <w:rsid w:val="00CD3727"/>
    <w:rsid w:val="00CD467C"/>
    <w:rsid w:val="00CD4922"/>
    <w:rsid w:val="00CD73D7"/>
    <w:rsid w:val="00CD7F68"/>
    <w:rsid w:val="00CE09C1"/>
    <w:rsid w:val="00CE12A2"/>
    <w:rsid w:val="00CE28C7"/>
    <w:rsid w:val="00CE4D64"/>
    <w:rsid w:val="00CF0202"/>
    <w:rsid w:val="00CF22FB"/>
    <w:rsid w:val="00CF4203"/>
    <w:rsid w:val="00CF6190"/>
    <w:rsid w:val="00CF62B2"/>
    <w:rsid w:val="00CF7450"/>
    <w:rsid w:val="00CF777F"/>
    <w:rsid w:val="00D0020C"/>
    <w:rsid w:val="00D03BB3"/>
    <w:rsid w:val="00D03FA2"/>
    <w:rsid w:val="00D05254"/>
    <w:rsid w:val="00D05710"/>
    <w:rsid w:val="00D057B6"/>
    <w:rsid w:val="00D07F0D"/>
    <w:rsid w:val="00D10923"/>
    <w:rsid w:val="00D10C64"/>
    <w:rsid w:val="00D1388B"/>
    <w:rsid w:val="00D15868"/>
    <w:rsid w:val="00D165EC"/>
    <w:rsid w:val="00D16F32"/>
    <w:rsid w:val="00D1792B"/>
    <w:rsid w:val="00D17F00"/>
    <w:rsid w:val="00D20CB1"/>
    <w:rsid w:val="00D22AE0"/>
    <w:rsid w:val="00D26121"/>
    <w:rsid w:val="00D27A5F"/>
    <w:rsid w:val="00D30850"/>
    <w:rsid w:val="00D30E85"/>
    <w:rsid w:val="00D3235A"/>
    <w:rsid w:val="00D35C01"/>
    <w:rsid w:val="00D36715"/>
    <w:rsid w:val="00D40429"/>
    <w:rsid w:val="00D41D6B"/>
    <w:rsid w:val="00D451D0"/>
    <w:rsid w:val="00D45B19"/>
    <w:rsid w:val="00D462F3"/>
    <w:rsid w:val="00D46961"/>
    <w:rsid w:val="00D50449"/>
    <w:rsid w:val="00D531A2"/>
    <w:rsid w:val="00D56436"/>
    <w:rsid w:val="00D56444"/>
    <w:rsid w:val="00D56617"/>
    <w:rsid w:val="00D60ABE"/>
    <w:rsid w:val="00D61AA3"/>
    <w:rsid w:val="00D62672"/>
    <w:rsid w:val="00D6286E"/>
    <w:rsid w:val="00D63A35"/>
    <w:rsid w:val="00D674D6"/>
    <w:rsid w:val="00D709BC"/>
    <w:rsid w:val="00D7207F"/>
    <w:rsid w:val="00D75298"/>
    <w:rsid w:val="00D755B6"/>
    <w:rsid w:val="00D75E8D"/>
    <w:rsid w:val="00D771FC"/>
    <w:rsid w:val="00D80EFA"/>
    <w:rsid w:val="00D833B9"/>
    <w:rsid w:val="00D85640"/>
    <w:rsid w:val="00D85BB0"/>
    <w:rsid w:val="00D86028"/>
    <w:rsid w:val="00D87224"/>
    <w:rsid w:val="00D87F0A"/>
    <w:rsid w:val="00D90813"/>
    <w:rsid w:val="00D90F2D"/>
    <w:rsid w:val="00D91898"/>
    <w:rsid w:val="00D940ED"/>
    <w:rsid w:val="00D959E3"/>
    <w:rsid w:val="00DA2259"/>
    <w:rsid w:val="00DA3CD5"/>
    <w:rsid w:val="00DA68F8"/>
    <w:rsid w:val="00DB107E"/>
    <w:rsid w:val="00DB1FCA"/>
    <w:rsid w:val="00DB395A"/>
    <w:rsid w:val="00DB455C"/>
    <w:rsid w:val="00DB5573"/>
    <w:rsid w:val="00DB615C"/>
    <w:rsid w:val="00DB723E"/>
    <w:rsid w:val="00DC27C7"/>
    <w:rsid w:val="00DD2065"/>
    <w:rsid w:val="00DD3EAB"/>
    <w:rsid w:val="00DD7331"/>
    <w:rsid w:val="00DE2C30"/>
    <w:rsid w:val="00DE353B"/>
    <w:rsid w:val="00DE456A"/>
    <w:rsid w:val="00DE732F"/>
    <w:rsid w:val="00DF1B40"/>
    <w:rsid w:val="00DF2118"/>
    <w:rsid w:val="00DF36FA"/>
    <w:rsid w:val="00DF3B57"/>
    <w:rsid w:val="00DF4ACE"/>
    <w:rsid w:val="00DF5498"/>
    <w:rsid w:val="00DF5567"/>
    <w:rsid w:val="00DF6353"/>
    <w:rsid w:val="00DF6DFF"/>
    <w:rsid w:val="00DF76E3"/>
    <w:rsid w:val="00E01089"/>
    <w:rsid w:val="00E01FA0"/>
    <w:rsid w:val="00E024B3"/>
    <w:rsid w:val="00E02A51"/>
    <w:rsid w:val="00E0552B"/>
    <w:rsid w:val="00E06538"/>
    <w:rsid w:val="00E0689E"/>
    <w:rsid w:val="00E07A91"/>
    <w:rsid w:val="00E110F8"/>
    <w:rsid w:val="00E1463C"/>
    <w:rsid w:val="00E14866"/>
    <w:rsid w:val="00E200BC"/>
    <w:rsid w:val="00E2114C"/>
    <w:rsid w:val="00E213C2"/>
    <w:rsid w:val="00E22AF0"/>
    <w:rsid w:val="00E23B1A"/>
    <w:rsid w:val="00E24597"/>
    <w:rsid w:val="00E30044"/>
    <w:rsid w:val="00E30697"/>
    <w:rsid w:val="00E30CA5"/>
    <w:rsid w:val="00E377ED"/>
    <w:rsid w:val="00E41010"/>
    <w:rsid w:val="00E41265"/>
    <w:rsid w:val="00E43112"/>
    <w:rsid w:val="00E441A4"/>
    <w:rsid w:val="00E44379"/>
    <w:rsid w:val="00E45174"/>
    <w:rsid w:val="00E45732"/>
    <w:rsid w:val="00E45784"/>
    <w:rsid w:val="00E45B26"/>
    <w:rsid w:val="00E50706"/>
    <w:rsid w:val="00E507C6"/>
    <w:rsid w:val="00E51D04"/>
    <w:rsid w:val="00E524C1"/>
    <w:rsid w:val="00E52A5E"/>
    <w:rsid w:val="00E53C42"/>
    <w:rsid w:val="00E5569A"/>
    <w:rsid w:val="00E55BD2"/>
    <w:rsid w:val="00E56F9C"/>
    <w:rsid w:val="00E6170D"/>
    <w:rsid w:val="00E6374D"/>
    <w:rsid w:val="00E638FE"/>
    <w:rsid w:val="00E63B1C"/>
    <w:rsid w:val="00E654C2"/>
    <w:rsid w:val="00E6562D"/>
    <w:rsid w:val="00E66D75"/>
    <w:rsid w:val="00E67A91"/>
    <w:rsid w:val="00E704E4"/>
    <w:rsid w:val="00E70AA1"/>
    <w:rsid w:val="00E70C03"/>
    <w:rsid w:val="00E71200"/>
    <w:rsid w:val="00E724AB"/>
    <w:rsid w:val="00E729B7"/>
    <w:rsid w:val="00E737FA"/>
    <w:rsid w:val="00E74774"/>
    <w:rsid w:val="00E76D7B"/>
    <w:rsid w:val="00E77A75"/>
    <w:rsid w:val="00E81919"/>
    <w:rsid w:val="00E832EC"/>
    <w:rsid w:val="00E861F1"/>
    <w:rsid w:val="00E862C5"/>
    <w:rsid w:val="00E86528"/>
    <w:rsid w:val="00E9220C"/>
    <w:rsid w:val="00E9300D"/>
    <w:rsid w:val="00E93149"/>
    <w:rsid w:val="00E93BE9"/>
    <w:rsid w:val="00E951A5"/>
    <w:rsid w:val="00E96FC4"/>
    <w:rsid w:val="00EA03D9"/>
    <w:rsid w:val="00EA2017"/>
    <w:rsid w:val="00EA5C6D"/>
    <w:rsid w:val="00EA7C13"/>
    <w:rsid w:val="00EB019E"/>
    <w:rsid w:val="00EB6E1F"/>
    <w:rsid w:val="00EC255C"/>
    <w:rsid w:val="00EC3E46"/>
    <w:rsid w:val="00EC50DE"/>
    <w:rsid w:val="00EC6391"/>
    <w:rsid w:val="00EC63AE"/>
    <w:rsid w:val="00EC6E54"/>
    <w:rsid w:val="00EC719B"/>
    <w:rsid w:val="00EC7EE0"/>
    <w:rsid w:val="00ED012B"/>
    <w:rsid w:val="00ED02FB"/>
    <w:rsid w:val="00ED05EF"/>
    <w:rsid w:val="00ED0933"/>
    <w:rsid w:val="00ED0BA8"/>
    <w:rsid w:val="00ED0EDF"/>
    <w:rsid w:val="00ED1C04"/>
    <w:rsid w:val="00ED288C"/>
    <w:rsid w:val="00ED54CC"/>
    <w:rsid w:val="00ED609E"/>
    <w:rsid w:val="00EE1E43"/>
    <w:rsid w:val="00EE235D"/>
    <w:rsid w:val="00EE24BA"/>
    <w:rsid w:val="00EE26CA"/>
    <w:rsid w:val="00EE2924"/>
    <w:rsid w:val="00EE2BD8"/>
    <w:rsid w:val="00EE361A"/>
    <w:rsid w:val="00EE6B1B"/>
    <w:rsid w:val="00EE6C6C"/>
    <w:rsid w:val="00EF3E06"/>
    <w:rsid w:val="00EF4013"/>
    <w:rsid w:val="00EF5E65"/>
    <w:rsid w:val="00EF6232"/>
    <w:rsid w:val="00EF6403"/>
    <w:rsid w:val="00EF705B"/>
    <w:rsid w:val="00EF7C82"/>
    <w:rsid w:val="00F00BA9"/>
    <w:rsid w:val="00F0178D"/>
    <w:rsid w:val="00F029A1"/>
    <w:rsid w:val="00F03379"/>
    <w:rsid w:val="00F0583C"/>
    <w:rsid w:val="00F06ABC"/>
    <w:rsid w:val="00F07C83"/>
    <w:rsid w:val="00F10B23"/>
    <w:rsid w:val="00F11DD8"/>
    <w:rsid w:val="00F123E0"/>
    <w:rsid w:val="00F1266D"/>
    <w:rsid w:val="00F13710"/>
    <w:rsid w:val="00F14BAD"/>
    <w:rsid w:val="00F208BD"/>
    <w:rsid w:val="00F21E63"/>
    <w:rsid w:val="00F2212B"/>
    <w:rsid w:val="00F22155"/>
    <w:rsid w:val="00F23FF8"/>
    <w:rsid w:val="00F2770C"/>
    <w:rsid w:val="00F3113D"/>
    <w:rsid w:val="00F3302D"/>
    <w:rsid w:val="00F33BEE"/>
    <w:rsid w:val="00F34F7B"/>
    <w:rsid w:val="00F3737D"/>
    <w:rsid w:val="00F40DDA"/>
    <w:rsid w:val="00F41F19"/>
    <w:rsid w:val="00F429C7"/>
    <w:rsid w:val="00F4547D"/>
    <w:rsid w:val="00F469B3"/>
    <w:rsid w:val="00F46C14"/>
    <w:rsid w:val="00F46D7C"/>
    <w:rsid w:val="00F53C1B"/>
    <w:rsid w:val="00F541A0"/>
    <w:rsid w:val="00F547CD"/>
    <w:rsid w:val="00F54BAD"/>
    <w:rsid w:val="00F55B14"/>
    <w:rsid w:val="00F563CD"/>
    <w:rsid w:val="00F6443D"/>
    <w:rsid w:val="00F65161"/>
    <w:rsid w:val="00F67A11"/>
    <w:rsid w:val="00F7003F"/>
    <w:rsid w:val="00F72F55"/>
    <w:rsid w:val="00F73837"/>
    <w:rsid w:val="00F76006"/>
    <w:rsid w:val="00F80441"/>
    <w:rsid w:val="00F812E8"/>
    <w:rsid w:val="00F81C88"/>
    <w:rsid w:val="00F828B8"/>
    <w:rsid w:val="00F83B0F"/>
    <w:rsid w:val="00F846A6"/>
    <w:rsid w:val="00F84FC2"/>
    <w:rsid w:val="00F8505E"/>
    <w:rsid w:val="00F85811"/>
    <w:rsid w:val="00F925FA"/>
    <w:rsid w:val="00F92CCC"/>
    <w:rsid w:val="00F92E91"/>
    <w:rsid w:val="00F935A6"/>
    <w:rsid w:val="00F9449B"/>
    <w:rsid w:val="00F95006"/>
    <w:rsid w:val="00F9741F"/>
    <w:rsid w:val="00F976E5"/>
    <w:rsid w:val="00FA1482"/>
    <w:rsid w:val="00FA1831"/>
    <w:rsid w:val="00FA39FD"/>
    <w:rsid w:val="00FA3FA6"/>
    <w:rsid w:val="00FA4EAF"/>
    <w:rsid w:val="00FA545D"/>
    <w:rsid w:val="00FA5E82"/>
    <w:rsid w:val="00FA7280"/>
    <w:rsid w:val="00FB4777"/>
    <w:rsid w:val="00FB66C1"/>
    <w:rsid w:val="00FB673F"/>
    <w:rsid w:val="00FC24BD"/>
    <w:rsid w:val="00FC2818"/>
    <w:rsid w:val="00FC2ACF"/>
    <w:rsid w:val="00FC2E7B"/>
    <w:rsid w:val="00FC3660"/>
    <w:rsid w:val="00FC3CC0"/>
    <w:rsid w:val="00FC540A"/>
    <w:rsid w:val="00FC7477"/>
    <w:rsid w:val="00FD0C99"/>
    <w:rsid w:val="00FD13D8"/>
    <w:rsid w:val="00FD3699"/>
    <w:rsid w:val="00FD51DD"/>
    <w:rsid w:val="00FD67F5"/>
    <w:rsid w:val="00FD7A24"/>
    <w:rsid w:val="00FE21BC"/>
    <w:rsid w:val="00FE53E1"/>
    <w:rsid w:val="00FE5E69"/>
    <w:rsid w:val="00FE6396"/>
    <w:rsid w:val="00FE653C"/>
    <w:rsid w:val="00FE6AA2"/>
    <w:rsid w:val="00FE6ACC"/>
    <w:rsid w:val="00FF1853"/>
    <w:rsid w:val="00FF21BD"/>
    <w:rsid w:val="00FF3386"/>
    <w:rsid w:val="00FF4363"/>
    <w:rsid w:val="00FF4A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AE0DE"/>
  <w15:chartTrackingRefBased/>
  <w15:docId w15:val="{5E2DE7D2-17EA-D64C-8C42-8483A591C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3AC"/>
    <w:rPr>
      <w:rFonts w:ascii="Times New Roman" w:eastAsia="Times New Roman" w:hAnsi="Times New Roman" w:cs="Times New Roman"/>
    </w:rPr>
  </w:style>
  <w:style w:type="paragraph" w:styleId="Heading1">
    <w:name w:val="heading 1"/>
    <w:basedOn w:val="Normal"/>
    <w:next w:val="Normal"/>
    <w:link w:val="Heading1Char"/>
    <w:uiPriority w:val="9"/>
    <w:qFormat/>
    <w:rsid w:val="001A45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52D8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C719B"/>
    <w:rPr>
      <w:i/>
      <w:iCs/>
    </w:rPr>
  </w:style>
  <w:style w:type="paragraph" w:styleId="ListParagraph">
    <w:name w:val="List Paragraph"/>
    <w:basedOn w:val="Normal"/>
    <w:uiPriority w:val="34"/>
    <w:qFormat/>
    <w:rsid w:val="006039AB"/>
    <w:pPr>
      <w:ind w:left="720"/>
      <w:contextualSpacing/>
    </w:pPr>
    <w:rPr>
      <w:rFonts w:asciiTheme="minorHAnsi" w:eastAsiaTheme="minorEastAsia" w:hAnsiTheme="minorHAnsi" w:cstheme="minorBidi"/>
    </w:rPr>
  </w:style>
  <w:style w:type="character" w:styleId="Hyperlink">
    <w:name w:val="Hyperlink"/>
    <w:basedOn w:val="DefaultParagraphFont"/>
    <w:uiPriority w:val="99"/>
    <w:unhideWhenUsed/>
    <w:rsid w:val="00DF1B40"/>
    <w:rPr>
      <w:color w:val="0563C1" w:themeColor="hyperlink"/>
      <w:u w:val="single"/>
    </w:rPr>
  </w:style>
  <w:style w:type="character" w:styleId="UnresolvedMention">
    <w:name w:val="Unresolved Mention"/>
    <w:basedOn w:val="DefaultParagraphFont"/>
    <w:uiPriority w:val="99"/>
    <w:semiHidden/>
    <w:unhideWhenUsed/>
    <w:rsid w:val="00DF1B40"/>
    <w:rPr>
      <w:color w:val="605E5C"/>
      <w:shd w:val="clear" w:color="auto" w:fill="E1DFDD"/>
    </w:rPr>
  </w:style>
  <w:style w:type="character" w:styleId="Strong">
    <w:name w:val="Strong"/>
    <w:basedOn w:val="DefaultParagraphFont"/>
    <w:uiPriority w:val="22"/>
    <w:qFormat/>
    <w:rsid w:val="009E5282"/>
    <w:rPr>
      <w:b/>
      <w:bCs/>
    </w:rPr>
  </w:style>
  <w:style w:type="paragraph" w:customStyle="1" w:styleId="1qeiagb0cpwnlhdf9xsijm">
    <w:name w:val="_1qeiagb0cpwnlhdf9xsijm"/>
    <w:basedOn w:val="Normal"/>
    <w:rsid w:val="00417BA2"/>
    <w:pPr>
      <w:spacing w:before="100" w:beforeAutospacing="1" w:after="100" w:afterAutospacing="1"/>
    </w:pPr>
  </w:style>
  <w:style w:type="paragraph" w:styleId="NormalWeb">
    <w:name w:val="Normal (Web)"/>
    <w:basedOn w:val="Normal"/>
    <w:uiPriority w:val="99"/>
    <w:semiHidden/>
    <w:unhideWhenUsed/>
    <w:rsid w:val="00B01ECB"/>
    <w:pPr>
      <w:spacing w:before="100" w:beforeAutospacing="1" w:after="100" w:afterAutospacing="1"/>
    </w:pPr>
  </w:style>
  <w:style w:type="character" w:customStyle="1" w:styleId="Heading2Char">
    <w:name w:val="Heading 2 Char"/>
    <w:basedOn w:val="DefaultParagraphFont"/>
    <w:link w:val="Heading2"/>
    <w:uiPriority w:val="9"/>
    <w:rsid w:val="00552D82"/>
    <w:rPr>
      <w:rFonts w:ascii="Times New Roman" w:eastAsia="Times New Roman" w:hAnsi="Times New Roman" w:cs="Times New Roman"/>
      <w:b/>
      <w:bCs/>
      <w:sz w:val="36"/>
      <w:szCs w:val="36"/>
    </w:rPr>
  </w:style>
  <w:style w:type="paragraph" w:customStyle="1" w:styleId="mb0">
    <w:name w:val="mb0"/>
    <w:basedOn w:val="Normal"/>
    <w:rsid w:val="00552D82"/>
    <w:pPr>
      <w:spacing w:before="100" w:beforeAutospacing="1" w:after="100" w:afterAutospacing="1"/>
    </w:pPr>
  </w:style>
  <w:style w:type="table" w:styleId="TableGrid">
    <w:name w:val="Table Grid"/>
    <w:basedOn w:val="TableNormal"/>
    <w:uiPriority w:val="39"/>
    <w:rsid w:val="00571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713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03306E"/>
    <w:rPr>
      <w:color w:val="954F72" w:themeColor="followedHyperlink"/>
      <w:u w:val="single"/>
    </w:rPr>
  </w:style>
  <w:style w:type="character" w:customStyle="1" w:styleId="Heading1Char">
    <w:name w:val="Heading 1 Char"/>
    <w:basedOn w:val="DefaultParagraphFont"/>
    <w:link w:val="Heading1"/>
    <w:uiPriority w:val="9"/>
    <w:rsid w:val="001A450F"/>
    <w:rPr>
      <w:rFonts w:asciiTheme="majorHAnsi" w:eastAsiaTheme="majorEastAsia" w:hAnsiTheme="majorHAnsi" w:cstheme="majorBidi"/>
      <w:color w:val="2F5496" w:themeColor="accent1" w:themeShade="BF"/>
      <w:sz w:val="32"/>
      <w:szCs w:val="32"/>
    </w:rPr>
  </w:style>
  <w:style w:type="character" w:customStyle="1" w:styleId="small-caps">
    <w:name w:val="small-caps"/>
    <w:basedOn w:val="DefaultParagraphFont"/>
    <w:rsid w:val="00900134"/>
  </w:style>
  <w:style w:type="paragraph" w:styleId="CommentText">
    <w:name w:val="annotation text"/>
    <w:basedOn w:val="Normal"/>
    <w:link w:val="CommentTextChar"/>
    <w:uiPriority w:val="99"/>
    <w:unhideWhenUsed/>
    <w:rsid w:val="005B2D1D"/>
    <w:rPr>
      <w:sz w:val="20"/>
      <w:szCs w:val="20"/>
    </w:rPr>
  </w:style>
  <w:style w:type="character" w:customStyle="1" w:styleId="CommentTextChar">
    <w:name w:val="Comment Text Char"/>
    <w:basedOn w:val="DefaultParagraphFont"/>
    <w:link w:val="CommentText"/>
    <w:uiPriority w:val="99"/>
    <w:rsid w:val="005B2D1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F3D28"/>
    <w:rPr>
      <w:sz w:val="16"/>
      <w:szCs w:val="16"/>
    </w:rPr>
  </w:style>
  <w:style w:type="paragraph" w:styleId="Header">
    <w:name w:val="header"/>
    <w:basedOn w:val="Normal"/>
    <w:link w:val="HeaderChar"/>
    <w:uiPriority w:val="99"/>
    <w:unhideWhenUsed/>
    <w:rsid w:val="00430E66"/>
    <w:pPr>
      <w:tabs>
        <w:tab w:val="center" w:pos="4513"/>
        <w:tab w:val="right" w:pos="9026"/>
      </w:tabs>
    </w:pPr>
  </w:style>
  <w:style w:type="character" w:customStyle="1" w:styleId="HeaderChar">
    <w:name w:val="Header Char"/>
    <w:basedOn w:val="DefaultParagraphFont"/>
    <w:link w:val="Header"/>
    <w:uiPriority w:val="99"/>
    <w:rsid w:val="00430E66"/>
    <w:rPr>
      <w:rFonts w:ascii="Times New Roman" w:eastAsia="Times New Roman" w:hAnsi="Times New Roman" w:cs="Times New Roman"/>
    </w:rPr>
  </w:style>
  <w:style w:type="paragraph" w:styleId="Footer">
    <w:name w:val="footer"/>
    <w:basedOn w:val="Normal"/>
    <w:link w:val="FooterChar"/>
    <w:uiPriority w:val="99"/>
    <w:unhideWhenUsed/>
    <w:rsid w:val="00430E66"/>
    <w:pPr>
      <w:tabs>
        <w:tab w:val="center" w:pos="4513"/>
        <w:tab w:val="right" w:pos="9026"/>
      </w:tabs>
    </w:pPr>
  </w:style>
  <w:style w:type="character" w:customStyle="1" w:styleId="FooterChar">
    <w:name w:val="Footer Char"/>
    <w:basedOn w:val="DefaultParagraphFont"/>
    <w:link w:val="Footer"/>
    <w:uiPriority w:val="99"/>
    <w:rsid w:val="00430E66"/>
    <w:rPr>
      <w:rFonts w:ascii="Times New Roman" w:eastAsia="Times New Roman" w:hAnsi="Times New Roman" w:cs="Times New Roman"/>
    </w:rPr>
  </w:style>
  <w:style w:type="character" w:styleId="PageNumber">
    <w:name w:val="page number"/>
    <w:basedOn w:val="DefaultParagraphFont"/>
    <w:uiPriority w:val="99"/>
    <w:semiHidden/>
    <w:unhideWhenUsed/>
    <w:rsid w:val="00E50706"/>
  </w:style>
  <w:style w:type="character" w:styleId="LineNumber">
    <w:name w:val="line number"/>
    <w:basedOn w:val="DefaultParagraphFont"/>
    <w:uiPriority w:val="99"/>
    <w:semiHidden/>
    <w:unhideWhenUsed/>
    <w:rsid w:val="00E50706"/>
  </w:style>
  <w:style w:type="paragraph" w:styleId="CommentSubject">
    <w:name w:val="annotation subject"/>
    <w:basedOn w:val="CommentText"/>
    <w:next w:val="CommentText"/>
    <w:link w:val="CommentSubjectChar"/>
    <w:uiPriority w:val="99"/>
    <w:semiHidden/>
    <w:unhideWhenUsed/>
    <w:rsid w:val="0010580B"/>
    <w:rPr>
      <w:b/>
      <w:bCs/>
    </w:rPr>
  </w:style>
  <w:style w:type="character" w:customStyle="1" w:styleId="CommentSubjectChar">
    <w:name w:val="Comment Subject Char"/>
    <w:basedOn w:val="CommentTextChar"/>
    <w:link w:val="CommentSubject"/>
    <w:uiPriority w:val="99"/>
    <w:semiHidden/>
    <w:rsid w:val="0010580B"/>
    <w:rPr>
      <w:rFonts w:ascii="Times New Roman" w:eastAsia="Times New Roman" w:hAnsi="Times New Roman" w:cs="Times New Roman"/>
      <w:b/>
      <w:bCs/>
      <w:sz w:val="20"/>
      <w:szCs w:val="20"/>
    </w:rPr>
  </w:style>
  <w:style w:type="character" w:customStyle="1" w:styleId="docsum-authors">
    <w:name w:val="docsum-authors"/>
    <w:basedOn w:val="DefaultParagraphFont"/>
    <w:rsid w:val="00BA09F3"/>
  </w:style>
  <w:style w:type="character" w:customStyle="1" w:styleId="docsum-journal-citation">
    <w:name w:val="docsum-journal-citation"/>
    <w:basedOn w:val="DefaultParagraphFont"/>
    <w:rsid w:val="00BA09F3"/>
  </w:style>
  <w:style w:type="character" w:customStyle="1" w:styleId="citation-part">
    <w:name w:val="citation-part"/>
    <w:basedOn w:val="DefaultParagraphFont"/>
    <w:rsid w:val="00BA09F3"/>
  </w:style>
  <w:style w:type="character" w:customStyle="1" w:styleId="docsum-pmid">
    <w:name w:val="docsum-pmid"/>
    <w:basedOn w:val="DefaultParagraphFont"/>
    <w:rsid w:val="00BA09F3"/>
  </w:style>
  <w:style w:type="character" w:customStyle="1" w:styleId="position-number">
    <w:name w:val="position-number"/>
    <w:basedOn w:val="DefaultParagraphFont"/>
    <w:rsid w:val="00BA09F3"/>
  </w:style>
  <w:style w:type="paragraph" w:styleId="Revision">
    <w:name w:val="Revision"/>
    <w:hidden/>
    <w:uiPriority w:val="99"/>
    <w:semiHidden/>
    <w:rsid w:val="00CA61A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9">
      <w:bodyDiv w:val="1"/>
      <w:marLeft w:val="0"/>
      <w:marRight w:val="0"/>
      <w:marTop w:val="0"/>
      <w:marBottom w:val="0"/>
      <w:divBdr>
        <w:top w:val="none" w:sz="0" w:space="0" w:color="auto"/>
        <w:left w:val="none" w:sz="0" w:space="0" w:color="auto"/>
        <w:bottom w:val="none" w:sz="0" w:space="0" w:color="auto"/>
        <w:right w:val="none" w:sz="0" w:space="0" w:color="auto"/>
      </w:divBdr>
    </w:div>
    <w:div w:id="2055860">
      <w:bodyDiv w:val="1"/>
      <w:marLeft w:val="0"/>
      <w:marRight w:val="0"/>
      <w:marTop w:val="0"/>
      <w:marBottom w:val="0"/>
      <w:divBdr>
        <w:top w:val="none" w:sz="0" w:space="0" w:color="auto"/>
        <w:left w:val="none" w:sz="0" w:space="0" w:color="auto"/>
        <w:bottom w:val="none" w:sz="0" w:space="0" w:color="auto"/>
        <w:right w:val="none" w:sz="0" w:space="0" w:color="auto"/>
      </w:divBdr>
    </w:div>
    <w:div w:id="26222412">
      <w:bodyDiv w:val="1"/>
      <w:marLeft w:val="0"/>
      <w:marRight w:val="0"/>
      <w:marTop w:val="0"/>
      <w:marBottom w:val="0"/>
      <w:divBdr>
        <w:top w:val="none" w:sz="0" w:space="0" w:color="auto"/>
        <w:left w:val="none" w:sz="0" w:space="0" w:color="auto"/>
        <w:bottom w:val="none" w:sz="0" w:space="0" w:color="auto"/>
        <w:right w:val="none" w:sz="0" w:space="0" w:color="auto"/>
      </w:divBdr>
    </w:div>
    <w:div w:id="60838021">
      <w:bodyDiv w:val="1"/>
      <w:marLeft w:val="0"/>
      <w:marRight w:val="0"/>
      <w:marTop w:val="0"/>
      <w:marBottom w:val="0"/>
      <w:divBdr>
        <w:top w:val="none" w:sz="0" w:space="0" w:color="auto"/>
        <w:left w:val="none" w:sz="0" w:space="0" w:color="auto"/>
        <w:bottom w:val="none" w:sz="0" w:space="0" w:color="auto"/>
        <w:right w:val="none" w:sz="0" w:space="0" w:color="auto"/>
      </w:divBdr>
    </w:div>
    <w:div w:id="125854727">
      <w:bodyDiv w:val="1"/>
      <w:marLeft w:val="0"/>
      <w:marRight w:val="0"/>
      <w:marTop w:val="0"/>
      <w:marBottom w:val="0"/>
      <w:divBdr>
        <w:top w:val="none" w:sz="0" w:space="0" w:color="auto"/>
        <w:left w:val="none" w:sz="0" w:space="0" w:color="auto"/>
        <w:bottom w:val="none" w:sz="0" w:space="0" w:color="auto"/>
        <w:right w:val="none" w:sz="0" w:space="0" w:color="auto"/>
      </w:divBdr>
    </w:div>
    <w:div w:id="130098885">
      <w:bodyDiv w:val="1"/>
      <w:marLeft w:val="0"/>
      <w:marRight w:val="0"/>
      <w:marTop w:val="0"/>
      <w:marBottom w:val="0"/>
      <w:divBdr>
        <w:top w:val="none" w:sz="0" w:space="0" w:color="auto"/>
        <w:left w:val="none" w:sz="0" w:space="0" w:color="auto"/>
        <w:bottom w:val="none" w:sz="0" w:space="0" w:color="auto"/>
        <w:right w:val="none" w:sz="0" w:space="0" w:color="auto"/>
      </w:divBdr>
    </w:div>
    <w:div w:id="140464202">
      <w:bodyDiv w:val="1"/>
      <w:marLeft w:val="0"/>
      <w:marRight w:val="0"/>
      <w:marTop w:val="0"/>
      <w:marBottom w:val="0"/>
      <w:divBdr>
        <w:top w:val="none" w:sz="0" w:space="0" w:color="auto"/>
        <w:left w:val="none" w:sz="0" w:space="0" w:color="auto"/>
        <w:bottom w:val="none" w:sz="0" w:space="0" w:color="auto"/>
        <w:right w:val="none" w:sz="0" w:space="0" w:color="auto"/>
      </w:divBdr>
    </w:div>
    <w:div w:id="165362879">
      <w:bodyDiv w:val="1"/>
      <w:marLeft w:val="0"/>
      <w:marRight w:val="0"/>
      <w:marTop w:val="0"/>
      <w:marBottom w:val="0"/>
      <w:divBdr>
        <w:top w:val="none" w:sz="0" w:space="0" w:color="auto"/>
        <w:left w:val="none" w:sz="0" w:space="0" w:color="auto"/>
        <w:bottom w:val="none" w:sz="0" w:space="0" w:color="auto"/>
        <w:right w:val="none" w:sz="0" w:space="0" w:color="auto"/>
      </w:divBdr>
    </w:div>
    <w:div w:id="173737737">
      <w:bodyDiv w:val="1"/>
      <w:marLeft w:val="0"/>
      <w:marRight w:val="0"/>
      <w:marTop w:val="0"/>
      <w:marBottom w:val="0"/>
      <w:divBdr>
        <w:top w:val="none" w:sz="0" w:space="0" w:color="auto"/>
        <w:left w:val="none" w:sz="0" w:space="0" w:color="auto"/>
        <w:bottom w:val="none" w:sz="0" w:space="0" w:color="auto"/>
        <w:right w:val="none" w:sz="0" w:space="0" w:color="auto"/>
      </w:divBdr>
    </w:div>
    <w:div w:id="194975136">
      <w:bodyDiv w:val="1"/>
      <w:marLeft w:val="0"/>
      <w:marRight w:val="0"/>
      <w:marTop w:val="0"/>
      <w:marBottom w:val="0"/>
      <w:divBdr>
        <w:top w:val="none" w:sz="0" w:space="0" w:color="auto"/>
        <w:left w:val="none" w:sz="0" w:space="0" w:color="auto"/>
        <w:bottom w:val="none" w:sz="0" w:space="0" w:color="auto"/>
        <w:right w:val="none" w:sz="0" w:space="0" w:color="auto"/>
      </w:divBdr>
    </w:div>
    <w:div w:id="219245438">
      <w:bodyDiv w:val="1"/>
      <w:marLeft w:val="0"/>
      <w:marRight w:val="0"/>
      <w:marTop w:val="0"/>
      <w:marBottom w:val="0"/>
      <w:divBdr>
        <w:top w:val="none" w:sz="0" w:space="0" w:color="auto"/>
        <w:left w:val="none" w:sz="0" w:space="0" w:color="auto"/>
        <w:bottom w:val="none" w:sz="0" w:space="0" w:color="auto"/>
        <w:right w:val="none" w:sz="0" w:space="0" w:color="auto"/>
      </w:divBdr>
    </w:div>
    <w:div w:id="257637078">
      <w:bodyDiv w:val="1"/>
      <w:marLeft w:val="0"/>
      <w:marRight w:val="0"/>
      <w:marTop w:val="0"/>
      <w:marBottom w:val="0"/>
      <w:divBdr>
        <w:top w:val="none" w:sz="0" w:space="0" w:color="auto"/>
        <w:left w:val="none" w:sz="0" w:space="0" w:color="auto"/>
        <w:bottom w:val="none" w:sz="0" w:space="0" w:color="auto"/>
        <w:right w:val="none" w:sz="0" w:space="0" w:color="auto"/>
      </w:divBdr>
    </w:div>
    <w:div w:id="269091347">
      <w:bodyDiv w:val="1"/>
      <w:marLeft w:val="0"/>
      <w:marRight w:val="0"/>
      <w:marTop w:val="0"/>
      <w:marBottom w:val="0"/>
      <w:divBdr>
        <w:top w:val="none" w:sz="0" w:space="0" w:color="auto"/>
        <w:left w:val="none" w:sz="0" w:space="0" w:color="auto"/>
        <w:bottom w:val="none" w:sz="0" w:space="0" w:color="auto"/>
        <w:right w:val="none" w:sz="0" w:space="0" w:color="auto"/>
      </w:divBdr>
    </w:div>
    <w:div w:id="271717359">
      <w:bodyDiv w:val="1"/>
      <w:marLeft w:val="0"/>
      <w:marRight w:val="0"/>
      <w:marTop w:val="0"/>
      <w:marBottom w:val="0"/>
      <w:divBdr>
        <w:top w:val="none" w:sz="0" w:space="0" w:color="auto"/>
        <w:left w:val="none" w:sz="0" w:space="0" w:color="auto"/>
        <w:bottom w:val="none" w:sz="0" w:space="0" w:color="auto"/>
        <w:right w:val="none" w:sz="0" w:space="0" w:color="auto"/>
      </w:divBdr>
    </w:div>
    <w:div w:id="281037361">
      <w:bodyDiv w:val="1"/>
      <w:marLeft w:val="0"/>
      <w:marRight w:val="0"/>
      <w:marTop w:val="0"/>
      <w:marBottom w:val="0"/>
      <w:divBdr>
        <w:top w:val="none" w:sz="0" w:space="0" w:color="auto"/>
        <w:left w:val="none" w:sz="0" w:space="0" w:color="auto"/>
        <w:bottom w:val="none" w:sz="0" w:space="0" w:color="auto"/>
        <w:right w:val="none" w:sz="0" w:space="0" w:color="auto"/>
      </w:divBdr>
    </w:div>
    <w:div w:id="293026709">
      <w:bodyDiv w:val="1"/>
      <w:marLeft w:val="0"/>
      <w:marRight w:val="0"/>
      <w:marTop w:val="0"/>
      <w:marBottom w:val="0"/>
      <w:divBdr>
        <w:top w:val="none" w:sz="0" w:space="0" w:color="auto"/>
        <w:left w:val="none" w:sz="0" w:space="0" w:color="auto"/>
        <w:bottom w:val="none" w:sz="0" w:space="0" w:color="auto"/>
        <w:right w:val="none" w:sz="0" w:space="0" w:color="auto"/>
      </w:divBdr>
    </w:div>
    <w:div w:id="305352505">
      <w:bodyDiv w:val="1"/>
      <w:marLeft w:val="0"/>
      <w:marRight w:val="0"/>
      <w:marTop w:val="0"/>
      <w:marBottom w:val="0"/>
      <w:divBdr>
        <w:top w:val="none" w:sz="0" w:space="0" w:color="auto"/>
        <w:left w:val="none" w:sz="0" w:space="0" w:color="auto"/>
        <w:bottom w:val="none" w:sz="0" w:space="0" w:color="auto"/>
        <w:right w:val="none" w:sz="0" w:space="0" w:color="auto"/>
      </w:divBdr>
    </w:div>
    <w:div w:id="312949142">
      <w:bodyDiv w:val="1"/>
      <w:marLeft w:val="0"/>
      <w:marRight w:val="0"/>
      <w:marTop w:val="0"/>
      <w:marBottom w:val="0"/>
      <w:divBdr>
        <w:top w:val="none" w:sz="0" w:space="0" w:color="auto"/>
        <w:left w:val="none" w:sz="0" w:space="0" w:color="auto"/>
        <w:bottom w:val="none" w:sz="0" w:space="0" w:color="auto"/>
        <w:right w:val="none" w:sz="0" w:space="0" w:color="auto"/>
      </w:divBdr>
    </w:div>
    <w:div w:id="317266251">
      <w:bodyDiv w:val="1"/>
      <w:marLeft w:val="0"/>
      <w:marRight w:val="0"/>
      <w:marTop w:val="0"/>
      <w:marBottom w:val="0"/>
      <w:divBdr>
        <w:top w:val="none" w:sz="0" w:space="0" w:color="auto"/>
        <w:left w:val="none" w:sz="0" w:space="0" w:color="auto"/>
        <w:bottom w:val="none" w:sz="0" w:space="0" w:color="auto"/>
        <w:right w:val="none" w:sz="0" w:space="0" w:color="auto"/>
      </w:divBdr>
    </w:div>
    <w:div w:id="455954529">
      <w:bodyDiv w:val="1"/>
      <w:marLeft w:val="0"/>
      <w:marRight w:val="0"/>
      <w:marTop w:val="0"/>
      <w:marBottom w:val="0"/>
      <w:divBdr>
        <w:top w:val="none" w:sz="0" w:space="0" w:color="auto"/>
        <w:left w:val="none" w:sz="0" w:space="0" w:color="auto"/>
        <w:bottom w:val="none" w:sz="0" w:space="0" w:color="auto"/>
        <w:right w:val="none" w:sz="0" w:space="0" w:color="auto"/>
      </w:divBdr>
    </w:div>
    <w:div w:id="466558394">
      <w:bodyDiv w:val="1"/>
      <w:marLeft w:val="0"/>
      <w:marRight w:val="0"/>
      <w:marTop w:val="0"/>
      <w:marBottom w:val="0"/>
      <w:divBdr>
        <w:top w:val="none" w:sz="0" w:space="0" w:color="auto"/>
        <w:left w:val="none" w:sz="0" w:space="0" w:color="auto"/>
        <w:bottom w:val="none" w:sz="0" w:space="0" w:color="auto"/>
        <w:right w:val="none" w:sz="0" w:space="0" w:color="auto"/>
      </w:divBdr>
    </w:div>
    <w:div w:id="467747480">
      <w:bodyDiv w:val="1"/>
      <w:marLeft w:val="0"/>
      <w:marRight w:val="0"/>
      <w:marTop w:val="0"/>
      <w:marBottom w:val="0"/>
      <w:divBdr>
        <w:top w:val="none" w:sz="0" w:space="0" w:color="auto"/>
        <w:left w:val="none" w:sz="0" w:space="0" w:color="auto"/>
        <w:bottom w:val="none" w:sz="0" w:space="0" w:color="auto"/>
        <w:right w:val="none" w:sz="0" w:space="0" w:color="auto"/>
      </w:divBdr>
    </w:div>
    <w:div w:id="469711757">
      <w:bodyDiv w:val="1"/>
      <w:marLeft w:val="0"/>
      <w:marRight w:val="0"/>
      <w:marTop w:val="0"/>
      <w:marBottom w:val="0"/>
      <w:divBdr>
        <w:top w:val="none" w:sz="0" w:space="0" w:color="auto"/>
        <w:left w:val="none" w:sz="0" w:space="0" w:color="auto"/>
        <w:bottom w:val="none" w:sz="0" w:space="0" w:color="auto"/>
        <w:right w:val="none" w:sz="0" w:space="0" w:color="auto"/>
      </w:divBdr>
    </w:div>
    <w:div w:id="517737362">
      <w:bodyDiv w:val="1"/>
      <w:marLeft w:val="0"/>
      <w:marRight w:val="0"/>
      <w:marTop w:val="0"/>
      <w:marBottom w:val="0"/>
      <w:divBdr>
        <w:top w:val="none" w:sz="0" w:space="0" w:color="auto"/>
        <w:left w:val="none" w:sz="0" w:space="0" w:color="auto"/>
        <w:bottom w:val="none" w:sz="0" w:space="0" w:color="auto"/>
        <w:right w:val="none" w:sz="0" w:space="0" w:color="auto"/>
      </w:divBdr>
    </w:div>
    <w:div w:id="527913188">
      <w:bodyDiv w:val="1"/>
      <w:marLeft w:val="0"/>
      <w:marRight w:val="0"/>
      <w:marTop w:val="0"/>
      <w:marBottom w:val="0"/>
      <w:divBdr>
        <w:top w:val="none" w:sz="0" w:space="0" w:color="auto"/>
        <w:left w:val="none" w:sz="0" w:space="0" w:color="auto"/>
        <w:bottom w:val="none" w:sz="0" w:space="0" w:color="auto"/>
        <w:right w:val="none" w:sz="0" w:space="0" w:color="auto"/>
      </w:divBdr>
    </w:div>
    <w:div w:id="531698611">
      <w:bodyDiv w:val="1"/>
      <w:marLeft w:val="0"/>
      <w:marRight w:val="0"/>
      <w:marTop w:val="0"/>
      <w:marBottom w:val="0"/>
      <w:divBdr>
        <w:top w:val="none" w:sz="0" w:space="0" w:color="auto"/>
        <w:left w:val="none" w:sz="0" w:space="0" w:color="auto"/>
        <w:bottom w:val="none" w:sz="0" w:space="0" w:color="auto"/>
        <w:right w:val="none" w:sz="0" w:space="0" w:color="auto"/>
      </w:divBdr>
    </w:div>
    <w:div w:id="578751484">
      <w:bodyDiv w:val="1"/>
      <w:marLeft w:val="0"/>
      <w:marRight w:val="0"/>
      <w:marTop w:val="0"/>
      <w:marBottom w:val="0"/>
      <w:divBdr>
        <w:top w:val="none" w:sz="0" w:space="0" w:color="auto"/>
        <w:left w:val="none" w:sz="0" w:space="0" w:color="auto"/>
        <w:bottom w:val="none" w:sz="0" w:space="0" w:color="auto"/>
        <w:right w:val="none" w:sz="0" w:space="0" w:color="auto"/>
      </w:divBdr>
    </w:div>
    <w:div w:id="592786306">
      <w:bodyDiv w:val="1"/>
      <w:marLeft w:val="0"/>
      <w:marRight w:val="0"/>
      <w:marTop w:val="0"/>
      <w:marBottom w:val="0"/>
      <w:divBdr>
        <w:top w:val="none" w:sz="0" w:space="0" w:color="auto"/>
        <w:left w:val="none" w:sz="0" w:space="0" w:color="auto"/>
        <w:bottom w:val="none" w:sz="0" w:space="0" w:color="auto"/>
        <w:right w:val="none" w:sz="0" w:space="0" w:color="auto"/>
      </w:divBdr>
    </w:div>
    <w:div w:id="617031261">
      <w:bodyDiv w:val="1"/>
      <w:marLeft w:val="0"/>
      <w:marRight w:val="0"/>
      <w:marTop w:val="0"/>
      <w:marBottom w:val="0"/>
      <w:divBdr>
        <w:top w:val="none" w:sz="0" w:space="0" w:color="auto"/>
        <w:left w:val="none" w:sz="0" w:space="0" w:color="auto"/>
        <w:bottom w:val="none" w:sz="0" w:space="0" w:color="auto"/>
        <w:right w:val="none" w:sz="0" w:space="0" w:color="auto"/>
      </w:divBdr>
    </w:div>
    <w:div w:id="633562834">
      <w:bodyDiv w:val="1"/>
      <w:marLeft w:val="0"/>
      <w:marRight w:val="0"/>
      <w:marTop w:val="0"/>
      <w:marBottom w:val="0"/>
      <w:divBdr>
        <w:top w:val="none" w:sz="0" w:space="0" w:color="auto"/>
        <w:left w:val="none" w:sz="0" w:space="0" w:color="auto"/>
        <w:bottom w:val="none" w:sz="0" w:space="0" w:color="auto"/>
        <w:right w:val="none" w:sz="0" w:space="0" w:color="auto"/>
      </w:divBdr>
    </w:div>
    <w:div w:id="699161015">
      <w:bodyDiv w:val="1"/>
      <w:marLeft w:val="0"/>
      <w:marRight w:val="0"/>
      <w:marTop w:val="0"/>
      <w:marBottom w:val="0"/>
      <w:divBdr>
        <w:top w:val="none" w:sz="0" w:space="0" w:color="auto"/>
        <w:left w:val="none" w:sz="0" w:space="0" w:color="auto"/>
        <w:bottom w:val="none" w:sz="0" w:space="0" w:color="auto"/>
        <w:right w:val="none" w:sz="0" w:space="0" w:color="auto"/>
      </w:divBdr>
    </w:div>
    <w:div w:id="715474103">
      <w:bodyDiv w:val="1"/>
      <w:marLeft w:val="0"/>
      <w:marRight w:val="0"/>
      <w:marTop w:val="0"/>
      <w:marBottom w:val="0"/>
      <w:divBdr>
        <w:top w:val="none" w:sz="0" w:space="0" w:color="auto"/>
        <w:left w:val="none" w:sz="0" w:space="0" w:color="auto"/>
        <w:bottom w:val="none" w:sz="0" w:space="0" w:color="auto"/>
        <w:right w:val="none" w:sz="0" w:space="0" w:color="auto"/>
      </w:divBdr>
    </w:div>
    <w:div w:id="760028750">
      <w:bodyDiv w:val="1"/>
      <w:marLeft w:val="0"/>
      <w:marRight w:val="0"/>
      <w:marTop w:val="0"/>
      <w:marBottom w:val="0"/>
      <w:divBdr>
        <w:top w:val="none" w:sz="0" w:space="0" w:color="auto"/>
        <w:left w:val="none" w:sz="0" w:space="0" w:color="auto"/>
        <w:bottom w:val="none" w:sz="0" w:space="0" w:color="auto"/>
        <w:right w:val="none" w:sz="0" w:space="0" w:color="auto"/>
      </w:divBdr>
    </w:div>
    <w:div w:id="761030948">
      <w:bodyDiv w:val="1"/>
      <w:marLeft w:val="0"/>
      <w:marRight w:val="0"/>
      <w:marTop w:val="0"/>
      <w:marBottom w:val="0"/>
      <w:divBdr>
        <w:top w:val="none" w:sz="0" w:space="0" w:color="auto"/>
        <w:left w:val="none" w:sz="0" w:space="0" w:color="auto"/>
        <w:bottom w:val="none" w:sz="0" w:space="0" w:color="auto"/>
        <w:right w:val="none" w:sz="0" w:space="0" w:color="auto"/>
      </w:divBdr>
    </w:div>
    <w:div w:id="796027844">
      <w:bodyDiv w:val="1"/>
      <w:marLeft w:val="0"/>
      <w:marRight w:val="0"/>
      <w:marTop w:val="0"/>
      <w:marBottom w:val="0"/>
      <w:divBdr>
        <w:top w:val="none" w:sz="0" w:space="0" w:color="auto"/>
        <w:left w:val="none" w:sz="0" w:space="0" w:color="auto"/>
        <w:bottom w:val="none" w:sz="0" w:space="0" w:color="auto"/>
        <w:right w:val="none" w:sz="0" w:space="0" w:color="auto"/>
      </w:divBdr>
    </w:div>
    <w:div w:id="810632282">
      <w:bodyDiv w:val="1"/>
      <w:marLeft w:val="0"/>
      <w:marRight w:val="0"/>
      <w:marTop w:val="0"/>
      <w:marBottom w:val="0"/>
      <w:divBdr>
        <w:top w:val="none" w:sz="0" w:space="0" w:color="auto"/>
        <w:left w:val="none" w:sz="0" w:space="0" w:color="auto"/>
        <w:bottom w:val="none" w:sz="0" w:space="0" w:color="auto"/>
        <w:right w:val="none" w:sz="0" w:space="0" w:color="auto"/>
      </w:divBdr>
    </w:div>
    <w:div w:id="812527362">
      <w:bodyDiv w:val="1"/>
      <w:marLeft w:val="0"/>
      <w:marRight w:val="0"/>
      <w:marTop w:val="0"/>
      <w:marBottom w:val="0"/>
      <w:divBdr>
        <w:top w:val="none" w:sz="0" w:space="0" w:color="auto"/>
        <w:left w:val="none" w:sz="0" w:space="0" w:color="auto"/>
        <w:bottom w:val="none" w:sz="0" w:space="0" w:color="auto"/>
        <w:right w:val="none" w:sz="0" w:space="0" w:color="auto"/>
      </w:divBdr>
    </w:div>
    <w:div w:id="814832954">
      <w:bodyDiv w:val="1"/>
      <w:marLeft w:val="0"/>
      <w:marRight w:val="0"/>
      <w:marTop w:val="0"/>
      <w:marBottom w:val="0"/>
      <w:divBdr>
        <w:top w:val="none" w:sz="0" w:space="0" w:color="auto"/>
        <w:left w:val="none" w:sz="0" w:space="0" w:color="auto"/>
        <w:bottom w:val="none" w:sz="0" w:space="0" w:color="auto"/>
        <w:right w:val="none" w:sz="0" w:space="0" w:color="auto"/>
      </w:divBdr>
    </w:div>
    <w:div w:id="831021024">
      <w:bodyDiv w:val="1"/>
      <w:marLeft w:val="0"/>
      <w:marRight w:val="0"/>
      <w:marTop w:val="0"/>
      <w:marBottom w:val="0"/>
      <w:divBdr>
        <w:top w:val="none" w:sz="0" w:space="0" w:color="auto"/>
        <w:left w:val="none" w:sz="0" w:space="0" w:color="auto"/>
        <w:bottom w:val="none" w:sz="0" w:space="0" w:color="auto"/>
        <w:right w:val="none" w:sz="0" w:space="0" w:color="auto"/>
      </w:divBdr>
    </w:div>
    <w:div w:id="833954778">
      <w:bodyDiv w:val="1"/>
      <w:marLeft w:val="0"/>
      <w:marRight w:val="0"/>
      <w:marTop w:val="0"/>
      <w:marBottom w:val="0"/>
      <w:divBdr>
        <w:top w:val="none" w:sz="0" w:space="0" w:color="auto"/>
        <w:left w:val="none" w:sz="0" w:space="0" w:color="auto"/>
        <w:bottom w:val="none" w:sz="0" w:space="0" w:color="auto"/>
        <w:right w:val="none" w:sz="0" w:space="0" w:color="auto"/>
      </w:divBdr>
    </w:div>
    <w:div w:id="837967112">
      <w:bodyDiv w:val="1"/>
      <w:marLeft w:val="0"/>
      <w:marRight w:val="0"/>
      <w:marTop w:val="0"/>
      <w:marBottom w:val="0"/>
      <w:divBdr>
        <w:top w:val="none" w:sz="0" w:space="0" w:color="auto"/>
        <w:left w:val="none" w:sz="0" w:space="0" w:color="auto"/>
        <w:bottom w:val="none" w:sz="0" w:space="0" w:color="auto"/>
        <w:right w:val="none" w:sz="0" w:space="0" w:color="auto"/>
      </w:divBdr>
    </w:div>
    <w:div w:id="859315009">
      <w:bodyDiv w:val="1"/>
      <w:marLeft w:val="0"/>
      <w:marRight w:val="0"/>
      <w:marTop w:val="0"/>
      <w:marBottom w:val="0"/>
      <w:divBdr>
        <w:top w:val="none" w:sz="0" w:space="0" w:color="auto"/>
        <w:left w:val="none" w:sz="0" w:space="0" w:color="auto"/>
        <w:bottom w:val="none" w:sz="0" w:space="0" w:color="auto"/>
        <w:right w:val="none" w:sz="0" w:space="0" w:color="auto"/>
      </w:divBdr>
    </w:div>
    <w:div w:id="872960437">
      <w:bodyDiv w:val="1"/>
      <w:marLeft w:val="0"/>
      <w:marRight w:val="0"/>
      <w:marTop w:val="0"/>
      <w:marBottom w:val="0"/>
      <w:divBdr>
        <w:top w:val="none" w:sz="0" w:space="0" w:color="auto"/>
        <w:left w:val="none" w:sz="0" w:space="0" w:color="auto"/>
        <w:bottom w:val="none" w:sz="0" w:space="0" w:color="auto"/>
        <w:right w:val="none" w:sz="0" w:space="0" w:color="auto"/>
      </w:divBdr>
    </w:div>
    <w:div w:id="903682167">
      <w:bodyDiv w:val="1"/>
      <w:marLeft w:val="0"/>
      <w:marRight w:val="0"/>
      <w:marTop w:val="0"/>
      <w:marBottom w:val="0"/>
      <w:divBdr>
        <w:top w:val="none" w:sz="0" w:space="0" w:color="auto"/>
        <w:left w:val="none" w:sz="0" w:space="0" w:color="auto"/>
        <w:bottom w:val="none" w:sz="0" w:space="0" w:color="auto"/>
        <w:right w:val="none" w:sz="0" w:space="0" w:color="auto"/>
      </w:divBdr>
    </w:div>
    <w:div w:id="994643466">
      <w:bodyDiv w:val="1"/>
      <w:marLeft w:val="0"/>
      <w:marRight w:val="0"/>
      <w:marTop w:val="0"/>
      <w:marBottom w:val="0"/>
      <w:divBdr>
        <w:top w:val="none" w:sz="0" w:space="0" w:color="auto"/>
        <w:left w:val="none" w:sz="0" w:space="0" w:color="auto"/>
        <w:bottom w:val="none" w:sz="0" w:space="0" w:color="auto"/>
        <w:right w:val="none" w:sz="0" w:space="0" w:color="auto"/>
      </w:divBdr>
    </w:div>
    <w:div w:id="1019552953">
      <w:bodyDiv w:val="1"/>
      <w:marLeft w:val="0"/>
      <w:marRight w:val="0"/>
      <w:marTop w:val="0"/>
      <w:marBottom w:val="0"/>
      <w:divBdr>
        <w:top w:val="none" w:sz="0" w:space="0" w:color="auto"/>
        <w:left w:val="none" w:sz="0" w:space="0" w:color="auto"/>
        <w:bottom w:val="none" w:sz="0" w:space="0" w:color="auto"/>
        <w:right w:val="none" w:sz="0" w:space="0" w:color="auto"/>
      </w:divBdr>
    </w:div>
    <w:div w:id="1028066049">
      <w:bodyDiv w:val="1"/>
      <w:marLeft w:val="0"/>
      <w:marRight w:val="0"/>
      <w:marTop w:val="0"/>
      <w:marBottom w:val="0"/>
      <w:divBdr>
        <w:top w:val="none" w:sz="0" w:space="0" w:color="auto"/>
        <w:left w:val="none" w:sz="0" w:space="0" w:color="auto"/>
        <w:bottom w:val="none" w:sz="0" w:space="0" w:color="auto"/>
        <w:right w:val="none" w:sz="0" w:space="0" w:color="auto"/>
      </w:divBdr>
    </w:div>
    <w:div w:id="1114209937">
      <w:bodyDiv w:val="1"/>
      <w:marLeft w:val="0"/>
      <w:marRight w:val="0"/>
      <w:marTop w:val="0"/>
      <w:marBottom w:val="0"/>
      <w:divBdr>
        <w:top w:val="none" w:sz="0" w:space="0" w:color="auto"/>
        <w:left w:val="none" w:sz="0" w:space="0" w:color="auto"/>
        <w:bottom w:val="none" w:sz="0" w:space="0" w:color="auto"/>
        <w:right w:val="none" w:sz="0" w:space="0" w:color="auto"/>
      </w:divBdr>
    </w:div>
    <w:div w:id="1138182701">
      <w:bodyDiv w:val="1"/>
      <w:marLeft w:val="0"/>
      <w:marRight w:val="0"/>
      <w:marTop w:val="0"/>
      <w:marBottom w:val="0"/>
      <w:divBdr>
        <w:top w:val="none" w:sz="0" w:space="0" w:color="auto"/>
        <w:left w:val="none" w:sz="0" w:space="0" w:color="auto"/>
        <w:bottom w:val="none" w:sz="0" w:space="0" w:color="auto"/>
        <w:right w:val="none" w:sz="0" w:space="0" w:color="auto"/>
      </w:divBdr>
    </w:div>
    <w:div w:id="1139802553">
      <w:bodyDiv w:val="1"/>
      <w:marLeft w:val="0"/>
      <w:marRight w:val="0"/>
      <w:marTop w:val="0"/>
      <w:marBottom w:val="0"/>
      <w:divBdr>
        <w:top w:val="none" w:sz="0" w:space="0" w:color="auto"/>
        <w:left w:val="none" w:sz="0" w:space="0" w:color="auto"/>
        <w:bottom w:val="none" w:sz="0" w:space="0" w:color="auto"/>
        <w:right w:val="none" w:sz="0" w:space="0" w:color="auto"/>
      </w:divBdr>
    </w:div>
    <w:div w:id="1143963261">
      <w:bodyDiv w:val="1"/>
      <w:marLeft w:val="0"/>
      <w:marRight w:val="0"/>
      <w:marTop w:val="0"/>
      <w:marBottom w:val="0"/>
      <w:divBdr>
        <w:top w:val="none" w:sz="0" w:space="0" w:color="auto"/>
        <w:left w:val="none" w:sz="0" w:space="0" w:color="auto"/>
        <w:bottom w:val="none" w:sz="0" w:space="0" w:color="auto"/>
        <w:right w:val="none" w:sz="0" w:space="0" w:color="auto"/>
      </w:divBdr>
    </w:div>
    <w:div w:id="1175654456">
      <w:bodyDiv w:val="1"/>
      <w:marLeft w:val="0"/>
      <w:marRight w:val="0"/>
      <w:marTop w:val="0"/>
      <w:marBottom w:val="0"/>
      <w:divBdr>
        <w:top w:val="none" w:sz="0" w:space="0" w:color="auto"/>
        <w:left w:val="none" w:sz="0" w:space="0" w:color="auto"/>
        <w:bottom w:val="none" w:sz="0" w:space="0" w:color="auto"/>
        <w:right w:val="none" w:sz="0" w:space="0" w:color="auto"/>
      </w:divBdr>
    </w:div>
    <w:div w:id="1209729650">
      <w:bodyDiv w:val="1"/>
      <w:marLeft w:val="0"/>
      <w:marRight w:val="0"/>
      <w:marTop w:val="0"/>
      <w:marBottom w:val="0"/>
      <w:divBdr>
        <w:top w:val="none" w:sz="0" w:space="0" w:color="auto"/>
        <w:left w:val="none" w:sz="0" w:space="0" w:color="auto"/>
        <w:bottom w:val="none" w:sz="0" w:space="0" w:color="auto"/>
        <w:right w:val="none" w:sz="0" w:space="0" w:color="auto"/>
      </w:divBdr>
    </w:div>
    <w:div w:id="1212426205">
      <w:bodyDiv w:val="1"/>
      <w:marLeft w:val="0"/>
      <w:marRight w:val="0"/>
      <w:marTop w:val="0"/>
      <w:marBottom w:val="0"/>
      <w:divBdr>
        <w:top w:val="none" w:sz="0" w:space="0" w:color="auto"/>
        <w:left w:val="none" w:sz="0" w:space="0" w:color="auto"/>
        <w:bottom w:val="none" w:sz="0" w:space="0" w:color="auto"/>
        <w:right w:val="none" w:sz="0" w:space="0" w:color="auto"/>
      </w:divBdr>
    </w:div>
    <w:div w:id="1217397289">
      <w:bodyDiv w:val="1"/>
      <w:marLeft w:val="0"/>
      <w:marRight w:val="0"/>
      <w:marTop w:val="0"/>
      <w:marBottom w:val="0"/>
      <w:divBdr>
        <w:top w:val="none" w:sz="0" w:space="0" w:color="auto"/>
        <w:left w:val="none" w:sz="0" w:space="0" w:color="auto"/>
        <w:bottom w:val="none" w:sz="0" w:space="0" w:color="auto"/>
        <w:right w:val="none" w:sz="0" w:space="0" w:color="auto"/>
      </w:divBdr>
    </w:div>
    <w:div w:id="1225140801">
      <w:bodyDiv w:val="1"/>
      <w:marLeft w:val="0"/>
      <w:marRight w:val="0"/>
      <w:marTop w:val="0"/>
      <w:marBottom w:val="0"/>
      <w:divBdr>
        <w:top w:val="none" w:sz="0" w:space="0" w:color="auto"/>
        <w:left w:val="none" w:sz="0" w:space="0" w:color="auto"/>
        <w:bottom w:val="none" w:sz="0" w:space="0" w:color="auto"/>
        <w:right w:val="none" w:sz="0" w:space="0" w:color="auto"/>
      </w:divBdr>
    </w:div>
    <w:div w:id="1228300895">
      <w:bodyDiv w:val="1"/>
      <w:marLeft w:val="0"/>
      <w:marRight w:val="0"/>
      <w:marTop w:val="0"/>
      <w:marBottom w:val="0"/>
      <w:divBdr>
        <w:top w:val="none" w:sz="0" w:space="0" w:color="auto"/>
        <w:left w:val="none" w:sz="0" w:space="0" w:color="auto"/>
        <w:bottom w:val="none" w:sz="0" w:space="0" w:color="auto"/>
        <w:right w:val="none" w:sz="0" w:space="0" w:color="auto"/>
      </w:divBdr>
    </w:div>
    <w:div w:id="1323309758">
      <w:bodyDiv w:val="1"/>
      <w:marLeft w:val="0"/>
      <w:marRight w:val="0"/>
      <w:marTop w:val="0"/>
      <w:marBottom w:val="0"/>
      <w:divBdr>
        <w:top w:val="none" w:sz="0" w:space="0" w:color="auto"/>
        <w:left w:val="none" w:sz="0" w:space="0" w:color="auto"/>
        <w:bottom w:val="none" w:sz="0" w:space="0" w:color="auto"/>
        <w:right w:val="none" w:sz="0" w:space="0" w:color="auto"/>
      </w:divBdr>
    </w:div>
    <w:div w:id="1350571028">
      <w:bodyDiv w:val="1"/>
      <w:marLeft w:val="0"/>
      <w:marRight w:val="0"/>
      <w:marTop w:val="0"/>
      <w:marBottom w:val="0"/>
      <w:divBdr>
        <w:top w:val="none" w:sz="0" w:space="0" w:color="auto"/>
        <w:left w:val="none" w:sz="0" w:space="0" w:color="auto"/>
        <w:bottom w:val="none" w:sz="0" w:space="0" w:color="auto"/>
        <w:right w:val="none" w:sz="0" w:space="0" w:color="auto"/>
      </w:divBdr>
    </w:div>
    <w:div w:id="1376195027">
      <w:bodyDiv w:val="1"/>
      <w:marLeft w:val="0"/>
      <w:marRight w:val="0"/>
      <w:marTop w:val="0"/>
      <w:marBottom w:val="0"/>
      <w:divBdr>
        <w:top w:val="none" w:sz="0" w:space="0" w:color="auto"/>
        <w:left w:val="none" w:sz="0" w:space="0" w:color="auto"/>
        <w:bottom w:val="none" w:sz="0" w:space="0" w:color="auto"/>
        <w:right w:val="none" w:sz="0" w:space="0" w:color="auto"/>
      </w:divBdr>
    </w:div>
    <w:div w:id="1387298730">
      <w:bodyDiv w:val="1"/>
      <w:marLeft w:val="0"/>
      <w:marRight w:val="0"/>
      <w:marTop w:val="0"/>
      <w:marBottom w:val="0"/>
      <w:divBdr>
        <w:top w:val="none" w:sz="0" w:space="0" w:color="auto"/>
        <w:left w:val="none" w:sz="0" w:space="0" w:color="auto"/>
        <w:bottom w:val="none" w:sz="0" w:space="0" w:color="auto"/>
        <w:right w:val="none" w:sz="0" w:space="0" w:color="auto"/>
      </w:divBdr>
    </w:div>
    <w:div w:id="1467233781">
      <w:bodyDiv w:val="1"/>
      <w:marLeft w:val="0"/>
      <w:marRight w:val="0"/>
      <w:marTop w:val="0"/>
      <w:marBottom w:val="0"/>
      <w:divBdr>
        <w:top w:val="none" w:sz="0" w:space="0" w:color="auto"/>
        <w:left w:val="none" w:sz="0" w:space="0" w:color="auto"/>
        <w:bottom w:val="none" w:sz="0" w:space="0" w:color="auto"/>
        <w:right w:val="none" w:sz="0" w:space="0" w:color="auto"/>
      </w:divBdr>
    </w:div>
    <w:div w:id="1504510980">
      <w:bodyDiv w:val="1"/>
      <w:marLeft w:val="0"/>
      <w:marRight w:val="0"/>
      <w:marTop w:val="0"/>
      <w:marBottom w:val="0"/>
      <w:divBdr>
        <w:top w:val="none" w:sz="0" w:space="0" w:color="auto"/>
        <w:left w:val="none" w:sz="0" w:space="0" w:color="auto"/>
        <w:bottom w:val="none" w:sz="0" w:space="0" w:color="auto"/>
        <w:right w:val="none" w:sz="0" w:space="0" w:color="auto"/>
      </w:divBdr>
    </w:div>
    <w:div w:id="1513497113">
      <w:bodyDiv w:val="1"/>
      <w:marLeft w:val="0"/>
      <w:marRight w:val="0"/>
      <w:marTop w:val="0"/>
      <w:marBottom w:val="0"/>
      <w:divBdr>
        <w:top w:val="none" w:sz="0" w:space="0" w:color="auto"/>
        <w:left w:val="none" w:sz="0" w:space="0" w:color="auto"/>
        <w:bottom w:val="none" w:sz="0" w:space="0" w:color="auto"/>
        <w:right w:val="none" w:sz="0" w:space="0" w:color="auto"/>
      </w:divBdr>
    </w:div>
    <w:div w:id="1548905847">
      <w:bodyDiv w:val="1"/>
      <w:marLeft w:val="0"/>
      <w:marRight w:val="0"/>
      <w:marTop w:val="0"/>
      <w:marBottom w:val="0"/>
      <w:divBdr>
        <w:top w:val="none" w:sz="0" w:space="0" w:color="auto"/>
        <w:left w:val="none" w:sz="0" w:space="0" w:color="auto"/>
        <w:bottom w:val="none" w:sz="0" w:space="0" w:color="auto"/>
        <w:right w:val="none" w:sz="0" w:space="0" w:color="auto"/>
      </w:divBdr>
    </w:div>
    <w:div w:id="1569724581">
      <w:bodyDiv w:val="1"/>
      <w:marLeft w:val="0"/>
      <w:marRight w:val="0"/>
      <w:marTop w:val="0"/>
      <w:marBottom w:val="0"/>
      <w:divBdr>
        <w:top w:val="none" w:sz="0" w:space="0" w:color="auto"/>
        <w:left w:val="none" w:sz="0" w:space="0" w:color="auto"/>
        <w:bottom w:val="none" w:sz="0" w:space="0" w:color="auto"/>
        <w:right w:val="none" w:sz="0" w:space="0" w:color="auto"/>
      </w:divBdr>
    </w:div>
    <w:div w:id="1572619877">
      <w:bodyDiv w:val="1"/>
      <w:marLeft w:val="0"/>
      <w:marRight w:val="0"/>
      <w:marTop w:val="0"/>
      <w:marBottom w:val="0"/>
      <w:divBdr>
        <w:top w:val="none" w:sz="0" w:space="0" w:color="auto"/>
        <w:left w:val="none" w:sz="0" w:space="0" w:color="auto"/>
        <w:bottom w:val="none" w:sz="0" w:space="0" w:color="auto"/>
        <w:right w:val="none" w:sz="0" w:space="0" w:color="auto"/>
      </w:divBdr>
    </w:div>
    <w:div w:id="1580553523">
      <w:bodyDiv w:val="1"/>
      <w:marLeft w:val="0"/>
      <w:marRight w:val="0"/>
      <w:marTop w:val="0"/>
      <w:marBottom w:val="0"/>
      <w:divBdr>
        <w:top w:val="none" w:sz="0" w:space="0" w:color="auto"/>
        <w:left w:val="none" w:sz="0" w:space="0" w:color="auto"/>
        <w:bottom w:val="none" w:sz="0" w:space="0" w:color="auto"/>
        <w:right w:val="none" w:sz="0" w:space="0" w:color="auto"/>
      </w:divBdr>
    </w:div>
    <w:div w:id="1587691775">
      <w:bodyDiv w:val="1"/>
      <w:marLeft w:val="0"/>
      <w:marRight w:val="0"/>
      <w:marTop w:val="0"/>
      <w:marBottom w:val="0"/>
      <w:divBdr>
        <w:top w:val="none" w:sz="0" w:space="0" w:color="auto"/>
        <w:left w:val="none" w:sz="0" w:space="0" w:color="auto"/>
        <w:bottom w:val="none" w:sz="0" w:space="0" w:color="auto"/>
        <w:right w:val="none" w:sz="0" w:space="0" w:color="auto"/>
      </w:divBdr>
    </w:div>
    <w:div w:id="1601598279">
      <w:bodyDiv w:val="1"/>
      <w:marLeft w:val="0"/>
      <w:marRight w:val="0"/>
      <w:marTop w:val="0"/>
      <w:marBottom w:val="0"/>
      <w:divBdr>
        <w:top w:val="none" w:sz="0" w:space="0" w:color="auto"/>
        <w:left w:val="none" w:sz="0" w:space="0" w:color="auto"/>
        <w:bottom w:val="none" w:sz="0" w:space="0" w:color="auto"/>
        <w:right w:val="none" w:sz="0" w:space="0" w:color="auto"/>
      </w:divBdr>
    </w:div>
    <w:div w:id="1602760621">
      <w:bodyDiv w:val="1"/>
      <w:marLeft w:val="0"/>
      <w:marRight w:val="0"/>
      <w:marTop w:val="0"/>
      <w:marBottom w:val="0"/>
      <w:divBdr>
        <w:top w:val="none" w:sz="0" w:space="0" w:color="auto"/>
        <w:left w:val="none" w:sz="0" w:space="0" w:color="auto"/>
        <w:bottom w:val="none" w:sz="0" w:space="0" w:color="auto"/>
        <w:right w:val="none" w:sz="0" w:space="0" w:color="auto"/>
      </w:divBdr>
    </w:div>
    <w:div w:id="1634945563">
      <w:bodyDiv w:val="1"/>
      <w:marLeft w:val="0"/>
      <w:marRight w:val="0"/>
      <w:marTop w:val="0"/>
      <w:marBottom w:val="0"/>
      <w:divBdr>
        <w:top w:val="none" w:sz="0" w:space="0" w:color="auto"/>
        <w:left w:val="none" w:sz="0" w:space="0" w:color="auto"/>
        <w:bottom w:val="none" w:sz="0" w:space="0" w:color="auto"/>
        <w:right w:val="none" w:sz="0" w:space="0" w:color="auto"/>
      </w:divBdr>
    </w:div>
    <w:div w:id="1678271519">
      <w:bodyDiv w:val="1"/>
      <w:marLeft w:val="0"/>
      <w:marRight w:val="0"/>
      <w:marTop w:val="0"/>
      <w:marBottom w:val="0"/>
      <w:divBdr>
        <w:top w:val="none" w:sz="0" w:space="0" w:color="auto"/>
        <w:left w:val="none" w:sz="0" w:space="0" w:color="auto"/>
        <w:bottom w:val="none" w:sz="0" w:space="0" w:color="auto"/>
        <w:right w:val="none" w:sz="0" w:space="0" w:color="auto"/>
      </w:divBdr>
    </w:div>
    <w:div w:id="1693455794">
      <w:bodyDiv w:val="1"/>
      <w:marLeft w:val="0"/>
      <w:marRight w:val="0"/>
      <w:marTop w:val="0"/>
      <w:marBottom w:val="0"/>
      <w:divBdr>
        <w:top w:val="none" w:sz="0" w:space="0" w:color="auto"/>
        <w:left w:val="none" w:sz="0" w:space="0" w:color="auto"/>
        <w:bottom w:val="none" w:sz="0" w:space="0" w:color="auto"/>
        <w:right w:val="none" w:sz="0" w:space="0" w:color="auto"/>
      </w:divBdr>
    </w:div>
    <w:div w:id="1705595552">
      <w:bodyDiv w:val="1"/>
      <w:marLeft w:val="0"/>
      <w:marRight w:val="0"/>
      <w:marTop w:val="0"/>
      <w:marBottom w:val="0"/>
      <w:divBdr>
        <w:top w:val="none" w:sz="0" w:space="0" w:color="auto"/>
        <w:left w:val="none" w:sz="0" w:space="0" w:color="auto"/>
        <w:bottom w:val="none" w:sz="0" w:space="0" w:color="auto"/>
        <w:right w:val="none" w:sz="0" w:space="0" w:color="auto"/>
      </w:divBdr>
    </w:div>
    <w:div w:id="1729066859">
      <w:bodyDiv w:val="1"/>
      <w:marLeft w:val="0"/>
      <w:marRight w:val="0"/>
      <w:marTop w:val="0"/>
      <w:marBottom w:val="0"/>
      <w:divBdr>
        <w:top w:val="none" w:sz="0" w:space="0" w:color="auto"/>
        <w:left w:val="none" w:sz="0" w:space="0" w:color="auto"/>
        <w:bottom w:val="none" w:sz="0" w:space="0" w:color="auto"/>
        <w:right w:val="none" w:sz="0" w:space="0" w:color="auto"/>
      </w:divBdr>
    </w:div>
    <w:div w:id="1747609652">
      <w:bodyDiv w:val="1"/>
      <w:marLeft w:val="0"/>
      <w:marRight w:val="0"/>
      <w:marTop w:val="0"/>
      <w:marBottom w:val="0"/>
      <w:divBdr>
        <w:top w:val="none" w:sz="0" w:space="0" w:color="auto"/>
        <w:left w:val="none" w:sz="0" w:space="0" w:color="auto"/>
        <w:bottom w:val="none" w:sz="0" w:space="0" w:color="auto"/>
        <w:right w:val="none" w:sz="0" w:space="0" w:color="auto"/>
      </w:divBdr>
    </w:div>
    <w:div w:id="1873569615">
      <w:bodyDiv w:val="1"/>
      <w:marLeft w:val="0"/>
      <w:marRight w:val="0"/>
      <w:marTop w:val="0"/>
      <w:marBottom w:val="0"/>
      <w:divBdr>
        <w:top w:val="none" w:sz="0" w:space="0" w:color="auto"/>
        <w:left w:val="none" w:sz="0" w:space="0" w:color="auto"/>
        <w:bottom w:val="none" w:sz="0" w:space="0" w:color="auto"/>
        <w:right w:val="none" w:sz="0" w:space="0" w:color="auto"/>
      </w:divBdr>
    </w:div>
    <w:div w:id="1884706664">
      <w:bodyDiv w:val="1"/>
      <w:marLeft w:val="0"/>
      <w:marRight w:val="0"/>
      <w:marTop w:val="0"/>
      <w:marBottom w:val="0"/>
      <w:divBdr>
        <w:top w:val="none" w:sz="0" w:space="0" w:color="auto"/>
        <w:left w:val="none" w:sz="0" w:space="0" w:color="auto"/>
        <w:bottom w:val="none" w:sz="0" w:space="0" w:color="auto"/>
        <w:right w:val="none" w:sz="0" w:space="0" w:color="auto"/>
      </w:divBdr>
    </w:div>
    <w:div w:id="1907642142">
      <w:bodyDiv w:val="1"/>
      <w:marLeft w:val="0"/>
      <w:marRight w:val="0"/>
      <w:marTop w:val="0"/>
      <w:marBottom w:val="0"/>
      <w:divBdr>
        <w:top w:val="none" w:sz="0" w:space="0" w:color="auto"/>
        <w:left w:val="none" w:sz="0" w:space="0" w:color="auto"/>
        <w:bottom w:val="none" w:sz="0" w:space="0" w:color="auto"/>
        <w:right w:val="none" w:sz="0" w:space="0" w:color="auto"/>
      </w:divBdr>
    </w:div>
    <w:div w:id="1908219434">
      <w:bodyDiv w:val="1"/>
      <w:marLeft w:val="0"/>
      <w:marRight w:val="0"/>
      <w:marTop w:val="0"/>
      <w:marBottom w:val="0"/>
      <w:divBdr>
        <w:top w:val="none" w:sz="0" w:space="0" w:color="auto"/>
        <w:left w:val="none" w:sz="0" w:space="0" w:color="auto"/>
        <w:bottom w:val="none" w:sz="0" w:space="0" w:color="auto"/>
        <w:right w:val="none" w:sz="0" w:space="0" w:color="auto"/>
      </w:divBdr>
      <w:divsChild>
        <w:div w:id="1131362901">
          <w:marLeft w:val="0"/>
          <w:marRight w:val="0"/>
          <w:marTop w:val="0"/>
          <w:marBottom w:val="0"/>
          <w:divBdr>
            <w:top w:val="none" w:sz="0" w:space="0" w:color="auto"/>
            <w:left w:val="none" w:sz="0" w:space="0" w:color="auto"/>
            <w:bottom w:val="none" w:sz="0" w:space="0" w:color="auto"/>
            <w:right w:val="none" w:sz="0" w:space="0" w:color="auto"/>
          </w:divBdr>
          <w:divsChild>
            <w:div w:id="146095597">
              <w:marLeft w:val="0"/>
              <w:marRight w:val="0"/>
              <w:marTop w:val="0"/>
              <w:marBottom w:val="0"/>
              <w:divBdr>
                <w:top w:val="none" w:sz="0" w:space="0" w:color="auto"/>
                <w:left w:val="none" w:sz="0" w:space="0" w:color="auto"/>
                <w:bottom w:val="none" w:sz="0" w:space="0" w:color="auto"/>
                <w:right w:val="none" w:sz="0" w:space="0" w:color="auto"/>
              </w:divBdr>
              <w:divsChild>
                <w:div w:id="756707729">
                  <w:marLeft w:val="0"/>
                  <w:marRight w:val="0"/>
                  <w:marTop w:val="0"/>
                  <w:marBottom w:val="0"/>
                  <w:divBdr>
                    <w:top w:val="none" w:sz="0" w:space="0" w:color="auto"/>
                    <w:left w:val="none" w:sz="0" w:space="0" w:color="auto"/>
                    <w:bottom w:val="none" w:sz="0" w:space="0" w:color="auto"/>
                    <w:right w:val="none" w:sz="0" w:space="0" w:color="auto"/>
                  </w:divBdr>
                </w:div>
                <w:div w:id="1707900477">
                  <w:marLeft w:val="0"/>
                  <w:marRight w:val="0"/>
                  <w:marTop w:val="0"/>
                  <w:marBottom w:val="0"/>
                  <w:divBdr>
                    <w:top w:val="none" w:sz="0" w:space="0" w:color="auto"/>
                    <w:left w:val="none" w:sz="0" w:space="0" w:color="auto"/>
                    <w:bottom w:val="none" w:sz="0" w:space="0" w:color="auto"/>
                    <w:right w:val="none" w:sz="0" w:space="0" w:color="auto"/>
                  </w:divBdr>
                  <w:divsChild>
                    <w:div w:id="21003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8372">
          <w:marLeft w:val="0"/>
          <w:marRight w:val="0"/>
          <w:marTop w:val="0"/>
          <w:marBottom w:val="0"/>
          <w:divBdr>
            <w:top w:val="none" w:sz="0" w:space="0" w:color="auto"/>
            <w:left w:val="none" w:sz="0" w:space="0" w:color="auto"/>
            <w:bottom w:val="none" w:sz="0" w:space="0" w:color="auto"/>
            <w:right w:val="none" w:sz="0" w:space="0" w:color="auto"/>
          </w:divBdr>
          <w:divsChild>
            <w:div w:id="830218945">
              <w:marLeft w:val="0"/>
              <w:marRight w:val="0"/>
              <w:marTop w:val="0"/>
              <w:marBottom w:val="0"/>
              <w:divBdr>
                <w:top w:val="none" w:sz="0" w:space="0" w:color="auto"/>
                <w:left w:val="none" w:sz="0" w:space="0" w:color="auto"/>
                <w:bottom w:val="none" w:sz="0" w:space="0" w:color="auto"/>
                <w:right w:val="none" w:sz="0" w:space="0" w:color="auto"/>
              </w:divBdr>
              <w:divsChild>
                <w:div w:id="1491753233">
                  <w:marLeft w:val="0"/>
                  <w:marRight w:val="0"/>
                  <w:marTop w:val="0"/>
                  <w:marBottom w:val="0"/>
                  <w:divBdr>
                    <w:top w:val="none" w:sz="0" w:space="0" w:color="auto"/>
                    <w:left w:val="none" w:sz="0" w:space="0" w:color="auto"/>
                    <w:bottom w:val="none" w:sz="0" w:space="0" w:color="auto"/>
                    <w:right w:val="none" w:sz="0" w:space="0" w:color="auto"/>
                  </w:divBdr>
                </w:div>
                <w:div w:id="194807808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311834721">
          <w:marLeft w:val="0"/>
          <w:marRight w:val="0"/>
          <w:marTop w:val="0"/>
          <w:marBottom w:val="0"/>
          <w:divBdr>
            <w:top w:val="none" w:sz="0" w:space="0" w:color="auto"/>
            <w:left w:val="none" w:sz="0" w:space="0" w:color="auto"/>
            <w:bottom w:val="none" w:sz="0" w:space="0" w:color="auto"/>
            <w:right w:val="none" w:sz="0" w:space="0" w:color="auto"/>
          </w:divBdr>
          <w:divsChild>
            <w:div w:id="1040319108">
              <w:marLeft w:val="0"/>
              <w:marRight w:val="0"/>
              <w:marTop w:val="0"/>
              <w:marBottom w:val="0"/>
              <w:divBdr>
                <w:top w:val="none" w:sz="0" w:space="0" w:color="auto"/>
                <w:left w:val="none" w:sz="0" w:space="0" w:color="auto"/>
                <w:bottom w:val="none" w:sz="0" w:space="0" w:color="auto"/>
                <w:right w:val="none" w:sz="0" w:space="0" w:color="auto"/>
              </w:divBdr>
              <w:divsChild>
                <w:div w:id="1176462328">
                  <w:marLeft w:val="0"/>
                  <w:marRight w:val="0"/>
                  <w:marTop w:val="0"/>
                  <w:marBottom w:val="0"/>
                  <w:divBdr>
                    <w:top w:val="none" w:sz="0" w:space="0" w:color="auto"/>
                    <w:left w:val="none" w:sz="0" w:space="0" w:color="auto"/>
                    <w:bottom w:val="none" w:sz="0" w:space="0" w:color="auto"/>
                    <w:right w:val="none" w:sz="0" w:space="0" w:color="auto"/>
                  </w:divBdr>
                </w:div>
                <w:div w:id="1528061566">
                  <w:marLeft w:val="0"/>
                  <w:marRight w:val="0"/>
                  <w:marTop w:val="0"/>
                  <w:marBottom w:val="0"/>
                  <w:divBdr>
                    <w:top w:val="none" w:sz="0" w:space="0" w:color="auto"/>
                    <w:left w:val="none" w:sz="0" w:space="0" w:color="auto"/>
                    <w:bottom w:val="none" w:sz="0" w:space="0" w:color="auto"/>
                    <w:right w:val="none" w:sz="0" w:space="0" w:color="auto"/>
                  </w:divBdr>
                  <w:divsChild>
                    <w:div w:id="125902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82097">
      <w:bodyDiv w:val="1"/>
      <w:marLeft w:val="0"/>
      <w:marRight w:val="0"/>
      <w:marTop w:val="0"/>
      <w:marBottom w:val="0"/>
      <w:divBdr>
        <w:top w:val="none" w:sz="0" w:space="0" w:color="auto"/>
        <w:left w:val="none" w:sz="0" w:space="0" w:color="auto"/>
        <w:bottom w:val="none" w:sz="0" w:space="0" w:color="auto"/>
        <w:right w:val="none" w:sz="0" w:space="0" w:color="auto"/>
      </w:divBdr>
    </w:div>
    <w:div w:id="1953854724">
      <w:bodyDiv w:val="1"/>
      <w:marLeft w:val="0"/>
      <w:marRight w:val="0"/>
      <w:marTop w:val="0"/>
      <w:marBottom w:val="0"/>
      <w:divBdr>
        <w:top w:val="none" w:sz="0" w:space="0" w:color="auto"/>
        <w:left w:val="none" w:sz="0" w:space="0" w:color="auto"/>
        <w:bottom w:val="none" w:sz="0" w:space="0" w:color="auto"/>
        <w:right w:val="none" w:sz="0" w:space="0" w:color="auto"/>
      </w:divBdr>
    </w:div>
    <w:div w:id="1969049020">
      <w:bodyDiv w:val="1"/>
      <w:marLeft w:val="0"/>
      <w:marRight w:val="0"/>
      <w:marTop w:val="0"/>
      <w:marBottom w:val="0"/>
      <w:divBdr>
        <w:top w:val="none" w:sz="0" w:space="0" w:color="auto"/>
        <w:left w:val="none" w:sz="0" w:space="0" w:color="auto"/>
        <w:bottom w:val="none" w:sz="0" w:space="0" w:color="auto"/>
        <w:right w:val="none" w:sz="0" w:space="0" w:color="auto"/>
      </w:divBdr>
    </w:div>
    <w:div w:id="2013411374">
      <w:bodyDiv w:val="1"/>
      <w:marLeft w:val="0"/>
      <w:marRight w:val="0"/>
      <w:marTop w:val="0"/>
      <w:marBottom w:val="0"/>
      <w:divBdr>
        <w:top w:val="none" w:sz="0" w:space="0" w:color="auto"/>
        <w:left w:val="none" w:sz="0" w:space="0" w:color="auto"/>
        <w:bottom w:val="none" w:sz="0" w:space="0" w:color="auto"/>
        <w:right w:val="none" w:sz="0" w:space="0" w:color="auto"/>
      </w:divBdr>
    </w:div>
    <w:div w:id="2053647667">
      <w:bodyDiv w:val="1"/>
      <w:marLeft w:val="0"/>
      <w:marRight w:val="0"/>
      <w:marTop w:val="0"/>
      <w:marBottom w:val="0"/>
      <w:divBdr>
        <w:top w:val="none" w:sz="0" w:space="0" w:color="auto"/>
        <w:left w:val="none" w:sz="0" w:space="0" w:color="auto"/>
        <w:bottom w:val="none" w:sz="0" w:space="0" w:color="auto"/>
        <w:right w:val="none" w:sz="0" w:space="0" w:color="auto"/>
      </w:divBdr>
    </w:div>
    <w:div w:id="2061124349">
      <w:bodyDiv w:val="1"/>
      <w:marLeft w:val="0"/>
      <w:marRight w:val="0"/>
      <w:marTop w:val="0"/>
      <w:marBottom w:val="0"/>
      <w:divBdr>
        <w:top w:val="none" w:sz="0" w:space="0" w:color="auto"/>
        <w:left w:val="none" w:sz="0" w:space="0" w:color="auto"/>
        <w:bottom w:val="none" w:sz="0" w:space="0" w:color="auto"/>
        <w:right w:val="none" w:sz="0" w:space="0" w:color="auto"/>
      </w:divBdr>
    </w:div>
    <w:div w:id="2089375190">
      <w:bodyDiv w:val="1"/>
      <w:marLeft w:val="0"/>
      <w:marRight w:val="0"/>
      <w:marTop w:val="0"/>
      <w:marBottom w:val="0"/>
      <w:divBdr>
        <w:top w:val="none" w:sz="0" w:space="0" w:color="auto"/>
        <w:left w:val="none" w:sz="0" w:space="0" w:color="auto"/>
        <w:bottom w:val="none" w:sz="0" w:space="0" w:color="auto"/>
        <w:right w:val="none" w:sz="0" w:space="0" w:color="auto"/>
      </w:divBdr>
    </w:div>
    <w:div w:id="2119449133">
      <w:bodyDiv w:val="1"/>
      <w:marLeft w:val="0"/>
      <w:marRight w:val="0"/>
      <w:marTop w:val="0"/>
      <w:marBottom w:val="0"/>
      <w:divBdr>
        <w:top w:val="none" w:sz="0" w:space="0" w:color="auto"/>
        <w:left w:val="none" w:sz="0" w:space="0" w:color="auto"/>
        <w:bottom w:val="none" w:sz="0" w:space="0" w:color="auto"/>
        <w:right w:val="none" w:sz="0" w:space="0" w:color="auto"/>
      </w:divBdr>
    </w:div>
    <w:div w:id="212580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lvana.vilca-melendez20@imperial.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lian.griffin@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8D348-72B8-984E-8445-78CCC437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106940</Words>
  <Characters>609560</Characters>
  <Application>Microsoft Office Word</Application>
  <DocSecurity>0</DocSecurity>
  <Lines>5079</Lines>
  <Paragraphs>1430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VILCAMELENDEZ, SYLVANA (UG)</dc:creator>
  <cp:keywords/>
  <dc:description/>
  <cp:lastModifiedBy>Julian Griffin</cp:lastModifiedBy>
  <cp:revision>2</cp:revision>
  <dcterms:created xsi:type="dcterms:W3CDTF">2021-11-19T21:13:00Z</dcterms:created>
  <dcterms:modified xsi:type="dcterms:W3CDTF">2021-11-19T21:13:00Z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http://www.zotero.org/styles/frontiers-in-psychiatry</vt:lpwstr>
  </property>
  <property fmtid="{D5CDD505-2E9C-101B-9397-08002B2CF9AE}" pid="17" name="Mendeley Recent Style Name 7_1">
    <vt:lpwstr>Frontiers in Psychiatry</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aa3b5041-c6b7-39a4-9aa8-bc78cffd7b6e</vt:lpwstr>
  </property>
  <property fmtid="{D5CDD505-2E9C-101B-9397-08002B2CF9AE}" pid="24" name="Mendeley Citation Style_1">
    <vt:lpwstr>http://www.zotero.org/styles/frontiers-in-psychiatry</vt:lpwstr>
  </property>
</Properties>
</file>