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4430A0" w14:textId="77777777" w:rsidR="00314666" w:rsidRPr="00293C29" w:rsidRDefault="00314666" w:rsidP="00A87748">
      <w:pPr>
        <w:spacing w:after="120"/>
        <w:jc w:val="center"/>
        <w:rPr>
          <w:b/>
          <w:sz w:val="28"/>
          <w:szCs w:val="26"/>
          <w:lang w:val="en-GB"/>
        </w:rPr>
      </w:pPr>
      <w:bookmarkStart w:id="0" w:name="_GoBack"/>
      <w:bookmarkEnd w:id="0"/>
      <w:r w:rsidRPr="00293C29">
        <w:rPr>
          <w:b/>
          <w:sz w:val="28"/>
          <w:szCs w:val="26"/>
          <w:lang w:val="en-GB"/>
        </w:rPr>
        <w:t>Age at menopause and lung function: a Mendelian Randomization study</w:t>
      </w:r>
    </w:p>
    <w:p w14:paraId="1F0A3F78" w14:textId="77777777" w:rsidR="008A1695" w:rsidRPr="00293C29" w:rsidRDefault="008A1695" w:rsidP="00A87748">
      <w:pPr>
        <w:spacing w:after="120"/>
        <w:jc w:val="center"/>
        <w:rPr>
          <w:b/>
          <w:sz w:val="26"/>
          <w:szCs w:val="26"/>
          <w:lang w:val="en-GB"/>
        </w:rPr>
      </w:pPr>
    </w:p>
    <w:p w14:paraId="6731B429" w14:textId="77777777" w:rsidR="00675ADA" w:rsidRPr="00293C29" w:rsidRDefault="00695458" w:rsidP="00A87748">
      <w:pPr>
        <w:spacing w:after="120"/>
        <w:rPr>
          <w:b/>
          <w:lang w:val="en-GB"/>
        </w:rPr>
      </w:pPr>
      <w:r w:rsidRPr="00293C29">
        <w:rPr>
          <w:b/>
          <w:lang w:val="en-GB"/>
        </w:rPr>
        <w:t>A</w:t>
      </w:r>
      <w:r w:rsidR="00675ADA" w:rsidRPr="00293C29">
        <w:rPr>
          <w:b/>
          <w:lang w:val="en-GB"/>
        </w:rPr>
        <w:t>uthor list:</w:t>
      </w:r>
    </w:p>
    <w:p w14:paraId="78D9735D" w14:textId="4A3B9253" w:rsidR="008A1695" w:rsidRPr="00293C29" w:rsidRDefault="008A1695" w:rsidP="00A87748">
      <w:pPr>
        <w:spacing w:after="120"/>
        <w:rPr>
          <w:rFonts w:ascii="Calibri" w:eastAsia="Calibri" w:hAnsi="Calibri" w:cs="Times New Roman"/>
          <w:i/>
          <w:lang w:val="en-GB"/>
        </w:rPr>
      </w:pPr>
      <w:r w:rsidRPr="00293C29">
        <w:rPr>
          <w:i/>
          <w:lang w:val="en-GB"/>
        </w:rPr>
        <w:t>Diana A. van der Plaat</w:t>
      </w:r>
      <w:r w:rsidRPr="00293C29">
        <w:rPr>
          <w:i/>
          <w:vertAlign w:val="superscript"/>
          <w:lang w:val="en-GB"/>
        </w:rPr>
        <w:t>1</w:t>
      </w:r>
      <w:r w:rsidR="00712C9D">
        <w:rPr>
          <w:i/>
          <w:vertAlign w:val="superscript"/>
          <w:lang w:val="en-GB"/>
        </w:rPr>
        <w:t>-3</w:t>
      </w:r>
      <w:r w:rsidRPr="00293C29">
        <w:rPr>
          <w:i/>
          <w:lang w:val="en-GB"/>
        </w:rPr>
        <w:t>, Miguel Pereira</w:t>
      </w:r>
      <w:r w:rsidRPr="00293C29">
        <w:rPr>
          <w:i/>
          <w:vertAlign w:val="superscript"/>
          <w:lang w:val="en-GB"/>
        </w:rPr>
        <w:t>3</w:t>
      </w:r>
      <w:r w:rsidRPr="00293C29">
        <w:rPr>
          <w:i/>
          <w:lang w:val="en-GB"/>
        </w:rPr>
        <w:t>, Giancarlo Pesce</w:t>
      </w:r>
      <w:r w:rsidRPr="00293C29">
        <w:rPr>
          <w:i/>
          <w:vertAlign w:val="superscript"/>
          <w:lang w:val="en-GB"/>
        </w:rPr>
        <w:t>1,2</w:t>
      </w:r>
      <w:r w:rsidRPr="00293C29">
        <w:rPr>
          <w:i/>
          <w:lang w:val="en-GB"/>
        </w:rPr>
        <w:t>, James F. Potts</w:t>
      </w:r>
      <w:r w:rsidRPr="00293C29">
        <w:rPr>
          <w:i/>
          <w:vertAlign w:val="superscript"/>
          <w:lang w:val="en-GB"/>
        </w:rPr>
        <w:t>3</w:t>
      </w:r>
      <w:r w:rsidRPr="00293C29">
        <w:rPr>
          <w:i/>
          <w:lang w:val="en-GB"/>
        </w:rPr>
        <w:t>, Andr</w:t>
      </w:r>
      <w:r w:rsidR="00B0445B" w:rsidRPr="00293C29">
        <w:rPr>
          <w:i/>
          <w:lang w:val="en-GB"/>
        </w:rPr>
        <w:t>é</w:t>
      </w:r>
      <w:r w:rsidRPr="00293C29">
        <w:rPr>
          <w:i/>
          <w:lang w:val="en-GB"/>
        </w:rPr>
        <w:t xml:space="preserve"> F.S. Amaral</w:t>
      </w:r>
      <w:r w:rsidRPr="00293C29">
        <w:rPr>
          <w:i/>
          <w:vertAlign w:val="superscript"/>
          <w:lang w:val="en-GB"/>
        </w:rPr>
        <w:t>3</w:t>
      </w:r>
      <w:r w:rsidRPr="00293C29">
        <w:rPr>
          <w:i/>
          <w:lang w:val="en-GB"/>
        </w:rPr>
        <w:t>, Shyamali C. Dharmage</w:t>
      </w:r>
      <w:r w:rsidRPr="00293C29">
        <w:rPr>
          <w:i/>
          <w:vertAlign w:val="superscript"/>
          <w:lang w:val="en-GB"/>
        </w:rPr>
        <w:t>4</w:t>
      </w:r>
      <w:r w:rsidRPr="00293C29">
        <w:rPr>
          <w:i/>
          <w:lang w:val="en-GB"/>
        </w:rPr>
        <w:t>, Judith M. Garcia-Aymerich</w:t>
      </w:r>
      <w:r w:rsidRPr="00293C29">
        <w:rPr>
          <w:i/>
          <w:vertAlign w:val="superscript"/>
          <w:lang w:val="en-GB"/>
        </w:rPr>
        <w:t>5</w:t>
      </w:r>
      <w:r w:rsidR="00EF19D6" w:rsidRPr="00293C29">
        <w:rPr>
          <w:i/>
          <w:vertAlign w:val="superscript"/>
          <w:lang w:val="en-GB"/>
        </w:rPr>
        <w:t>-7</w:t>
      </w:r>
      <w:r w:rsidRPr="00293C29">
        <w:rPr>
          <w:i/>
          <w:lang w:val="en-GB"/>
        </w:rPr>
        <w:t xml:space="preserve">, </w:t>
      </w:r>
      <w:r w:rsidR="00445C5A" w:rsidRPr="00293C29">
        <w:rPr>
          <w:i/>
          <w:lang w:val="en-GB"/>
        </w:rPr>
        <w:t xml:space="preserve">John </w:t>
      </w:r>
      <w:r w:rsidR="00CE2812" w:rsidRPr="00293C29">
        <w:rPr>
          <w:i/>
          <w:lang w:val="en-GB"/>
        </w:rPr>
        <w:t xml:space="preserve">R. </w:t>
      </w:r>
      <w:r w:rsidR="00445C5A" w:rsidRPr="00293C29">
        <w:rPr>
          <w:i/>
          <w:lang w:val="en-GB"/>
        </w:rPr>
        <w:t>Thompson</w:t>
      </w:r>
      <w:r w:rsidR="00EF19D6" w:rsidRPr="00293C29">
        <w:rPr>
          <w:i/>
          <w:vertAlign w:val="superscript"/>
          <w:lang w:val="en-GB"/>
        </w:rPr>
        <w:t>8</w:t>
      </w:r>
      <w:r w:rsidR="00445C5A" w:rsidRPr="00293C29">
        <w:rPr>
          <w:i/>
          <w:lang w:val="en-GB"/>
        </w:rPr>
        <w:t xml:space="preserve">, </w:t>
      </w:r>
      <w:r w:rsidRPr="00293C29">
        <w:rPr>
          <w:i/>
          <w:lang w:val="en-GB"/>
        </w:rPr>
        <w:t>Francisco Gómez-Real</w:t>
      </w:r>
      <w:r w:rsidR="00EF19D6" w:rsidRPr="00293C29">
        <w:rPr>
          <w:i/>
          <w:vertAlign w:val="superscript"/>
          <w:lang w:val="en-GB"/>
        </w:rPr>
        <w:t>9</w:t>
      </w:r>
      <w:r w:rsidR="009059E4" w:rsidRPr="00293C29">
        <w:rPr>
          <w:i/>
          <w:vertAlign w:val="superscript"/>
          <w:lang w:val="en-GB"/>
        </w:rPr>
        <w:t>,10</w:t>
      </w:r>
      <w:r w:rsidRPr="00293C29">
        <w:rPr>
          <w:i/>
          <w:lang w:val="en-GB"/>
        </w:rPr>
        <w:t xml:space="preserve">, Deborah </w:t>
      </w:r>
      <w:r w:rsidR="00647A65" w:rsidRPr="00293C29">
        <w:rPr>
          <w:i/>
          <w:lang w:val="en-GB"/>
        </w:rPr>
        <w:t xml:space="preserve">L. </w:t>
      </w:r>
      <w:r w:rsidRPr="00293C29">
        <w:rPr>
          <w:i/>
          <w:lang w:val="en-GB"/>
        </w:rPr>
        <w:t>Jarvis</w:t>
      </w:r>
      <w:r w:rsidRPr="00293C29">
        <w:rPr>
          <w:i/>
          <w:vertAlign w:val="superscript"/>
          <w:lang w:val="en-GB"/>
        </w:rPr>
        <w:t>3</w:t>
      </w:r>
      <w:r w:rsidRPr="00293C29">
        <w:rPr>
          <w:i/>
          <w:lang w:val="en-GB"/>
        </w:rPr>
        <w:t>, Cosetta Minelli</w:t>
      </w:r>
      <w:r w:rsidRPr="00293C29">
        <w:rPr>
          <w:i/>
          <w:vertAlign w:val="superscript"/>
          <w:lang w:val="en-GB"/>
        </w:rPr>
        <w:t>3*</w:t>
      </w:r>
      <w:r w:rsidRPr="00293C29">
        <w:rPr>
          <w:i/>
          <w:lang w:val="en-GB"/>
        </w:rPr>
        <w:t>, Bénédicte Leynaert</w:t>
      </w:r>
      <w:r w:rsidRPr="00293C29">
        <w:rPr>
          <w:i/>
          <w:vertAlign w:val="superscript"/>
          <w:lang w:val="en-GB"/>
        </w:rPr>
        <w:t>1,2*</w:t>
      </w:r>
      <w:r w:rsidRPr="00293C29">
        <w:rPr>
          <w:i/>
          <w:lang w:val="en-GB"/>
        </w:rPr>
        <w:t xml:space="preserve"> </w:t>
      </w:r>
      <w:r w:rsidRPr="00293C29">
        <w:rPr>
          <w:rFonts w:ascii="Calibri" w:eastAsia="Calibri" w:hAnsi="Calibri" w:cs="Times New Roman"/>
          <w:i/>
          <w:lang w:val="en-GB"/>
        </w:rPr>
        <w:t>on behalf of the ALEC project</w:t>
      </w:r>
    </w:p>
    <w:p w14:paraId="27B8A820" w14:textId="33785706" w:rsidR="009E3DEB" w:rsidRPr="00293C29" w:rsidRDefault="009E3DEB" w:rsidP="00A87748">
      <w:pPr>
        <w:spacing w:after="120"/>
        <w:rPr>
          <w:sz w:val="20"/>
          <w:lang w:val="en-US"/>
        </w:rPr>
      </w:pPr>
      <w:r w:rsidRPr="00293C29">
        <w:rPr>
          <w:sz w:val="20"/>
          <w:lang w:val="en-GB"/>
        </w:rPr>
        <w:t>*</w:t>
      </w:r>
      <w:r w:rsidRPr="00293C29">
        <w:rPr>
          <w:sz w:val="20"/>
          <w:lang w:val="en-US"/>
        </w:rPr>
        <w:t xml:space="preserve">contributed equally and </w:t>
      </w:r>
      <w:proofErr w:type="gramStart"/>
      <w:r w:rsidRPr="00293C29">
        <w:rPr>
          <w:sz w:val="20"/>
          <w:lang w:val="en-US"/>
        </w:rPr>
        <w:t>are considered to be</w:t>
      </w:r>
      <w:proofErr w:type="gramEnd"/>
      <w:r w:rsidRPr="00293C29">
        <w:rPr>
          <w:sz w:val="20"/>
          <w:lang w:val="en-US"/>
        </w:rPr>
        <w:t xml:space="preserve"> shared last author</w:t>
      </w:r>
    </w:p>
    <w:p w14:paraId="35696BED" w14:textId="77777777" w:rsidR="00DA4942" w:rsidRPr="00293C29" w:rsidRDefault="00DA4942" w:rsidP="00A87748">
      <w:pPr>
        <w:spacing w:after="120"/>
        <w:rPr>
          <w:b/>
          <w:lang w:val="en-GB"/>
        </w:rPr>
      </w:pPr>
    </w:p>
    <w:p w14:paraId="492BBB42" w14:textId="118EFC15" w:rsidR="008A1695" w:rsidRPr="00293C29" w:rsidRDefault="008A1695" w:rsidP="00A87748">
      <w:pPr>
        <w:spacing w:after="120"/>
        <w:rPr>
          <w:lang w:val="en-GB"/>
        </w:rPr>
      </w:pPr>
      <w:r w:rsidRPr="00293C29">
        <w:rPr>
          <w:b/>
          <w:lang w:val="en-GB"/>
        </w:rPr>
        <w:t>Author affiliation:</w:t>
      </w:r>
    </w:p>
    <w:p w14:paraId="2DBBB236" w14:textId="77777777" w:rsidR="008A1695" w:rsidRPr="00293C29" w:rsidRDefault="008A1695" w:rsidP="00EC7B1C">
      <w:pPr>
        <w:spacing w:after="120" w:line="276" w:lineRule="auto"/>
        <w:rPr>
          <w:sz w:val="20"/>
          <w:lang w:val="en-GB"/>
        </w:rPr>
      </w:pPr>
      <w:r w:rsidRPr="00293C29">
        <w:rPr>
          <w:sz w:val="20"/>
          <w:vertAlign w:val="superscript"/>
          <w:lang w:val="en-GB"/>
        </w:rPr>
        <w:t>1</w:t>
      </w:r>
      <w:r w:rsidRPr="00293C29">
        <w:rPr>
          <w:sz w:val="20"/>
          <w:lang w:val="en-GB"/>
        </w:rPr>
        <w:t xml:space="preserve"> UMR 1152, Pathophysiology and Epidemiology of Respiratory Diseases, INSERM, Paris, France</w:t>
      </w:r>
    </w:p>
    <w:p w14:paraId="14B0964A" w14:textId="77777777" w:rsidR="008A1695" w:rsidRPr="00293C29" w:rsidRDefault="008A1695" w:rsidP="00EC7B1C">
      <w:pPr>
        <w:spacing w:after="120" w:line="276" w:lineRule="auto"/>
        <w:rPr>
          <w:sz w:val="20"/>
          <w:lang w:val="en-GB"/>
        </w:rPr>
      </w:pPr>
      <w:r w:rsidRPr="00293C29">
        <w:rPr>
          <w:sz w:val="20"/>
          <w:vertAlign w:val="superscript"/>
          <w:lang w:val="en-GB"/>
        </w:rPr>
        <w:t xml:space="preserve">2 </w:t>
      </w:r>
      <w:r w:rsidRPr="00293C29">
        <w:rPr>
          <w:sz w:val="20"/>
          <w:lang w:val="en-GB"/>
        </w:rPr>
        <w:t>UMR 1152, University Paris Diderot, Paris, France</w:t>
      </w:r>
    </w:p>
    <w:p w14:paraId="55825219" w14:textId="10F027B0" w:rsidR="008A1695" w:rsidRPr="00293C29" w:rsidRDefault="008A1695" w:rsidP="00EC7B1C">
      <w:pPr>
        <w:spacing w:after="120" w:line="276" w:lineRule="auto"/>
        <w:rPr>
          <w:sz w:val="20"/>
          <w:lang w:val="en-GB"/>
        </w:rPr>
      </w:pPr>
      <w:r w:rsidRPr="00293C29">
        <w:rPr>
          <w:sz w:val="20"/>
          <w:vertAlign w:val="superscript"/>
          <w:lang w:val="en-GB"/>
        </w:rPr>
        <w:t>3</w:t>
      </w:r>
      <w:r w:rsidRPr="00293C29">
        <w:rPr>
          <w:sz w:val="20"/>
          <w:lang w:val="en-GB"/>
        </w:rPr>
        <w:t xml:space="preserve"> National Heart and Lung Institute (NHLI), Imperial College, London, United Kingdom</w:t>
      </w:r>
    </w:p>
    <w:p w14:paraId="03947249" w14:textId="77777777" w:rsidR="008A1695" w:rsidRPr="00293C29" w:rsidRDefault="008A1695" w:rsidP="00EC7B1C">
      <w:pPr>
        <w:spacing w:after="120" w:line="276" w:lineRule="auto"/>
        <w:rPr>
          <w:sz w:val="20"/>
          <w:lang w:val="en-GB"/>
        </w:rPr>
      </w:pPr>
      <w:r w:rsidRPr="00293C29">
        <w:rPr>
          <w:sz w:val="20"/>
          <w:vertAlign w:val="superscript"/>
          <w:lang w:val="en-GB"/>
        </w:rPr>
        <w:t>4</w:t>
      </w:r>
      <w:r w:rsidRPr="00293C29">
        <w:rPr>
          <w:sz w:val="20"/>
          <w:lang w:val="en-GB"/>
        </w:rPr>
        <w:t xml:space="preserve"> Allergy and Lung Health Unit, School of Population and Global Health, University of Melbourne, Melbourne, Australia</w:t>
      </w:r>
    </w:p>
    <w:p w14:paraId="70F10EE4" w14:textId="77777777" w:rsidR="008A1695" w:rsidRPr="008D26E4" w:rsidRDefault="008A1695" w:rsidP="00EC7B1C">
      <w:pPr>
        <w:spacing w:after="120" w:line="276" w:lineRule="auto"/>
        <w:rPr>
          <w:sz w:val="20"/>
          <w:lang w:val="it-IT"/>
        </w:rPr>
      </w:pPr>
      <w:r w:rsidRPr="008D26E4">
        <w:rPr>
          <w:sz w:val="20"/>
          <w:vertAlign w:val="superscript"/>
          <w:lang w:val="it-IT"/>
        </w:rPr>
        <w:t>5</w:t>
      </w:r>
      <w:r w:rsidRPr="008D26E4">
        <w:rPr>
          <w:sz w:val="20"/>
          <w:lang w:val="it-IT"/>
        </w:rPr>
        <w:t xml:space="preserve"> ISGlobal, Barcelona, Spain</w:t>
      </w:r>
    </w:p>
    <w:p w14:paraId="6AD53FC1" w14:textId="77777777" w:rsidR="00EF19D6" w:rsidRPr="008D26E4" w:rsidRDefault="00EF19D6" w:rsidP="00EC7B1C">
      <w:pPr>
        <w:spacing w:after="120" w:line="276" w:lineRule="auto"/>
        <w:rPr>
          <w:sz w:val="20"/>
          <w:lang w:val="it-IT"/>
        </w:rPr>
      </w:pPr>
      <w:r w:rsidRPr="008D26E4">
        <w:rPr>
          <w:sz w:val="20"/>
          <w:vertAlign w:val="superscript"/>
          <w:lang w:val="it-IT"/>
        </w:rPr>
        <w:t>6</w:t>
      </w:r>
      <w:r w:rsidRPr="008D26E4">
        <w:rPr>
          <w:sz w:val="20"/>
          <w:lang w:val="it-IT"/>
        </w:rPr>
        <w:t xml:space="preserve"> Universitat Pompeu Fabra (UPF), Barcelona, Spain</w:t>
      </w:r>
    </w:p>
    <w:p w14:paraId="11FBC3EE" w14:textId="77777777" w:rsidR="00EF19D6" w:rsidRPr="00293C29" w:rsidRDefault="00EF19D6" w:rsidP="00EC7B1C">
      <w:pPr>
        <w:spacing w:after="120" w:line="276" w:lineRule="auto"/>
        <w:rPr>
          <w:sz w:val="20"/>
          <w:lang w:val="en-GB"/>
        </w:rPr>
      </w:pPr>
      <w:r w:rsidRPr="00293C29">
        <w:rPr>
          <w:sz w:val="20"/>
          <w:vertAlign w:val="superscript"/>
          <w:lang w:val="en-GB"/>
        </w:rPr>
        <w:t>7</w:t>
      </w:r>
      <w:r w:rsidRPr="00293C29">
        <w:rPr>
          <w:sz w:val="20"/>
          <w:lang w:val="en-GB"/>
        </w:rPr>
        <w:t xml:space="preserve"> CIBER </w:t>
      </w:r>
      <w:proofErr w:type="spellStart"/>
      <w:r w:rsidRPr="00293C29">
        <w:rPr>
          <w:sz w:val="20"/>
          <w:lang w:val="en-GB"/>
        </w:rPr>
        <w:t>Epidemiología</w:t>
      </w:r>
      <w:proofErr w:type="spellEnd"/>
      <w:r w:rsidRPr="00293C29">
        <w:rPr>
          <w:sz w:val="20"/>
          <w:lang w:val="en-GB"/>
        </w:rPr>
        <w:t xml:space="preserve"> y </w:t>
      </w:r>
      <w:proofErr w:type="spellStart"/>
      <w:r w:rsidRPr="00293C29">
        <w:rPr>
          <w:sz w:val="20"/>
          <w:lang w:val="en-GB"/>
        </w:rPr>
        <w:t>Salud</w:t>
      </w:r>
      <w:proofErr w:type="spellEnd"/>
      <w:r w:rsidRPr="00293C29">
        <w:rPr>
          <w:sz w:val="20"/>
          <w:lang w:val="en-GB"/>
        </w:rPr>
        <w:t xml:space="preserve"> </w:t>
      </w:r>
      <w:proofErr w:type="spellStart"/>
      <w:r w:rsidRPr="00293C29">
        <w:rPr>
          <w:sz w:val="20"/>
          <w:lang w:val="en-GB"/>
        </w:rPr>
        <w:t>Pública</w:t>
      </w:r>
      <w:proofErr w:type="spellEnd"/>
      <w:r w:rsidRPr="00293C29">
        <w:rPr>
          <w:sz w:val="20"/>
          <w:lang w:val="en-GB"/>
        </w:rPr>
        <w:t xml:space="preserve"> (CIBERESP), Barcelona, Spain</w:t>
      </w:r>
    </w:p>
    <w:p w14:paraId="02983BD6" w14:textId="77777777" w:rsidR="00CE2812" w:rsidRPr="00293C29" w:rsidRDefault="00EF19D6" w:rsidP="00EC7B1C">
      <w:pPr>
        <w:spacing w:after="120" w:line="276" w:lineRule="auto"/>
        <w:rPr>
          <w:sz w:val="20"/>
          <w:lang w:val="en-GB"/>
        </w:rPr>
      </w:pPr>
      <w:r w:rsidRPr="00293C29">
        <w:rPr>
          <w:sz w:val="20"/>
          <w:vertAlign w:val="superscript"/>
          <w:lang w:val="en-GB"/>
        </w:rPr>
        <w:t>8</w:t>
      </w:r>
      <w:r w:rsidR="008A1695" w:rsidRPr="00293C29">
        <w:rPr>
          <w:sz w:val="20"/>
          <w:lang w:val="en-GB"/>
        </w:rPr>
        <w:t xml:space="preserve"> </w:t>
      </w:r>
      <w:r w:rsidR="00CE2812" w:rsidRPr="00293C29">
        <w:rPr>
          <w:sz w:val="20"/>
          <w:lang w:val="en-GB"/>
        </w:rPr>
        <w:t>Department of Health Sciences, University of Leicester, Leicester, United Kingdom</w:t>
      </w:r>
    </w:p>
    <w:p w14:paraId="253C20F7" w14:textId="77777777" w:rsidR="008A1695" w:rsidRPr="00293C29" w:rsidRDefault="00EF19D6" w:rsidP="00EC7B1C">
      <w:pPr>
        <w:spacing w:after="120" w:line="276" w:lineRule="auto"/>
        <w:rPr>
          <w:sz w:val="20"/>
          <w:lang w:val="en-GB"/>
        </w:rPr>
      </w:pPr>
      <w:r w:rsidRPr="00293C29">
        <w:rPr>
          <w:sz w:val="20"/>
          <w:vertAlign w:val="superscript"/>
          <w:lang w:val="en-GB"/>
        </w:rPr>
        <w:t>9</w:t>
      </w:r>
      <w:r w:rsidR="00CE2812" w:rsidRPr="00293C29">
        <w:rPr>
          <w:sz w:val="20"/>
          <w:lang w:val="en-GB"/>
        </w:rPr>
        <w:t xml:space="preserve"> </w:t>
      </w:r>
      <w:r w:rsidR="008A1695" w:rsidRPr="00293C29">
        <w:rPr>
          <w:sz w:val="20"/>
          <w:lang w:val="en-GB"/>
        </w:rPr>
        <w:t>Department of Clinical Science, University of Bergen, Bergen, Norway</w:t>
      </w:r>
    </w:p>
    <w:p w14:paraId="0EC95B42" w14:textId="77777777" w:rsidR="009059E4" w:rsidRPr="00293C29" w:rsidRDefault="009059E4" w:rsidP="00EC7B1C">
      <w:pPr>
        <w:spacing w:after="120" w:line="276" w:lineRule="auto"/>
        <w:rPr>
          <w:sz w:val="20"/>
          <w:lang w:val="en-GB"/>
        </w:rPr>
      </w:pPr>
      <w:r w:rsidRPr="00293C29">
        <w:rPr>
          <w:sz w:val="20"/>
          <w:vertAlign w:val="superscript"/>
          <w:lang w:val="en-GB"/>
        </w:rPr>
        <w:t>10</w:t>
      </w:r>
      <w:r w:rsidRPr="00293C29">
        <w:rPr>
          <w:sz w:val="20"/>
          <w:lang w:val="en-GB"/>
        </w:rPr>
        <w:t xml:space="preserve"> Department of </w:t>
      </w:r>
      <w:proofErr w:type="spellStart"/>
      <w:r w:rsidRPr="00293C29">
        <w:rPr>
          <w:sz w:val="20"/>
          <w:lang w:val="en-GB"/>
        </w:rPr>
        <w:t>Gynecology</w:t>
      </w:r>
      <w:proofErr w:type="spellEnd"/>
      <w:r w:rsidRPr="00293C29">
        <w:rPr>
          <w:sz w:val="20"/>
          <w:lang w:val="en-GB"/>
        </w:rPr>
        <w:t xml:space="preserve"> and Obstetrics, </w:t>
      </w:r>
      <w:proofErr w:type="spellStart"/>
      <w:r w:rsidRPr="00293C29">
        <w:rPr>
          <w:sz w:val="20"/>
          <w:lang w:val="en-GB"/>
        </w:rPr>
        <w:t>Haukeland</w:t>
      </w:r>
      <w:proofErr w:type="spellEnd"/>
      <w:r w:rsidRPr="00293C29">
        <w:rPr>
          <w:sz w:val="20"/>
          <w:lang w:val="en-GB"/>
        </w:rPr>
        <w:t xml:space="preserve"> University Hospital, Bergen, Norway</w:t>
      </w:r>
    </w:p>
    <w:p w14:paraId="5EF114F0" w14:textId="77777777" w:rsidR="00A87748" w:rsidRPr="00293C29" w:rsidRDefault="00A87748" w:rsidP="00A87748">
      <w:pPr>
        <w:spacing w:after="120"/>
        <w:jc w:val="both"/>
        <w:rPr>
          <w:b/>
          <w:lang w:val="en-GB"/>
        </w:rPr>
      </w:pPr>
    </w:p>
    <w:p w14:paraId="121CA44B" w14:textId="682F4FCB" w:rsidR="00A87748" w:rsidRPr="00293C29" w:rsidRDefault="008A1695" w:rsidP="00A87748">
      <w:pPr>
        <w:spacing w:after="120"/>
        <w:jc w:val="both"/>
        <w:rPr>
          <w:lang w:val="en-GB"/>
        </w:rPr>
      </w:pPr>
      <w:r w:rsidRPr="00293C29">
        <w:rPr>
          <w:b/>
          <w:lang w:val="en-GB"/>
        </w:rPr>
        <w:t>Correspondence to:</w:t>
      </w:r>
      <w:r w:rsidRPr="00293C29">
        <w:rPr>
          <w:lang w:val="en-GB"/>
        </w:rPr>
        <w:t xml:space="preserve"> Diana A. van der Plaat, PhD, </w:t>
      </w:r>
      <w:r w:rsidR="00A87418" w:rsidRPr="00A87418">
        <w:rPr>
          <w:lang w:val="en-GB"/>
        </w:rPr>
        <w:t>National Heart and Lung Institute</w:t>
      </w:r>
      <w:r w:rsidR="008D26E4">
        <w:rPr>
          <w:lang w:val="en-GB"/>
        </w:rPr>
        <w:t xml:space="preserve"> (NHLI)</w:t>
      </w:r>
      <w:r w:rsidR="00A87418" w:rsidRPr="00A87418">
        <w:rPr>
          <w:lang w:val="en-GB"/>
        </w:rPr>
        <w:t>, Imperial College London, London, United Kingdom</w:t>
      </w:r>
      <w:r w:rsidR="000B2693">
        <w:rPr>
          <w:lang w:val="en-GB"/>
        </w:rPr>
        <w:t xml:space="preserve"> </w:t>
      </w:r>
      <w:r w:rsidRPr="00293C29">
        <w:rPr>
          <w:lang w:val="en-GB"/>
        </w:rPr>
        <w:t xml:space="preserve">(e-mail: </w:t>
      </w:r>
      <w:r w:rsidR="000B2693" w:rsidRPr="000B2693">
        <w:rPr>
          <w:lang w:val="en-GB"/>
        </w:rPr>
        <w:t>d.van-der-plaat@imperial.ac.uk</w:t>
      </w:r>
      <w:r w:rsidRPr="00293C29">
        <w:rPr>
          <w:lang w:val="en-GB"/>
        </w:rPr>
        <w:t xml:space="preserve">). </w:t>
      </w:r>
    </w:p>
    <w:p w14:paraId="7894726E" w14:textId="3DD3788E" w:rsidR="00A87748" w:rsidRPr="00293C29" w:rsidRDefault="00A87748" w:rsidP="00A87748">
      <w:pPr>
        <w:spacing w:after="120"/>
        <w:jc w:val="both"/>
        <w:rPr>
          <w:lang w:val="en-GB"/>
        </w:rPr>
      </w:pPr>
    </w:p>
    <w:p w14:paraId="5D49E02B" w14:textId="4165C71D" w:rsidR="00C420A5" w:rsidRPr="00293C29" w:rsidRDefault="00C420A5" w:rsidP="00A87748">
      <w:pPr>
        <w:spacing w:after="120"/>
        <w:rPr>
          <w:b/>
          <w:lang w:val="en-GB"/>
        </w:rPr>
      </w:pPr>
      <w:r w:rsidRPr="00293C29">
        <w:rPr>
          <w:b/>
          <w:lang w:val="en-GB"/>
        </w:rPr>
        <w:t xml:space="preserve">Take home message </w:t>
      </w:r>
    </w:p>
    <w:p w14:paraId="61CD8871" w14:textId="07332F38" w:rsidR="00A568EB" w:rsidRPr="00293C29" w:rsidRDefault="0014382D" w:rsidP="00A87748">
      <w:pPr>
        <w:spacing w:after="120"/>
        <w:jc w:val="both"/>
        <w:rPr>
          <w:b/>
          <w:sz w:val="24"/>
          <w:szCs w:val="24"/>
          <w:lang w:val="en-GB"/>
        </w:rPr>
      </w:pPr>
      <w:r w:rsidRPr="00293C29">
        <w:rPr>
          <w:lang w:val="en-GB"/>
        </w:rPr>
        <w:t>Using Mendelian randomization</w:t>
      </w:r>
      <w:r w:rsidR="00C77655" w:rsidRPr="00293C29">
        <w:rPr>
          <w:lang w:val="en-GB"/>
        </w:rPr>
        <w:t xml:space="preserve">, </w:t>
      </w:r>
      <w:r w:rsidR="00A10FAC" w:rsidRPr="00293C29">
        <w:rPr>
          <w:lang w:val="en-GB"/>
        </w:rPr>
        <w:t xml:space="preserve">an approach </w:t>
      </w:r>
      <w:r w:rsidR="00413B2E" w:rsidRPr="00293C29">
        <w:rPr>
          <w:lang w:val="en-GB"/>
        </w:rPr>
        <w:t xml:space="preserve">not affected by classical confounding, </w:t>
      </w:r>
      <w:r w:rsidR="00C77655" w:rsidRPr="00293C29">
        <w:rPr>
          <w:lang w:val="en-GB"/>
        </w:rPr>
        <w:t>w</w:t>
      </w:r>
      <w:r w:rsidR="00005F53" w:rsidRPr="00293C29">
        <w:rPr>
          <w:lang w:val="en-GB"/>
        </w:rPr>
        <w:t xml:space="preserve">e show </w:t>
      </w:r>
      <w:r w:rsidR="00A10FAC" w:rsidRPr="00293C29">
        <w:rPr>
          <w:lang w:val="en-GB"/>
        </w:rPr>
        <w:t xml:space="preserve">a protective effect of </w:t>
      </w:r>
      <w:r w:rsidR="00005F53" w:rsidRPr="00293C29">
        <w:rPr>
          <w:lang w:val="en-GB"/>
        </w:rPr>
        <w:t xml:space="preserve">early menopause </w:t>
      </w:r>
      <w:r w:rsidR="00A10FAC" w:rsidRPr="00293C29">
        <w:rPr>
          <w:lang w:val="en-GB"/>
        </w:rPr>
        <w:t>on</w:t>
      </w:r>
      <w:r w:rsidR="00005F53" w:rsidRPr="00293C29">
        <w:rPr>
          <w:lang w:val="en-GB"/>
        </w:rPr>
        <w:t xml:space="preserve"> airflow obstruction</w:t>
      </w:r>
      <w:r w:rsidR="00413B2E" w:rsidRPr="00293C29">
        <w:rPr>
          <w:lang w:val="en-GB"/>
        </w:rPr>
        <w:t xml:space="preserve">. This points to the </w:t>
      </w:r>
      <w:r w:rsidR="00A10FAC" w:rsidRPr="00293C29">
        <w:rPr>
          <w:lang w:val="en-GB"/>
        </w:rPr>
        <w:t xml:space="preserve">importance of </w:t>
      </w:r>
      <w:r w:rsidR="00413B2E" w:rsidRPr="00293C29">
        <w:rPr>
          <w:lang w:val="en-GB"/>
        </w:rPr>
        <w:t>investigati</w:t>
      </w:r>
      <w:r w:rsidR="00A10FAC" w:rsidRPr="00293C29">
        <w:rPr>
          <w:lang w:val="en-GB"/>
        </w:rPr>
        <w:t>ng</w:t>
      </w:r>
      <w:r w:rsidR="00413B2E" w:rsidRPr="00293C29">
        <w:rPr>
          <w:lang w:val="en-GB"/>
        </w:rPr>
        <w:t xml:space="preserve"> </w:t>
      </w:r>
      <w:r w:rsidR="00A10FAC" w:rsidRPr="00293C29">
        <w:rPr>
          <w:lang w:val="en-GB"/>
        </w:rPr>
        <w:t xml:space="preserve">the effects of female </w:t>
      </w:r>
      <w:r w:rsidR="00413B2E" w:rsidRPr="00293C29">
        <w:rPr>
          <w:lang w:val="en-GB"/>
        </w:rPr>
        <w:t xml:space="preserve">sex hormones </w:t>
      </w:r>
      <w:r w:rsidR="00A10FAC" w:rsidRPr="00293C29">
        <w:rPr>
          <w:lang w:val="en-GB"/>
        </w:rPr>
        <w:t>on the airways</w:t>
      </w:r>
      <w:r w:rsidR="00005F53" w:rsidRPr="00293C29">
        <w:rPr>
          <w:lang w:val="en-GB"/>
        </w:rPr>
        <w:t>.</w:t>
      </w:r>
      <w:r w:rsidR="00A568EB" w:rsidRPr="00293C29">
        <w:rPr>
          <w:b/>
          <w:sz w:val="24"/>
          <w:szCs w:val="24"/>
          <w:lang w:val="en-GB"/>
        </w:rPr>
        <w:br w:type="page"/>
      </w:r>
    </w:p>
    <w:p w14:paraId="766D19CE" w14:textId="107B35D9" w:rsidR="00EB6C6B" w:rsidRPr="00293C29" w:rsidRDefault="00EB6C6B" w:rsidP="00A87748">
      <w:pPr>
        <w:spacing w:after="120"/>
        <w:rPr>
          <w:b/>
          <w:sz w:val="24"/>
          <w:szCs w:val="24"/>
          <w:lang w:val="en-GB"/>
        </w:rPr>
      </w:pPr>
      <w:r w:rsidRPr="00293C29">
        <w:rPr>
          <w:b/>
          <w:sz w:val="24"/>
          <w:szCs w:val="24"/>
          <w:lang w:val="en-GB"/>
        </w:rPr>
        <w:lastRenderedPageBreak/>
        <w:t>Abstract</w:t>
      </w:r>
    </w:p>
    <w:p w14:paraId="2A6CBE6F" w14:textId="09841765" w:rsidR="0051237D" w:rsidRPr="00293C29" w:rsidRDefault="00C600C5" w:rsidP="00A87748">
      <w:pPr>
        <w:spacing w:after="120"/>
        <w:jc w:val="both"/>
        <w:rPr>
          <w:lang w:val="en-GB"/>
        </w:rPr>
      </w:pPr>
      <w:r w:rsidRPr="00293C29">
        <w:rPr>
          <w:lang w:val="en-GB"/>
        </w:rPr>
        <w:t>In o</w:t>
      </w:r>
      <w:r w:rsidR="00845086" w:rsidRPr="00293C29">
        <w:rPr>
          <w:lang w:val="en-GB"/>
        </w:rPr>
        <w:t xml:space="preserve">bservational </w:t>
      </w:r>
      <w:r w:rsidR="00A72DF6" w:rsidRPr="00293C29">
        <w:rPr>
          <w:lang w:val="en-GB"/>
        </w:rPr>
        <w:t>s</w:t>
      </w:r>
      <w:r w:rsidR="00905AE7" w:rsidRPr="00293C29">
        <w:rPr>
          <w:lang w:val="en-GB"/>
        </w:rPr>
        <w:t>tudies</w:t>
      </w:r>
      <w:r w:rsidRPr="00293C29">
        <w:rPr>
          <w:lang w:val="en-GB"/>
        </w:rPr>
        <w:t>,</w:t>
      </w:r>
      <w:r w:rsidR="001D3621" w:rsidRPr="00293C29">
        <w:rPr>
          <w:lang w:val="en-GB"/>
        </w:rPr>
        <w:t xml:space="preserve"> </w:t>
      </w:r>
      <w:r w:rsidR="0051237D" w:rsidRPr="00293C29">
        <w:rPr>
          <w:lang w:val="en-GB"/>
        </w:rPr>
        <w:t xml:space="preserve">early </w:t>
      </w:r>
      <w:r w:rsidR="009942A7" w:rsidRPr="00293C29">
        <w:rPr>
          <w:lang w:val="en-GB"/>
        </w:rPr>
        <w:t>menopause</w:t>
      </w:r>
      <w:r w:rsidR="0051237D" w:rsidRPr="00293C29">
        <w:rPr>
          <w:lang w:val="en-GB"/>
        </w:rPr>
        <w:t xml:space="preserve"> is associated with lower </w:t>
      </w:r>
      <w:r w:rsidR="00CB5F2B" w:rsidRPr="00293C29">
        <w:rPr>
          <w:lang w:val="en-GB"/>
        </w:rPr>
        <w:t xml:space="preserve">FVC and a higher </w:t>
      </w:r>
      <w:r w:rsidRPr="00293C29">
        <w:rPr>
          <w:lang w:val="en-GB"/>
        </w:rPr>
        <w:t xml:space="preserve">risk of </w:t>
      </w:r>
      <w:r w:rsidR="00CB5F2B" w:rsidRPr="00293C29">
        <w:rPr>
          <w:lang w:val="en-GB"/>
        </w:rPr>
        <w:t xml:space="preserve">spirometric </w:t>
      </w:r>
      <w:r w:rsidRPr="00293C29">
        <w:rPr>
          <w:lang w:val="en-GB"/>
        </w:rPr>
        <w:t>restriction, but not airflow obstruction</w:t>
      </w:r>
      <w:r w:rsidR="00CB5F2B" w:rsidRPr="00293C29">
        <w:rPr>
          <w:lang w:val="en-GB"/>
        </w:rPr>
        <w:t>.</w:t>
      </w:r>
      <w:r w:rsidR="00444A1A" w:rsidRPr="00293C29">
        <w:rPr>
          <w:lang w:val="en-GB"/>
        </w:rPr>
        <w:t xml:space="preserve"> I</w:t>
      </w:r>
      <w:r w:rsidR="0051237D" w:rsidRPr="00293C29">
        <w:rPr>
          <w:lang w:val="en-GB"/>
        </w:rPr>
        <w:t xml:space="preserve">t is </w:t>
      </w:r>
      <w:r w:rsidR="00444A1A" w:rsidRPr="00293C29">
        <w:rPr>
          <w:lang w:val="en-GB"/>
        </w:rPr>
        <w:t xml:space="preserve">however </w:t>
      </w:r>
      <w:r w:rsidR="0051237D" w:rsidRPr="00293C29">
        <w:rPr>
          <w:lang w:val="en-GB"/>
        </w:rPr>
        <w:t>unclear if this association is causal.</w:t>
      </w:r>
      <w:r w:rsidR="00146CAE" w:rsidRPr="00293C29">
        <w:rPr>
          <w:i/>
          <w:lang w:val="en-GB"/>
        </w:rPr>
        <w:t xml:space="preserve"> </w:t>
      </w:r>
      <w:r w:rsidR="0051237D" w:rsidRPr="00293C29">
        <w:rPr>
          <w:lang w:val="en-GB"/>
        </w:rPr>
        <w:t xml:space="preserve">We </w:t>
      </w:r>
      <w:r w:rsidR="003A3CBB" w:rsidRPr="00293C29">
        <w:rPr>
          <w:lang w:val="en-GB"/>
        </w:rPr>
        <w:t xml:space="preserve">therefore </w:t>
      </w:r>
      <w:r w:rsidR="00BF26BE" w:rsidRPr="00293C29">
        <w:rPr>
          <w:lang w:val="en-GB"/>
        </w:rPr>
        <w:t>used</w:t>
      </w:r>
      <w:r w:rsidR="00252DC8" w:rsidRPr="00293C29">
        <w:rPr>
          <w:lang w:val="en-GB"/>
        </w:rPr>
        <w:t xml:space="preserve"> </w:t>
      </w:r>
      <w:r w:rsidR="003A3CBB" w:rsidRPr="00293C29">
        <w:rPr>
          <w:lang w:val="en-GB"/>
        </w:rPr>
        <w:t xml:space="preserve">a </w:t>
      </w:r>
      <w:r w:rsidR="0051237D" w:rsidRPr="00293C29">
        <w:rPr>
          <w:lang w:val="en-GB"/>
        </w:rPr>
        <w:t>Mendelian randomization (MR)</w:t>
      </w:r>
      <w:r w:rsidR="003A3CBB" w:rsidRPr="00293C29">
        <w:rPr>
          <w:lang w:val="en-GB"/>
        </w:rPr>
        <w:t xml:space="preserve"> approach</w:t>
      </w:r>
      <w:r w:rsidR="004851A0" w:rsidRPr="00293C29">
        <w:rPr>
          <w:lang w:val="en-GB"/>
        </w:rPr>
        <w:t>,</w:t>
      </w:r>
      <w:r w:rsidR="009942A7" w:rsidRPr="00293C29">
        <w:rPr>
          <w:lang w:val="en-GB"/>
        </w:rPr>
        <w:t xml:space="preserve"> </w:t>
      </w:r>
      <w:r w:rsidR="004851A0" w:rsidRPr="00293C29">
        <w:rPr>
          <w:lang w:val="en-GB"/>
        </w:rPr>
        <w:t>which</w:t>
      </w:r>
      <w:r w:rsidR="009942A7" w:rsidRPr="00293C29">
        <w:rPr>
          <w:lang w:val="en-GB"/>
        </w:rPr>
        <w:t xml:space="preserve"> is not affected by </w:t>
      </w:r>
      <w:r w:rsidR="009062C9" w:rsidRPr="00293C29">
        <w:rPr>
          <w:lang w:val="en-GB"/>
        </w:rPr>
        <w:t xml:space="preserve">classical </w:t>
      </w:r>
      <w:r w:rsidR="009942A7" w:rsidRPr="00293C29">
        <w:rPr>
          <w:lang w:val="en-GB"/>
        </w:rPr>
        <w:t>confounding,</w:t>
      </w:r>
      <w:r w:rsidR="0051237D" w:rsidRPr="00293C29">
        <w:rPr>
          <w:lang w:val="en-GB"/>
        </w:rPr>
        <w:t xml:space="preserve"> to assess the effect of age at </w:t>
      </w:r>
      <w:r w:rsidR="00F65178" w:rsidRPr="00293C29">
        <w:rPr>
          <w:lang w:val="en-GB"/>
        </w:rPr>
        <w:t xml:space="preserve">natural </w:t>
      </w:r>
      <w:r w:rsidR="0051237D" w:rsidRPr="00293C29">
        <w:rPr>
          <w:lang w:val="en-GB"/>
        </w:rPr>
        <w:t xml:space="preserve">menopause on lung function. </w:t>
      </w:r>
    </w:p>
    <w:p w14:paraId="28D27640" w14:textId="5D3DE777" w:rsidR="002C48C9" w:rsidRPr="00293C29" w:rsidRDefault="00194C47" w:rsidP="00A87748">
      <w:pPr>
        <w:spacing w:after="120"/>
        <w:jc w:val="both"/>
        <w:rPr>
          <w:lang w:val="en-GB"/>
        </w:rPr>
      </w:pPr>
      <w:r w:rsidRPr="00293C29">
        <w:rPr>
          <w:lang w:val="en-GB"/>
        </w:rPr>
        <w:t>We included 94,742 naturally post-menopausal women from UK Biobank and performed MR analyses o</w:t>
      </w:r>
      <w:r w:rsidR="009233C5" w:rsidRPr="00293C29">
        <w:rPr>
          <w:lang w:val="en-GB"/>
        </w:rPr>
        <w:t>n</w:t>
      </w:r>
      <w:r w:rsidRPr="00293C29">
        <w:rPr>
          <w:lang w:val="en-GB"/>
        </w:rPr>
        <w:t xml:space="preserve"> the effect of age at menopause on </w:t>
      </w:r>
      <w:r w:rsidR="000711DB" w:rsidRPr="00293C29">
        <w:rPr>
          <w:lang w:val="en-GB"/>
        </w:rPr>
        <w:t>FEV</w:t>
      </w:r>
      <w:r w:rsidR="000711DB" w:rsidRPr="00293C29">
        <w:rPr>
          <w:vertAlign w:val="subscript"/>
          <w:lang w:val="en-GB"/>
        </w:rPr>
        <w:t>1</w:t>
      </w:r>
      <w:r w:rsidR="000711DB" w:rsidRPr="00293C29">
        <w:rPr>
          <w:lang w:val="en-GB"/>
        </w:rPr>
        <w:t xml:space="preserve">, </w:t>
      </w:r>
      <w:r w:rsidRPr="00293C29">
        <w:rPr>
          <w:lang w:val="en-GB"/>
        </w:rPr>
        <w:t>FVC, FEV</w:t>
      </w:r>
      <w:r w:rsidRPr="00293C29">
        <w:rPr>
          <w:vertAlign w:val="subscript"/>
          <w:lang w:val="en-GB"/>
        </w:rPr>
        <w:t>1</w:t>
      </w:r>
      <w:r w:rsidRPr="00293C29">
        <w:rPr>
          <w:lang w:val="en-GB"/>
        </w:rPr>
        <w:t xml:space="preserve">/FVC, </w:t>
      </w:r>
      <w:r w:rsidR="004F462C" w:rsidRPr="00293C29">
        <w:rPr>
          <w:lang w:val="en-GB"/>
        </w:rPr>
        <w:t xml:space="preserve">spirometric </w:t>
      </w:r>
      <w:r w:rsidRPr="00293C29">
        <w:rPr>
          <w:lang w:val="en-GB"/>
        </w:rPr>
        <w:t>restricti</w:t>
      </w:r>
      <w:r w:rsidR="00E404E3" w:rsidRPr="00293C29">
        <w:rPr>
          <w:lang w:val="en-GB"/>
        </w:rPr>
        <w:t>on</w:t>
      </w:r>
      <w:r w:rsidR="00845086" w:rsidRPr="00293C29">
        <w:rPr>
          <w:lang w:val="en-GB"/>
        </w:rPr>
        <w:t xml:space="preserve"> </w:t>
      </w:r>
      <w:r w:rsidRPr="00293C29">
        <w:rPr>
          <w:lang w:val="en-GB"/>
        </w:rPr>
        <w:t xml:space="preserve">(FVC&lt;LLN) and </w:t>
      </w:r>
      <w:r w:rsidR="004F462C" w:rsidRPr="00293C29">
        <w:rPr>
          <w:lang w:val="en-GB"/>
        </w:rPr>
        <w:t xml:space="preserve">airflow </w:t>
      </w:r>
      <w:r w:rsidRPr="00293C29">
        <w:rPr>
          <w:lang w:val="en-GB"/>
        </w:rPr>
        <w:t>obstruc</w:t>
      </w:r>
      <w:r w:rsidR="00E404E3" w:rsidRPr="00293C29">
        <w:rPr>
          <w:lang w:val="en-GB"/>
        </w:rPr>
        <w:t>tion</w:t>
      </w:r>
      <w:r w:rsidR="00845086" w:rsidRPr="00293C29">
        <w:rPr>
          <w:lang w:val="en-GB"/>
        </w:rPr>
        <w:t xml:space="preserve"> </w:t>
      </w:r>
      <w:r w:rsidRPr="00293C29">
        <w:rPr>
          <w:lang w:val="en-GB"/>
        </w:rPr>
        <w:t>(FEV</w:t>
      </w:r>
      <w:r w:rsidRPr="00293C29">
        <w:rPr>
          <w:vertAlign w:val="subscript"/>
          <w:lang w:val="en-GB"/>
        </w:rPr>
        <w:t>1</w:t>
      </w:r>
      <w:r w:rsidRPr="00293C29">
        <w:rPr>
          <w:lang w:val="en-GB"/>
        </w:rPr>
        <w:t>/FVC&lt;LLN)</w:t>
      </w:r>
      <w:r w:rsidR="00766222" w:rsidRPr="00293C29">
        <w:rPr>
          <w:lang w:val="en-GB"/>
        </w:rPr>
        <w:t>.</w:t>
      </w:r>
      <w:r w:rsidR="00816C86" w:rsidRPr="00293C29">
        <w:rPr>
          <w:lang w:val="en-GB"/>
        </w:rPr>
        <w:t xml:space="preserve"> </w:t>
      </w:r>
      <w:r w:rsidRPr="00293C29">
        <w:rPr>
          <w:lang w:val="en-GB"/>
        </w:rPr>
        <w:t xml:space="preserve">We used the inverse variance-weighted (IVW) method, </w:t>
      </w:r>
      <w:r w:rsidR="00F71DFA" w:rsidRPr="00293C29">
        <w:rPr>
          <w:lang w:val="en-GB"/>
        </w:rPr>
        <w:t>as well as methods that adjust</w:t>
      </w:r>
      <w:r w:rsidRPr="00293C29">
        <w:rPr>
          <w:lang w:val="en-GB"/>
        </w:rPr>
        <w:t xml:space="preserve"> for pleiotropy, and compared MR </w:t>
      </w:r>
      <w:r w:rsidR="00B10B35" w:rsidRPr="00293C29">
        <w:rPr>
          <w:lang w:val="en-GB"/>
        </w:rPr>
        <w:t xml:space="preserve">with observational </w:t>
      </w:r>
      <w:r w:rsidR="00F71DFA" w:rsidRPr="00293C29">
        <w:rPr>
          <w:lang w:val="en-GB"/>
        </w:rPr>
        <w:t>analyses</w:t>
      </w:r>
      <w:r w:rsidR="00B10B35" w:rsidRPr="00293C29">
        <w:rPr>
          <w:lang w:val="en-GB"/>
        </w:rPr>
        <w:t xml:space="preserve">. </w:t>
      </w:r>
    </w:p>
    <w:p w14:paraId="2D0F4B7E" w14:textId="4984A064" w:rsidR="00476D4A" w:rsidRPr="00293C29" w:rsidRDefault="00F71DFA" w:rsidP="00A87748">
      <w:pPr>
        <w:spacing w:after="120"/>
        <w:jc w:val="both"/>
        <w:rPr>
          <w:lang w:val="en-GB"/>
        </w:rPr>
      </w:pPr>
      <w:r w:rsidRPr="00293C29">
        <w:rPr>
          <w:lang w:val="en-GB"/>
        </w:rPr>
        <w:t>The MR analyses showed</w:t>
      </w:r>
      <w:r w:rsidR="00037833" w:rsidRPr="00293C29">
        <w:rPr>
          <w:lang w:val="en-GB"/>
        </w:rPr>
        <w:t xml:space="preserve"> </w:t>
      </w:r>
      <w:r w:rsidR="004C0B50" w:rsidRPr="00293C29">
        <w:rPr>
          <w:lang w:val="en-GB"/>
        </w:rPr>
        <w:t xml:space="preserve">higher </w:t>
      </w:r>
      <w:r w:rsidR="00194C47" w:rsidRPr="00293C29">
        <w:rPr>
          <w:lang w:val="en-GB"/>
        </w:rPr>
        <w:t>FEV</w:t>
      </w:r>
      <w:r w:rsidR="00194C47" w:rsidRPr="00293C29">
        <w:rPr>
          <w:vertAlign w:val="subscript"/>
          <w:lang w:val="en-GB"/>
        </w:rPr>
        <w:t>1</w:t>
      </w:r>
      <w:r w:rsidR="00194C47" w:rsidRPr="00293C29">
        <w:rPr>
          <w:lang w:val="en-GB"/>
        </w:rPr>
        <w:t xml:space="preserve">/FVC and a </w:t>
      </w:r>
      <w:r w:rsidR="00665DC0" w:rsidRPr="00293C29">
        <w:rPr>
          <w:lang w:val="en-GB"/>
        </w:rPr>
        <w:t xml:space="preserve">15% </w:t>
      </w:r>
      <w:r w:rsidR="004C0B50" w:rsidRPr="00293C29">
        <w:rPr>
          <w:lang w:val="en-GB"/>
        </w:rPr>
        <w:t xml:space="preserve">lower </w:t>
      </w:r>
      <w:r w:rsidRPr="00293C29">
        <w:rPr>
          <w:lang w:val="en-GB"/>
        </w:rPr>
        <w:t xml:space="preserve">risk of </w:t>
      </w:r>
      <w:r w:rsidR="00AA021F" w:rsidRPr="00293C29">
        <w:rPr>
          <w:lang w:val="en-GB"/>
        </w:rPr>
        <w:t>airflow obstruction</w:t>
      </w:r>
      <w:r w:rsidR="00665DC0" w:rsidRPr="00293C29">
        <w:rPr>
          <w:lang w:val="en-GB"/>
        </w:rPr>
        <w:t xml:space="preserve"> </w:t>
      </w:r>
      <w:r w:rsidRPr="00293C29">
        <w:rPr>
          <w:lang w:val="en-GB"/>
        </w:rPr>
        <w:t xml:space="preserve">for women with early (&lt;45 years) </w:t>
      </w:r>
      <w:r w:rsidR="00B92411" w:rsidRPr="00293C29">
        <w:rPr>
          <w:lang w:val="en-GB"/>
        </w:rPr>
        <w:t>compared to normal (45-55)</w:t>
      </w:r>
      <w:r w:rsidRPr="00293C29">
        <w:rPr>
          <w:lang w:val="en-GB"/>
        </w:rPr>
        <w:t xml:space="preserve"> menopause</w:t>
      </w:r>
      <w:r w:rsidR="00665DC0" w:rsidRPr="00293C29">
        <w:rPr>
          <w:lang w:val="en-GB"/>
        </w:rPr>
        <w:t>.</w:t>
      </w:r>
      <w:r w:rsidR="00194C47" w:rsidRPr="00293C29">
        <w:rPr>
          <w:lang w:val="en-GB"/>
        </w:rPr>
        <w:t xml:space="preserve"> </w:t>
      </w:r>
      <w:r w:rsidR="009B57D0" w:rsidRPr="00293C29">
        <w:rPr>
          <w:lang w:val="en-GB"/>
        </w:rPr>
        <w:t>Despite some evidence</w:t>
      </w:r>
      <w:r w:rsidR="007D3BB2" w:rsidRPr="00293C29">
        <w:rPr>
          <w:lang w:val="en-GB"/>
        </w:rPr>
        <w:t xml:space="preserve"> </w:t>
      </w:r>
      <w:r w:rsidR="00CB5F2B" w:rsidRPr="00293C29">
        <w:rPr>
          <w:lang w:val="en-GB"/>
        </w:rPr>
        <w:t xml:space="preserve">of </w:t>
      </w:r>
      <w:r w:rsidR="00194C47" w:rsidRPr="00293C29">
        <w:rPr>
          <w:lang w:val="en-GB"/>
        </w:rPr>
        <w:t xml:space="preserve">pleiotropy, the results were consistent when using MR methods robust to pleiotropy. </w:t>
      </w:r>
      <w:r w:rsidR="00480CEB" w:rsidRPr="00293C29">
        <w:rPr>
          <w:lang w:val="en-GB"/>
        </w:rPr>
        <w:t>Similar results were found among never- and ever-smokers, while t</w:t>
      </w:r>
      <w:r w:rsidR="00194C47" w:rsidRPr="00293C29">
        <w:rPr>
          <w:lang w:val="en-GB"/>
        </w:rPr>
        <w:t xml:space="preserve">he protective effect </w:t>
      </w:r>
      <w:r w:rsidR="00C34F11" w:rsidRPr="00293C29">
        <w:rPr>
          <w:lang w:val="en-GB"/>
        </w:rPr>
        <w:t xml:space="preserve">seemed </w:t>
      </w:r>
      <w:r w:rsidR="00194C47" w:rsidRPr="00293C29">
        <w:rPr>
          <w:lang w:val="en-GB"/>
        </w:rPr>
        <w:t xml:space="preserve">less strong in women </w:t>
      </w:r>
      <w:r w:rsidR="00CB5F2B" w:rsidRPr="00293C29">
        <w:rPr>
          <w:lang w:val="en-GB"/>
        </w:rPr>
        <w:t xml:space="preserve">ever </w:t>
      </w:r>
      <w:r w:rsidR="00194C47" w:rsidRPr="00293C29">
        <w:rPr>
          <w:lang w:val="en-GB"/>
        </w:rPr>
        <w:t xml:space="preserve">using menopause hormone treatment and </w:t>
      </w:r>
      <w:r w:rsidR="00CB5F2B" w:rsidRPr="00293C29">
        <w:rPr>
          <w:lang w:val="en-GB"/>
        </w:rPr>
        <w:t xml:space="preserve">in </w:t>
      </w:r>
      <w:r w:rsidR="0036714A" w:rsidRPr="00293C29">
        <w:rPr>
          <w:lang w:val="en-GB"/>
        </w:rPr>
        <w:t xml:space="preserve">overweight </w:t>
      </w:r>
      <w:r w:rsidR="00194C47" w:rsidRPr="00293C29">
        <w:rPr>
          <w:lang w:val="en-GB"/>
        </w:rPr>
        <w:t>women.</w:t>
      </w:r>
      <w:r w:rsidR="002E32D6" w:rsidRPr="00293C29">
        <w:rPr>
          <w:lang w:val="en-GB"/>
        </w:rPr>
        <w:t xml:space="preserve"> </w:t>
      </w:r>
      <w:r w:rsidR="00F43964" w:rsidRPr="00293C29">
        <w:rPr>
          <w:lang w:val="en-GB"/>
        </w:rPr>
        <w:t xml:space="preserve">There was no strong evidence </w:t>
      </w:r>
      <w:r w:rsidR="00A568EB" w:rsidRPr="00293C29">
        <w:rPr>
          <w:lang w:val="en-GB"/>
        </w:rPr>
        <w:t>of association</w:t>
      </w:r>
      <w:r w:rsidR="00B0511A" w:rsidRPr="00293C29">
        <w:rPr>
          <w:lang w:val="en-GB"/>
        </w:rPr>
        <w:t xml:space="preserve"> with FVC or spirometric restriction. In o</w:t>
      </w:r>
      <w:r w:rsidR="001B6563" w:rsidRPr="00293C29">
        <w:rPr>
          <w:lang w:val="en-GB"/>
        </w:rPr>
        <w:t>bservational</w:t>
      </w:r>
      <w:r w:rsidR="002D77CF" w:rsidRPr="00293C29">
        <w:rPr>
          <w:lang w:val="en-GB"/>
        </w:rPr>
        <w:t xml:space="preserve"> analys</w:t>
      </w:r>
      <w:r w:rsidR="00370CE5" w:rsidRPr="00293C29">
        <w:rPr>
          <w:lang w:val="en-GB"/>
        </w:rPr>
        <w:t>e</w:t>
      </w:r>
      <w:r w:rsidR="002D77CF" w:rsidRPr="00293C29">
        <w:rPr>
          <w:lang w:val="en-GB"/>
        </w:rPr>
        <w:t xml:space="preserve">s </w:t>
      </w:r>
      <w:r w:rsidR="00F43964" w:rsidRPr="00293C29">
        <w:rPr>
          <w:lang w:val="en-GB"/>
        </w:rPr>
        <w:t xml:space="preserve">of </w:t>
      </w:r>
      <w:r w:rsidR="002D77CF" w:rsidRPr="00293C29">
        <w:rPr>
          <w:lang w:val="en-GB"/>
        </w:rPr>
        <w:t xml:space="preserve">the same </w:t>
      </w:r>
      <w:r w:rsidR="00F43964" w:rsidRPr="00293C29">
        <w:rPr>
          <w:lang w:val="en-GB"/>
        </w:rPr>
        <w:t>dataset</w:t>
      </w:r>
      <w:r w:rsidR="00B0511A" w:rsidRPr="00293C29">
        <w:rPr>
          <w:lang w:val="en-GB"/>
        </w:rPr>
        <w:t xml:space="preserve">, </w:t>
      </w:r>
      <w:r w:rsidR="001B6563" w:rsidRPr="00293C29">
        <w:rPr>
          <w:lang w:val="en-GB"/>
        </w:rPr>
        <w:t xml:space="preserve">early menopause was associated with </w:t>
      </w:r>
      <w:r w:rsidR="004B668A" w:rsidRPr="00293C29">
        <w:rPr>
          <w:lang w:val="en-GB"/>
        </w:rPr>
        <w:t xml:space="preserve">a pronounced reduction in </w:t>
      </w:r>
      <w:r w:rsidR="005F730D" w:rsidRPr="00293C29">
        <w:rPr>
          <w:lang w:val="en-GB"/>
        </w:rPr>
        <w:t>FVC</w:t>
      </w:r>
      <w:r w:rsidR="004B668A" w:rsidRPr="00293C29">
        <w:rPr>
          <w:lang w:val="en-GB"/>
        </w:rPr>
        <w:t xml:space="preserve"> </w:t>
      </w:r>
      <w:r w:rsidR="001B6563" w:rsidRPr="00293C29">
        <w:rPr>
          <w:lang w:val="en-GB"/>
        </w:rPr>
        <w:t>and a 13% higher spirometric restriction</w:t>
      </w:r>
      <w:r w:rsidR="001032B8" w:rsidRPr="00293C29">
        <w:rPr>
          <w:lang w:val="en-GB"/>
        </w:rPr>
        <w:t xml:space="preserve"> risk</w:t>
      </w:r>
      <w:r w:rsidR="001B6563" w:rsidRPr="00293C29">
        <w:rPr>
          <w:lang w:val="en-GB"/>
        </w:rPr>
        <w:t>.</w:t>
      </w:r>
    </w:p>
    <w:p w14:paraId="3ECFFD3C" w14:textId="3B7DEEDF" w:rsidR="00BC6128" w:rsidRPr="00293C29" w:rsidRDefault="006738B7" w:rsidP="00A87748">
      <w:pPr>
        <w:spacing w:after="120"/>
        <w:jc w:val="both"/>
        <w:rPr>
          <w:lang w:val="en-GB"/>
        </w:rPr>
      </w:pPr>
      <w:r w:rsidRPr="00293C29">
        <w:rPr>
          <w:lang w:val="en-GB"/>
        </w:rPr>
        <w:t>Our</w:t>
      </w:r>
      <w:r w:rsidR="00F250D4" w:rsidRPr="00293C29">
        <w:rPr>
          <w:lang w:val="en-GB"/>
        </w:rPr>
        <w:t xml:space="preserve"> MR results suggest that early menopause has a protective effect on </w:t>
      </w:r>
      <w:r w:rsidR="007839FD" w:rsidRPr="00293C29">
        <w:rPr>
          <w:lang w:val="en-GB"/>
        </w:rPr>
        <w:t>airflow</w:t>
      </w:r>
      <w:r w:rsidR="00F250D4" w:rsidRPr="00293C29">
        <w:rPr>
          <w:lang w:val="en-GB"/>
        </w:rPr>
        <w:t xml:space="preserve"> obstruction</w:t>
      </w:r>
      <w:r w:rsidR="00A420AD" w:rsidRPr="00293C29">
        <w:rPr>
          <w:lang w:val="en-GB"/>
        </w:rPr>
        <w:t>.</w:t>
      </w:r>
      <w:r w:rsidR="008515CE" w:rsidRPr="00293C29">
        <w:rPr>
          <w:lang w:val="en-GB"/>
        </w:rPr>
        <w:t xml:space="preserve"> Further studies are </w:t>
      </w:r>
      <w:r w:rsidR="003A3CBB" w:rsidRPr="00293C29">
        <w:rPr>
          <w:lang w:val="en-GB"/>
        </w:rPr>
        <w:t xml:space="preserve">warranted </w:t>
      </w:r>
      <w:r w:rsidR="00395B1E" w:rsidRPr="00293C29">
        <w:rPr>
          <w:lang w:val="en-GB"/>
        </w:rPr>
        <w:t xml:space="preserve">to better understand the inconsistency with observational findings, and </w:t>
      </w:r>
      <w:r w:rsidR="008515CE" w:rsidRPr="00293C29">
        <w:rPr>
          <w:lang w:val="en-GB"/>
        </w:rPr>
        <w:t xml:space="preserve">to </w:t>
      </w:r>
      <w:r w:rsidR="00BC6128" w:rsidRPr="00293C29">
        <w:rPr>
          <w:lang w:val="en-GB"/>
        </w:rPr>
        <w:t xml:space="preserve">investigate </w:t>
      </w:r>
      <w:r w:rsidR="00002728" w:rsidRPr="00293C29">
        <w:rPr>
          <w:lang w:val="en-GB"/>
        </w:rPr>
        <w:t>the underlying mechanism</w:t>
      </w:r>
      <w:r w:rsidR="00395B1E" w:rsidRPr="00293C29">
        <w:rPr>
          <w:lang w:val="en-GB"/>
        </w:rPr>
        <w:t>s</w:t>
      </w:r>
      <w:r w:rsidR="00002728" w:rsidRPr="00293C29">
        <w:rPr>
          <w:lang w:val="en-GB"/>
        </w:rPr>
        <w:t xml:space="preserve"> and role of female sex hormones</w:t>
      </w:r>
      <w:r w:rsidR="00370CE5" w:rsidRPr="00293C29">
        <w:rPr>
          <w:lang w:val="en-GB"/>
        </w:rPr>
        <w:t>.</w:t>
      </w:r>
    </w:p>
    <w:p w14:paraId="4C32C62E" w14:textId="77777777" w:rsidR="003A3253" w:rsidRPr="00293C29" w:rsidRDefault="003A3253" w:rsidP="00A87748">
      <w:pPr>
        <w:spacing w:after="120"/>
        <w:jc w:val="both"/>
        <w:rPr>
          <w:lang w:val="en-GB"/>
        </w:rPr>
      </w:pPr>
    </w:p>
    <w:p w14:paraId="52E9B551" w14:textId="05C7F2B7" w:rsidR="003A3253" w:rsidRPr="00293C29" w:rsidRDefault="003A3253" w:rsidP="00A87748">
      <w:pPr>
        <w:spacing w:after="120"/>
        <w:rPr>
          <w:lang w:val="en-GB"/>
        </w:rPr>
      </w:pPr>
      <w:r w:rsidRPr="00293C29">
        <w:rPr>
          <w:b/>
          <w:lang w:val="en-GB"/>
        </w:rPr>
        <w:t>Word count:</w:t>
      </w:r>
      <w:r w:rsidRPr="00293C29">
        <w:rPr>
          <w:lang w:val="en-GB"/>
        </w:rPr>
        <w:t xml:space="preserve"> </w:t>
      </w:r>
      <w:r w:rsidR="00BC1977" w:rsidRPr="00293C29">
        <w:rPr>
          <w:lang w:val="en-GB"/>
        </w:rPr>
        <w:t>250</w:t>
      </w:r>
      <w:r w:rsidR="00395B1E" w:rsidRPr="00293C29">
        <w:rPr>
          <w:lang w:val="en-GB"/>
        </w:rPr>
        <w:t xml:space="preserve"> </w:t>
      </w:r>
      <w:r w:rsidRPr="00293C29">
        <w:rPr>
          <w:lang w:val="en-GB"/>
        </w:rPr>
        <w:t>words</w:t>
      </w:r>
    </w:p>
    <w:p w14:paraId="16685335" w14:textId="14A4CA0B" w:rsidR="00A568EB" w:rsidRPr="00293C29" w:rsidRDefault="00A13BBF" w:rsidP="00A87748">
      <w:pPr>
        <w:spacing w:after="120"/>
        <w:jc w:val="both"/>
        <w:rPr>
          <w:b/>
          <w:sz w:val="24"/>
          <w:szCs w:val="24"/>
          <w:lang w:val="en-GB"/>
        </w:rPr>
      </w:pPr>
      <w:r w:rsidRPr="00293C29">
        <w:rPr>
          <w:b/>
          <w:lang w:val="en-GB"/>
        </w:rPr>
        <w:t>Keywords</w:t>
      </w:r>
      <w:r w:rsidRPr="00293C29">
        <w:rPr>
          <w:lang w:val="en-GB"/>
        </w:rPr>
        <w:t xml:space="preserve">: </w:t>
      </w:r>
      <w:r w:rsidR="00C420A5" w:rsidRPr="00293C29">
        <w:rPr>
          <w:lang w:val="en-GB"/>
        </w:rPr>
        <w:t>Early m</w:t>
      </w:r>
      <w:r w:rsidR="005B1B07" w:rsidRPr="00293C29">
        <w:rPr>
          <w:lang w:val="en-GB"/>
        </w:rPr>
        <w:t>enopause</w:t>
      </w:r>
      <w:r w:rsidR="00232797" w:rsidRPr="00293C29">
        <w:rPr>
          <w:lang w:val="en-GB"/>
        </w:rPr>
        <w:t>;</w:t>
      </w:r>
      <w:r w:rsidR="00C420A5" w:rsidRPr="00293C29">
        <w:rPr>
          <w:lang w:val="en-GB"/>
        </w:rPr>
        <w:t xml:space="preserve"> Airflow obstruction;</w:t>
      </w:r>
      <w:r w:rsidRPr="00293C29">
        <w:rPr>
          <w:lang w:val="en-GB"/>
        </w:rPr>
        <w:t xml:space="preserve"> </w:t>
      </w:r>
      <w:r w:rsidR="00BC1977" w:rsidRPr="00293C29">
        <w:rPr>
          <w:lang w:val="en-GB"/>
        </w:rPr>
        <w:t>Mendelian randomization</w:t>
      </w:r>
      <w:r w:rsidR="00C420A5" w:rsidRPr="00293C29">
        <w:rPr>
          <w:lang w:val="en-GB"/>
        </w:rPr>
        <w:t xml:space="preserve">; </w:t>
      </w:r>
      <w:r w:rsidR="00BC1977" w:rsidRPr="00293C29">
        <w:rPr>
          <w:lang w:val="en-GB"/>
        </w:rPr>
        <w:t>Sex h</w:t>
      </w:r>
      <w:r w:rsidR="00C420A5" w:rsidRPr="00293C29">
        <w:rPr>
          <w:lang w:val="en-GB"/>
        </w:rPr>
        <w:t>ormones</w:t>
      </w:r>
      <w:r w:rsidR="00A568EB" w:rsidRPr="00293C29">
        <w:rPr>
          <w:b/>
          <w:sz w:val="24"/>
          <w:szCs w:val="24"/>
          <w:lang w:val="en-GB"/>
        </w:rPr>
        <w:br w:type="page"/>
      </w:r>
    </w:p>
    <w:p w14:paraId="59A36A3A" w14:textId="08DCB715" w:rsidR="00336FE2" w:rsidRPr="00293C29" w:rsidRDefault="00336FE2" w:rsidP="00A87748">
      <w:pPr>
        <w:spacing w:after="120"/>
        <w:jc w:val="both"/>
        <w:rPr>
          <w:b/>
          <w:sz w:val="24"/>
          <w:szCs w:val="24"/>
          <w:lang w:val="en-GB"/>
        </w:rPr>
      </w:pPr>
      <w:r w:rsidRPr="00293C29">
        <w:rPr>
          <w:b/>
          <w:sz w:val="24"/>
          <w:szCs w:val="24"/>
          <w:lang w:val="en-GB"/>
        </w:rPr>
        <w:lastRenderedPageBreak/>
        <w:t>Introduction</w:t>
      </w:r>
    </w:p>
    <w:p w14:paraId="6D2F16B9" w14:textId="6E821DD8" w:rsidR="008621D5" w:rsidRPr="00293C29" w:rsidRDefault="00E56A43" w:rsidP="00A87748">
      <w:pPr>
        <w:spacing w:after="120"/>
        <w:jc w:val="both"/>
        <w:rPr>
          <w:lang w:val="en-GB"/>
        </w:rPr>
      </w:pPr>
      <w:r w:rsidRPr="00293C29">
        <w:rPr>
          <w:lang w:val="en-GB"/>
        </w:rPr>
        <w:t>W</w:t>
      </w:r>
      <w:r w:rsidR="0083648B" w:rsidRPr="00293C29">
        <w:rPr>
          <w:lang w:val="en-GB"/>
        </w:rPr>
        <w:t xml:space="preserve">omen are more susceptible to develop </w:t>
      </w:r>
      <w:r w:rsidRPr="00293C29">
        <w:rPr>
          <w:lang w:val="en-GB"/>
        </w:rPr>
        <w:t>chronic obstructive pulmonary disease (</w:t>
      </w:r>
      <w:r w:rsidR="0083648B" w:rsidRPr="00293C29">
        <w:rPr>
          <w:lang w:val="en-GB"/>
        </w:rPr>
        <w:t>COPD</w:t>
      </w:r>
      <w:r w:rsidRPr="00293C29">
        <w:rPr>
          <w:lang w:val="en-GB"/>
        </w:rPr>
        <w:t>)</w:t>
      </w:r>
      <w:r w:rsidR="0083648B" w:rsidRPr="00293C29">
        <w:rPr>
          <w:lang w:val="en-GB"/>
        </w:rPr>
        <w:t xml:space="preserve"> </w:t>
      </w:r>
      <w:r w:rsidR="005518CD" w:rsidRPr="00293C29">
        <w:rPr>
          <w:lang w:val="en-GB"/>
        </w:rPr>
        <w:t>than</w:t>
      </w:r>
      <w:r w:rsidR="0083648B" w:rsidRPr="00293C29">
        <w:rPr>
          <w:lang w:val="en-GB"/>
        </w:rPr>
        <w:t xml:space="preserve"> men</w:t>
      </w:r>
      <w:r w:rsidR="00E06735" w:rsidRPr="00293C29">
        <w:rPr>
          <w:lang w:val="en-GB"/>
        </w:rPr>
        <w:t xml:space="preserve">, </w:t>
      </w:r>
      <w:r w:rsidR="006638CA" w:rsidRPr="00293C29">
        <w:rPr>
          <w:lang w:val="en-GB"/>
        </w:rPr>
        <w:t>especially</w:t>
      </w:r>
      <w:r w:rsidR="00E06735" w:rsidRPr="00293C29">
        <w:rPr>
          <w:lang w:val="en-GB"/>
        </w:rPr>
        <w:t xml:space="preserve"> among never-smokers</w:t>
      </w:r>
      <w:r w:rsidR="00353F50" w:rsidRPr="00293C29">
        <w:rPr>
          <w:lang w:val="en-GB"/>
        </w:rPr>
        <w:t>,</w:t>
      </w:r>
      <w:r w:rsidR="0083648B" w:rsidRPr="00293C29">
        <w:rPr>
          <w:lang w:val="en-GB"/>
        </w:rPr>
        <w:fldChar w:fldCharType="begin" w:fldLock="1"/>
      </w:r>
      <w:r w:rsidR="00C4516C">
        <w:rPr>
          <w:lang w:val="en-GB"/>
        </w:rPr>
        <w:instrText>ADDIN CSL_CITATION {"citationItems":[{"id":"ITEM-1","itemData":{"abstract":"The concepts of susceptibility and vulnerability are intertwined because vulnerability is sometimes a consequence of being susceptible. Women are more likely to be susceptible to chronic obstructive pulmonary disease (COPD) than men [1]. As many women continue to smoke during pregnancy, the impact of tobacco in women can begin before birth [2], because maternal smoking during pregnancy may increase the risk of childhood respiratory diseases [3] and reduce lung function [2]. Indeed, this susceptibility starts before women become smokers. For example, women with specific genotype variants are at a significantly increased risk of becoming heavy smokers [4], while those women with the haplotype TAS2R38 (proline-alanine-valine) have a genetic propensity to experience heightened bitter taste perception and an increased preference for menthol cigarettes [5]. Recent findings of the Global Youth Tobacco survey on adolescents aged 13–15 years showed that young girls smoke as much as young boys [6]. The early onset of smoking may have a greater deleterious impact on lung function among girls [7] because their lungs are smaller than those of males. Accordingly, the same exposure to a given number of cigarettes smoked can lead to more deleterious effects in women [8]. In this regard, once young females become smokers, addiction may be reinforced by both nicotine and the sensory and social contexts of smoking. Motivations associated with gender can provoke women to have different cues for smoking compared with males [9]; therefore, women are more vulnerable to the social context of smoking and can easily become involved in the nicotine addictive process, along with consequent disease risks.Women are both more susceptible and more vulnerable than men when it comes to COPD http://ow.ly/UhMQ3","author":[{"dropping-particle":"","family":"Sansores","given":"Raúl H","non-dropping-particle":"","parse-names":false,"suffix":""},{"dropping-particle":"","family":"Ramírez-Venegas","given":"Alejandra","non-dropping-particle":"","parse-names":false,"suffix":""}],"container-title":"European Respiratory Journal","id":"ITEM-1","issue":"1","issued":{"date-parts":[["2016","1"]]},"page":"19 LP  - 22","title":"COPD in women: susceptibility or vulnerability?","type":"article-journal","volume":"47"},"uris":["http://www.mendeley.com/documents/?uuid=7d108aff-8edb-4e51-b75c-377943dab059","http://www.mendeley.com/documents/?uuid=e3b2315f-d75e-4c05-afc6-bb2bc9aa8026"]}],"mendeley":{"formattedCitation":"[1]","plainTextFormattedCitation":"[1]","previouslyFormattedCitation":"[1]"},"properties":{"noteIndex":0},"schema":"https://github.com/citation-style-language/schema/raw/master/csl-citation.json"}</w:instrText>
      </w:r>
      <w:r w:rsidR="0083648B" w:rsidRPr="00293C29">
        <w:rPr>
          <w:lang w:val="en-GB"/>
        </w:rPr>
        <w:fldChar w:fldCharType="separate"/>
      </w:r>
      <w:r w:rsidR="00634A20" w:rsidRPr="00293C29">
        <w:rPr>
          <w:noProof/>
          <w:lang w:val="en-GB"/>
        </w:rPr>
        <w:t>[1]</w:t>
      </w:r>
      <w:r w:rsidR="0083648B" w:rsidRPr="00293C29">
        <w:rPr>
          <w:lang w:val="en-GB"/>
        </w:rPr>
        <w:fldChar w:fldCharType="end"/>
      </w:r>
      <w:r w:rsidR="009577AE" w:rsidRPr="00293C29">
        <w:rPr>
          <w:lang w:val="en-GB"/>
        </w:rPr>
        <w:t xml:space="preserve"> and</w:t>
      </w:r>
      <w:r w:rsidR="00EF3B7D" w:rsidRPr="00293C29">
        <w:rPr>
          <w:lang w:val="en-GB"/>
        </w:rPr>
        <w:t xml:space="preserve"> </w:t>
      </w:r>
      <w:r w:rsidR="009577AE" w:rsidRPr="00293C29">
        <w:rPr>
          <w:lang w:val="en-GB"/>
        </w:rPr>
        <w:t>i</w:t>
      </w:r>
      <w:r w:rsidR="00336FE2" w:rsidRPr="00293C29">
        <w:rPr>
          <w:lang w:val="en-GB"/>
        </w:rPr>
        <w:t xml:space="preserve">t is speculated that </w:t>
      </w:r>
      <w:r w:rsidR="000973CF" w:rsidRPr="00293C29">
        <w:rPr>
          <w:lang w:val="en-GB"/>
        </w:rPr>
        <w:t>these sex differences</w:t>
      </w:r>
      <w:r w:rsidR="0032269D" w:rsidRPr="00293C29">
        <w:rPr>
          <w:lang w:val="en-GB"/>
        </w:rPr>
        <w:t xml:space="preserve"> may</w:t>
      </w:r>
      <w:r w:rsidR="000973CF" w:rsidRPr="00293C29">
        <w:rPr>
          <w:lang w:val="en-GB"/>
        </w:rPr>
        <w:t xml:space="preserve"> arise partly from </w:t>
      </w:r>
      <w:r w:rsidR="00235147" w:rsidRPr="00293C29">
        <w:rPr>
          <w:lang w:val="en-GB"/>
        </w:rPr>
        <w:t xml:space="preserve">distinct sex </w:t>
      </w:r>
      <w:r w:rsidR="00C376EE" w:rsidRPr="00293C29">
        <w:rPr>
          <w:lang w:val="en-GB"/>
        </w:rPr>
        <w:t xml:space="preserve">hormone </w:t>
      </w:r>
      <w:r w:rsidR="00235147" w:rsidRPr="00293C29">
        <w:rPr>
          <w:lang w:val="en-GB"/>
        </w:rPr>
        <w:t>patterns during life.</w:t>
      </w:r>
      <w:r w:rsidR="00235147" w:rsidRPr="00293C29">
        <w:rPr>
          <w:lang w:val="en-GB"/>
        </w:rPr>
        <w:fldChar w:fldCharType="begin" w:fldLock="1"/>
      </w:r>
      <w:r w:rsidR="00C4516C">
        <w:rPr>
          <w:lang w:val="en-GB"/>
        </w:rPr>
        <w:instrText>ADDIN CSL_CITATION {"citationItems":[{"id":"ITEM-1","itemData":{"DOI":"10.1210/er.2010-0031","ISBN":"0309072816","ISSN":"0163769X","PMID":"22240244","abstract":"Sex differences in the biology of different organ systems and the influence of sex hormones in modulating health and disease are increasingly relevant in clinical and research areas. Although work has focused on sex differences and sex hormones in cardiovascular, musculoskeletal, and neuronal systems, there is now increasing clinical evidence for sex differences in incidence, morbidity, and mortality of lung diseases including allergic diseases (such as asthma), chronic obstructive pulmonary disease, pulmonary fibrosis, lung cancer, as well as pulmonary hypertension. Whether such differences are inherent and/or whether sex steroids play a role in modulating these differences is currently under investigation. The purpose of this review is to define sex differences in lung structure/function under normal and specific disease states, with exploration of whether and how sex hormone signaling mechanisms may explain these clinical observations. Focusing on adult age groups, the review addresses the following: 1) inherent sex differences in lung anatomy and physiology; 2) the importance of certain time points in life such as puberty, pregnancy, menopause, and aging; 3) expression and signaling of sex steroid receptors under normal vs. disease states; 4) potential interplay between different sex steroids; 5) the question of whether sex steroids are beneficial or detrimental to the lung; and 6) the potential use of sex steroid signaling as biomarkers and therapeutic avenues in lung diseases. The importance of focusing on sex differences and sex steroids in the lung lies in the increasing incidence of lung diseases in women and the need to address lung diseases across the life span.","author":[{"dropping-particle":"","family":"Townsend","given":"Elizabeth A.","non-dropping-particle":"","parse-names":false,"suffix":""},{"dropping-particle":"","family":"Miller","given":"Virginia M.","non-dropping-particle":"","parse-names":false,"suffix":""},{"dropping-particle":"","family":"Prakash","given":"Y. S.","non-dropping-particle":"","parse-names":false,"suffix":""}],"container-title":"Endocrine Reviews","id":"ITEM-1","issue":"1","issued":{"date-parts":[["2012"]]},"page":"1-47","title":"Sex differences and sex steroids in lung health and disease","type":"article","volume":"33"},"uris":["http://www.mendeley.com/documents/?uuid=2209efa8-eec2-4f15-9072-863b378a5c52","http://www.mendeley.com/documents/?uuid=3f3d99f8-db36-41a1-8fb9-a89fa15b1760"]}],"mendeley":{"formattedCitation":"[2]","plainTextFormattedCitation":"[2]","previouslyFormattedCitation":"[2]"},"properties":{"noteIndex":0},"schema":"https://github.com/citation-style-language/schema/raw/master/csl-citation.json"}</w:instrText>
      </w:r>
      <w:r w:rsidR="00235147" w:rsidRPr="00293C29">
        <w:rPr>
          <w:lang w:val="en-GB"/>
        </w:rPr>
        <w:fldChar w:fldCharType="separate"/>
      </w:r>
      <w:r w:rsidR="00634A20" w:rsidRPr="00293C29">
        <w:rPr>
          <w:noProof/>
          <w:lang w:val="en-GB"/>
        </w:rPr>
        <w:t>[2]</w:t>
      </w:r>
      <w:r w:rsidR="00235147" w:rsidRPr="00293C29">
        <w:rPr>
          <w:lang w:val="en-GB"/>
        </w:rPr>
        <w:fldChar w:fldCharType="end"/>
      </w:r>
      <w:r w:rsidR="00235147" w:rsidRPr="00293C29">
        <w:rPr>
          <w:lang w:val="en-GB"/>
        </w:rPr>
        <w:t xml:space="preserve"> </w:t>
      </w:r>
      <w:r w:rsidR="00BF422C" w:rsidRPr="00293C29">
        <w:rPr>
          <w:lang w:val="en-GB"/>
        </w:rPr>
        <w:t>A</w:t>
      </w:r>
      <w:r w:rsidR="00FF296C" w:rsidRPr="00293C29">
        <w:rPr>
          <w:lang w:val="en-GB"/>
        </w:rPr>
        <w:t xml:space="preserve"> major shift in sex hormone levels occurs</w:t>
      </w:r>
      <w:r w:rsidR="00BF422C" w:rsidRPr="00293C29">
        <w:rPr>
          <w:lang w:val="en-GB"/>
        </w:rPr>
        <w:t xml:space="preserve"> during menopause. </w:t>
      </w:r>
      <w:r w:rsidR="00FF296C" w:rsidRPr="00293C29">
        <w:rPr>
          <w:lang w:val="en-GB"/>
        </w:rPr>
        <w:t xml:space="preserve">Age at natural menopause </w:t>
      </w:r>
      <w:r w:rsidR="00E863F9" w:rsidRPr="00293C29">
        <w:rPr>
          <w:lang w:val="en-GB"/>
        </w:rPr>
        <w:t xml:space="preserve">shows </w:t>
      </w:r>
      <w:r w:rsidR="00FF296C" w:rsidRPr="00293C29">
        <w:rPr>
          <w:lang w:val="en-GB"/>
        </w:rPr>
        <w:t>considerabl</w:t>
      </w:r>
      <w:r w:rsidR="00E863F9" w:rsidRPr="00293C29">
        <w:rPr>
          <w:lang w:val="en-GB"/>
        </w:rPr>
        <w:t>e variability</w:t>
      </w:r>
      <w:r w:rsidR="004B00B9" w:rsidRPr="00293C29">
        <w:rPr>
          <w:lang w:val="en-GB"/>
        </w:rPr>
        <w:t xml:space="preserve"> between women, normally </w:t>
      </w:r>
      <w:r w:rsidR="00AA705C" w:rsidRPr="00293C29">
        <w:rPr>
          <w:lang w:val="en-GB"/>
        </w:rPr>
        <w:t>occurring</w:t>
      </w:r>
      <w:r w:rsidR="00FF296C" w:rsidRPr="00293C29">
        <w:rPr>
          <w:lang w:val="en-GB"/>
        </w:rPr>
        <w:t xml:space="preserve"> between 45 to 55 years of age, with an average of 51 years in European women.</w:t>
      </w:r>
      <w:r w:rsidR="00FF296C" w:rsidRPr="00293C29">
        <w:rPr>
          <w:vertAlign w:val="superscript"/>
          <w:lang w:val="en-GB"/>
        </w:rPr>
        <w:fldChar w:fldCharType="begin" w:fldLock="1"/>
      </w:r>
      <w:r w:rsidR="001A51BC">
        <w:rPr>
          <w:vertAlign w:val="superscript"/>
          <w:lang w:val="en-GB"/>
        </w:rPr>
        <w:instrText>ADDIN CSL_CITATION {"citationItems":[{"id":"ITEM-1","itemData":{"DOI":"10.1097/gme.0b013e31818aefef","ISBN":"1530-0374","ISSN":"1072-3714","PMID":"19034049","abstract":"OBJECTIVE: To investigate the variability and determinants of menopause age in two European cohort studies, the European Respiratory Health Survey and the Swiss Air Pollution and Lung Disease in Adults Cohort. METHODS: Age at menopause was estimated in 5,288 women, aged 30 to 60 years, randomly selected in nine European countries between 1998 and 2002. Determinants of natural and surgically induced menopause were investigated by Cox regression and heterogeneity by meta-analysis. Follicle-stimulating hormone and luteinizing hormone levels were assessed in a subsample. RESULTS: A quarter of the women were postmenopausal by age 50.8 years. Median age of natural menopause was 54 years. Hormone levels were within expected ranges for premenopausal and postmenopausal women. Surgically induced menopause was highly prevalent (22%-47%), associated with earlier timing of menopause. Determinants of earlier menopause were current smoking (hazard ratio [HR], 1.59; 95% CI, 1.27-1.98), body mass index greater than 30 kg/m (HR, 1.32; 95%, CI, 1.02-1.70), and low physical activity (HR, 1.37; 95%, CI, 1.12-1.67). The determinant for later menopause was multiparity (HR, 0.74; 95% CI, 0.62-0.89). Predictors were similar for naturally and surgically induced menopause. Oral contraceptive use yielded heterogeneous effects on timing of menopause. Later birth was associated with later menopause (HR, 0.934; 95% CI, 0.91-0.96). This evidence of a secular trend is heterogeneous across countries. CONCLUSIONS: Age at menopause varies across Europe, shifting toward higher ages. This secular trend seems paradoxical because several adult determinants, that is, overweight, smoking, sedentarity, and nulliparity, associated with early menopause are on the rise in Europe. The heterogeneity of the secular trend suggests additional country-specific factors not included in the study, such as improved childhood nutrition and health, that have an influence on reproductive aging.","author":[{"dropping-particle":"","family":"Dratva","given":"Julia","non-dropping-particle":"","parse-names":false,"suffix":""},{"dropping-particle":"","family":"Gómez Real","given":"Francisco","non-dropping-particle":"","parse-names":false,"suffix":""},{"dropping-particle":"","family":"Schindler","given":"Christian","non-dropping-particle":"","parse-names":false,"suffix":""},{"dropping-particle":"","family":"Ackermann-Liebrich","given":"Ursula","non-dropping-particle":"","parse-names":false,"suffix":""},{"dropping-particle":"","family":"Gerbase","given":"Margaret W.","non-dropping-particle":"","parse-names":false,"suffix":""},{"dropping-particle":"","family":"Probst-Hensch","given":"Nicole M.","non-dropping-particle":"","parse-names":false,"suffix":""},{"dropping-particle":"","family":"Svanes","given":"Cecilie","non-dropping-particle":"","parse-names":false,"suffix":""},{"dropping-particle":"","family":"Omenaas","given":"Ernst Raidar","non-dropping-particle":"","parse-names":false,"suffix":""},{"dropping-particle":"","family":"Neukirch","given":"Françoise","non-dropping-particle":"","parse-names":false,"suffix":""},{"dropping-particle":"","family":"Wjst","given":"Matthias","non-dropping-particle":"","parse-names":false,"suffix":""},{"dropping-particle":"","family":"Morabia","given":"Alfredo","non-dropping-particle":"","parse-names":false,"suffix":""},{"dropping-particle":"","family":"Jarvis","given":"Deborah","non-dropping-particle":"","parse-names":false,"suffix":""},{"dropping-particle":"","family":"Leynaert","given":"Bénédicte","non-dropping-particle":"","parse-names":false,"suffix":""},{"dropping-particle":"","family":"Zemp","given":"Elisabeth","non-dropping-particle":"","parse-names":false,"suffix":""},{"dropping-particle":"","family":"Real","given":"Francisco Gómez","non-dropping-particle":"","parse-names":false,"suffix":""},{"dropping-particle":"","family":"Schindler","given":"Christian","non-dropping-particle":"","parse-names":false,"suffix":""},{"dropping-particle":"","family":"Ackermann-Liebrich","given":"Ursula","non-dropping-particle":"","parse-names":false,"suffix":""},{"dropping-particle":"","family":"Gerbase","given":"Margaret W.","non-dropping-particle":"","parse-names":false,"suffix":""},{"dropping-particle":"","family":"Probst-Hensch","given":"Nicole M.","non-dropping-particle":"","parse-names":false,"suffix":""},{"dropping-particle":"","family":"Svanes","given":"Cecilie","non-dropping-particle":"","parse-names":false,"suffix":""},{"dropping-particle":"","family":"Omenaas","given":"Ernst Raidar","non-dropping-particle":"","parse-names":false,"suffix":""},{"dropping-particle":"","family":"Neukirch","given":"Françoise","non-dropping-particle":"","parse-names":false,"suffix":""},{"dropping-particle":"","family":"Wjst","given":"Matthias","non-dropping-particle":"","parse-names":false,"suffix":""},{"dropping-particle":"","family":"Morabia","given":"Alfredo","non-dropping-particle":"","parse-names":false,"suffix":""},{"dropping-particle":"","family":"Jarvis","given":"Deborah","non-dropping-particle":"","parse-names":false,"suffix":""},{"dropping-particle":"","family":"Leynaert","given":"Bénédicte","non-dropping-particle":"","parse-names":false,"suffix":""},{"dropping-particle":"","family":"Zemp","given":"Elisabeth","non-dropping-particle":"","parse-names":false,"suffix":""},{"dropping-particle":"","family":"Gómez Real","given":"Francisco","non-dropping-particle":"","parse-names":false,"suffix":""},{"dropping-particle":"","family":"Schindler","given":"Christian","non-dropping-particle":"","parse-names":false,"suffix":""},{"dropping-particle":"","family":"Ackermann-Liebrich","given":"Ursula","non-dropping-particle":"","parse-names":false,"suffix":""},{"dropping-particle":"","family":"Gerbase","given":"Margaret W.","non-dropping-particle":"","parse-names":false,"suffix":""},{"dropping-particle":"","family":"Probst-Hensch","given":"Nicole M.","non-dropping-particle":"","parse-names":false,"suffix":""},{"dropping-particle":"","family":"Svanes","given":"Cecilie","non-dropping-particle":"","parse-names":false,"suffix":""},{"dropping-particle":"","family":"Omenaas","given":"Ernst Raidar","non-dropping-particle":"","parse-names":false,"suffix":""},{"dropping-particle":"","family":"Neukirch","given":"Françoise","non-dropping-particle":"","parse-names":false,"suffix":""},{"dropping-particle":"","family":"Wjst","given":"Matthias","non-dropping-particle":"","parse-names":false,"suffix":""},{"dropping-particle":"","family":"Morabia","given":"Alfredo","non-dropping-particle":"","parse-names":false,"suffix":""},{"dropping-particle":"","family":"Jarvis","given":"Deborah","non-dropping-particle":"","parse-names":false,"suffix":""},{"dropping-particle":"","family":"Leynaert","given":"Bénédicte","non-dropping-particle":"","parse-names":false,"suffix":""},{"dropping-particle":"","family":"Zemp","given":"Elisabeth","non-dropping-particle":"","parse-names":false,"suffix":""}],"container-title":"Menopause","id":"ITEM-1","issue":"2","issued":{"date-parts":[["2009"]]},"page":"385-394","title":"Is age at menopause increasing across Europe? Results on age at menopause and determinants from two population-based studies","type":"article-journal","volume":"16"},"uris":["http://www.mendeley.com/documents/?uuid=b37bede1-d199-4172-b878-a932d8ee9fbf"]}],"mendeley":{"formattedCitation":"[3]","plainTextFormattedCitation":"[3]","previouslyFormattedCitation":"[3]"},"properties":{"noteIndex":0},"schema":"https://github.com/citation-style-language/schema/raw/master/csl-citation.json"}</w:instrText>
      </w:r>
      <w:r w:rsidR="00FF296C" w:rsidRPr="00293C29">
        <w:rPr>
          <w:vertAlign w:val="superscript"/>
          <w:lang w:val="en-GB"/>
        </w:rPr>
        <w:fldChar w:fldCharType="separate"/>
      </w:r>
      <w:r w:rsidR="00634A20" w:rsidRPr="00293C29">
        <w:rPr>
          <w:noProof/>
          <w:lang w:val="en-GB"/>
        </w:rPr>
        <w:t>[3]</w:t>
      </w:r>
      <w:r w:rsidR="00FF296C" w:rsidRPr="00293C29">
        <w:rPr>
          <w:vertAlign w:val="superscript"/>
          <w:lang w:val="en-GB"/>
        </w:rPr>
        <w:fldChar w:fldCharType="end"/>
      </w:r>
      <w:r w:rsidR="00FF296C" w:rsidRPr="00293C29">
        <w:rPr>
          <w:lang w:val="en-GB"/>
        </w:rPr>
        <w:t xml:space="preserve"> </w:t>
      </w:r>
      <w:r w:rsidR="008621D5" w:rsidRPr="00293C29">
        <w:rPr>
          <w:lang w:val="en-GB"/>
        </w:rPr>
        <w:t xml:space="preserve">As populations age, the proportion of the female population living in a post-menopausal state is increasing and we need to better understand the impact of this major biological event </w:t>
      </w:r>
      <w:r w:rsidR="003F433D" w:rsidRPr="00293C29">
        <w:rPr>
          <w:lang w:val="en-GB"/>
        </w:rPr>
        <w:t xml:space="preserve">on respiratory health and </w:t>
      </w:r>
      <w:r w:rsidR="00140D01" w:rsidRPr="00293C29">
        <w:rPr>
          <w:lang w:val="en-GB"/>
        </w:rPr>
        <w:t>health</w:t>
      </w:r>
      <w:r w:rsidR="003F433D" w:rsidRPr="00293C29">
        <w:rPr>
          <w:lang w:val="en-GB"/>
        </w:rPr>
        <w:t xml:space="preserve"> in general</w:t>
      </w:r>
      <w:r w:rsidR="00140D01" w:rsidRPr="00293C29">
        <w:rPr>
          <w:lang w:val="en-GB"/>
        </w:rPr>
        <w:t>.</w:t>
      </w:r>
    </w:p>
    <w:p w14:paraId="4287A760" w14:textId="46FE47E7" w:rsidR="009859FB" w:rsidRPr="00293C29" w:rsidRDefault="00FF296C" w:rsidP="00A87748">
      <w:pPr>
        <w:spacing w:after="120"/>
        <w:jc w:val="both"/>
        <w:rPr>
          <w:lang w:val="en-GB"/>
        </w:rPr>
      </w:pPr>
      <w:r w:rsidRPr="00293C29">
        <w:rPr>
          <w:lang w:val="en-GB"/>
        </w:rPr>
        <w:t>A recent systematic review supports an association of</w:t>
      </w:r>
      <w:r w:rsidR="00AE3405" w:rsidRPr="00293C29">
        <w:rPr>
          <w:lang w:val="en-GB"/>
        </w:rPr>
        <w:t xml:space="preserve"> </w:t>
      </w:r>
      <w:r w:rsidR="00DA792E" w:rsidRPr="00293C29">
        <w:rPr>
          <w:lang w:val="en-GB"/>
        </w:rPr>
        <w:t xml:space="preserve">menopause </w:t>
      </w:r>
      <w:r w:rsidRPr="00293C29">
        <w:rPr>
          <w:lang w:val="en-GB"/>
        </w:rPr>
        <w:t>with lower forced expiratory volume in one second (FEV</w:t>
      </w:r>
      <w:r w:rsidRPr="00293C29">
        <w:rPr>
          <w:vertAlign w:val="subscript"/>
          <w:lang w:val="en-GB"/>
        </w:rPr>
        <w:t>1</w:t>
      </w:r>
      <w:r w:rsidRPr="00293C29">
        <w:rPr>
          <w:lang w:val="en-GB"/>
        </w:rPr>
        <w:t>) and lower forced vital capacity (FVC)</w:t>
      </w:r>
      <w:r w:rsidR="001032B8" w:rsidRPr="00293C29">
        <w:rPr>
          <w:lang w:val="en-GB"/>
        </w:rPr>
        <w:t>.</w:t>
      </w:r>
      <w:r w:rsidR="00B70F14" w:rsidRPr="00293C29">
        <w:rPr>
          <w:lang w:val="en-GB"/>
        </w:rPr>
        <w:fldChar w:fldCharType="begin" w:fldLock="1"/>
      </w:r>
      <w:r w:rsidR="00DA41F8">
        <w:rPr>
          <w:lang w:val="en-GB"/>
        </w:rPr>
        <w:instrText>ADDIN CSL_CITATION {"citationItems":[{"id":"ITEM-1","itemData":{"DOI":"10.1080/13697137.2017.1392504","ISSN":"1369-7137","author":[{"dropping-particle":"","family":"Campbell","given":"B","non-dropping-particle":"","parse-names":false,"suffix":""},{"dropping-particle":"","family":"Davis","given":"S R","non-dropping-particle":"","parse-names":false,"suffix":""},{"dropping-particle":"","family":"Abramson","given":"M J","non-dropping-particle":"","parse-names":false,"suffix":""},{"dropping-particle":"","family":"Mishra","given":"G","non-dropping-particle":"","parse-names":false,"suffix":""},{"dropping-particle":"","family":"Handelsman","given":"D J","non-dropping-particle":"","parse-names":false,"suffix":""},{"dropping-particle":"","family":"Perret","given":"J L","non-dropping-particle":"","parse-names":false,"suffix":""},{"dropping-particle":"","family":"Dharmage","given":"S C","non-dropping-particle":"","parse-names":false,"suffix":""}],"container-title":"Climacteric","id":"ITEM-1","issue":"1","issued":{"date-parts":[["2017","11"]]},"page":"1-10","publisher":"Taylor &amp; Francis","title":"Menopause, lung function and obstructive lung disease outcomes: a systematic review","type":"article-journal","volume":"21"},"uris":["http://www.mendeley.com/documents/?uuid=ee7c555b-aa35-3d88-a1cf-42ecdc63d228","http://www.mendeley.com/documents/?uuid=e4a801a2-f515-4179-963a-771b0731ff24"]}],"mendeley":{"formattedCitation":"[4]","plainTextFormattedCitation":"[4]","previouslyFormattedCitation":"[4]"},"properties":{"noteIndex":0},"schema":"https://github.com/citation-style-language/schema/raw/master/csl-citation.json"}</w:instrText>
      </w:r>
      <w:r w:rsidR="00B70F14" w:rsidRPr="00293C29">
        <w:rPr>
          <w:lang w:val="en-GB"/>
        </w:rPr>
        <w:fldChar w:fldCharType="separate"/>
      </w:r>
      <w:r w:rsidR="00634A20" w:rsidRPr="00293C29">
        <w:rPr>
          <w:noProof/>
          <w:lang w:val="en-GB"/>
        </w:rPr>
        <w:t>[4]</w:t>
      </w:r>
      <w:r w:rsidR="00B70F14" w:rsidRPr="00293C29">
        <w:rPr>
          <w:lang w:val="en-GB"/>
        </w:rPr>
        <w:fldChar w:fldCharType="end"/>
      </w:r>
      <w:r w:rsidR="001032B8" w:rsidRPr="00293C29">
        <w:rPr>
          <w:lang w:val="en-GB"/>
        </w:rPr>
        <w:t xml:space="preserve"> </w:t>
      </w:r>
      <w:r w:rsidR="00500B3A" w:rsidRPr="00293C29">
        <w:rPr>
          <w:lang w:val="en-GB"/>
        </w:rPr>
        <w:t xml:space="preserve">A large study in the </w:t>
      </w:r>
      <w:r w:rsidR="0015778C" w:rsidRPr="00293C29">
        <w:rPr>
          <w:lang w:val="en-GB"/>
        </w:rPr>
        <w:t>UK Biobank</w:t>
      </w:r>
      <w:r w:rsidR="003006DA" w:rsidRPr="00293C29">
        <w:rPr>
          <w:lang w:val="en-GB"/>
        </w:rPr>
        <w:t xml:space="preserve"> </w:t>
      </w:r>
      <w:r w:rsidR="0015778C" w:rsidRPr="00293C29">
        <w:rPr>
          <w:lang w:val="en-GB"/>
        </w:rPr>
        <w:t>showed that women with an earlier age at menopause had lower FEV</w:t>
      </w:r>
      <w:r w:rsidR="0015778C" w:rsidRPr="00293C29">
        <w:rPr>
          <w:vertAlign w:val="subscript"/>
          <w:lang w:val="en-GB"/>
        </w:rPr>
        <w:t xml:space="preserve">1 </w:t>
      </w:r>
      <w:r w:rsidR="0015778C" w:rsidRPr="00293C29">
        <w:rPr>
          <w:lang w:val="en-GB"/>
        </w:rPr>
        <w:t xml:space="preserve">and FVC, and a higher risk of </w:t>
      </w:r>
      <w:r w:rsidR="003C5405" w:rsidRPr="00293C29">
        <w:rPr>
          <w:lang w:val="en-GB"/>
        </w:rPr>
        <w:t xml:space="preserve">spirometric </w:t>
      </w:r>
      <w:r w:rsidR="0015778C" w:rsidRPr="00293C29">
        <w:rPr>
          <w:lang w:val="en-GB"/>
        </w:rPr>
        <w:t>restriction</w:t>
      </w:r>
      <w:r w:rsidR="00815377" w:rsidRPr="00293C29">
        <w:rPr>
          <w:lang w:val="en-GB"/>
        </w:rPr>
        <w:t xml:space="preserve"> </w:t>
      </w:r>
      <w:r w:rsidR="00E36B2B" w:rsidRPr="00293C29">
        <w:rPr>
          <w:lang w:val="en-GB"/>
        </w:rPr>
        <w:t>while</w:t>
      </w:r>
      <w:r w:rsidR="00815377" w:rsidRPr="00293C29">
        <w:rPr>
          <w:lang w:val="en-GB"/>
        </w:rPr>
        <w:t xml:space="preserve"> no association was found for </w:t>
      </w:r>
      <w:r w:rsidR="003C5405" w:rsidRPr="00293C29">
        <w:rPr>
          <w:lang w:val="en-GB"/>
        </w:rPr>
        <w:t xml:space="preserve">airflow </w:t>
      </w:r>
      <w:r w:rsidR="00815377" w:rsidRPr="00293C29">
        <w:rPr>
          <w:lang w:val="en-GB"/>
        </w:rPr>
        <w:t>obstruction</w:t>
      </w:r>
      <w:r w:rsidR="0015778C" w:rsidRPr="00293C29">
        <w:rPr>
          <w:lang w:val="en-GB"/>
        </w:rPr>
        <w:t>.</w:t>
      </w:r>
      <w:r w:rsidR="0015778C" w:rsidRPr="00293C29">
        <w:rPr>
          <w:lang w:val="en-GB"/>
        </w:rPr>
        <w:fldChar w:fldCharType="begin" w:fldLock="1"/>
      </w:r>
      <w:r w:rsidR="00C4516C">
        <w:rPr>
          <w:lang w:val="en-GB"/>
        </w:rPr>
        <w:instrText>ADDIN CSL_CITATION {"citationItems":[{"id":"ITEM-1","itemData":{"DOI":"10.1183/13993003.00412-2016","ISSN":"13993003","PMID":"27660514","author":[{"dropping-particle":"","family":"Amaral","given":"André F.S.","non-dropping-particle":"","parse-names":false,"suffix":""},{"dropping-particle":"","family":"Strachan","given":"David P.","non-dropping-particle":"","parse-names":false,"suffix":""},{"dropping-particle":"","family":"Real","given":"Francisco Gómez","non-dropping-particle":"","parse-names":false,"suffix":""},{"dropping-particle":"","family":"Burney","given":"Peter G.J.","non-dropping-particle":"","parse-names":false,"suffix":""},{"dropping-particle":"","family":"Jarvis","given":"Deborah L.","non-dropping-particle":"","parse-names":false,"suffix":""}],"container-title":"European Respiratory Journal","id":"ITEM-1","issue":"5","issued":{"date-parts":[["2016"]]},"page":"1288-1297","title":"Lower lung function associates with cessation of menstruation: UK Biobank data","type":"article-journal","volume":"48"},"uris":["http://www.mendeley.com/documents/?uuid=6fb8e9ef-b3e8-46d0-9f8f-9ad21d9dd325","http://www.mendeley.com/documents/?uuid=0beec237-6c89-4102-866b-64ceee1512e4"]}],"mendeley":{"formattedCitation":"[5]","plainTextFormattedCitation":"[5]","previouslyFormattedCitation":"[5]"},"properties":{"noteIndex":0},"schema":"https://github.com/citation-style-language/schema/raw/master/csl-citation.json"}</w:instrText>
      </w:r>
      <w:r w:rsidR="0015778C" w:rsidRPr="00293C29">
        <w:rPr>
          <w:lang w:val="en-GB"/>
        </w:rPr>
        <w:fldChar w:fldCharType="separate"/>
      </w:r>
      <w:r w:rsidR="00634A20" w:rsidRPr="00293C29">
        <w:rPr>
          <w:noProof/>
          <w:lang w:val="en-GB"/>
        </w:rPr>
        <w:t>[5]</w:t>
      </w:r>
      <w:r w:rsidR="0015778C" w:rsidRPr="00293C29">
        <w:rPr>
          <w:lang w:val="en-GB"/>
        </w:rPr>
        <w:fldChar w:fldCharType="end"/>
      </w:r>
      <w:r w:rsidR="0015778C" w:rsidRPr="00293C29">
        <w:rPr>
          <w:lang w:val="en-GB"/>
        </w:rPr>
        <w:t xml:space="preserve"> </w:t>
      </w:r>
      <w:r w:rsidR="004D2D36" w:rsidRPr="00293C29">
        <w:rPr>
          <w:lang w:val="en-GB"/>
        </w:rPr>
        <w:t>These o</w:t>
      </w:r>
      <w:r w:rsidR="00ED247D" w:rsidRPr="00293C29">
        <w:rPr>
          <w:lang w:val="en-GB"/>
        </w:rPr>
        <w:t xml:space="preserve">bservational </w:t>
      </w:r>
      <w:r w:rsidR="00DE0217" w:rsidRPr="00293C29">
        <w:rPr>
          <w:lang w:val="en-GB"/>
        </w:rPr>
        <w:t xml:space="preserve">studies </w:t>
      </w:r>
      <w:r w:rsidR="007F6A6F" w:rsidRPr="00293C29">
        <w:rPr>
          <w:lang w:val="en-GB"/>
        </w:rPr>
        <w:t>may suffer from residual</w:t>
      </w:r>
      <w:r w:rsidR="00ED247D" w:rsidRPr="00293C29">
        <w:rPr>
          <w:lang w:val="en-GB"/>
        </w:rPr>
        <w:t xml:space="preserve"> confounding even </w:t>
      </w:r>
      <w:r w:rsidR="00C45798" w:rsidRPr="00293C29">
        <w:rPr>
          <w:lang w:val="en-GB"/>
        </w:rPr>
        <w:t xml:space="preserve">when </w:t>
      </w:r>
      <w:r w:rsidR="007F6A6F" w:rsidRPr="00293C29">
        <w:rPr>
          <w:lang w:val="en-GB"/>
        </w:rPr>
        <w:t>the analyses are adjusted for known confounders</w:t>
      </w:r>
      <w:r w:rsidR="00B50FB4" w:rsidRPr="00293C29">
        <w:rPr>
          <w:lang w:val="en-GB"/>
        </w:rPr>
        <w:t>, including anthropometric, lifestyle, social-economic, and reproductive characteristics</w:t>
      </w:r>
      <w:r w:rsidR="00ED247D" w:rsidRPr="00293C29">
        <w:rPr>
          <w:lang w:val="en-GB"/>
        </w:rPr>
        <w:t>.</w:t>
      </w:r>
      <w:r w:rsidR="00EF3B7D" w:rsidRPr="00293C29">
        <w:rPr>
          <w:lang w:val="en-GB"/>
        </w:rPr>
        <w:t xml:space="preserve"> </w:t>
      </w:r>
      <w:r w:rsidR="009A1F23" w:rsidRPr="00293C29">
        <w:rPr>
          <w:lang w:val="en-GB"/>
        </w:rPr>
        <w:t>P</w:t>
      </w:r>
      <w:r w:rsidR="00DE0217" w:rsidRPr="00293C29">
        <w:rPr>
          <w:lang w:val="en-GB"/>
        </w:rPr>
        <w:t xml:space="preserve">otential confounders may </w:t>
      </w:r>
      <w:r w:rsidR="009A1F23" w:rsidRPr="00293C29">
        <w:rPr>
          <w:lang w:val="en-GB"/>
        </w:rPr>
        <w:t xml:space="preserve">also </w:t>
      </w:r>
      <w:r w:rsidR="00DE0217" w:rsidRPr="00293C29">
        <w:rPr>
          <w:lang w:val="en-GB"/>
        </w:rPr>
        <w:t>include</w:t>
      </w:r>
      <w:r w:rsidR="009859FB" w:rsidRPr="00293C29">
        <w:rPr>
          <w:lang w:val="en-GB"/>
        </w:rPr>
        <w:t xml:space="preserve"> </w:t>
      </w:r>
      <w:r w:rsidR="00ED247D" w:rsidRPr="00293C29">
        <w:rPr>
          <w:lang w:val="en-GB"/>
        </w:rPr>
        <w:t>early life events, diet and physical activity</w:t>
      </w:r>
      <w:r w:rsidR="00005E6E" w:rsidRPr="00293C29">
        <w:rPr>
          <w:lang w:val="en-GB"/>
        </w:rPr>
        <w:t>,</w:t>
      </w:r>
      <w:r w:rsidR="009859FB" w:rsidRPr="00293C29">
        <w:rPr>
          <w:lang w:val="en-GB"/>
        </w:rPr>
        <w:t xml:space="preserve"> and there could be </w:t>
      </w:r>
      <w:r w:rsidR="00B5631E" w:rsidRPr="00293C29">
        <w:rPr>
          <w:lang w:val="en-GB"/>
        </w:rPr>
        <w:t>other</w:t>
      </w:r>
      <w:r w:rsidR="00DA59CB" w:rsidRPr="00293C29">
        <w:rPr>
          <w:lang w:val="en-GB"/>
        </w:rPr>
        <w:t>,</w:t>
      </w:r>
      <w:r w:rsidR="009859FB" w:rsidRPr="00293C29">
        <w:rPr>
          <w:lang w:val="en-GB"/>
        </w:rPr>
        <w:t xml:space="preserve"> yet unrecognized</w:t>
      </w:r>
      <w:r w:rsidR="00DA59CB" w:rsidRPr="00293C29">
        <w:rPr>
          <w:lang w:val="en-GB"/>
        </w:rPr>
        <w:t>,</w:t>
      </w:r>
      <w:r w:rsidR="009859FB" w:rsidRPr="00293C29">
        <w:rPr>
          <w:lang w:val="en-GB"/>
        </w:rPr>
        <w:t xml:space="preserve"> factors </w:t>
      </w:r>
      <w:r w:rsidR="00B5631E" w:rsidRPr="00293C29">
        <w:rPr>
          <w:lang w:val="en-GB"/>
        </w:rPr>
        <w:t>associated with</w:t>
      </w:r>
      <w:r w:rsidR="00ED247D" w:rsidRPr="00293C29">
        <w:rPr>
          <w:lang w:val="en-GB"/>
        </w:rPr>
        <w:t xml:space="preserve"> both age at menopause and lung function.</w:t>
      </w:r>
      <w:r w:rsidR="00ED247D" w:rsidRPr="00293C29">
        <w:rPr>
          <w:lang w:val="en-GB"/>
        </w:rPr>
        <w:fldChar w:fldCharType="begin" w:fldLock="1"/>
      </w:r>
      <w:r w:rsidR="00C4516C">
        <w:rPr>
          <w:lang w:val="en-GB"/>
        </w:rPr>
        <w:instrText>ADDIN CSL_CITATION {"citationItems":[{"id":"ITEM-1","itemData":{"DOI":"10.4103/0976-7800.127779","ISBN":"0976-7800 (Print)","ISSN":"0976-7800","PMID":"24672198","abstract":"A literature search was done using PubMed. The age at natural menopause (ANM) depends on various factors like genetic, environmental, socioeconomic, reproductive, dietary, and lifestyle of which some like nulliparity, vegetarian diet, smoking, high fat intake, cholesterol, and caffeine accelerates; while others like parity, prior use of oral contraceptive pills, and Japanese ethnicity delays the ANM. ANM is an important risk factor for long-term morbidity and mortality; and hence, the need to identify the modifiable risk factors like diet and lifestyle changes. Delayed menopause is associated with increased risk of endometrial and breast cancer, while early ANM enhances the risk for cardiovascular diseases and osteoporosis. The correlation between diet and ANM has not been extensively studied; however, whatever studies have been done till now point towards role of high intake of total calories, fruits, and proteins in delaying the ANM, while high polyunsaturated fat intake accelerates it. The role of dietary soy, total fat, saturated fat, red meat, and dietary fiber in determining the ANM has been controversial and needs further studies to substantiate it. The lifestyle factors like current smoking and vigorous exercise have been significantly associated with early menopause, while moderate alcohol consumption delays the ANM. Large prospective studies are needed to study the association of ANM and other modifiable factors like passive smoking fish consumption, soy, and various types of tea. The knowledge of modifiable determinants of ANM can help in setting up menopausal clinics and initiating health programs specially in developing countries.","author":[{"dropping-particle":"","family":"Sapre","given":"Shilpa","non-dropping-particle":"","parse-names":false,"suffix":""},{"dropping-particle":"","family":"Thakur","given":"Ratna","non-dropping-particle":"","parse-names":false,"suffix":""}],"container-title":"Journal of Mid-life Health","id":"ITEM-1","issue":"1","issued":{"date-parts":[["2014"]]},"page":"3","title":"Lifestyle and dietary factors determine age at natural menopause","type":"article-journal","volume":"5"},"uris":["http://www.mendeley.com/documents/?uuid=b3a53a06-fcd5-4f49-a480-237d5a156918","http://www.mendeley.com/documents/?uuid=0dceb4fb-efcc-4bf3-abe8-81767625317c"]},{"id":"ITEM-2","itemData":{"DOI":"10.1038/srep24710","ISSN":"2045-2322","PMID":"27094806","abstract":"The available oocyte pool is determined before birth, with the majority of oocytes lost before puberty. We hypothesised that events occurring before birth, in childhood or in adolescence ('early-life risk factors') could influence the size of the oocyte pool and thus the timing of menopause. We included cross-sectional data from 273,474 women from the UK Biobank, recruited in 2006-2010 from across the UK. We analysed the association of early menopause with events occurring before adulthood in 11,781 cases (menopause aged under 45) and 173,641 controls (menopause/pre-menopausal at ≥45 years), in models controlling for potential confounding variables. Being part of a multiple birth was strongly associated with early menopause (odds ratio = 1.42, confidence interval: 1.11, 1.82, P = 8.0 × 10(-9), fully-adjusted model). Earlier age at menarche (odds ratio = 1.03, confidence interval: 1.01, 1.06, P = 2.5 × 10(-6)) and earlier year of birth were also associated with EM (odds ratio = 1.02, confidence interval: 1.00, 1.04, P = 8.0 × 10(-6)). We also confirmed previously reported associations with smoking, drinking alcohol, educational level and number of births. We identified an association between multiple births and early menopause, which connects events pre-birth, when the oocyte pool is formed, with reproductive ageing in later life. ","author":[{"dropping-particle":"","family":"Ruth","given":"Katherine S.","non-dropping-particle":"","parse-names":false,"suffix":""},{"dropping-particle":"","family":"Perry","given":"John R. B.","non-dropping-particle":"","parse-names":false,"suffix":""},{"dropping-particle":"","family":"Henley","given":"William E.","non-dropping-particle":"","parse-names":false,"suffix":""},{"dropping-particle":"","family":"Melzer","given":"David","non-dropping-particle":"","parse-names":false,"suffix":""},{"dropping-particle":"","family":"Weedon","given":"Michael N.","non-dropping-particle":"","parse-names":false,"suffix":""},{"dropping-particle":"","family":"Murray","given":"Anna","non-dropping-particle":"","parse-names":false,"suffix":""}],"container-title":"Scientific Reports","id":"ITEM-2","issue":"1","issued":{"date-parts":[["2016"]]},"page":"24710","title":"Events in Early Life are Associated with Female Reproductive Ageing: A UK Biobank Study","type":"article-journal","volume":"6"},"uris":["http://www.mendeley.com/documents/?uuid=369a1ff4-7b48-45c3-a77f-64c1117a8f60","http://www.mendeley.com/documents/?uuid=8d4c7be2-6cc1-45d9-a275-3fab0172ce1a"]}],"mendeley":{"formattedCitation":"[6, 7]","plainTextFormattedCitation":"[6, 7]","previouslyFormattedCitation":"[6, 7]"},"properties":{"noteIndex":0},"schema":"https://github.com/citation-style-language/schema/raw/master/csl-citation.json"}</w:instrText>
      </w:r>
      <w:r w:rsidR="00ED247D" w:rsidRPr="00293C29">
        <w:rPr>
          <w:lang w:val="en-GB"/>
        </w:rPr>
        <w:fldChar w:fldCharType="separate"/>
      </w:r>
      <w:r w:rsidR="00634A20" w:rsidRPr="00293C29">
        <w:rPr>
          <w:noProof/>
          <w:lang w:val="en-GB"/>
        </w:rPr>
        <w:t>[6, 7]</w:t>
      </w:r>
      <w:r w:rsidR="00ED247D" w:rsidRPr="00293C29">
        <w:rPr>
          <w:lang w:val="en-GB"/>
        </w:rPr>
        <w:fldChar w:fldCharType="end"/>
      </w:r>
      <w:r w:rsidR="001D3621" w:rsidRPr="00293C29">
        <w:rPr>
          <w:lang w:val="en-GB"/>
        </w:rPr>
        <w:t xml:space="preserve"> </w:t>
      </w:r>
    </w:p>
    <w:p w14:paraId="692CE491" w14:textId="4C9DCD96" w:rsidR="009434EF" w:rsidRPr="00293C29" w:rsidRDefault="00F832FB" w:rsidP="00A87748">
      <w:pPr>
        <w:spacing w:after="120"/>
        <w:jc w:val="both"/>
        <w:rPr>
          <w:lang w:val="en-GB"/>
        </w:rPr>
      </w:pPr>
      <w:r w:rsidRPr="00293C29">
        <w:rPr>
          <w:lang w:val="en-GB"/>
        </w:rPr>
        <w:t xml:space="preserve">The </w:t>
      </w:r>
      <w:r w:rsidR="00336FE2" w:rsidRPr="00293C29">
        <w:rPr>
          <w:lang w:val="en-GB"/>
        </w:rPr>
        <w:t xml:space="preserve">Mendelian </w:t>
      </w:r>
      <w:r w:rsidR="00525782" w:rsidRPr="00293C29">
        <w:rPr>
          <w:lang w:val="en-GB"/>
        </w:rPr>
        <w:t>R</w:t>
      </w:r>
      <w:r w:rsidR="00336FE2" w:rsidRPr="00293C29">
        <w:rPr>
          <w:lang w:val="en-GB"/>
        </w:rPr>
        <w:t xml:space="preserve">andomization (MR) approach </w:t>
      </w:r>
      <w:r w:rsidR="00016D30" w:rsidRPr="00293C29">
        <w:rPr>
          <w:lang w:val="en-GB"/>
        </w:rPr>
        <w:t xml:space="preserve">can help </w:t>
      </w:r>
      <w:r w:rsidR="00525782" w:rsidRPr="00293C29">
        <w:rPr>
          <w:lang w:val="en-GB"/>
        </w:rPr>
        <w:t xml:space="preserve">to </w:t>
      </w:r>
      <w:r w:rsidR="00016D30" w:rsidRPr="00293C29">
        <w:rPr>
          <w:lang w:val="en-GB"/>
        </w:rPr>
        <w:t>assess</w:t>
      </w:r>
      <w:r w:rsidR="00336FE2" w:rsidRPr="00293C29">
        <w:rPr>
          <w:lang w:val="en-GB"/>
        </w:rPr>
        <w:t xml:space="preserve"> the causal effect of age at menopause on lung function.</w:t>
      </w:r>
      <w:r w:rsidR="001C4EED" w:rsidRPr="00293C29">
        <w:rPr>
          <w:lang w:val="en-GB"/>
        </w:rPr>
        <w:fldChar w:fldCharType="begin" w:fldLock="1"/>
      </w:r>
      <w:r w:rsidR="00C4516C">
        <w:rPr>
          <w:lang w:val="en-GB"/>
        </w:rPr>
        <w:instrText>ADDIN CSL_CITATION {"citationItems":[{"id":"ITEM-1","itemData":{"ISBN":"9781466573185","author":[{"dropping-particle":"","family":"Burgess","given":"Stephen","non-dropping-particle":"","parse-names":false,"suffix":""},{"dropping-particle":"","family":"Thompson","given":"Simon G","non-dropping-particle":"","parse-names":false,"suffix":""}],"collection-title":"Chapman &amp; Hall/CRC Interdisciplinary Statistics","id":"ITEM-1","issued":{"date-parts":[["2015"]]},"number-of-pages":"224","publisher":"CRC Press","title":"Mendelian Randomization: Methods for Using Genetic Variants in Causal Estimation","type":"book"},"uris":["http://www.mendeley.com/documents/?uuid=62ec43e6-0a23-4596-9f23-a2f87d93ad96","http://www.mendeley.com/documents/?uuid=50d0a9cc-82bf-49ae-a8b4-3204c882892e"]}],"mendeley":{"formattedCitation":"[8]","plainTextFormattedCitation":"[8]","previouslyFormattedCitation":"[8]"},"properties":{"noteIndex":0},"schema":"https://github.com/citation-style-language/schema/raw/master/csl-citation.json"}</w:instrText>
      </w:r>
      <w:r w:rsidR="001C4EED" w:rsidRPr="00293C29">
        <w:rPr>
          <w:lang w:val="en-GB"/>
        </w:rPr>
        <w:fldChar w:fldCharType="separate"/>
      </w:r>
      <w:r w:rsidR="00634A20" w:rsidRPr="00293C29">
        <w:rPr>
          <w:noProof/>
          <w:lang w:val="en-GB"/>
        </w:rPr>
        <w:t>[8]</w:t>
      </w:r>
      <w:r w:rsidR="001C4EED" w:rsidRPr="00293C29">
        <w:rPr>
          <w:lang w:val="en-GB"/>
        </w:rPr>
        <w:fldChar w:fldCharType="end"/>
      </w:r>
      <w:r w:rsidR="00336FE2" w:rsidRPr="00293C29">
        <w:rPr>
          <w:lang w:val="en-GB"/>
        </w:rPr>
        <w:t xml:space="preserve"> With MR, genetic variants</w:t>
      </w:r>
      <w:r w:rsidR="009859FB" w:rsidRPr="00293C29">
        <w:rPr>
          <w:lang w:val="en-GB"/>
        </w:rPr>
        <w:t xml:space="preserve"> (single nucleotide polymorphisms, SNPs) </w:t>
      </w:r>
      <w:r w:rsidR="00E2244B" w:rsidRPr="00293C29">
        <w:rPr>
          <w:lang w:val="en-GB"/>
        </w:rPr>
        <w:t>are</w:t>
      </w:r>
      <w:r w:rsidR="00336FE2" w:rsidRPr="00293C29">
        <w:rPr>
          <w:lang w:val="en-GB"/>
        </w:rPr>
        <w:t xml:space="preserve"> used as proxies </w:t>
      </w:r>
      <w:r w:rsidR="000A6C88" w:rsidRPr="00293C29">
        <w:rPr>
          <w:lang w:val="en-GB"/>
        </w:rPr>
        <w:t>(</w:t>
      </w:r>
      <w:r w:rsidR="00B85E19" w:rsidRPr="00293C29">
        <w:rPr>
          <w:lang w:val="en-GB"/>
        </w:rPr>
        <w:t>“</w:t>
      </w:r>
      <w:r w:rsidR="00336FE2" w:rsidRPr="00293C29">
        <w:rPr>
          <w:lang w:val="en-GB"/>
        </w:rPr>
        <w:t xml:space="preserve">instrumental </w:t>
      </w:r>
      <w:r w:rsidR="00F426CE" w:rsidRPr="00293C29">
        <w:rPr>
          <w:lang w:val="en-GB"/>
        </w:rPr>
        <w:t>variables</w:t>
      </w:r>
      <w:r w:rsidR="00B85E19" w:rsidRPr="00293C29">
        <w:rPr>
          <w:lang w:val="en-GB"/>
        </w:rPr>
        <w:t>”</w:t>
      </w:r>
      <w:r w:rsidR="000A6C88" w:rsidRPr="00293C29">
        <w:rPr>
          <w:lang w:val="en-GB"/>
        </w:rPr>
        <w:t>)</w:t>
      </w:r>
      <w:r w:rsidR="00F426CE" w:rsidRPr="00293C29">
        <w:rPr>
          <w:lang w:val="en-GB"/>
        </w:rPr>
        <w:t xml:space="preserve"> for age at menopause</w:t>
      </w:r>
      <w:r w:rsidR="00336FE2" w:rsidRPr="00293C29">
        <w:rPr>
          <w:lang w:val="en-GB"/>
        </w:rPr>
        <w:t>.</w:t>
      </w:r>
      <w:r w:rsidR="001C4EED" w:rsidRPr="00293C29">
        <w:rPr>
          <w:lang w:val="en-GB"/>
        </w:rPr>
        <w:fldChar w:fldCharType="begin" w:fldLock="1"/>
      </w:r>
      <w:r w:rsidR="00C4516C">
        <w:rPr>
          <w:lang w:val="en-GB"/>
        </w:rPr>
        <w:instrText>ADDIN CSL_CITATION {"citationItems":[{"id":"ITEM-1","itemData":{"DOI":"10.1371/journal.pmed.0050177","ISBN":"1549-1676 (Electronic)","ISSN":"15491277","PMID":"18752343","abstract":"Nuala Sheehan and colleagues describe how Mendelian randomization provides an alternative way of dealing with the problems of observational studies, especially confounding.","author":[{"dropping-particle":"","family":"Sheehan","given":"Nuala A.","non-dropping-particle":"","parse-names":false,"suffix":""},{"dropping-particle":"","family":"Didelez","given":"Vanessa","non-dropping-particle":"","parse-names":false,"suffix":""},{"dropping-particle":"","family":"Burton","given":"Paul R.","non-dropping-particle":"","parse-names":false,"suffix":""},{"dropping-particle":"","family":"Tobin","given":"Martin D.","non-dropping-particle":"","parse-names":false,"suffix":""}],"container-title":"PLoS Medicine","id":"ITEM-1","issue":"8","issued":{"date-parts":[["2008","8"]]},"page":"1205-1210","publisher":"Public Library of Science","title":"Mendelian randomisation and causal inference in observational epidemiology","type":"article-journal","volume":"5"},"uris":["http://www.mendeley.com/documents/?uuid=e6626394-cb67-4fa0-9e70-e7f52b565e6d","http://www.mendeley.com/documents/?uuid=924e3407-2183-4f13-9120-b4d23c699ab5"]}],"mendeley":{"formattedCitation":"[9]","plainTextFormattedCitation":"[9]","previouslyFormattedCitation":"[9]"},"properties":{"noteIndex":0},"schema":"https://github.com/citation-style-language/schema/raw/master/csl-citation.json"}</w:instrText>
      </w:r>
      <w:r w:rsidR="001C4EED" w:rsidRPr="00293C29">
        <w:rPr>
          <w:lang w:val="en-GB"/>
        </w:rPr>
        <w:fldChar w:fldCharType="separate"/>
      </w:r>
      <w:r w:rsidR="00634A20" w:rsidRPr="00293C29">
        <w:rPr>
          <w:noProof/>
          <w:lang w:val="en-GB"/>
        </w:rPr>
        <w:t>[9]</w:t>
      </w:r>
      <w:r w:rsidR="001C4EED" w:rsidRPr="00293C29">
        <w:rPr>
          <w:lang w:val="en-GB"/>
        </w:rPr>
        <w:fldChar w:fldCharType="end"/>
      </w:r>
      <w:r w:rsidR="009859FB" w:rsidRPr="00293C29">
        <w:rPr>
          <w:lang w:val="en-GB"/>
        </w:rPr>
        <w:t xml:space="preserve"> </w:t>
      </w:r>
      <w:bookmarkStart w:id="1" w:name="_Hlk2175819"/>
      <w:r w:rsidR="00FD075B">
        <w:rPr>
          <w:lang w:val="en-GB"/>
        </w:rPr>
        <w:t>The a</w:t>
      </w:r>
      <w:r w:rsidR="007D0CC2">
        <w:rPr>
          <w:lang w:val="en-GB"/>
        </w:rPr>
        <w:t xml:space="preserve">lleles of </w:t>
      </w:r>
      <w:r w:rsidR="00FD075B">
        <w:rPr>
          <w:lang w:val="en-GB"/>
        </w:rPr>
        <w:t xml:space="preserve">a </w:t>
      </w:r>
      <w:r w:rsidR="007D0CC2">
        <w:rPr>
          <w:lang w:val="en-GB"/>
        </w:rPr>
        <w:t>g</w:t>
      </w:r>
      <w:r w:rsidR="00140D01" w:rsidRPr="00293C29">
        <w:rPr>
          <w:lang w:val="en-GB"/>
        </w:rPr>
        <w:t>enetic variant are</w:t>
      </w:r>
      <w:r w:rsidR="00E43300" w:rsidRPr="00293C29">
        <w:rPr>
          <w:lang w:val="en-GB"/>
        </w:rPr>
        <w:t xml:space="preserve"> randomly allocated at </w:t>
      </w:r>
      <w:r w:rsidR="00200C32" w:rsidRPr="00293C29">
        <w:rPr>
          <w:lang w:val="en-GB"/>
        </w:rPr>
        <w:t>conception</w:t>
      </w:r>
      <w:r w:rsidR="007B398E" w:rsidRPr="00293C29">
        <w:rPr>
          <w:lang w:val="en-GB"/>
        </w:rPr>
        <w:t xml:space="preserve"> and therefore not affected by classical confounding.</w:t>
      </w:r>
      <w:r w:rsidR="00E43300" w:rsidRPr="00293C29">
        <w:rPr>
          <w:lang w:val="en-GB"/>
        </w:rPr>
        <w:t xml:space="preserve"> </w:t>
      </w:r>
      <w:bookmarkEnd w:id="1"/>
      <w:r w:rsidR="000A6C88" w:rsidRPr="00293C29">
        <w:rPr>
          <w:lang w:val="en-GB"/>
        </w:rPr>
        <w:t xml:space="preserve">Finding that </w:t>
      </w:r>
      <w:r w:rsidR="007B398E" w:rsidRPr="00293C29">
        <w:rPr>
          <w:lang w:val="en-GB"/>
        </w:rPr>
        <w:t xml:space="preserve">the </w:t>
      </w:r>
      <w:r w:rsidR="004B385F" w:rsidRPr="00293C29">
        <w:rPr>
          <w:lang w:val="en-GB"/>
        </w:rPr>
        <w:t>SNPs</w:t>
      </w:r>
      <w:r w:rsidR="007B398E" w:rsidRPr="00293C29">
        <w:rPr>
          <w:lang w:val="en-GB"/>
        </w:rPr>
        <w:t xml:space="preserve"> </w:t>
      </w:r>
      <w:r w:rsidR="00140D01" w:rsidRPr="00293C29">
        <w:rPr>
          <w:lang w:val="en-GB"/>
        </w:rPr>
        <w:t xml:space="preserve">predisposing to earlier age at menopause </w:t>
      </w:r>
      <w:r w:rsidR="00E43300" w:rsidRPr="00293C29">
        <w:rPr>
          <w:lang w:val="en-GB"/>
        </w:rPr>
        <w:t xml:space="preserve">are </w:t>
      </w:r>
      <w:r w:rsidR="00DE0217" w:rsidRPr="00293C29">
        <w:rPr>
          <w:lang w:val="en-GB"/>
        </w:rPr>
        <w:t xml:space="preserve">associated with </w:t>
      </w:r>
      <w:r w:rsidR="005213D0" w:rsidRPr="00293C29">
        <w:rPr>
          <w:lang w:val="en-GB"/>
        </w:rPr>
        <w:t>lung function</w:t>
      </w:r>
      <w:r w:rsidR="00200C32" w:rsidRPr="00293C29">
        <w:rPr>
          <w:lang w:val="en-GB"/>
        </w:rPr>
        <w:t xml:space="preserve"> </w:t>
      </w:r>
      <w:r w:rsidR="005213D0" w:rsidRPr="00293C29">
        <w:rPr>
          <w:lang w:val="en-GB"/>
        </w:rPr>
        <w:t xml:space="preserve">would provide indirect evidence of a causal effect, </w:t>
      </w:r>
      <w:r w:rsidR="00DE0217" w:rsidRPr="00293C29">
        <w:rPr>
          <w:lang w:val="en-GB"/>
        </w:rPr>
        <w:t xml:space="preserve">as long as </w:t>
      </w:r>
      <w:r w:rsidR="005213D0" w:rsidRPr="00293C29">
        <w:rPr>
          <w:lang w:val="en-GB"/>
        </w:rPr>
        <w:t>the assumptions underlying MR hold</w:t>
      </w:r>
      <w:r w:rsidR="00583274" w:rsidRPr="00293C29">
        <w:rPr>
          <w:lang w:val="en-GB"/>
        </w:rPr>
        <w:t xml:space="preserve"> (Figure 1)</w:t>
      </w:r>
      <w:r w:rsidR="00336FE2" w:rsidRPr="00293C29">
        <w:rPr>
          <w:lang w:val="en-GB"/>
        </w:rPr>
        <w:t>.</w:t>
      </w:r>
      <w:r w:rsidR="001C4EED" w:rsidRPr="00293C29">
        <w:rPr>
          <w:lang w:val="en-GB"/>
        </w:rPr>
        <w:fldChar w:fldCharType="begin" w:fldLock="1"/>
      </w:r>
      <w:r w:rsidR="00C4516C">
        <w:rPr>
          <w:lang w:val="en-GB"/>
        </w:rPr>
        <w:instrText>ADDIN CSL_CITATION {"citationItems":[{"id":"ITEM-1","itemData":{"ISBN":"9781466573185","author":[{"dropping-particle":"","family":"Burgess","given":"Stephen","non-dropping-particle":"","parse-names":false,"suffix":""},{"dropping-particle":"","family":"Thompson","given":"Simon G","non-dropping-particle":"","parse-names":false,"suffix":""}],"collection-title":"Chapman &amp; Hall/CRC Interdisciplinary Statistics","id":"ITEM-1","issued":{"date-parts":[["2015"]]},"number-of-pages":"224","publisher":"CRC Press","title":"Mendelian Randomization: Methods for Using Genetic Variants in Causal Estimation","type":"book"},"uris":["http://www.mendeley.com/documents/?uuid=50d0a9cc-82bf-49ae-a8b4-3204c882892e","http://www.mendeley.com/documents/?uuid=62ec43e6-0a23-4596-9f23-a2f87d93ad96"]}],"mendeley":{"formattedCitation":"[8]","plainTextFormattedCitation":"[8]","previouslyFormattedCitation":"[8]"},"properties":{"noteIndex":0},"schema":"https://github.com/citation-style-language/schema/raw/master/csl-citation.json"}</w:instrText>
      </w:r>
      <w:r w:rsidR="001C4EED" w:rsidRPr="00293C29">
        <w:rPr>
          <w:lang w:val="en-GB"/>
        </w:rPr>
        <w:fldChar w:fldCharType="separate"/>
      </w:r>
      <w:r w:rsidR="00634A20" w:rsidRPr="00293C29">
        <w:rPr>
          <w:noProof/>
          <w:lang w:val="en-GB"/>
        </w:rPr>
        <w:t>[8]</w:t>
      </w:r>
      <w:r w:rsidR="001C4EED" w:rsidRPr="00293C29">
        <w:rPr>
          <w:lang w:val="en-GB"/>
        </w:rPr>
        <w:fldChar w:fldCharType="end"/>
      </w:r>
      <w:r w:rsidR="00F426CE" w:rsidRPr="00293C29">
        <w:rPr>
          <w:lang w:val="en-GB"/>
        </w:rPr>
        <w:t xml:space="preserve"> </w:t>
      </w:r>
      <w:r w:rsidR="007B398E" w:rsidRPr="00293C29">
        <w:rPr>
          <w:lang w:val="en-GB"/>
        </w:rPr>
        <w:t xml:space="preserve">Of particular concern is pleiotropy, </w:t>
      </w:r>
      <w:r w:rsidR="00E43300" w:rsidRPr="00293C29">
        <w:rPr>
          <w:lang w:val="en-GB"/>
        </w:rPr>
        <w:t>which is present when a SNP is also associated with other traits affecting lung function</w:t>
      </w:r>
      <w:r w:rsidR="00926B9B" w:rsidRPr="00293C29">
        <w:rPr>
          <w:lang w:val="en-GB"/>
        </w:rPr>
        <w:t>,</w:t>
      </w:r>
      <w:r w:rsidR="00E43300" w:rsidRPr="00293C29">
        <w:rPr>
          <w:lang w:val="en-GB"/>
        </w:rPr>
        <w:t xml:space="preserve"> independently from age at menopause</w:t>
      </w:r>
      <w:r w:rsidR="00515540" w:rsidRPr="00293C29">
        <w:rPr>
          <w:lang w:val="en-GB"/>
        </w:rPr>
        <w:t>.</w:t>
      </w:r>
      <w:r w:rsidR="00F426CE" w:rsidRPr="00293C29">
        <w:rPr>
          <w:lang w:val="en-GB"/>
        </w:rPr>
        <w:fldChar w:fldCharType="begin" w:fldLock="1"/>
      </w:r>
      <w:r w:rsidR="00C4516C">
        <w:rPr>
          <w:lang w:val="en-GB"/>
        </w:rPr>
        <w:instrText>ADDIN CSL_CITATION {"citationItems":[{"id":"ITEM-1","itemData":{"DOI":"10.1002/sim.7221","ISSN":"10970258","PMID":"28114746","abstract":"Mendelian randomization (MR) uses genetic data to probe questions of causality in epidemiological research, by invoking the Instrumental Variable (IV) assumptions. In recent years, it has become commonplace to attempt MR analyses by synthesising summary data estimates of genetic association gleaned from large and independent study populations. This is referred to as two-sample summary data MR. Unfortunately, due to the sheer number of variants that can be easily included into summary data MR analyses, it is increasingly likely that some do not meet the IV assumptions due to pleiotropy. There is a pressing need to develop methods that can both detect and correct for pleiotropy, in order to preserve the validity of the MR approach in this context. In this paper, we aim to clarify how established methods of meta-regression and random effects modelling from mainstream meta-analysis are being adapted to perform this task. Specifically, we focus on two contrastin g approaches: the Inverse Variance Weighted (IVW) method which assumes in its simplest form that all genetic variants are valid IVs, and the method of MR-Egger regression that allows all variants to violate the IV assumptions, albeit in a specific way. We investigate the ability of two popular random effects models to provide robustness to pleiotropy under the IVW approach, and propose statistics to quantify the relative goodness-of-fit of the IVW approach over MR-Egger regression. © 2017 The Authors. Statistics in Medicine Published by JohnWiley &amp; Sons Ltd.","author":[{"dropping-particle":"","family":"Bowden","given":"Jack","non-dropping-particle":"","parse-names":false,"suffix":""},{"dropping-particle":"","family":"Del Greco M","given":"Fabiola","non-dropping-particle":"","parse-names":false,"suffix":""},{"dropping-particle":"","family":"Minelli","given":"Cosetta","non-dropping-particle":"","parse-names":false,"suffix":""},{"dropping-particle":"","family":"Davey Smith","given":"George","non-dropping-particle":"","parse-names":false,"suffix":""},{"dropping-particle":"","family":"Sheehan","given":"Nuala","non-dropping-particle":"","parse-names":false,"suffix":""},{"dropping-particle":"","family":"Thompson","given":"John","non-dropping-particle":"","parse-names":false,"suffix":""}],"container-title":"Statistics in Medicine","id":"ITEM-1","issue":"11","issued":{"date-parts":[["2017"]]},"page":"1783-1802","title":"A framework for the investigation of pleiotropy in two-sample summary data Mendelian randomization","type":"article-journal","volume":"36"},"uris":["http://www.mendeley.com/documents/?uuid=77a7871b-e3be-4453-8ab9-7614603cccc2","http://www.mendeley.com/documents/?uuid=a203c937-b563-44de-8d26-df899df4f491"]},{"id":"ITEM-2","itemData":{"ISBN":"9781466573185","author":[{"dropping-particle":"","family":"Burgess","given":"Stephen","non-dropping-particle":"","parse-names":false,"suffix":""},{"dropping-particle":"","family":"Thompson","given":"Simon G","non-dropping-particle":"","parse-names":false,"suffix":""}],"collection-title":"Chapman &amp; Hall/CRC Interdisciplinary Statistics","id":"ITEM-2","issued":{"date-parts":[["2015"]]},"number-of-pages":"224","publisher":"CRC Press","title":"Mendelian Randomization: Methods for Using Genetic Variants in Causal Estimation","type":"book"},"uris":["http://www.mendeley.com/documents/?uuid=50d0a9cc-82bf-49ae-a8b4-3204c882892e","http://www.mendeley.com/documents/?uuid=62ec43e6-0a23-4596-9f23-a2f87d93ad96"]}],"mendeley":{"formattedCitation":"[8, 10]","plainTextFormattedCitation":"[8, 10]","previouslyFormattedCitation":"[8, 10]"},"properties":{"noteIndex":0},"schema":"https://github.com/citation-style-language/schema/raw/master/csl-citation.json"}</w:instrText>
      </w:r>
      <w:r w:rsidR="00F426CE" w:rsidRPr="00293C29">
        <w:rPr>
          <w:lang w:val="en-GB"/>
        </w:rPr>
        <w:fldChar w:fldCharType="separate"/>
      </w:r>
      <w:r w:rsidR="00634A20" w:rsidRPr="00293C29">
        <w:rPr>
          <w:noProof/>
          <w:lang w:val="en-GB"/>
        </w:rPr>
        <w:t>[8, 10]</w:t>
      </w:r>
      <w:r w:rsidR="00F426CE" w:rsidRPr="00293C29">
        <w:rPr>
          <w:lang w:val="en-GB"/>
        </w:rPr>
        <w:fldChar w:fldCharType="end"/>
      </w:r>
      <w:r w:rsidR="009434EF" w:rsidRPr="00293C29">
        <w:rPr>
          <w:lang w:val="en-GB"/>
        </w:rPr>
        <w:t xml:space="preserve"> </w:t>
      </w:r>
    </w:p>
    <w:p w14:paraId="7A195FAB" w14:textId="7A151C2C" w:rsidR="00C70020" w:rsidRDefault="00F01624" w:rsidP="00A87748">
      <w:pPr>
        <w:spacing w:after="120"/>
        <w:jc w:val="both"/>
        <w:rPr>
          <w:lang w:val="en-GB"/>
        </w:rPr>
      </w:pPr>
      <w:r w:rsidRPr="00293C29">
        <w:rPr>
          <w:lang w:val="en-GB"/>
        </w:rPr>
        <w:t>In the current study, we use</w:t>
      </w:r>
      <w:r w:rsidR="00D143A5" w:rsidRPr="00293C29">
        <w:rPr>
          <w:lang w:val="en-GB"/>
        </w:rPr>
        <w:t>d</w:t>
      </w:r>
      <w:r w:rsidRPr="00293C29">
        <w:rPr>
          <w:lang w:val="en-GB"/>
        </w:rPr>
        <w:t xml:space="preserve"> MR to estimate the effect of age at menopause on </w:t>
      </w:r>
      <w:r w:rsidR="00F426CE" w:rsidRPr="00293C29">
        <w:rPr>
          <w:lang w:val="en-GB"/>
        </w:rPr>
        <w:t xml:space="preserve">five </w:t>
      </w:r>
      <w:r w:rsidRPr="00293C29">
        <w:rPr>
          <w:lang w:val="en-GB"/>
        </w:rPr>
        <w:t xml:space="preserve">lung function </w:t>
      </w:r>
      <w:r w:rsidR="00C870B9" w:rsidRPr="00293C29">
        <w:rPr>
          <w:lang w:val="en-GB"/>
        </w:rPr>
        <w:t xml:space="preserve">outcomes </w:t>
      </w:r>
      <w:r w:rsidR="00227FB4" w:rsidRPr="00293C29">
        <w:rPr>
          <w:lang w:val="en-GB"/>
        </w:rPr>
        <w:t>(FVC, FEV</w:t>
      </w:r>
      <w:r w:rsidR="00227FB4" w:rsidRPr="00293C29">
        <w:rPr>
          <w:vertAlign w:val="subscript"/>
          <w:lang w:val="en-GB"/>
        </w:rPr>
        <w:t>1</w:t>
      </w:r>
      <w:r w:rsidR="00227FB4" w:rsidRPr="00293C29">
        <w:rPr>
          <w:lang w:val="en-GB"/>
        </w:rPr>
        <w:t>/FVC</w:t>
      </w:r>
      <w:r w:rsidR="00C7479E" w:rsidRPr="00293C29">
        <w:rPr>
          <w:lang w:val="en-GB"/>
        </w:rPr>
        <w:t>,</w:t>
      </w:r>
      <w:r w:rsidRPr="00293C29">
        <w:rPr>
          <w:lang w:val="en-GB"/>
        </w:rPr>
        <w:t xml:space="preserve"> </w:t>
      </w:r>
      <w:r w:rsidR="00357ECD" w:rsidRPr="00293C29">
        <w:rPr>
          <w:lang w:val="en-GB"/>
        </w:rPr>
        <w:t>FEV</w:t>
      </w:r>
      <w:r w:rsidR="00357ECD" w:rsidRPr="00293C29">
        <w:rPr>
          <w:vertAlign w:val="subscript"/>
          <w:lang w:val="en-GB"/>
        </w:rPr>
        <w:t>1</w:t>
      </w:r>
      <w:r w:rsidR="00357ECD" w:rsidRPr="00293C29">
        <w:rPr>
          <w:lang w:val="en-GB"/>
        </w:rPr>
        <w:t xml:space="preserve">, </w:t>
      </w:r>
      <w:r w:rsidR="00B674CA" w:rsidRPr="00293C29">
        <w:rPr>
          <w:lang w:val="en-GB"/>
        </w:rPr>
        <w:t xml:space="preserve">spirometric </w:t>
      </w:r>
      <w:r w:rsidR="00FF296C" w:rsidRPr="00293C29">
        <w:rPr>
          <w:lang w:val="en-GB"/>
        </w:rPr>
        <w:t>restriction</w:t>
      </w:r>
      <w:r w:rsidR="003349F7" w:rsidRPr="00293C29">
        <w:rPr>
          <w:lang w:val="en-GB"/>
        </w:rPr>
        <w:t xml:space="preserve"> and airflow obstruction</w:t>
      </w:r>
      <w:r w:rsidR="00227FB4" w:rsidRPr="00293C29">
        <w:rPr>
          <w:lang w:val="en-GB"/>
        </w:rPr>
        <w:t>)</w:t>
      </w:r>
      <w:r w:rsidRPr="00293C29">
        <w:rPr>
          <w:lang w:val="en-GB"/>
        </w:rPr>
        <w:t xml:space="preserve"> using data from the UK Biobank</w:t>
      </w:r>
      <w:r w:rsidR="00227FB4" w:rsidRPr="00293C29">
        <w:rPr>
          <w:lang w:val="en-GB"/>
        </w:rPr>
        <w:t xml:space="preserve">. </w:t>
      </w:r>
      <w:r w:rsidR="00966DF6" w:rsidRPr="00966DF6">
        <w:rPr>
          <w:lang w:val="en-GB"/>
        </w:rPr>
        <w:t xml:space="preserve">We categorized menopause as early, normal and late menopause to allow the investigation of possible non-linear effects. Moreover, early menopause is of </w:t>
      </w:r>
      <w:proofErr w:type="gramStart"/>
      <w:r w:rsidR="00966DF6" w:rsidRPr="00966DF6">
        <w:rPr>
          <w:lang w:val="en-GB"/>
        </w:rPr>
        <w:t>particular clinical</w:t>
      </w:r>
      <w:proofErr w:type="gramEnd"/>
      <w:r w:rsidR="00966DF6" w:rsidRPr="00966DF6">
        <w:rPr>
          <w:lang w:val="en-GB"/>
        </w:rPr>
        <w:t xml:space="preserve"> interest and has been most commonly investigated for association with health outcomes in previous studies</w:t>
      </w:r>
      <w:r w:rsidR="00A75793">
        <w:rPr>
          <w:lang w:val="en-GB"/>
        </w:rPr>
        <w:t xml:space="preserve">. </w:t>
      </w:r>
      <w:r w:rsidR="0059613D" w:rsidRPr="00293C29">
        <w:rPr>
          <w:lang w:val="en-GB"/>
        </w:rPr>
        <w:t>W</w:t>
      </w:r>
      <w:r w:rsidR="00A956AE" w:rsidRPr="00293C29">
        <w:rPr>
          <w:lang w:val="en-GB"/>
        </w:rPr>
        <w:t>e</w:t>
      </w:r>
      <w:r w:rsidR="00F95989" w:rsidRPr="00293C29">
        <w:rPr>
          <w:lang w:val="en-GB"/>
        </w:rPr>
        <w:t xml:space="preserve"> </w:t>
      </w:r>
      <w:r w:rsidR="0054403A" w:rsidRPr="00293C29">
        <w:rPr>
          <w:lang w:val="en-GB"/>
        </w:rPr>
        <w:t>assessed</w:t>
      </w:r>
      <w:r w:rsidRPr="00293C29">
        <w:rPr>
          <w:lang w:val="en-GB"/>
        </w:rPr>
        <w:t xml:space="preserve"> the robustness of our </w:t>
      </w:r>
      <w:r w:rsidR="0059613D" w:rsidRPr="00293C29">
        <w:rPr>
          <w:lang w:val="en-GB"/>
        </w:rPr>
        <w:t xml:space="preserve">main </w:t>
      </w:r>
      <w:r w:rsidR="00F27134" w:rsidRPr="00293C29">
        <w:rPr>
          <w:lang w:val="en-GB"/>
        </w:rPr>
        <w:t xml:space="preserve">MR </w:t>
      </w:r>
      <w:r w:rsidRPr="00293C29">
        <w:rPr>
          <w:lang w:val="en-GB"/>
        </w:rPr>
        <w:t xml:space="preserve">results </w:t>
      </w:r>
      <w:r w:rsidR="0059613D" w:rsidRPr="00293C29">
        <w:rPr>
          <w:lang w:val="en-GB"/>
        </w:rPr>
        <w:t>using methods to</w:t>
      </w:r>
      <w:r w:rsidRPr="00293C29">
        <w:rPr>
          <w:lang w:val="en-GB"/>
        </w:rPr>
        <w:t xml:space="preserve"> investigate and adjust for pleiotropy</w:t>
      </w:r>
      <w:r w:rsidR="00061877" w:rsidRPr="00293C29">
        <w:rPr>
          <w:lang w:val="en-GB"/>
        </w:rPr>
        <w:t>, and</w:t>
      </w:r>
      <w:r w:rsidR="001D3621" w:rsidRPr="00293C29">
        <w:rPr>
          <w:lang w:val="en-GB"/>
        </w:rPr>
        <w:t xml:space="preserve"> </w:t>
      </w:r>
      <w:r w:rsidR="0059613D" w:rsidRPr="00293C29">
        <w:rPr>
          <w:lang w:val="en-GB"/>
        </w:rPr>
        <w:t xml:space="preserve">we performed subgroup analyses to </w:t>
      </w:r>
      <w:r w:rsidR="00061877" w:rsidRPr="00293C29">
        <w:rPr>
          <w:lang w:val="en-GB"/>
        </w:rPr>
        <w:t>investigate</w:t>
      </w:r>
      <w:r w:rsidR="001D3621" w:rsidRPr="00293C29">
        <w:rPr>
          <w:lang w:val="en-GB"/>
        </w:rPr>
        <w:t xml:space="preserve"> </w:t>
      </w:r>
      <w:r w:rsidR="00F51FB2" w:rsidRPr="00293C29">
        <w:rPr>
          <w:lang w:val="en-GB"/>
        </w:rPr>
        <w:t xml:space="preserve">whether the effect of </w:t>
      </w:r>
      <w:r w:rsidR="00465CA8" w:rsidRPr="00293C29">
        <w:rPr>
          <w:lang w:val="en-GB"/>
        </w:rPr>
        <w:t xml:space="preserve">age at </w:t>
      </w:r>
      <w:r w:rsidR="00F51FB2" w:rsidRPr="00293C29">
        <w:rPr>
          <w:lang w:val="en-GB"/>
        </w:rPr>
        <w:t>menopause on lung function varied</w:t>
      </w:r>
      <w:r w:rsidR="00061877" w:rsidRPr="00293C29">
        <w:rPr>
          <w:lang w:val="en-GB"/>
        </w:rPr>
        <w:t xml:space="preserve"> according to smoking</w:t>
      </w:r>
      <w:r w:rsidR="00BA3732" w:rsidRPr="00293C29">
        <w:rPr>
          <w:lang w:val="en-GB"/>
        </w:rPr>
        <w:t xml:space="preserve"> status</w:t>
      </w:r>
      <w:r w:rsidR="00EE70B9" w:rsidRPr="00293C29">
        <w:rPr>
          <w:lang w:val="en-GB"/>
        </w:rPr>
        <w:t xml:space="preserve">, use of </w:t>
      </w:r>
      <w:r w:rsidR="006138D0" w:rsidRPr="00293C29">
        <w:rPr>
          <w:lang w:val="en-GB"/>
        </w:rPr>
        <w:t xml:space="preserve">menopause </w:t>
      </w:r>
      <w:r w:rsidR="006F33E2" w:rsidRPr="00293C29">
        <w:rPr>
          <w:lang w:val="en-GB"/>
        </w:rPr>
        <w:t>hormone</w:t>
      </w:r>
      <w:r w:rsidR="00EE70B9" w:rsidRPr="00293C29">
        <w:rPr>
          <w:lang w:val="en-GB"/>
        </w:rPr>
        <w:t xml:space="preserve"> </w:t>
      </w:r>
      <w:r w:rsidR="006138D0" w:rsidRPr="00293C29">
        <w:rPr>
          <w:lang w:val="en-GB"/>
        </w:rPr>
        <w:t>therapy</w:t>
      </w:r>
      <w:r w:rsidR="00061877" w:rsidRPr="00293C29">
        <w:rPr>
          <w:lang w:val="en-GB"/>
        </w:rPr>
        <w:t xml:space="preserve"> </w:t>
      </w:r>
      <w:r w:rsidR="006F33E2" w:rsidRPr="00293C29">
        <w:rPr>
          <w:lang w:val="en-GB"/>
        </w:rPr>
        <w:lastRenderedPageBreak/>
        <w:t xml:space="preserve">(MHT) </w:t>
      </w:r>
      <w:r w:rsidR="00061877" w:rsidRPr="00293C29">
        <w:rPr>
          <w:lang w:val="en-GB"/>
        </w:rPr>
        <w:t xml:space="preserve">and </w:t>
      </w:r>
      <w:r w:rsidR="00BA3732" w:rsidRPr="00293C29">
        <w:rPr>
          <w:lang w:val="en-GB"/>
        </w:rPr>
        <w:t>body mass index (BMI)</w:t>
      </w:r>
      <w:r w:rsidR="00061877" w:rsidRPr="00293C29">
        <w:rPr>
          <w:lang w:val="en-GB"/>
        </w:rPr>
        <w:t>.</w:t>
      </w:r>
      <w:r w:rsidR="0059613D" w:rsidRPr="00293C29">
        <w:rPr>
          <w:lang w:val="en-GB"/>
        </w:rPr>
        <w:t xml:space="preserve"> We also performed classical observational analyses</w:t>
      </w:r>
      <w:r w:rsidR="00907E7E">
        <w:rPr>
          <w:lang w:val="en-GB"/>
        </w:rPr>
        <w:t xml:space="preserve"> </w:t>
      </w:r>
      <w:r w:rsidR="00907E7E" w:rsidRPr="004530EA">
        <w:rPr>
          <w:lang w:val="en-GB"/>
        </w:rPr>
        <w:t>on the same dataset</w:t>
      </w:r>
      <w:r w:rsidR="0069144D" w:rsidRPr="004530EA">
        <w:rPr>
          <w:lang w:val="en-GB"/>
        </w:rPr>
        <w:t>,</w:t>
      </w:r>
      <w:r w:rsidR="0059613D" w:rsidRPr="004530EA">
        <w:rPr>
          <w:lang w:val="en-GB"/>
        </w:rPr>
        <w:t xml:space="preserve"> </w:t>
      </w:r>
      <w:r w:rsidR="0069144D" w:rsidRPr="004530EA">
        <w:rPr>
          <w:lang w:val="en-GB"/>
        </w:rPr>
        <w:t>for</w:t>
      </w:r>
      <w:r w:rsidR="0069144D" w:rsidRPr="00293C29">
        <w:rPr>
          <w:lang w:val="en-GB"/>
        </w:rPr>
        <w:t xml:space="preserve"> comparison</w:t>
      </w:r>
      <w:r w:rsidR="00496A06" w:rsidRPr="00293C29">
        <w:rPr>
          <w:lang w:val="en-GB"/>
        </w:rPr>
        <w:t xml:space="preserve"> with MR</w:t>
      </w:r>
      <w:r w:rsidR="00E43300" w:rsidRPr="00293C29">
        <w:rPr>
          <w:lang w:val="en-GB"/>
        </w:rPr>
        <w:t>.</w:t>
      </w:r>
      <w:r w:rsidR="0059613D" w:rsidRPr="00293C29">
        <w:rPr>
          <w:lang w:val="en-GB"/>
        </w:rPr>
        <w:t xml:space="preserve"> </w:t>
      </w:r>
    </w:p>
    <w:p w14:paraId="7A496E95" w14:textId="1C077B4A" w:rsidR="00D66C93" w:rsidRPr="00293C29" w:rsidRDefault="00D66C93" w:rsidP="00A87748">
      <w:pPr>
        <w:spacing w:after="120"/>
        <w:jc w:val="both"/>
        <w:rPr>
          <w:b/>
          <w:sz w:val="24"/>
          <w:szCs w:val="24"/>
          <w:lang w:val="en-GB"/>
        </w:rPr>
      </w:pPr>
    </w:p>
    <w:p w14:paraId="6E243726" w14:textId="77777777" w:rsidR="004D5425" w:rsidRPr="00293C29" w:rsidRDefault="004D5425" w:rsidP="00A87748">
      <w:pPr>
        <w:spacing w:after="120"/>
        <w:jc w:val="both"/>
        <w:rPr>
          <w:b/>
          <w:sz w:val="24"/>
          <w:szCs w:val="24"/>
          <w:lang w:val="en-GB"/>
        </w:rPr>
      </w:pPr>
      <w:r w:rsidRPr="00293C29">
        <w:rPr>
          <w:b/>
          <w:sz w:val="24"/>
          <w:szCs w:val="24"/>
          <w:lang w:val="en-GB"/>
        </w:rPr>
        <w:t>Methods</w:t>
      </w:r>
    </w:p>
    <w:p w14:paraId="7E6491BB" w14:textId="07A7167B" w:rsidR="005011B2" w:rsidRDefault="009207D8" w:rsidP="00A87748">
      <w:pPr>
        <w:spacing w:after="120"/>
        <w:jc w:val="both"/>
        <w:rPr>
          <w:lang w:val="en-GB"/>
        </w:rPr>
      </w:pPr>
      <w:r w:rsidRPr="00293C29">
        <w:rPr>
          <w:lang w:val="en-GB"/>
        </w:rPr>
        <w:t>Detailed methods</w:t>
      </w:r>
      <w:r w:rsidR="005011B2" w:rsidRPr="00293C29">
        <w:rPr>
          <w:lang w:val="en-GB"/>
        </w:rPr>
        <w:t xml:space="preserve"> are provided in the online data supplement</w:t>
      </w:r>
      <w:r w:rsidR="00841A97" w:rsidRPr="00293C29">
        <w:rPr>
          <w:lang w:val="en-GB"/>
        </w:rPr>
        <w:t>.</w:t>
      </w:r>
    </w:p>
    <w:p w14:paraId="30162495" w14:textId="276AC353" w:rsidR="00B20066" w:rsidRPr="00B20066" w:rsidRDefault="00B20066" w:rsidP="00A87748">
      <w:pPr>
        <w:spacing w:after="120"/>
        <w:jc w:val="both"/>
        <w:rPr>
          <w:i/>
          <w:lang w:val="en-GB"/>
        </w:rPr>
      </w:pPr>
      <w:r w:rsidRPr="00B20066">
        <w:rPr>
          <w:i/>
          <w:lang w:val="en-GB"/>
        </w:rPr>
        <w:t>Study population</w:t>
      </w:r>
    </w:p>
    <w:p w14:paraId="7337A68C" w14:textId="24ECBA95" w:rsidR="00CA59B4" w:rsidRPr="00293C29" w:rsidRDefault="008827D3" w:rsidP="00A87748">
      <w:pPr>
        <w:spacing w:after="120"/>
        <w:jc w:val="both"/>
        <w:rPr>
          <w:i/>
          <w:lang w:val="en-GB"/>
        </w:rPr>
      </w:pPr>
      <w:r w:rsidRPr="00293C29">
        <w:rPr>
          <w:lang w:val="en-GB"/>
        </w:rPr>
        <w:t xml:space="preserve">We </w:t>
      </w:r>
      <w:r w:rsidR="00E43300" w:rsidRPr="00293C29">
        <w:rPr>
          <w:lang w:val="en-GB"/>
        </w:rPr>
        <w:t>included</w:t>
      </w:r>
      <w:r w:rsidR="00867513" w:rsidRPr="00293C29">
        <w:rPr>
          <w:lang w:val="en-GB"/>
        </w:rPr>
        <w:t xml:space="preserve"> naturally </w:t>
      </w:r>
      <w:r w:rsidRPr="00293C29">
        <w:rPr>
          <w:lang w:val="en-GB"/>
        </w:rPr>
        <w:t xml:space="preserve">post-menopausal </w:t>
      </w:r>
      <w:r w:rsidR="00D5145E" w:rsidRPr="00293C29">
        <w:rPr>
          <w:lang w:val="en-GB"/>
        </w:rPr>
        <w:t xml:space="preserve">white </w:t>
      </w:r>
      <w:r w:rsidRPr="00293C29">
        <w:rPr>
          <w:lang w:val="en-GB"/>
        </w:rPr>
        <w:t xml:space="preserve">women </w:t>
      </w:r>
      <w:r w:rsidR="000559DE" w:rsidRPr="00293C29">
        <w:rPr>
          <w:lang w:val="en-GB"/>
        </w:rPr>
        <w:t>from the</w:t>
      </w:r>
      <w:r w:rsidR="005C75AC" w:rsidRPr="00293C29">
        <w:rPr>
          <w:lang w:val="en-GB"/>
        </w:rPr>
        <w:t xml:space="preserve"> very large, population-based </w:t>
      </w:r>
      <w:r w:rsidRPr="00293C29">
        <w:rPr>
          <w:lang w:val="en-GB"/>
        </w:rPr>
        <w:t>UK Biobank</w:t>
      </w:r>
      <w:r w:rsidR="000D3B25" w:rsidRPr="00293C29">
        <w:rPr>
          <w:lang w:val="en-GB"/>
        </w:rPr>
        <w:t xml:space="preserve"> (UKB)</w:t>
      </w:r>
      <w:r w:rsidRPr="00293C29">
        <w:rPr>
          <w:lang w:val="en-GB"/>
        </w:rPr>
        <w:t xml:space="preserve"> </w:t>
      </w:r>
      <w:r w:rsidR="00926B9B" w:rsidRPr="00293C29">
        <w:rPr>
          <w:lang w:val="en-GB"/>
        </w:rPr>
        <w:t xml:space="preserve">study </w:t>
      </w:r>
      <w:r w:rsidR="001C4EED" w:rsidRPr="00293C29">
        <w:rPr>
          <w:lang w:val="en-GB"/>
        </w:rPr>
        <w:fldChar w:fldCharType="begin" w:fldLock="1"/>
      </w:r>
      <w:r w:rsidR="00C4516C">
        <w:rPr>
          <w:lang w:val="en-GB"/>
        </w:rPr>
        <w:instrText>ADDIN CSL_CITATION {"citationItems":[{"id":"ITEM-1","itemData":{"DOI":"10.1371/journal.pmed.1001779","ISSN":"1549-1676","PMID":"25826379","abstract":"Cathie Sudlow and colleagues describe the UK Biobank, a large population-based prospective study, established to allow investigation of the genetic and non-genetic determinants of the diseases of middle and old age.","author":[{"dropping-particle":"","family":"Sudlow","given":"Cathie","non-dropping-particle":"","parse-names":false,"suffix":""},{"dropping-particle":"","family":"Gallacher","given":"John","non-dropping-particle":"","parse-names":false,"suffix":""},{"dropping-particle":"","family":"Allen","given":"Naomi","non-dropping-particle":"","parse-names":false,"suffix":""},{"dropping-particle":"","family":"Beral","given":"Valerie","non-dropping-particle":"","parse-names":false,"suffix":""},{"dropping-particle":"","family":"Burton","given":"Paul","non-dropping-particle":"","parse-names":false,"suffix":""},{"dropping-particle":"","family":"Danesh","given":"John","non-dropping-particle":"","parse-names":false,"suffix":""},{"dropping-particle":"","family":"Downey","given":"Paul","non-dropping-particle":"","parse-names":false,"suffix":""},{"dropping-particle":"","family":"Elliott","given":"Paul","non-dropping-particle":"","parse-names":false,"suffix":""},{"dropping-particle":"","family":"Green","given":"Jane","non-dropping-particle":"","parse-names":false,"suffix":""},{"dropping-particle":"","family":"Landray","given":"Martin","non-dropping-particle":"","parse-names":false,"suffix":""},{"dropping-particle":"","family":"Liu","given":"Bette","non-dropping-particle":"","parse-names":false,"suffix":""},{"dropping-particle":"","family":"Matthews","given":"Paul","non-dropping-particle":"","parse-names":false,"suffix":""},{"dropping-particle":"","family":"Ong","given":"Giok","non-dropping-particle":"","parse-names":false,"suffix":""},{"dropping-particle":"","family":"Pell","given":"Jill","non-dropping-particle":"","parse-names":false,"suffix":""},{"dropping-particle":"","family":"Silman","given":"Alan","non-dropping-particle":"","parse-names":false,"suffix":""},{"dropping-particle":"","family":"Young","given":"Alan","non-dropping-particle":"","parse-names":false,"suffix":""},{"dropping-particle":"","family":"Sprosen","given":"Tim","non-dropping-particle":"","parse-names":false,"suffix":""},{"dropping-particle":"","family":"Peakman","given":"Tim","non-dropping-particle":"","parse-names":false,"suffix":""},{"dropping-particle":"","family":"Collins","given":"Rory","non-dropping-particle":"","parse-names":false,"suffix":""}],"container-title":"PLOS Medicine","id":"ITEM-1","issue":"3","issued":{"date-parts":[["2015","3"]]},"page":"e1001779","title":"UK Biobank: An Open Access Resource for Identifying the Causes of a Wide Range of Complex Diseases of Middle and Old Age","type":"article-journal","volume":"12"},"uris":["http://www.mendeley.com/documents/?uuid=a51ebf30-3c01-3911-843c-0074ecb0957e","http://www.mendeley.com/documents/?uuid=8eb55c2d-4f8e-4cc1-9d17-6645edbbe9e5"]}],"mendeley":{"formattedCitation":"[11]","plainTextFormattedCitation":"[11]","previouslyFormattedCitation":"[11]"},"properties":{"noteIndex":0},"schema":"https://github.com/citation-style-language/schema/raw/master/csl-citation.json"}</w:instrText>
      </w:r>
      <w:r w:rsidR="001C4EED" w:rsidRPr="00293C29">
        <w:rPr>
          <w:lang w:val="en-GB"/>
        </w:rPr>
        <w:fldChar w:fldCharType="separate"/>
      </w:r>
      <w:r w:rsidR="00634A20" w:rsidRPr="00293C29">
        <w:rPr>
          <w:noProof/>
          <w:lang w:val="en-GB"/>
        </w:rPr>
        <w:t>[11]</w:t>
      </w:r>
      <w:r w:rsidR="001C4EED" w:rsidRPr="00293C29">
        <w:rPr>
          <w:lang w:val="en-GB"/>
        </w:rPr>
        <w:fldChar w:fldCharType="end"/>
      </w:r>
      <w:r w:rsidRPr="00293C29">
        <w:rPr>
          <w:lang w:val="en-GB"/>
        </w:rPr>
        <w:t xml:space="preserve">, </w:t>
      </w:r>
      <w:r w:rsidR="00926B9B" w:rsidRPr="00293C29">
        <w:rPr>
          <w:lang w:val="en-GB"/>
        </w:rPr>
        <w:t xml:space="preserve">and </w:t>
      </w:r>
      <w:r w:rsidR="00E43300" w:rsidRPr="00293C29">
        <w:rPr>
          <w:lang w:val="en-GB"/>
        </w:rPr>
        <w:t>exclud</w:t>
      </w:r>
      <w:r w:rsidR="00926B9B" w:rsidRPr="00293C29">
        <w:rPr>
          <w:lang w:val="en-GB"/>
        </w:rPr>
        <w:t>ed</w:t>
      </w:r>
      <w:r w:rsidR="00E43300" w:rsidRPr="00293C29">
        <w:rPr>
          <w:lang w:val="en-GB"/>
        </w:rPr>
        <w:t xml:space="preserve"> </w:t>
      </w:r>
      <w:r w:rsidRPr="00293C29">
        <w:rPr>
          <w:lang w:val="en-GB"/>
        </w:rPr>
        <w:t xml:space="preserve">women </w:t>
      </w:r>
      <w:r w:rsidR="000559DE" w:rsidRPr="00293C29">
        <w:rPr>
          <w:lang w:val="en-GB"/>
        </w:rPr>
        <w:t>with</w:t>
      </w:r>
      <w:r w:rsidRPr="00293C29">
        <w:rPr>
          <w:lang w:val="en-GB"/>
        </w:rPr>
        <w:t xml:space="preserve"> </w:t>
      </w:r>
      <w:r w:rsidR="00207575" w:rsidRPr="00293C29">
        <w:rPr>
          <w:lang w:val="en-GB"/>
        </w:rPr>
        <w:t xml:space="preserve">surgical menopause </w:t>
      </w:r>
      <w:r w:rsidRPr="00293C29">
        <w:rPr>
          <w:lang w:val="en-GB"/>
        </w:rPr>
        <w:t>and women with extreme age at menopause (&lt;40 or &gt;60</w:t>
      </w:r>
      <w:r w:rsidR="00B51351" w:rsidRPr="00293C29">
        <w:rPr>
          <w:lang w:val="en-GB"/>
        </w:rPr>
        <w:t>)</w:t>
      </w:r>
      <w:r w:rsidRPr="00293C29">
        <w:rPr>
          <w:lang w:val="en-GB"/>
        </w:rPr>
        <w:t>. Age at natural menopause was based on self-reported age</w:t>
      </w:r>
      <w:r w:rsidR="00B06A4A" w:rsidRPr="00293C29">
        <w:rPr>
          <w:lang w:val="en-GB"/>
        </w:rPr>
        <w:t xml:space="preserve"> </w:t>
      </w:r>
      <w:r w:rsidR="00E43300" w:rsidRPr="00293C29">
        <w:rPr>
          <w:lang w:val="en-GB"/>
        </w:rPr>
        <w:t>at which</w:t>
      </w:r>
      <w:r w:rsidRPr="00293C29">
        <w:rPr>
          <w:lang w:val="en-GB"/>
        </w:rPr>
        <w:t xml:space="preserve"> </w:t>
      </w:r>
      <w:r w:rsidR="00E43300" w:rsidRPr="00293C29">
        <w:rPr>
          <w:lang w:val="en-GB"/>
        </w:rPr>
        <w:t>‘</w:t>
      </w:r>
      <w:r w:rsidRPr="00293C29">
        <w:rPr>
          <w:lang w:val="en-GB"/>
        </w:rPr>
        <w:t>periods</w:t>
      </w:r>
      <w:r w:rsidR="003118E3" w:rsidRPr="00293C29">
        <w:rPr>
          <w:lang w:val="en-GB"/>
        </w:rPr>
        <w:t xml:space="preserve"> </w:t>
      </w:r>
      <w:r w:rsidRPr="00293C29">
        <w:rPr>
          <w:lang w:val="en-GB"/>
        </w:rPr>
        <w:t>stopped</w:t>
      </w:r>
      <w:proofErr w:type="gramStart"/>
      <w:r w:rsidR="00E43300" w:rsidRPr="00293C29">
        <w:rPr>
          <w:lang w:val="en-GB"/>
        </w:rPr>
        <w:t>’</w:t>
      </w:r>
      <w:r w:rsidR="000F572C" w:rsidRPr="00293C29">
        <w:rPr>
          <w:lang w:val="en-GB"/>
        </w:rPr>
        <w:t>,</w:t>
      </w:r>
      <w:r w:rsidR="000F572C" w:rsidRPr="00293C29" w:rsidDel="000F572C">
        <w:rPr>
          <w:lang w:val="en-GB"/>
        </w:rPr>
        <w:t xml:space="preserve"> </w:t>
      </w:r>
      <w:r w:rsidR="000F572C" w:rsidRPr="00293C29">
        <w:rPr>
          <w:lang w:val="en-GB"/>
        </w:rPr>
        <w:t>and</w:t>
      </w:r>
      <w:proofErr w:type="gramEnd"/>
      <w:r w:rsidR="000F572C" w:rsidRPr="00293C29">
        <w:rPr>
          <w:lang w:val="en-GB"/>
        </w:rPr>
        <w:t xml:space="preserve"> was </w:t>
      </w:r>
      <w:r w:rsidR="00857C55" w:rsidRPr="00293C29">
        <w:rPr>
          <w:lang w:val="en-GB"/>
        </w:rPr>
        <w:t>categorized as early (</w:t>
      </w:r>
      <w:r w:rsidR="00862FF5" w:rsidRPr="00293C29">
        <w:rPr>
          <w:lang w:val="en-GB"/>
        </w:rPr>
        <w:t>40</w:t>
      </w:r>
      <w:r w:rsidR="00ED0BF1" w:rsidRPr="00293C29">
        <w:rPr>
          <w:lang w:val="en-GB"/>
        </w:rPr>
        <w:t>-</w:t>
      </w:r>
      <w:r w:rsidR="00857C55" w:rsidRPr="00293C29">
        <w:rPr>
          <w:lang w:val="en-GB"/>
        </w:rPr>
        <w:t>45 years), normal (45</w:t>
      </w:r>
      <w:r w:rsidR="00ED0BF1" w:rsidRPr="00293C29">
        <w:rPr>
          <w:lang w:val="en-GB"/>
        </w:rPr>
        <w:t>-</w:t>
      </w:r>
      <w:r w:rsidR="00857C55" w:rsidRPr="00293C29">
        <w:rPr>
          <w:lang w:val="en-GB"/>
        </w:rPr>
        <w:t>55), or late (55</w:t>
      </w:r>
      <w:r w:rsidR="00ED0BF1" w:rsidRPr="00293C29">
        <w:rPr>
          <w:lang w:val="en-GB"/>
        </w:rPr>
        <w:t>-</w:t>
      </w:r>
      <w:r w:rsidR="00862FF5" w:rsidRPr="00293C29">
        <w:rPr>
          <w:lang w:val="en-GB"/>
        </w:rPr>
        <w:t>60</w:t>
      </w:r>
      <w:r w:rsidR="00857C55" w:rsidRPr="00293C29">
        <w:rPr>
          <w:lang w:val="en-GB"/>
        </w:rPr>
        <w:t xml:space="preserve">), using </w:t>
      </w:r>
      <w:r w:rsidR="00857C55" w:rsidRPr="00702340">
        <w:rPr>
          <w:lang w:val="en-GB"/>
        </w:rPr>
        <w:t>normal as the reference</w:t>
      </w:r>
      <w:r w:rsidR="00833E39" w:rsidRPr="00702340">
        <w:rPr>
          <w:lang w:val="en-GB"/>
        </w:rPr>
        <w:t xml:space="preserve"> category</w:t>
      </w:r>
      <w:r w:rsidR="007C1EAA" w:rsidRPr="00702340">
        <w:rPr>
          <w:lang w:val="en-GB"/>
        </w:rPr>
        <w:t>.</w:t>
      </w:r>
      <w:r w:rsidR="0057784D" w:rsidRPr="00702340">
        <w:rPr>
          <w:lang w:val="en-GB"/>
        </w:rPr>
        <w:t xml:space="preserve"> </w:t>
      </w:r>
      <w:r w:rsidR="00CA59B4" w:rsidRPr="00702340">
        <w:rPr>
          <w:lang w:val="en-GB"/>
        </w:rPr>
        <w:t xml:space="preserve">We </w:t>
      </w:r>
      <w:r w:rsidR="00D619FB" w:rsidRPr="00702340">
        <w:rPr>
          <w:lang w:val="en-GB"/>
        </w:rPr>
        <w:t xml:space="preserve">investigated </w:t>
      </w:r>
      <w:r w:rsidR="00C00C81" w:rsidRPr="009C38A9">
        <w:rPr>
          <w:lang w:val="en-GB"/>
        </w:rPr>
        <w:t>the continuous outcomes</w:t>
      </w:r>
      <w:r w:rsidR="00846B9D" w:rsidRPr="009C38A9">
        <w:rPr>
          <w:lang w:val="en-GB"/>
        </w:rPr>
        <w:t xml:space="preserve"> </w:t>
      </w:r>
      <w:r w:rsidR="00D619FB" w:rsidRPr="009C38A9">
        <w:rPr>
          <w:lang w:val="en-GB"/>
        </w:rPr>
        <w:t>FEV</w:t>
      </w:r>
      <w:r w:rsidR="00D619FB" w:rsidRPr="009C38A9">
        <w:rPr>
          <w:vertAlign w:val="subscript"/>
          <w:lang w:val="en-GB"/>
        </w:rPr>
        <w:t>1</w:t>
      </w:r>
      <w:r w:rsidR="00D619FB" w:rsidRPr="009C38A9">
        <w:rPr>
          <w:lang w:val="en-GB"/>
        </w:rPr>
        <w:t xml:space="preserve">, </w:t>
      </w:r>
      <w:r w:rsidR="00CA59B4" w:rsidRPr="009C38A9">
        <w:rPr>
          <w:lang w:val="en-GB"/>
        </w:rPr>
        <w:t>FVC</w:t>
      </w:r>
      <w:r w:rsidR="00D619FB" w:rsidRPr="009C38A9">
        <w:rPr>
          <w:lang w:val="en-GB"/>
        </w:rPr>
        <w:t xml:space="preserve"> and </w:t>
      </w:r>
      <w:r w:rsidR="00CA59B4" w:rsidRPr="009C38A9">
        <w:rPr>
          <w:lang w:val="en-GB"/>
        </w:rPr>
        <w:t>FEV</w:t>
      </w:r>
      <w:r w:rsidR="00CA59B4" w:rsidRPr="009C38A9">
        <w:rPr>
          <w:vertAlign w:val="subscript"/>
          <w:lang w:val="en-GB"/>
        </w:rPr>
        <w:t>1</w:t>
      </w:r>
      <w:r w:rsidR="00CA59B4" w:rsidRPr="009C38A9">
        <w:rPr>
          <w:lang w:val="en-GB"/>
        </w:rPr>
        <w:t>/FVC</w:t>
      </w:r>
      <w:r w:rsidR="000804B9" w:rsidRPr="009C38A9">
        <w:rPr>
          <w:lang w:val="en-GB"/>
        </w:rPr>
        <w:t xml:space="preserve"> (</w:t>
      </w:r>
      <w:r w:rsidR="000804B9" w:rsidRPr="00702340">
        <w:rPr>
          <w:lang w:val="en-GB"/>
        </w:rPr>
        <w:t>best measure</w:t>
      </w:r>
      <w:r w:rsidR="000804B9" w:rsidRPr="00B20066">
        <w:rPr>
          <w:lang w:val="en-GB"/>
        </w:rPr>
        <w:t>)</w:t>
      </w:r>
      <w:r w:rsidR="00D619FB" w:rsidRPr="00702340">
        <w:rPr>
          <w:lang w:val="en-GB"/>
        </w:rPr>
        <w:t>,</w:t>
      </w:r>
      <w:r w:rsidR="001D3621" w:rsidRPr="00702340">
        <w:rPr>
          <w:lang w:val="en-GB"/>
        </w:rPr>
        <w:t xml:space="preserve"> </w:t>
      </w:r>
      <w:r w:rsidR="00CA59B4" w:rsidRPr="00702340">
        <w:rPr>
          <w:lang w:val="en-GB"/>
        </w:rPr>
        <w:t>as</w:t>
      </w:r>
      <w:r w:rsidR="00CA59B4" w:rsidRPr="00293C29">
        <w:rPr>
          <w:lang w:val="en-GB"/>
        </w:rPr>
        <w:t xml:space="preserve"> well as </w:t>
      </w:r>
      <w:r w:rsidR="00C00C81" w:rsidRPr="00293C29">
        <w:rPr>
          <w:lang w:val="en-GB"/>
        </w:rPr>
        <w:t xml:space="preserve">the binary outcomes </w:t>
      </w:r>
      <w:r w:rsidR="003349F7" w:rsidRPr="00293C29">
        <w:rPr>
          <w:lang w:val="en-GB"/>
        </w:rPr>
        <w:t>spirometric restriction defined as FVC&lt;</w:t>
      </w:r>
      <w:r w:rsidR="003349F7" w:rsidRPr="00293C29" w:rsidDel="003349F7">
        <w:rPr>
          <w:lang w:val="en-GB"/>
        </w:rPr>
        <w:t xml:space="preserve"> </w:t>
      </w:r>
      <w:r w:rsidR="0004161F" w:rsidRPr="00293C29">
        <w:rPr>
          <w:lang w:val="en-GB"/>
        </w:rPr>
        <w:t>lower limit of normal (LLN</w:t>
      </w:r>
      <w:r w:rsidR="00A4017E" w:rsidRPr="00293C29">
        <w:rPr>
          <w:lang w:val="en-GB"/>
        </w:rPr>
        <w:t>)</w:t>
      </w:r>
      <w:r w:rsidR="00DF79B5" w:rsidRPr="00293C29">
        <w:rPr>
          <w:lang w:val="en-GB"/>
        </w:rPr>
        <w:t>,</w:t>
      </w:r>
      <w:r w:rsidR="002121D6" w:rsidRPr="00293C29">
        <w:rPr>
          <w:lang w:val="en-GB"/>
        </w:rPr>
        <w:t xml:space="preserve"> </w:t>
      </w:r>
      <w:r w:rsidR="003349F7" w:rsidRPr="00293C29">
        <w:rPr>
          <w:lang w:val="en-GB"/>
        </w:rPr>
        <w:t>and airflow obstruction defined as FEV</w:t>
      </w:r>
      <w:r w:rsidR="003349F7" w:rsidRPr="00293C29">
        <w:rPr>
          <w:vertAlign w:val="subscript"/>
          <w:lang w:val="en-GB"/>
        </w:rPr>
        <w:t>1</w:t>
      </w:r>
      <w:r w:rsidR="003349F7" w:rsidRPr="00293C29">
        <w:rPr>
          <w:lang w:val="en-GB"/>
        </w:rPr>
        <w:t>/FVC&lt;</w:t>
      </w:r>
      <w:r w:rsidR="002121D6" w:rsidRPr="00293C29">
        <w:rPr>
          <w:lang w:val="en-GB"/>
        </w:rPr>
        <w:t>LLN</w:t>
      </w:r>
      <w:r w:rsidR="003A593F" w:rsidRPr="00293C29">
        <w:rPr>
          <w:lang w:val="en-GB"/>
        </w:rPr>
        <w:t>.</w:t>
      </w:r>
      <w:r w:rsidR="00B00A22" w:rsidRPr="00293C29">
        <w:rPr>
          <w:lang w:val="en-GB"/>
        </w:rPr>
        <w:t xml:space="preserve"> The LLN was based on the Global Lung Function Initiative 2012</w:t>
      </w:r>
      <w:r w:rsidR="006953ED" w:rsidRPr="00293C29">
        <w:rPr>
          <w:lang w:val="en-GB"/>
        </w:rPr>
        <w:t>.</w:t>
      </w:r>
      <w:r w:rsidR="00563DA1" w:rsidRPr="00293C29">
        <w:rPr>
          <w:lang w:val="en-GB"/>
        </w:rPr>
        <w:fldChar w:fldCharType="begin" w:fldLock="1"/>
      </w:r>
      <w:r w:rsidR="00C4516C">
        <w:rPr>
          <w:lang w:val="en-GB"/>
        </w:rPr>
        <w:instrText>ADDIN CSL_CITATION {"citationItems":[{"id":"ITEM-1","itemData":{"DOI":"10.1183/09031936.00080312 [doi]","ISSN":"1399-3003; 0903-1936","abstract":"The aim of the Task Force was to derive continuous prediction equations and their lower limits of normal for spirometric indices, which are applicable globally. Over 160,000 data points from 72 centres in 33 countries were shared with the European Respiratory Society Global Lung Function Initiative. Eliminating data that could not be used (mostly missing ethnic group, some outliers) left 97,759 records of healthy nonsmokers (55.3% females) aged 2.5-95 yrs. Lung function data were collated and prediction equations derived using the LMS method, which allows simultaneous modelling of the mean (mu), the coefficient of variation (sigma) and skewness (lambda) of a distribution family. After discarding 23,572 records, mostly because they could not be combined with other ethnic or geographic groups, reference equations were derived for healthy individuals aged 3-95 yrs for Caucasians (n=57,395), African-Americans (n=3,545), and North (n=4,992) and South East Asians (n=8,255). Forced expiratory value in 1 s (FEV(1)) and forced vital capacity (FVC) between ethnic groups differed proportionally from that in Caucasians, such that FEV(1)/FVC remained virtually independent of ethnic group. For individuals not represented by these four groups, or of mixed ethnic origins, a composite equation taken as the average of the above equations is provided to facilitate interpretation until a more appropriate solution is developed. Spirometric prediction equations for the 3-95-age range are now available that include appropriate age-dependent lower limits of normal. They can be applied globally to different ethnic groups. Additional data from the Indian subcontinent and Arabic, Polynesian and Latin American countries, as well as Africa will further improve these equations in the future.","author":[{"dropping-particle":"","family":"Quanjer","given":"P H","non-dropping-particle":"","parse-names":false,"suffix":""},{"dropping-particle":"","family":"Stanojevic","given":"S","non-dropping-particle":"","parse-names":false,"suffix":""},{"dropping-particle":"","family":"Cole","given":"T J","non-dropping-particle":"","parse-names":false,"suffix":""},{"dropping-particle":"","family":"Baur","given":"X","non-dropping-particle":"","parse-names":false,"suffix":""},{"dropping-particle":"","family":"Hall","given":"G L","non-dropping-particle":"","parse-names":false,"suffix":""},{"dropping-particle":"","family":"Culver","given":"B H","non-dropping-particle":"","parse-names":false,"suffix":""},{"dropping-particle":"","family":"Enright","given":"P L","non-dropping-particle":"","parse-names":false,"suffix":""},{"dropping-particle":"","family":"Hankinson","given":"J L","non-dropping-particle":"","parse-names":false,"suffix":""},{"dropping-particle":"","family":"Ip","given":"M S","non-dropping-particle":"","parse-names":false,"suffix":""},{"dropping-particle":"","family":"Zheng","given":"J","non-dropping-particle":"","parse-names":false,"suffix":""},{"dropping-particle":"","family":"Stocks","given":"J","non-dropping-particle":"","parse-names":false,"suffix":""},{"dropping-particle":"","family":"Initiative","given":"E R S Global Lung Function","non-dropping-particle":"","parse-names":false,"suffix":""}],"container-title":"The European respiratory journal","id":"ITEM-1","issue":"6","issued":{"date-parts":[["2012"]]},"page":"1324-1343","publisher-place":"Dept of Pulmonary Diseases and Dept of Paediatrics, Erasmus Medical Centre, Erasmus University, Rotterdam, the Netherlands.","title":"Multi-ethnic reference values for spirometry for the 3-95-yr age range: the global lung function 2012 equations","type":"article-journal","volume":"40"},"uris":["http://www.mendeley.com/documents/?uuid=a302395c-a214-440d-9328-ed919cdc79cb","http://www.mendeley.com/documents/?uuid=96bca9af-9a1e-487b-9db8-d9c10f7e98ac"]}],"mendeley":{"formattedCitation":"[12]","plainTextFormattedCitation":"[12]","previouslyFormattedCitation":"[12]"},"properties":{"noteIndex":0},"schema":"https://github.com/citation-style-language/schema/raw/master/csl-citation.json"}</w:instrText>
      </w:r>
      <w:r w:rsidR="00563DA1" w:rsidRPr="00293C29">
        <w:rPr>
          <w:lang w:val="en-GB"/>
        </w:rPr>
        <w:fldChar w:fldCharType="separate"/>
      </w:r>
      <w:r w:rsidR="00634A20" w:rsidRPr="00293C29">
        <w:rPr>
          <w:noProof/>
          <w:lang w:val="en-GB"/>
        </w:rPr>
        <w:t>[12]</w:t>
      </w:r>
      <w:r w:rsidR="00563DA1" w:rsidRPr="00293C29">
        <w:rPr>
          <w:lang w:val="en-GB"/>
        </w:rPr>
        <w:fldChar w:fldCharType="end"/>
      </w:r>
      <w:r w:rsidR="004907A2" w:rsidRPr="00293C29">
        <w:rPr>
          <w:lang w:val="en-GB"/>
        </w:rPr>
        <w:t xml:space="preserve"> </w:t>
      </w:r>
    </w:p>
    <w:p w14:paraId="38FD2D30" w14:textId="613B600E" w:rsidR="004D5425" w:rsidRPr="00293C29" w:rsidRDefault="00B20066" w:rsidP="00A87748">
      <w:pPr>
        <w:spacing w:after="120"/>
        <w:jc w:val="both"/>
        <w:rPr>
          <w:i/>
          <w:lang w:val="en-GB"/>
        </w:rPr>
      </w:pPr>
      <w:r>
        <w:rPr>
          <w:i/>
          <w:lang w:val="en-GB"/>
        </w:rPr>
        <w:t>SNP selection</w:t>
      </w:r>
    </w:p>
    <w:p w14:paraId="774CF837" w14:textId="6FA22868" w:rsidR="00B20066" w:rsidRDefault="00875C1D" w:rsidP="0088281F">
      <w:pPr>
        <w:spacing w:after="120"/>
        <w:jc w:val="both"/>
        <w:rPr>
          <w:lang w:val="en-GB"/>
        </w:rPr>
      </w:pPr>
      <w:r w:rsidRPr="00293C29">
        <w:rPr>
          <w:lang w:val="en-GB"/>
        </w:rPr>
        <w:t xml:space="preserve">Based on </w:t>
      </w:r>
      <w:r w:rsidR="005D77A2" w:rsidRPr="00293C29">
        <w:rPr>
          <w:lang w:val="en-GB"/>
        </w:rPr>
        <w:t xml:space="preserve">published genome-wide </w:t>
      </w:r>
      <w:r w:rsidR="00C24FA4" w:rsidRPr="00293C29">
        <w:rPr>
          <w:lang w:val="en-GB"/>
        </w:rPr>
        <w:t xml:space="preserve">association </w:t>
      </w:r>
      <w:r w:rsidR="005D77A2" w:rsidRPr="00293C29">
        <w:rPr>
          <w:lang w:val="en-GB"/>
        </w:rPr>
        <w:t>studies</w:t>
      </w:r>
      <w:r w:rsidR="00431B11" w:rsidRPr="00293C29">
        <w:rPr>
          <w:lang w:val="en-GB"/>
        </w:rPr>
        <w:t xml:space="preserve"> (GWAS)</w:t>
      </w:r>
      <w:r w:rsidRPr="00293C29">
        <w:rPr>
          <w:lang w:val="en-GB"/>
        </w:rPr>
        <w:t xml:space="preserve">, </w:t>
      </w:r>
      <w:r w:rsidR="005D77A2" w:rsidRPr="00293C29">
        <w:rPr>
          <w:lang w:val="en-GB"/>
        </w:rPr>
        <w:t xml:space="preserve">we identified </w:t>
      </w:r>
      <w:r w:rsidRPr="00293C29">
        <w:rPr>
          <w:lang w:val="en-GB"/>
        </w:rPr>
        <w:t>8</w:t>
      </w:r>
      <w:r w:rsidR="00892605" w:rsidRPr="00293C29">
        <w:rPr>
          <w:lang w:val="en-GB"/>
        </w:rPr>
        <w:t>0</w:t>
      </w:r>
      <w:r w:rsidRPr="00293C29">
        <w:rPr>
          <w:lang w:val="en-GB"/>
        </w:rPr>
        <w:t xml:space="preserve"> SNPs associated with </w:t>
      </w:r>
      <w:r w:rsidR="000D3B25" w:rsidRPr="00293C29">
        <w:rPr>
          <w:lang w:val="en-GB"/>
        </w:rPr>
        <w:t xml:space="preserve">continuous </w:t>
      </w:r>
      <w:r w:rsidRPr="00293C29">
        <w:rPr>
          <w:lang w:val="en-GB"/>
        </w:rPr>
        <w:t xml:space="preserve">age at menopause </w:t>
      </w:r>
      <w:r w:rsidR="006712B1" w:rsidRPr="00293C29">
        <w:rPr>
          <w:lang w:val="en-GB"/>
        </w:rPr>
        <w:t xml:space="preserve">at </w:t>
      </w:r>
      <w:r w:rsidR="00DC17DE" w:rsidRPr="00293C29">
        <w:rPr>
          <w:lang w:val="en-GB"/>
        </w:rPr>
        <w:t>a</w:t>
      </w:r>
      <w:r w:rsidRPr="00293C29">
        <w:rPr>
          <w:lang w:val="en-GB"/>
        </w:rPr>
        <w:t xml:space="preserve"> p-value </w:t>
      </w:r>
      <w:r w:rsidR="006712B1" w:rsidRPr="00293C29">
        <w:rPr>
          <w:lang w:val="en-GB"/>
        </w:rPr>
        <w:t xml:space="preserve">threshold of </w:t>
      </w:r>
      <w:r w:rsidRPr="00293C29">
        <w:rPr>
          <w:lang w:val="en-GB"/>
        </w:rPr>
        <w:t>5x10</w:t>
      </w:r>
      <w:r w:rsidRPr="00293C29">
        <w:rPr>
          <w:vertAlign w:val="superscript"/>
          <w:lang w:val="en-GB"/>
        </w:rPr>
        <w:t>-8</w:t>
      </w:r>
      <w:r w:rsidRPr="00293C29">
        <w:rPr>
          <w:lang w:val="en-GB"/>
        </w:rPr>
        <w:t>.</w:t>
      </w:r>
      <w:r w:rsidR="001C4EED" w:rsidRPr="00293C29">
        <w:rPr>
          <w:lang w:val="en-GB"/>
        </w:rPr>
        <w:fldChar w:fldCharType="begin" w:fldLock="1"/>
      </w:r>
      <w:r w:rsidR="00C4516C">
        <w:rPr>
          <w:lang w:val="en-GB"/>
        </w:rPr>
        <w:instrText xml:space="preserve">ADDIN CSL_CITATION {"citationItems":[{"id":"ITEM-1","itemData":{"DOI":"10.1038/ng.387","ISBN":"1546-1718 (Electronic)\\r1061-4036 (Linking)","ISSN":"1546-1718","PMID":"19448619","abstract":"We conducted a genome-wide association study for age at natural menopause in 2,979 European women and identified six SNPs in three loci associated with age at natural menopause: chromosome 19q13.4 (rs1172822; -0.4 year per T allele (39%); P = 6.3 × 10(-11)), chromosome 20p12.3 (rs236114; +0.5 year per A allele (21%); P = 9.7 × 10(-11)) and chromosome 13q34 (rs7333181; +0.5 year per A allele (12%); P = 2.5 × 10(-8)). These common genetic variants regulate timing of ovarian aging, an important risk factor for breast cancer, osteoporosis and cardiovascular disease.","author":[{"dropping-particle":"","family":"Stolk","given":"Lisette","non-dropping-particle":"","parse-names":false,"suffix":""},{"dropping-particle":"","family":"Zhai","given":"Guangju","non-dropping-particle":"","parse-names":false,"suffix":""},{"dropping-particle":"","family":"Meurs","given":"Joyce B J","non-dropping-particle":"van","parse-names":false,"suffix":""},{"dropping-particle":"","family":"Verbiest","given":"Michael M P J","non-dropping-particle":"","parse-names":false,"suffix":""},{"dropping-particle":"","family":"Visser","given":"Jenny A","non-dropping-particle":"","parse-names":false,"suffix":""},{"dropping-particle":"","family":"Estrada","given":"Karol","non-dropping-particle":"","parse-names":false,"suffix":""},{"dropping-particle":"","family":"Rivadeneira","given":"Fernando","non-dropping-particle":"","parse-names":false,"suffix":""},{"dropping-particle":"","family":"Williams","given":"Frances M","non-dropping-particle":"","parse-names":false,"suffix":""},{"dropping-particle":"","family":"Cherkas","given":"Lynn","non-dropping-particle":"","parse-names":false,"suffix":""},{"dropping-particle":"","family":"Deloukas","given":"Panos","non-dropping-particle":"","parse-names":false,"suffix":""},{"dropping-particle":"","family":"Soranzo","given":"Nicole","non-dropping-particle":"","parse-names":false,"suffix":""},{"dropping-particle":"","family":"Keyzer","given":"Jules J","non-dropping-particle":"de","parse-names":false,"suffix":""},{"dropping-particle":"","family":"Pop","given":"Victor J M","non-dropping-particle":"","parse-names":false,"suffix":""},{"dropping-particle":"","family":"Lips","given":"Paul","non-dropping-particle":"","parse-names":false,"suffix":""},{"dropping-particle":"","family":"Lebrun","given":"Corinne E I","non-dropping-particle":"","parse-names":false,"suffix":""},{"dropping-particle":"","family":"Schouw","given":"Yvonne T","non-dropping-particle":"van der","parse-names":false,"suffix":""},{"dropping-particle":"","family":"Grobbee","given":"Diederick E","non-dropping-particle":"","parse-names":false,"suffix":""},{"dropping-particle":"","family":"Witteman","given":"Jacqueline","non-dropping-particle":"","parse-names":false,"suffix":""},{"dropping-particle":"","family":"Hofman","given":"Albert","non-dropping-particle":"","parse-names":false,"suffix":""},{"dropping-particle":"","family":"Pols","given":"Huibert A P","non-dropping-particle":"","parse-names":false,"suffix":""},{"dropping-particle":"","family":"Laven","given":"Joop S E","non-dropping-particle":"","parse-names":false,"suffix":""},{"dropping-particle":"","family":"Spector","given":"Tim D","non-dropping-particle":"","parse-names":false,"suffix":""},{"dropping-particle":"","family":"Uitterlinden","given":"André G","non-dropping-particle":"","parse-names":false,"suffix":""}],"container-title":"Nature genetics","id":"ITEM-1","issue":"6","issued":{"date-parts":[["2009"]]},"page":"645-7","title":"Loci at chromosomes 13, 19 and 20 influence age at natural menopause.","type":"article-journal","volume":"41"},"uris":["http://www.mendeley.com/documents/?uuid=9c7a33fa-7996-47d1-a279-b21de2796ea9","http://www.mendeley.com/documents/?uuid=eb6e07f4-2f35-467e-a8fd-1998cb119a99"]},{"id":"ITEM-2","itemData":{"DOI":"10.1038/ng.1051","ISBN":"1546-1718 (Electronic)\\r1061-4036 (Linking)","ISSN":"1546-1718","PMID":"22267201","abstract":"To newly identify loci for age at natural menopause, we carried out a meta-analysis of 22 genome-wide association studies (GWAS) in 38,968 women of European descent, with replication in up to 14,435 women. In addition to four known loci, we identified 13 loci newly associated with age at natural menopause (at P &lt; 5 × 10(-8)). Candidate genes located at these newly associated loci include genes implicated in DNA repair (EXO1, HELQ, UIMC1, FAM175A, FANCI, TLK1, POLG and PRIM1) and immune function (IL11, NLRP11 and PRRC2A (also known as BAT2)). Gene-set enrichment pathway analyses using the full GWAS data set identified exoDNase, NF-κB signaling and mitochondrial dysfunction as biological processes related to timing of menopause.","author":[{"dropping-particle":"","family":"Stolk","given":"Lisette","non-dropping-particle":"","parse-names":false,"suffix":""},{"dropping-particle":"","family":"Perry","given":"John R B","non-dropping-particle":"","parse-names":false,"suffix":""},{"dropping-particle":"","family":"Chasman","given":"Daniel I","non-dropping-particle":"","parse-names":false,"suffix":""},{"dropping-particle":"","family":"He","given":"Chunyan","non-dropping-particle":"","parse-names":false,"suffix":""},{"dropping-particle":"","family":"Mangino","given":"Massimo","non-dropping-particle":"","parse-names":false,"suffix":""},{"dropping-particle":"","family":"Sulem","given":"Patrick","non-dropping-particle":"","parse-names":false,"suffix":""},{"dropping-particle":"","family":"Barbalic","given":"Maja","non-dropping-particle":"","parse-names":false,"suffix":""},{"dropping-particle":"","family":"Broer","given":"Linda","non-dropping-particle":"","parse-names":false,"suffix":""},{"dropping-particle":"","family":"Byrne","given":"Enda M","non-dropping-particle":"","parse-names":false,"suffix":""},{"dropping-particle":"","family":"Ernst","given":"Florian","non-dropping-particle":"","parse-names":false,"suffix":""},{"dropping-particle":"","family":"Esko","given":"Tõnu","non-dropping-particle":"","parse-names":false,"suffix":""},{"dropping-particle":"","family":"Franceschini","given":"Nora","non-dropping-particle":"","parse-names":false,"suffix":""},{"dropping-particle":"","family":"Gudbjartsson","given":"Daniel F","non-dropping-particle":"","parse-names":false,"suffix":""},{"dropping-particle":"","family":"Hottenga","given":"Jouke-Jan","non-dropping-particle":"","parse-names":false,"suffix":""},{"dropping-particle":"","family":"Kraft","given":"Peter","non-dropping-particle":"","parse-names":false,"suffix":""},{"dropping-particle":"","family":"McArdle","given":"Patrick F","non-dropping-particle":"","parse-names":false,"suffix":""},{"dropping-particle":"","family":"Porcu","given":"Eleonora","non-dropping-particle":"","parse-names":false,"suffix":""},{"dropping-particle":"","family":"Shin","given":"So-Youn","non-dropping-particle":"","parse-names":false,"suffix":""},{"dropping-particle":"V","family":"Smith","given":"Albert","non-dropping-particle":"","parse-names":false,"suffix":""},{"dropping-particle":"","family":"Wingerden","given":"Sophie","non-dropping-particle":"van","parse-names":false,"suffix":""},{"dropping-particle":"","family":"Zhai","given":"Guangju","non-dropping-particle":"","parse-names":false,"suffix":""},{"dropping-particle":"V","family":"Zhuang","given":"Wei","non-dropping-particle":"","parse-names":false,"suffix":""},{"dropping-particle":"","family":"Albrecht","given":"Eva","non-dropping-particle":"","parse-names":false,"suffix":""},{"dropping-particle":"","family":"Alizadeh","given":"Behrooz Z","non-dropping-particle":"","parse-names":false,"suffix":""},{"dropping-particle":"","family":"Aspelund","given":"Thor","non-dropping-particle":"","parse-names":false,"suffix":""},{"dropping-particle":"","family":"Bandinelli","given":"Stefania","non-dropping-particle":"","parse-names":false,"suffix":""},{"dropping-particle":"","family":"Lauc","given":"Lovorka Barac","non-dropping-particle":"","parse-names":false,"suffix":""},{"dropping-particle":"","family":"Beckmann","given":"Jacques S","non-dropping-particle":"","parse-names":false,"suffix":""},{"dropping-particle":"","family":"Boban","given":"Mladen","non-dropping-particle":"","parse-names":false,"suffix":""},{"dropping-particle":"","family":"Boerwinkle","given":"Eric","non-dropping-particle":"","parse-names":false,"suffix":""},{"dropping-particle":"","family":"Broekmans","given":"Frank J","non-dropping-particle":"","parse-names":false,"suffix":""},{"dropping-particle":"","family":"Burri","given":"Andrea","non-dropping-particle":"","parse-names":false,"suffix":""},{"dropping-particle":"","family":"Campbell","given":"Harry","non-dropping-particle":"","parse-names":false,"suffix":""},{"dropping-particle":"","family":"Chanock","given":"Stephen J","non-dropping-particle":"","parse-names":false,"suffix":""},{"dropping-particle":"","family":"Chen","given":"Constance","non-dropping-particle":"","parse-names":false,"suffix":""},{"dropping-particle":"","family":"Cornelis","given":"Marilyn C","non-dropping-particle":"","parse-names":false,"suffix":""},{"dropping-particle":"","family":"Corre","given":"Tanguy","non-dropping-particle":"","parse-names":false,"suffix":""},{"dropping-particle":"","family":"Coviello","given":"Andrea D","non-dropping-particle":"","parse-names":false,"suffix":""},{"dropping-particle":"","family":"d'Adamo","given":"Pio","non-dropping-particle":"","parse-names":false,"suffix":""},{"dropping-particle":"","family":"Davies","given":"Gail","non-dropping-particle":"","parse-names":false,"suffix":""},{"dropping-particle":"","family":"Faire","given":"Ulf","non-dropping-particle":"de","parse-names":false,"suffix":""},{"dropping-particle":"","family":"Geus","given":"Eco J C","non-dropping-particle":"de","parse-names":false,"suffix":""},{"dropping-particle":"","family":"Deary","given":"Ian J","non-dropping-particle":"","parse-names":false,"suffix":""},{"dropping-particle":"","family":"Dedoussis","given":"George V Z","non-dropping-particle":"","parse-names":false,"suffix":""},{"dropping-particle":"","family":"Deloukas","given":"Panagiotis","non-dropping-particle":"","parse-names":false,"suffix":""},{"dropping-particle":"","family":"Ebrahim","given":"Shah","non-dropping-particle":"","parse-names":false,"suffix":""},{"dropping-particle":"","family":"Eiriksdottir","given":"Gudny","non-dropping-particle":"","parse-names":false,"suffix":""},{"dropping-particle":"","family":"Emilsson","given":"Valur","non-dropping-particle":"","parse-names":false,"suffix":""},{"dropping-particle":"","family":"Eriksson","given":"Johan G","non-dropping-particle":"","parse-names":false,"suffix":""},{"dropping-particle":"","family":"Fauser","given":"Bart C J M","non-dropping-particle":"","parse-names":false,"suffix":""},{"dropping-particle":"","family":"Ferreli","given":"Liana","non-dropping-particle":"","parse-names":false,"suffix":""},{"dropping-particle":"","family":"Ferrucci","given":"Luigi","non-dropping-particle":"","parse-names":false,"suffix":""},{"dropping-particle":"","family":"Fischer","given":"Krista","non-dropping-particle":"","parse-names":false,"suffix":""},{"dropping-particle":"","family":"Folsom","given":"Aaron R","non-dropping-particle":"","parse-names":false,"suffix":""},{"dropping-particle":"","family":"Garcia","given":"Melissa E","non-dropping-particle":"","parse-names":false,"suffix":""},{"dropping-particle":"","family":"Gasparini","given":"Paolo","non-dropping-particle":"","parse-names":false,"suffix":""},{"dropping-particle":"","family":"Gieger","given":"Christian","non-dropping-particle":"","parse-names":false,"suffix":""},{"dropping-particle":"","family":"Glazer","given":"Nicole","non-dropping-particle":"","parse-names":false,"suffix":""},{"dropping-particle":"","family":"Grobbee","given":"Diederick E","non-dropping-particle":"","parse-names":false,"suffix":""},{"dropping-particle":"","family":"Hall","given":"Per","non-dropping-particle":"","parse-names":false,"suffix":""},{"dropping-particle":"","family":"Haller","given":"Toomas","non-dropping-particle":"","parse-names":false,"suffix":""},{"dropping-particle":"","family":"Hankinson","given":"Susan E","non-dropping-particle":"","parse-names":false,"suffix":""},{"dropping-particle":"","family":"Hass","given":"Merli","non-dropping-particle":"","parse-names":false,"suffix":""},{"dropping-particle":"","family":"Hayward","given":"Caroline","non-dropping-particle":"","parse-names":false,"suffix":""},{"dropping-particle":"","family":"Heath","given":"Andrew C","non-dropping-particle":"","parse-names":false,"suffix":""},{"dropping-particle":"","family":"Hofman","given":"Albert","non-dropping-particle":"","parse-names":false,"suffix":""},{"dropping-particle":"","family":"Ingelsson","given":"Erik","non-dropping-particle":"","parse-names":false,"suffix":""},{"dropping-particle":"","family":"Janssens","given":"A Cecile J W","non-dropping-particle":"","parse-names":false,"suffix":""},{"dropping-particle":"","family":"Johnson","given":"Andrew D","non-dropping-particle":"","parse-names":false,"suffix":""},{"dropping-particle":"","family":"Karasik","given":"David","non-dropping-particle":"","parse-names":false,"suffix":""},{"dropping-particle":"","family":"Kardia","given":"Sharon L R","non-dropping-particle":"","parse-names":false,"suffix":""},{"dropping-particle":"","family":"Keyzer","given":"Jules","non-dropping-particle":"","parse-names":false,"suffix":""},{"dropping-particle":"","family":"Kiel","given":"Douglas P","non-dropping-particle":"","parse-names":false,"suffix":""},{"dropping-particle":"","family":"Kolcic","given":"Ivana","non-dropping-particle":"","parse-names":false,"suffix":""},{"dropping-particle":"","family":"Kutalik","given":"Zoltán","non-dropping-particle":"","parse-names":false,"suffix":""},{"dropping-particle":"","family":"Lahti","given":"Jari","non-dropping-particle":"","parse-names":false,"suffix":""},{"dropping-particle":"","family":"Lai","given":"Sandra","non-dropping-particle":"","parse-names":false,"suffix":""},{"dropping-particle":"","family":"Laisk","given":"Triin","non-dropping-particle":"","parse-names":false,"suffix":""},{"dropping-particle":"","family":"Laven","given":"Joop S E","non-dropping-particle":"","parse-names":false,"suffix":""},{"dropping-particle":"","family":"Lawlor","given":"Debbie A","non-dropping-particle":"","parse-names":false,"suffix":""},{"dropping-particle":"","family":"Liu","given":"Jianjun","non-dropping-particle":"","parse-names":false,"suffix":""},{"dropping-particle":"","family":"Lopez","given":"Lorna M","non-dropping-particle":"","parse-names":false,"suffix":""},{"dropping-particle":"V","family":"Louwers","given":"Yvonne","non-dropping-particle":"","parse-names":false,"suffix":""},{"dropping-particle":"","family":"Magnusson","given":"Patrik K E","non-dropping-particle":"","parse-names":false,"suffix":""},{"dropping-particle":"","family":"Marongiu","given":"Mara","non-dropping-particle":"","parse-names":false,"suffix":""},{"dropping-particle":"","family":"Martin","given":"Nicholas G","non-dropping-particle":"","parse-names":false,"suffix":""},{"dropping-particle":"","family":"Klaric","given":"Irena Martinovic","non-dropping-particle":"","parse-names":false,"suffix":""},{"dropping-particle":"","family":"Masciullo","given":"Corrado","non-dropping-particle":"","parse-names":false,"suffix":""},{"dropping-particle":"","family":"McKnight","given":"Barbara","non-dropping-particle":"","parse-names":false,"suffix":""},{"dropping-particle":"","family":"Medland","given":"Sarah E","non-dropping-particle":"","parse-names":false,"suffix":""},{"dropping-particle":"","family":"Melzer","given":"David","non-dropping-particle":"","parse-names":false,"suffix":""},{"dropping-particle":"","family":"Mooser","given":"Vincent","non-dropping-particle":"","parse-names":false,"suffix":""},{"dropping-particle":"","family":"Navarro","given":"Pau","non-dropping-particle":"","parse-names":false,"suffix":""},{"dropping-particle":"","family":"Newman","given":"Anne B","non-dropping-particle":"","parse-names":false,"suffix":""},{"dropping-particle":"","family":"Nyholt","given":"Dale R","non-dropping-particle":"","parse-names":false,"suffix":""},{"dropping-particle":"","family":"Onland-Moret","given":"N Charlotte","non-dropping-particle":"","parse-names":false,"suffix":""},{"dropping-particle":"","family":"Palotie","given":"Aarno","non-dropping-particle":"","parse-names":false,"suffix":""},{"dropping-particle":"","family":"Paré","given":"Guillaume","non-dropping-particle":"","parse-names":false,"suffix":""},{"dropping-particle":"","family":"Parker","given":"Alex N","non-dropping-particle":"","parse-names":false,"suffix":""},{"dropping-particle":"","family":"Pedersen","given":"Nancy L","non-dropping-particle":"","parse-names":false,"suffix":""},{"dropping-particle":"","family":"Peeters","given":"Petra H M","non-dropping-particle":"","parse-names":false,"suffix":""},{"dropping-particle":"","family":"Pistis","given":"Giorgio","non-dropping-particle":"","parse-names":false,"suffix":""},{"dropping-particle":"","family":"Plump","given":"Andrew S","non-dropping-particle":"","parse-names":false,"suffix":""},{"dropping-particle":"","family":"Polasek","given":"Ozren","non-dropping-particle":"","parse-names":false,"suffix":""},{"dropping-particle":"","family":"Pop","given":"Victor J M","non-dropping-particle":"","parse-names":false,"suffix":""},{"dropping-particle":"","family":"Psaty","given":"Bruce M","non-dropping-particle":"","parse-names":false,"suffix":""},{"dropping-particle":"","family":"Räikkönen","given":"Katri","non-dropping-particle":"","parse-names":false,"suffix":""},{"dropping-particle":"","family":"Rehnberg","given":"Emil","non-dropping-particle":"","parse-names":false,"suffix":""},{"dropping-particle":"","family":"Rotter","given":"Jerome I","non-dropping-particle":"","parse-names":false,"suffix":""},{"dropping-particle":"","family":"Rudan","given":"Igor","non-dropping-particle":"","parse-names":false,"suffix":""},{"dropping-particle":"","family":"Sala","given":"Cinzia","non-dropping-particle":"","parse-names":false,"suffix":""},{"dropping-particle":"","family":"Salumets","given":"Andres","non-dropping-particle":"","parse-names":false,"suffix":""},{"dropping-particle":"","family":"Scuteri","given":"Angelo","non-dropping-particle":"","parse-names":false,"suffix":""},{"dropping-particle":"","family":"Singleton","given":"Andrew","non-dropping-particle":"","parse-names":false,"suffix":""},{"dropping-particle":"","family":"Smith","given":"Jennifer A","non-dropping-particle":"","parse-names":false,"suffix":""},{"dropping-particle":"","family":"Snieder","given":"Harold","non-dropping-particle":"","parse-names":false,"suffix":""},{"dropping-particle":"","family":"Soranzo","given":"Nicole","non-dropping-particle":"","parse-names":false,"suffix":""},{"dropping-particle":"","family":"Stacey","given":"Simon N","non-dropping-particle":"","parse-names":false,"suffix":""},{"dropping-particle":"","family":"Starr","given":"John M","non-dropping-particle":"","parse-names":false,"suffix":""},{"dropping-particle":"","family":"Stathopoulou","given":"Maria G","non-dropping-particle":"","parse-names":false,"suffix":""},{"dropping-particle":"","family":"Stirrups","given":"Kathleen","non-dropping-particle":"","parse-names":false,"suffix":""},{"dropping-particle":"","family":"Stolk","given":"Ronald P","non-dropping-particle":"","parse-names":false,"suffix":""},{"dropping-particle":"","family":"Styrkarsdottir","given":"Unnur","non-dropping-particle":"","parse-names":false,"suffix":""},{"dropping-particle":"V","family":"Sun","given":"Yan","non-dropping-particle":"","parse-names":false,"suffix":""},{"dropping-particle":"","family":"Tenesa","given":"Albert","non-dropping-particle":"","parse-names":false,"suffix":""},{"dropping-particle":"","family":"Thorand","given":"Barbara","non-dropping-particle":"","parse-names":false,"suffix":""},{"dropping-particle":"","family":"Toniolo","given":"Daniela","non-dropping-particle":"","parse-names":false,"suffix":""},{"dropping-particle":"","family":"Tryggvadottir","given":"Laufey","non-dropping-particle":"","parse-names":false,"suffix":""},{"dropping-particle":"","family":"Tsui","given":"Kim","non-dropping-particle":"","parse-names":false,"suffix":""},{"dropping-particle":"","family":"Ulivi","given":"Sheila","non-dropping-particle":"","parse-names":false,"suffix":""},{"dropping-particle":"","family":"Dam","given":"Rob M","non-dropping-particle":"van","parse-names":false,"suffix":""},{"dropping-particle":"","family":"Schouw","given":"Yvonne T","non-dropping-particle":"van der","parse-names":false,"suffix":""},{"dropping-particle":"","family":"Gils","given":"Carla H","non-dropping-particle":"van","parse-names":false,"suffix":""},{"dropping-particle":"","family":"Nierop","given":"Peter","non-dropping-particle":"van","parse-names":false,"suffix":""},{"dropping-particle":"","family":"Vink","given":"Jacqueline M","non-dropping-particle":"","parse-names":false,"suffix":""},{"dropping-particle":"","family":"Visscher","given":"Peter M","non-dropping-particle":"","parse-names":false,"suffix":""},{"dropping-particle":"","family":"Voorhuis","given":"Marlies","non-dropping-particle":"","parse-names":false,"suffix":""},{"dropping-particle":"","family":"Waeber","given":"Gérard","non-dropping-particle":"","parse-names":false,"suffix":""},{"dropping-particle":"","family":"Wallaschofski","given":"Henri","non-dropping-particle":"","parse-names":false,"suffix":""},{"dropping-particle":"","family":"Wichmann","given":"H Erich","non-dropping-particle":"","parse-names":false,"suffix":""},{"dropping-particle":"","family":"Widen","given":"Elisabeth","non-dropping-particle":"","parse-names":false,"suffix":""},{"dropping-particle":"","family":"Wijnands-van Gent","given":"Colette J M","non-dropping-particle":"","parse-names":false,"suffix":""},{"dropping-particle":"","family":"Willemsen","given":"Gonneke","non-dropping-particle":"","parse-names":false,"suffix":""},{"dropping-particle":"","family":"Wilson","given":"James F","non-dropping-particle":"","parse-names":false,"suffix":""},{"dropping-particle":"","family":"Wolffenbuttel","given":"Bruce H R","non-dropping-particle":"","parse-names":false,"suffix":""},{"dropping-particle":"","family":"Wright","given":"Alan F","non-dropping-particle":"","parse-names":false,"suffix":""},{"dropping-particle":"","family":"Yerges-Armstrong","given":"Laura M","non-dropping-particle":"","parse-names":false,"suffix":""},{"dropping-particle":"","family":"Zemunik","given":"Tatijana","non-dropping-particle":"","parse-names":false,"suffix":""},{"dropping-particle":"","family":"Zgaga","given":"Lina","non-dropping-particle":"","parse-names":false,"suffix":""},{"dropping-particle":"","family":"Zillikens","given":"M Carola","non-dropping-particle":"","parse-names":false,"suffix":""},{"dropping-particle":"","family":"Zygmunt","given":"Marek","non-dropping-particle":"","parse-names":false,"suffix":""},{"dropping-particle":"","family":"LifeLines Cohort Study","given":"","non-dropping-particle":"","parse-names":false,"suffix":""},{"dropping-particle":"","family":"Arnold","given":"Alice M","non-dropping-particle":"","parse-names":false,"suffix":""},{"dropping-particle":"","family":"Boomsma","given":"Dorret I","non-dropping-particle":"","parse-names":false,"suffix":""},{"dropping-particle":"","family":"Buring","given":"Julie E","non-dropping-particle":"","parse-names":false,"suffix":""},{"dropping-particle":"","family":"Crisponi","given":"Laura","non-dropping-particle":"","parse-names":false,"suffix":""},{"dropping-particle":"","family":"Demerath","given":"Ellen W","non-dropping-particle":"","parse-names":false,"suffix":""},{"dropping-particle":"","family":"Gudnason","given":"Vilmundur","non-dropping-particle":"","parse-names":false,"suffix":""},{"dropping-particle":"","family":"Harris","given":"Tamara B","non-dropping-particle":"","parse-names":false,"suffix":""},{"dropping-particle":"","family":"Hu","given":"Frank B","non-dropping-particle":"","parse-names":false,"suffix":""},{"dropping-particle":"","family":"Hunter","given":"David J","non-dropping-particle":"","parse-names":false,"suffix":""},{"dropping-particle":"","family":"Launer","given":"Lenore J","non-dropping-particle":"","parse-names":false,"suffix":""},{"dropping-particle":"","family":"Metspalu","given":"Andres","non-dropping-particle":"","parse-names":false,"suffix":""},{"dropping-particle":"","family":"Montgomery","given":"Grant W","non-dropping-particle":"","parse-names":false,"suffix":""},{"dropping-particle":"","family":"Oostra","given":"Ben A","non-dropping-particle":"","parse-names":false,"suffix":""},{"dropping-particle":"","family":"Ridker","given":"Paul M","non-dropping-particle":"","parse-names":false,"suffix":""},{"dropping-particle":"","family":"Sanna","given":"Serena","non-dropping-particle":"","parse-names":false,"suffix":""},{"dropping-particle":"","family":"Schlessinger","given":"David","non-dropping-particle":"","parse-names":false,"suffix":""},{"dropping-particle":"","family":"Spector","given":"Tim D","non-dropping-particle":"","parse-names":false,"suffix":""},{"dropping-particle":"","family":"Stefansson","given":"Kari","non-dropping-particle":"","parse-names":false,"suffix":""},{"dropping-particle":"","family":"Streeten","given":"Elizabeth A","non-dropping-particle":"","parse-names":false,"suffix":""},{"dropping-particle":"","family":"Thorsteinsdottir","given":"Unnur","non-dropping-particle":"","parse-names":false,"suffix":""},{"dropping-particle":"","family":"Uda","given":"Manuela","non-dropping-particle":"","parse-names":false,"suffix":""},{"dropping-particle":"","family":"Uitterlinden","given":"André G","non-dropping-particle":"","parse-names":false,"suffix":""},{"dropping-particle":"","family":"Duijn","given":"Cornelia M","non-dropping-particle":"van","parse-names":false,"suffix":""},{"dropping-particle":"","family":"Völzke","given":"Henry","non-dropping-particle":"","parse-names":false,"suffix":""},{"dropping-particle":"","family":"Murray","given":"Anna","non-dropping-particle":"","parse-names":false,"suffix":""},{"dropping-particle":"","family":"Murabito","given":"Joanne M","non-dropping-particle":"","parse-names":false,"suffix":""},{"dropping-particle":"","family":"Visser","given":"Jenny A","non-dropping-particle":"","parse-names":false,"suffix":""},{"dropping-particle":"","family":"Lunetta","given":"Kathryn L","non-dropping-particle":"","parse-names":false,"suffix":""}],"container-title":"Nature genetics","id":"ITEM-2","issue":"3","issued":{"date-parts":[["2012"]]},"page":"260-8","title":"Meta-analyses identify 13 loci associated with age at menopause and highlight DNA repair and immune pathways.","type":"article-journal","volume":"44"},"uris":["http://www.mendeley.com/documents/?uuid=53441044-43d4-4c79-a1a3-9eccad9c3aa5","http://www.mendeley.com/documents/?uuid=15a5a29c-7a97-45cd-a6ff-d137f7cd10bd"]},{"id":"ITEM-3","itemData":{"DOI":"10.1038/ng.385","ISBN":"1061-4036","ISSN":"1061-4036","PMID":"19448621","abstract":"Age at menarche and age at natural menopause are associated with causes of substantial morbidity and mortality such as breast cancer and cardiovascular disease. We conducted a joint analysis of two genome-wide association studies of these two traits in a total of 17,438 women from the Nurses' Health Study (NHS, N = 2,287) and the Women's Genome Health Study (WGHS, N = 15,151). For age at menarche, we identified ten associated SNPs (P = 1 × 10(-7)-3 × 10(-13)) clustered at 6q21 (in or near the gene LIN28B) and 9q31.2 (in an intergenic region). For age at natural menopause, we identified 13 associated SNPs (P = 1 × 10(-7)-1 × 10(-21)) clustered at 20p12.3 (in the gene MCM8), 19q13.42 (in or near the gene BRSK1), 5q35.2 (in or near genes UIMC1 and HK3) and 6p24.2 (in the gene SYCP2L). These newly identified loci might expand understanding of the biological pathways regulating these two traits.","author":[{"dropping-particle":"","family":"He","given":"Chunyan","non-dropping-particle":"","parse-names":false,"suffix":""},{"dropping-particle":"","family":"Kraft","given":"Peter","non-dropping-particle":"","parse-names":false,"suffix":""},{"dropping-particle":"","family":"Chen","given":"Constance","non-dropping-particle":"","parse-names":false,"suffix":""},{"dropping-particle":"","family":"Buring","given":"Julie E","non-dropping-particle":"","parse-names":false,"suffix":""},{"dropping-particle":"","family":"Paré","given":"Guillaume","non-dropping-particle":"","parse-names":false,"suffix":""},{"dropping-particle":"","family":"Hankinson","given":"Susan E","non-dropping-particle":"","parse-names":false,"suffix":""},{"dropping-particle":"","family":"Chanock","given":"Stephen J","non-dropping-particle":"","parse-names":false,"suffix":""},{"dropping-particle":"","family":"Ridker","given":"Paul M","non-dropping-particle":"","parse-names":false,"suffix":""},{"dropping-particle":"","family":"Hunter","given":"David J","non-dropping-particle":"","parse-names":false,"suffix":""},{"dropping-particle":"","family":"Chasman","given":"Daniel I","non-dropping-particle":"","parse-names":false,"suffix":""}],"container-title":"Nature Genetics","id":"ITEM-3","issue":"6","issued":{"date-parts":[["2009"]]},"page":"724-728","title":"Genome-wide association studies identify loci associated with age at menarche and age at natural menopause","type":"article-journal","volume":"41"},"uris":["http://www.mendeley.com/documents/?uuid=4ba7430b-adcf-4f7b-8b7c-541cb2942e52","http://www.mendeley.com/documents/?uuid=b1078777-0aed-47d3-b34c-069360bd3225"]},{"id":"ITEM-4","itemData":{"DOI":"10.1186/1471-2350-8-S1-S13","ISBN":"1471-2350 (Electronic)\\r1471-2350 (Linking)","ISSN":"14712350","PMID":"17903295","abstract":"BACKGROUND: Family studies and heritability estimates provide evidence for a genetic contribution to variation in the human life span.\\n\\nMETHODS: We conducted a genome wide association study (Affymetrix 100K SNP GeneChip) for longevity-related traits in a community-based sample. We report on 5 longevity and aging traits in up to 1345 Framingham Study participants from 330 families. Multivariable-adjusted residuals were computed using appropriate models (Cox proportional hazards, logistic, or linear regression) and the residuals from these models were used to test for association with qualifying SNPs (70, 987 autosomal SNPs with genotypic call rate &gt; or =80%, minor allele frequency &gt; or =10%, Hardy-Weinberg test p &gt; or = 0.001).\\n\\nRESULTS: In family-based association test (FBAT) models, 8 SNPs in two regions approximately 500 kb apart on chromosome 1 (physical positions 73,091,610 and 73, 527,652) were associated with age at death (p-value &lt; 10(-5)). The two sets of SNPs were in high linkage disequilibrium (minimum r2 = 0.58). The top 30 SNPs for generalized estimating equation (GEE) tests of association with age at death included rs10507486 (p = 0.0001) and rs4943794 (p = 0.0002), SNPs intronic to FOXO1A, a gene implicated in lifespan extension in animal models. FBAT models identified 7 SNPs and GEE models identified 9 SNPs associated with both age at death and morbidity-free survival at age 65 including rs2374983 near PON1. In the analysis of selected candidate genes, SNP associations (FBAT or GEE p-value &lt; 0.01) were identified for age at death in or near the following genes: FOXO1A, GAPDH, KL, LEPR, PON1, PSEN1, SOD2, and WRN. Top ranked SNP associations in the GEE model for age at natural menopause included rs6910534 (p = 0.00003) near FOXO3a and rs3751591 (p = 0.00006) in CYP19A1. Results of all longevity phenotype-genotype associations for all autosomal SNPs are web posted at http://www.ncbi.nlm.nih.gov/projects/gap/cgi-bin/study.cgi?id=phs000007 webcite.\\n\\nCONCLUSION: Longevity and aging traits are associated with SNPs on the Affymetrix 100K GeneChip. None of the associations achieved genome-wide significance. These data generate hypotheses and serve as a resource for replication as more genes and biologic pathways are proposed as contributing to longevity and healthy aging.","author":[{"dropping-particle":"","family":"Lunetta","given":"Kathryn L","non-dropping-particle":"","parse-names":false,"suffix":""},{"dropping-particle":"","family":"D'Agostino","given":"Ralph B","non-dropping-particle":"","parse-names":false,"suffix":""},{"dropping-particle":"","family":"Karasik","given":"David","non-dropping-particle":"","parse-names":false,"suffix":""},{"dropping-particle":"","family":"Benjamin","given":"Emelia J","non-dropping-particle":"","parse-names":false,"suffix":""},{"dropping-particle":"","family":"Guo","given":"Chao-Yu","non-dropping-particle":"","parse-names":false,"suffix":""},{"dropping-particle":"","family":"Govindaraju","given":"Raju","non-dropping-particle":"","parse-names":false,"suffix":""},{"dropping-particle":"","family":"Kiel","given":"Douglas P","non-dropping-particle":"","parse-names":false,"suffix":""},{"dropping-particle":"","family":"Kelly-Hayes","given":"Margaret","non-dropping-particle":"","parse-names":false,"suffix":""},{"dropping-particle":"","family":"Massaro","given":"Joseph M","non-dropping-particle":"","parse-names":false,"suffix":""},{"dropping-particle":"","family":"Pencina","given":"Michael J","non-dropping-particle":"","parse-names":false,"suffix":""},{"dropping-particle":"","family":"Seshadri","given":"Sudha","non-dropping-particle":"","parse-names":false,"suffix":""},{"dropping-particle":"","family":"Murabito","given":"Joanne M","non-dropping-particle":"","parse-names":false,"suffix":""}],"container-title":"BMC Medical Genetics","id":"ITEM-4","issue":"Suppl 1","issued":{"date-parts":[["2007"]]},"page":"S13","title":"Genetic correlates of longevity and selected age-related phenotypes: a genome-wide association study in the Framingham Study","type":"article-journal","volume":"8"},"uris":["http://www.mendeley.com/documents/?uuid=98e3c0ec-dd3f-4fbf-ac53-b1f510549733","http://www.mendeley.com/documents/?uuid=b0f35d26-45b3-410f-916a-fdfc9ad32608"]},{"id":"ITEM-5","itemData":{"DOI":"10.1093/hmg/dds551","ISBN":"1392722926","ISSN":"09646906","PMID":"23307926","abstract":"Early menopause (EM) affects up to 10% of the female population, reducing reproductive lifespan considerably. Currently, it constitutes the leading cause of infertility in the western world, affecting mainly those women who postpone their first pregnancy beyond the age of 30 years. The genetic aetiology of EM is largely unknown in the majority of cases. We have undertaken a meta-analysis of genome-wide association studies (GWASs) in 3493 EM cases and 13 598 controls from 10 independent studies. No novel genetic variants were discovered, but the 17 variants previously associated with normal age at natural menopause as a quantitative trait (QT) were also associated with EM and primary ovarian insufficiency (POI). Thus, EM has a genetic aetiology which overlaps variation in normal age at menopause and is at least partly explained by the additive effects of the same polygenic variants. The combined effect of the common variants captured by the single nucleotide polymorphism arrays was estimated to account for </w:instrText>
      </w:r>
      <w:r w:rsidR="00C4516C">
        <w:rPr>
          <w:rFonts w:ascii="Cambria Math" w:hAnsi="Cambria Math" w:cs="Cambria Math"/>
          <w:lang w:val="en-GB"/>
        </w:rPr>
        <w:instrText>∼</w:instrText>
      </w:r>
      <w:r w:rsidR="00C4516C">
        <w:rPr>
          <w:lang w:val="en-GB"/>
        </w:rPr>
        <w:instrText>30% of the variance in EM. The association between the combined 17 variants and the risk of EM was greater than the best validated non-genetic risk factor, smoking.","author":[{"dropping-particle":"","family":"Perry","given":"John R.B.","non-dropping-particle":"","parse-names":false,"suffix":""},{"dropping-particle":"","family":"Corre","given":"Tanguy","non-dropping-particle":"","parse-names":false,"suffix":""},{"dropping-particle":"","family":"Esko","given":"Tõnu","non-dropping-particle":"","parse-names":false,"suffix":""},{"dropping-particle":"","family":"Chasman","given":"Daniel I.","non-dropping-particle":"","parse-names":false,"suffix":""},{"dropping-particle":"","family":"Fischer","given":"Krista","non-dropping-particle":"","parse-names":false,"suffix":""},{"dropping-particle":"","family":"Franceschini","given":"Nora","non-dropping-particle":"","parse-names":false,"suffix":""},{"dropping-particle":"","family":"He","given":"Chunyan","non-dropping-particle":"","parse-names":false,"suffix":""},{"dropping-particle":"","family":"Kutalik","given":"Zoltan","non-dropping-particle":"","parse-names":false,"suffix":""},{"dropping-particle":"","family":"Mangino","given":"Massimo","non-dropping-particle":"","parse-names":false,"suffix":""},{"dropping-particle":"","family":"Rose","given":"Lynda M.","non-dropping-particle":"","parse-names":false,"suffix":""},{"dropping-particle":"","family":"Vernon smith","given":"Albert","non-dropping-particle":"","parse-names":false,"suffix":""},{"dropping-particle":"","family":"Stolk","given":"Lisette","non-dropping-particle":"","parse-names":false,"suffix":""},{"dropping-particle":"","family":"Sulem","given":"Patrick","non-dropping-particle":"","parse-names":false,"suffix":""},{"dropping-particle":"","family":"Weedon","given":"Michael N.","non-dropping-particle":"","parse-names":false,"suffix":""},{"dropping-particle":"V.","family":"Zhuang","given":"Wei","non-dropping-particle":"","parse-names":false,"suffix":""},{"dropping-particle":"","family":"Arnold","given":"Alice","non-dropping-particle":"","parse-names":false,"suffix":""},{"dropping-particle":"","family":"Ashworth","given":"Alan","non-dropping-particle":"","parse-names":false,"suffix":""},{"dropping-particle":"","family":"Bergmann","given":"Sven","non-dropping-particle":"","parse-names":false,"suffix":""},{"dropping-particle":"","family":"Buring","given":"Julie E.","non-dropping-particle":"","parse-names":false,"suffix":""},{"dropping-particle":"","family":"Burri","given":"Andrea","non-dropping-particle":"","parse-names":false,"suffix":""},{"dropping-particle":"","family":"Chen","given":"Constance","non-dropping-particle":"","parse-names":false,"suffix":""},{"dropping-particle":"","family":"Cornelis","given":"Marilyn C.","non-dropping-particle":"","parse-names":false,"suffix":""},{"dropping-particle":"","family":"Couper","given":"David J.","non-dropping-particle":"","parse-names":false,"suffix":""},{"dropping-particle":"","family":"Goodarzi","given":"Mark O.","non-dropping-particle":"","parse-names":false,"suffix":""},{"dropping-particle":"","family":"Gudnason","given":"Vilmundur","non-dropping-particle":"","parse-names":false,"suffix":""},{"dropping-particle":"","family":"Harris","given":"Tamara","non-dropping-particle":"","parse-names":false,"suffix":""},{"dropping-particle":"","family":"Hofman","given":"Albert","non-dropping-particle":"","parse-names":false,"suffix":""},{"dropping-particle":"","family":"Jones","given":"Michael","non-dropping-particle":"","parse-names":false,"suffix":""},{"dropping-particle":"","family":"Kraft","given":"Peter","non-dropping-particle":"","parse-names":false,"suffix":""},{"dropping-particle":"","family":"Launer","given":"Lenore","non-dropping-particle":"","parse-names":false,"suffix":""},{"dropping-particle":"","family":"Laven","given":"Joop S.E.","non-dropping-particle":"","parse-names":false,"suffix":""},{"dropping-particle":"","family":"Li","given":"Guo","non-dropping-particle":"","parse-names":false,"suffix":""},{"dropping-particle":"","family":"Mcknight","given":"Barbara","non-dropping-particle":"","parse-names":false,"suffix":""},{"dropping-particle":"","family":"Masciullo","given":"Corrado","non-dropping-particle":"","parse-names":false,"suffix":""},{"dropping-particle":"","family":"Milani","given":"Lili","non-dropping-particle":"","parse-names":false,"suffix":""},{"dropping-particle":"","family":"Orr","given":"Nicholas","non-dropping-particle":"","parse-names":false,"suffix":""},{"dropping-particle":"","family":"Psaty","given":"Bruce M.","non-dropping-particle":"","parse-names":false,"suffix":""},{"dropping-particle":"","family":"Ridker","given":"Paul M.","non-dropping-particle":"","parse-names":false,"suffix":""},{"dropping-particle":"","family":"Rivadeneira","given":"Fernando","non-dropping-particle":"","parse-names":false,"suffix":""},{"dropping-particle":"","family":"Sala","given":"Cinzia","non-dropping-particle":"","parse-names":false,"suffix":""},{"dropping-particle":"","family":"Salumets","given":"Andres","non-dropping-particle":"","parse-names":false,"suffix":""},{"dropping-particle":"","family":"Schoemaker","given":"Minouk","non-dropping-particle":"","parse-names":false,"suffix":""},{"dropping-particle":"","family":"Traglia","given":"Michela","non-dropping-particle":"","parse-names":false,"suffix":""},{"dropping-particle":"","family":"Waeber","given":"Gérard","non-dropping-particle":"","parse-names":false,"suffix":""},{"dropping-particle":"","family":"Chanock","given":"Stephen J.","non-dropping-particle":"","parse-names":false,"suffix":""},{"dropping-particle":"","family":"Demerath","given":"Ellen W.","non-dropping-particle":"","parse-names":false,"suffix":""},{"dropping-particle":"","family":"Garcia","given":"Melissa","non-dropping-particle":"","parse-names":false,"suffix":""},{"dropping-particle":"","family":"Hankinson","given":"Susan E.","non-dropping-particle":"","parse-names":false,"suffix":""},{"dropping-particle":"","family":"Hu","given":"Frank B.","non-dropping-particle":"","parse-names":false,"suffix":""},{"dropping-particle":"","family":"Hunter","given":"David J.","non-dropping-particle":"","parse-names":false,"suffix":""},{"dropping-particle":"","family":"Lunetta","given":"Kathryn L.","non-dropping-particle":"","parse-names":false,"suffix":""},{"dropping-particle":"","family":"Metspalu","given":"Andres","non-dropping-particle":"","parse-names":false,"suffix":""},{"dropping-particle":"","family":"Montgomery","given":"Grant W.","non-dropping-particle":"","parse-names":false,"suffix":""},{"dropping-particle":"","family":"Murabito","given":"Joanne M.","non-dropping-particle":"","parse-names":false,"suffix":""},{"dropping-particle":"","family":"Newman","given":"Anne B.","non-dropping-particle":"","parse-names":false,"suffix":""},{"dropping-particle":"","family":"Ong","given":"Ken K.","non-dropping-particle":"","parse-names":false,"suffix":""},{"dropping-particle":"","family":"Spector","given":"Tim D.","non-dropping-particle":"","parse-names":false,"suffix":""},{"dropping-particle":"","family":"Stefansson","given":"Kari","non-dropping-particle":"","parse-names":false,"suffix":""},{"dropping-particle":"","family":"Swerdlow","given":"Anthony J.","non-dropping-particle":"","parse-names":false,"suffix":""},{"dropping-particle":"","family":"Thorsteinsdottir","given":"Unnur","non-dropping-particle":"","parse-names":false,"suffix":""},{"dropping-particle":"","family":"dam","given":"Rob M.","non-dropping-particle":"Van","parse-names":false,"suffix":""},{"dropping-particle":"","family":"Uitterlinden","given":"André G.","non-dropping-particle":"","parse-names":false,"suffix":""},{"dropping-particle":"","family":"Visser","given":"Jenny A.","non-dropping-particle":"","parse-names":false,"suffix":""},{"dropping-particle":"","family":"Vollenweider","given":"Peter","non-dropping-particle":"","parse-names":false,"suffix":""},{"dropping-particle":"","family":"Toniolo","given":"Daniela","non-dropping-particle":"","parse-names":false,"suffix":""},{"dropping-particle":"","family":"Murray","given":"Anna","non-dropping-particle":"","parse-names":false,"suffix":""}],"container-title":"Human Molecular Genetics","id":"ITEM-5","issue":"7","issued":{"date-parts":[["2013"]]},"page":"1465-1472","title":"A genome-wide association study of early menopause and the combined impact of identified variants","type":"article-journal","volume":"22"},"uris":["http://www.mendeley.com/documents/?uuid=89f2f934-eeae-417e-b39d-5ef787831fff","http://www.mendeley.com/documents/?uuid=848af391-e3d8-44e0-adb0-1d56d4ed4e58"]},{"id":"ITEM-6","itemData":{"DOI":"10.1038/ng.3412","PMID":"26414677","abstract":"Menopause timing has a substantial impact on infertility and risk of disease, including breast cancer, but the underlying mechanisms are poorly understood. We report a dual strategy in ~70,000 women to identify common and low-frequency protein-coding variation associated with age at natural menopause (ANM). We identified 44 regions with common variants, including two regions harboring additional rare missense alleles of large effect. We found enrichment of signals in or near genes involved in delayed puberty, highlighting the first molecular links between the onset and end of reproductive lifespan. Pathway analyses identified major association with DNA damage response (DDR) genes, including the first common coding variant in BRCA1 associated with any complex trait. Mendelian randomization analyses supported a causal effect of later ANM on breast cancer risk (~6% increase in risk per year; P = 3 × 10−14), likely mediated by prolonged sex hormone exposure rather than DDR mechanisms.","author":[{"dropping-particle":"","family":"Day","given":"FR","non-dropping-particle":"","parse-names":false,"suffix":""},{"dropping-particle":"","family":"Ruth","given":"KS","non-dropping-particle":"","parse-names":false,"suffix":""},{"dropping-particle":"","family":"Thompson","given":"DJ","non-dropping-particle":"","parse-names":false,"suffix":""}],"container-title":"Nature Genetics","id":"ITEM-6","issue":"11","issued":{"date-parts":[["2015"]]},"page":"1294-1303","title":"Large-scale genomic analyses link reproductive aging to hypothalamic signaling, breast cancer susceptibility and BRCA1-mediated DNA repair","type":"article-journal","volume":"47"},"uris":["http://www.mendeley.com/documents/?uuid=042441f9-421e-43ff-a967-05333a1ae9eb","http://www.mendeley.com/documents/?uuid=b41cb5c5-d314-4bce-a40b-afd9e69f609c"]}],"mendeley":{"formattedCitation":"[13–18]","plainTextFormattedCitation":"[13–18]","previouslyFormattedCitation":"[13–18]"},"properties":{"noteIndex":0},"schema":"https://github.com/citation-style-language/schema/raw/master/csl-citation.json"}</w:instrText>
      </w:r>
      <w:r w:rsidR="001C4EED" w:rsidRPr="00293C29">
        <w:rPr>
          <w:lang w:val="en-GB"/>
        </w:rPr>
        <w:fldChar w:fldCharType="separate"/>
      </w:r>
      <w:r w:rsidR="00634A20" w:rsidRPr="00293C29">
        <w:rPr>
          <w:noProof/>
          <w:lang w:val="en-GB"/>
        </w:rPr>
        <w:t>[13–18]</w:t>
      </w:r>
      <w:r w:rsidR="001C4EED" w:rsidRPr="00293C29">
        <w:rPr>
          <w:lang w:val="en-GB"/>
        </w:rPr>
        <w:fldChar w:fldCharType="end"/>
      </w:r>
      <w:r w:rsidR="00562AAB" w:rsidRPr="00293C29">
        <w:rPr>
          <w:lang w:val="en-GB"/>
        </w:rPr>
        <w:t xml:space="preserve"> </w:t>
      </w:r>
      <w:r w:rsidR="00C857AA" w:rsidRPr="00293C29">
        <w:rPr>
          <w:lang w:val="en-GB"/>
        </w:rPr>
        <w:t>After removing SNPs with</w:t>
      </w:r>
      <w:r w:rsidR="0001308E" w:rsidRPr="00293C29">
        <w:rPr>
          <w:lang w:val="en-GB"/>
        </w:rPr>
        <w:t xml:space="preserve"> F-statistic </w:t>
      </w:r>
      <w:r w:rsidR="00C857AA" w:rsidRPr="00293C29">
        <w:rPr>
          <w:rFonts w:cstheme="minorHAnsi"/>
          <w:lang w:val="en-GB"/>
        </w:rPr>
        <w:t>≤</w:t>
      </w:r>
      <w:r w:rsidR="0001308E" w:rsidRPr="00293C29">
        <w:rPr>
          <w:lang w:val="en-GB"/>
        </w:rPr>
        <w:t xml:space="preserve">10 </w:t>
      </w:r>
      <w:r w:rsidR="006712B1" w:rsidRPr="00293C29">
        <w:rPr>
          <w:lang w:val="en-GB"/>
        </w:rPr>
        <w:t>to avoid weak instrument bias</w:t>
      </w:r>
      <w:r w:rsidR="00484913" w:rsidRPr="00293C29">
        <w:rPr>
          <w:lang w:val="en-GB"/>
        </w:rPr>
        <w:t xml:space="preserve"> </w:t>
      </w:r>
      <w:r w:rsidR="006712B1" w:rsidRPr="00293C29">
        <w:rPr>
          <w:lang w:val="en-GB"/>
        </w:rPr>
        <w:t xml:space="preserve">and </w:t>
      </w:r>
      <w:r w:rsidR="00C857AA" w:rsidRPr="00293C29">
        <w:rPr>
          <w:lang w:val="en-GB"/>
        </w:rPr>
        <w:t>SNPs</w:t>
      </w:r>
      <w:r w:rsidR="006712B1" w:rsidRPr="00293C29">
        <w:rPr>
          <w:lang w:val="en-GB"/>
        </w:rPr>
        <w:t xml:space="preserve"> highly correlated with each other (r</w:t>
      </w:r>
      <w:r w:rsidR="006712B1" w:rsidRPr="00293C29">
        <w:rPr>
          <w:vertAlign w:val="superscript"/>
          <w:lang w:val="en-GB"/>
        </w:rPr>
        <w:t>2</w:t>
      </w:r>
      <w:r w:rsidR="00C857AA" w:rsidRPr="00293C29">
        <w:rPr>
          <w:rFonts w:cstheme="minorHAnsi"/>
          <w:lang w:val="en-GB"/>
        </w:rPr>
        <w:t>≥</w:t>
      </w:r>
      <w:r w:rsidR="006712B1" w:rsidRPr="00293C29">
        <w:rPr>
          <w:lang w:val="en-GB"/>
        </w:rPr>
        <w:t>0.8), 63 SNPs remained that jointly explain</w:t>
      </w:r>
      <w:r w:rsidR="00D26C79" w:rsidRPr="00293C29">
        <w:rPr>
          <w:lang w:val="en-GB"/>
        </w:rPr>
        <w:t>ed</w:t>
      </w:r>
      <w:r w:rsidR="006712B1" w:rsidRPr="00293C29">
        <w:rPr>
          <w:lang w:val="en-GB"/>
        </w:rPr>
        <w:t xml:space="preserve"> 6% of the UKB population variance</w:t>
      </w:r>
      <w:r w:rsidR="005A4612" w:rsidRPr="00293C29">
        <w:rPr>
          <w:lang w:val="en-GB"/>
        </w:rPr>
        <w:t xml:space="preserve"> of age at menopause</w:t>
      </w:r>
      <w:r w:rsidR="00FF50E5" w:rsidRPr="00293C29">
        <w:rPr>
          <w:lang w:val="en-GB"/>
        </w:rPr>
        <w:t>.</w:t>
      </w:r>
      <w:r w:rsidR="00FF50E5" w:rsidRPr="00293C29">
        <w:rPr>
          <w:lang w:val="en-GB"/>
        </w:rPr>
        <w:fldChar w:fldCharType="begin" w:fldLock="1"/>
      </w:r>
      <w:r w:rsidR="00C4516C">
        <w:rPr>
          <w:lang w:val="en-GB"/>
        </w:rPr>
        <w:instrText>ADDIN CSL_CITATION {"citationItems":[{"id":"ITEM-1","itemData":{"DOI":"10.1002/gepi.21758","ISBN":"1098-2272 (Electronic)\\r0741-0395 (Linking)","ISSN":"07410395","PMID":"24114802","abstract":"Genome-wide association studies, which typically report regression coefficients summarizing the associations of many genetic variants with various traits, are potentially a powerful source of data for Mendelian randomization investigations. We demonstrate how such coefficients from multiple variants can be combined in a Mendelian randomization analysis to estimate the causal effect of a risk factor on an outcome. The bias and efficiency of estimates based on summarized data are compared to those based on individual-level data in simulation studies. We investigate the impact of gene-gene interactions, linkage disequilibrium, and 'weak instruments' on these estimates. Both an inverse-variance weighted average of variant-specific associations and a likelihood-based approach for summarized data give similar estimates and precision to the two-stage least squares method for individual-level data, even when there are gene-gene interactions. However, these summarized data methods overstate precision when variants are in linkage disequilibrium. If the P-value in a linear regression of the risk factor for each variant is less than 1×10⁻⁵, then weak instrument bias will be small. We use these methods to estimate the causal association of low-density lipoprotein cholesterol (LDL-C) on coronary artery disease using published data on five genetic variants. A 30% reduction in LDL-C is estimated to reduce coronary artery disease risk by 67% (95% CI: 54% to 76%). We conclude that Mendelian randomization investigations using summarized data from uncorrelated variants are similarly efficient to those using individual-level data, although the necessary assumptions cannot be so fully assessed.","author":[{"dropping-particle":"","family":"Burgess","given":"Stephen","non-dropping-particle":"","parse-names":false,"suffix":""},{"dropping-particle":"","family":"Butterworth","given":"Adam","non-dropping-particle":"","parse-names":false,"suffix":""},{"dropping-particle":"","family":"Thompson","given":"Simon G.","non-dropping-particle":"","parse-names":false,"suffix":""}],"container-title":"Genetic Epidemiology","id":"ITEM-1","issue":"7","issued":{"date-parts":[["2013"]]},"page":"658-665","title":"Mendelian randomization analysis with multiple genetic variants using summarized data","type":"article-journal","volume":"37"},"uris":["http://www.mendeley.com/documents/?uuid=a4904a32-8f48-42fe-84da-18d641e77e25","http://www.mendeley.com/documents/?uuid=877b6f1d-dcf3-43bd-b8cc-77b845e411ff"]}],"mendeley":{"formattedCitation":"[19]","plainTextFormattedCitation":"[19]","previouslyFormattedCitation":"[19]"},"properties":{"noteIndex":0},"schema":"https://github.com/citation-style-language/schema/raw/master/csl-citation.json"}</w:instrText>
      </w:r>
      <w:r w:rsidR="00FF50E5" w:rsidRPr="00293C29">
        <w:rPr>
          <w:lang w:val="en-GB"/>
        </w:rPr>
        <w:fldChar w:fldCharType="separate"/>
      </w:r>
      <w:r w:rsidR="00634A20" w:rsidRPr="00293C29">
        <w:rPr>
          <w:noProof/>
          <w:lang w:val="en-GB"/>
        </w:rPr>
        <w:t>[19]</w:t>
      </w:r>
      <w:r w:rsidR="00FF50E5" w:rsidRPr="00293C29">
        <w:rPr>
          <w:lang w:val="en-GB"/>
        </w:rPr>
        <w:fldChar w:fldCharType="end"/>
      </w:r>
      <w:r w:rsidR="006712B1" w:rsidRPr="00293C29">
        <w:rPr>
          <w:lang w:val="en-GB"/>
        </w:rPr>
        <w:t xml:space="preserve"> Of </w:t>
      </w:r>
      <w:r w:rsidR="00B36ED3">
        <w:rPr>
          <w:lang w:val="en-GB"/>
        </w:rPr>
        <w:t>the selected SNPs</w:t>
      </w:r>
      <w:r w:rsidR="006712B1" w:rsidRPr="00293C29">
        <w:rPr>
          <w:lang w:val="en-GB"/>
        </w:rPr>
        <w:t xml:space="preserve">, 39 SNPs were </w:t>
      </w:r>
      <w:r w:rsidR="006712B1" w:rsidRPr="001A51BC">
        <w:rPr>
          <w:lang w:val="en-GB"/>
        </w:rPr>
        <w:t>strong instruments for early menopause and 40 for late menopause</w:t>
      </w:r>
      <w:r w:rsidR="001B197A" w:rsidRPr="001A51BC">
        <w:rPr>
          <w:lang w:val="en-GB"/>
        </w:rPr>
        <w:t>.</w:t>
      </w:r>
      <w:r w:rsidR="003C1079" w:rsidRPr="001A51BC">
        <w:rPr>
          <w:lang w:val="en-GB"/>
        </w:rPr>
        <w:t xml:space="preserve"> </w:t>
      </w:r>
      <w:bookmarkStart w:id="2" w:name="_Hlk8304484"/>
      <w:bookmarkStart w:id="3" w:name="_Hlk5095696"/>
    </w:p>
    <w:p w14:paraId="10E75695" w14:textId="77777777" w:rsidR="00B20066" w:rsidRPr="00293C29" w:rsidRDefault="00B20066" w:rsidP="00B20066">
      <w:pPr>
        <w:spacing w:after="120"/>
        <w:jc w:val="both"/>
        <w:rPr>
          <w:i/>
          <w:lang w:val="en-GB"/>
        </w:rPr>
      </w:pPr>
      <w:r w:rsidRPr="00293C29">
        <w:rPr>
          <w:i/>
          <w:lang w:val="en-GB"/>
        </w:rPr>
        <w:t>MR analyses</w:t>
      </w:r>
    </w:p>
    <w:p w14:paraId="320C2C25" w14:textId="3AF5082E" w:rsidR="00B20066" w:rsidRDefault="00B20066" w:rsidP="0088281F">
      <w:pPr>
        <w:spacing w:after="120"/>
        <w:jc w:val="both"/>
        <w:rPr>
          <w:lang w:val="en-GB"/>
        </w:rPr>
      </w:pPr>
      <w:r>
        <w:rPr>
          <w:rFonts w:cstheme="minorHAnsi"/>
          <w:lang w:val="en-GB"/>
        </w:rPr>
        <w:t>As our</w:t>
      </w:r>
      <w:r w:rsidRPr="007E7FC2">
        <w:rPr>
          <w:rFonts w:cstheme="minorHAnsi"/>
          <w:lang w:val="en-GB"/>
        </w:rPr>
        <w:t xml:space="preserve"> main analysis, we</w:t>
      </w:r>
      <w:r w:rsidRPr="007E7FC2">
        <w:rPr>
          <w:color w:val="000000"/>
          <w:lang w:val="en-GB"/>
        </w:rPr>
        <w:t xml:space="preserve"> estimated the causal effect of early and late menopause on lung function</w:t>
      </w:r>
      <w:r>
        <w:rPr>
          <w:color w:val="000000"/>
          <w:lang w:val="en-GB"/>
        </w:rPr>
        <w:t xml:space="preserve">, but </w:t>
      </w:r>
      <w:r>
        <w:rPr>
          <w:lang w:val="en-GB"/>
        </w:rPr>
        <w:t xml:space="preserve">we also performed MR analyses </w:t>
      </w:r>
      <w:r w:rsidRPr="00293C29">
        <w:rPr>
          <w:lang w:val="en-GB"/>
        </w:rPr>
        <w:t>considering age at menopause as a continuous variable</w:t>
      </w:r>
      <w:r w:rsidRPr="001A51BC">
        <w:rPr>
          <w:lang w:val="en-GB"/>
        </w:rPr>
        <w:t xml:space="preserve"> </w:t>
      </w:r>
      <w:r>
        <w:rPr>
          <w:lang w:val="en-GB"/>
        </w:rPr>
        <w:t>a</w:t>
      </w:r>
      <w:r w:rsidRPr="00C56A23">
        <w:rPr>
          <w:lang w:val="en-GB"/>
        </w:rPr>
        <w:t>s secondary analyses</w:t>
      </w:r>
      <w:r>
        <w:rPr>
          <w:lang w:val="en-GB"/>
        </w:rPr>
        <w:t xml:space="preserve">. </w:t>
      </w:r>
      <w:r w:rsidR="001A51BC" w:rsidRPr="001A51BC">
        <w:rPr>
          <w:rFonts w:cstheme="minorHAnsi"/>
          <w:color w:val="000000"/>
          <w:lang w:val="en-GB"/>
        </w:rPr>
        <w:t>For each of the</w:t>
      </w:r>
      <w:r>
        <w:rPr>
          <w:rFonts w:cstheme="minorHAnsi"/>
          <w:color w:val="000000"/>
          <w:lang w:val="en-GB"/>
        </w:rPr>
        <w:t xml:space="preserve"> included</w:t>
      </w:r>
      <w:r w:rsidR="001A51BC" w:rsidRPr="001A51BC">
        <w:rPr>
          <w:rFonts w:cstheme="minorHAnsi"/>
          <w:color w:val="000000"/>
          <w:lang w:val="en-GB"/>
        </w:rPr>
        <w:t xml:space="preserve"> SNPs we obtained two estimates from UKB (Figure 1); one for the association of the SNP with early and late menopause versus normal menopause (GX), using logistic regression adjusted for centre, first 10 ancestry principal components and three genotyping batches; and one for the association with the lung function outcomes (GY), using logistic </w:t>
      </w:r>
      <w:bookmarkStart w:id="4" w:name="_Hlk8395688"/>
      <w:r w:rsidR="001A51BC" w:rsidRPr="001A51BC">
        <w:rPr>
          <w:rFonts w:cstheme="minorHAnsi"/>
          <w:color w:val="000000"/>
          <w:lang w:val="en-GB"/>
        </w:rPr>
        <w:t>(airway obstruction and spirometric restriction)</w:t>
      </w:r>
      <w:bookmarkEnd w:id="4"/>
      <w:r w:rsidR="001A51BC" w:rsidRPr="001A51BC">
        <w:rPr>
          <w:rFonts w:cstheme="minorHAnsi"/>
          <w:color w:val="000000"/>
          <w:lang w:val="en-GB"/>
        </w:rPr>
        <w:t xml:space="preserve"> or linear (</w:t>
      </w:r>
      <w:bookmarkStart w:id="5" w:name="_Hlk8395674"/>
      <w:r w:rsidR="001A51BC" w:rsidRPr="001A51BC">
        <w:rPr>
          <w:rFonts w:cstheme="minorHAnsi"/>
          <w:color w:val="000000"/>
          <w:lang w:val="en-GB"/>
        </w:rPr>
        <w:t>FEV</w:t>
      </w:r>
      <w:r w:rsidR="001A51BC" w:rsidRPr="001A51BC">
        <w:rPr>
          <w:rFonts w:cstheme="minorHAnsi"/>
          <w:color w:val="000000"/>
          <w:vertAlign w:val="subscript"/>
          <w:lang w:val="en-GB"/>
        </w:rPr>
        <w:t>1/</w:t>
      </w:r>
      <w:r w:rsidR="001A51BC" w:rsidRPr="001A51BC">
        <w:rPr>
          <w:rFonts w:cstheme="minorHAnsi"/>
          <w:color w:val="000000"/>
          <w:lang w:val="en-GB"/>
        </w:rPr>
        <w:t>FVC, FVC, and FEV</w:t>
      </w:r>
      <w:r w:rsidR="001A51BC" w:rsidRPr="001A51BC">
        <w:rPr>
          <w:rFonts w:cstheme="minorHAnsi"/>
          <w:color w:val="000000"/>
          <w:vertAlign w:val="subscript"/>
          <w:lang w:val="en-GB"/>
        </w:rPr>
        <w:t>1</w:t>
      </w:r>
      <w:bookmarkEnd w:id="5"/>
      <w:r w:rsidR="001A51BC" w:rsidRPr="001A51BC">
        <w:rPr>
          <w:rFonts w:cstheme="minorHAnsi"/>
          <w:color w:val="000000"/>
          <w:lang w:val="en-GB"/>
        </w:rPr>
        <w:t>) regression adjusted for age, age</w:t>
      </w:r>
      <w:r w:rsidR="001A51BC" w:rsidRPr="001A51BC">
        <w:rPr>
          <w:rFonts w:cstheme="minorHAnsi"/>
          <w:color w:val="000000"/>
          <w:vertAlign w:val="superscript"/>
          <w:lang w:val="en-GB"/>
        </w:rPr>
        <w:t>2</w:t>
      </w:r>
      <w:r w:rsidR="001A51BC" w:rsidRPr="001A51BC">
        <w:rPr>
          <w:rFonts w:cstheme="minorHAnsi"/>
          <w:color w:val="000000"/>
          <w:lang w:val="en-GB"/>
        </w:rPr>
        <w:t>, height, centre, 10 principal components and three batches</w:t>
      </w:r>
      <w:bookmarkEnd w:id="2"/>
      <w:r w:rsidR="001A51BC" w:rsidRPr="001A51BC">
        <w:rPr>
          <w:rFonts w:cstheme="minorHAnsi"/>
          <w:color w:val="000000"/>
          <w:lang w:val="en-GB"/>
        </w:rPr>
        <w:t xml:space="preserve">. </w:t>
      </w:r>
      <w:bookmarkStart w:id="6" w:name="_Hlk8305327"/>
      <w:bookmarkStart w:id="7" w:name="_Hlk8395731"/>
      <w:r w:rsidR="001A51BC" w:rsidRPr="001A51BC">
        <w:rPr>
          <w:rFonts w:cstheme="minorHAnsi"/>
          <w:lang w:val="en-GB"/>
        </w:rPr>
        <w:t>For each SNP, an MR estimate was derived as the ratio of GY over GX (Wald estimator) and its standard error obtained using the Delta metho</w:t>
      </w:r>
      <w:bookmarkEnd w:id="6"/>
      <w:r w:rsidR="001A51BC" w:rsidRPr="001A51BC">
        <w:rPr>
          <w:rFonts w:cstheme="minorHAnsi"/>
          <w:lang w:val="en-GB"/>
        </w:rPr>
        <w:t>d.</w:t>
      </w:r>
      <w:r w:rsidR="001A51BC" w:rsidRPr="001A51BC">
        <w:rPr>
          <w:rFonts w:cstheme="minorHAnsi"/>
          <w:lang w:val="en-GB"/>
        </w:rPr>
        <w:fldChar w:fldCharType="begin" w:fldLock="1"/>
      </w:r>
      <w:r w:rsidR="001A51BC">
        <w:rPr>
          <w:rFonts w:cstheme="minorHAnsi"/>
          <w:lang w:val="en-GB"/>
        </w:rPr>
        <w:instrText>ADDIN CSL_CITATION {"citationItems":[{"id":"ITEM-1","itemData":{"DOI":"10.1515/ijb-2015-0074","ISSN":"1557-4679","PMID":"27092657","abstract":"Mendelian randomization (MR) is a technique that seeks to establish causation between an exposure and an outcome using observational data. It is an instrumental variable analysis in which genetic variants are used as the instruments. Many consortia have meta-analysed genome-wide associations between variants and specific traits and made their results publicly available. Using such data, it is possible to derive genetic risk scores for one trait and to deduce the association of that same risk score with a second trait. The properties of this approach are investigated by simulation and by evaluating the potentially causal effect of birth weight on adult glucose level. In such analyses, it is important to decide whether one is interested in the risk score based on a set of estimated regression coefficients or the score based on the true underlying coefficients. MR is primarily concerned with the latter. Methods designed for the former question will under-estimate the variance if used for MR. This variance can be corrected but it needs to be done with care to avoid introducing bias. MR based on public data sources is useful and easy to perform, but care must be taken to avoid false precision or bias.","author":[{"dropping-particle":"","family":"Thompson","given":"John R","non-dropping-particle":"","parse-names":false,"suffix":""},{"dropping-particle":"","family":"Minelli","given":"Cosetta","non-dropping-particle":"","parse-names":false,"suffix":""},{"dropping-particle":"","family":"Greco M","given":"Fabiola","non-dropping-particle":"Del","parse-names":false,"suffix":""}],"container-title":"The international journal of biostatistics","id":"ITEM-1","issue":"2","issued":{"date-parts":[["2016"]]},"title":"Mendelian Randomization using Public Data from Genetic Consortia.","type":"article-journal","volume":"12"},"uris":["http://www.mendeley.com/documents/?uuid=c12f49b4-a60d-438c-ac6d-1240bd3f6690"]}],"mendeley":{"formattedCitation":"[20]","plainTextFormattedCitation":"[20]","previouslyFormattedCitation":"[20]"},"properties":{"noteIndex":0},"schema":"https://github.com/citation-style-language/schema/raw/master/csl-citation.json"}</w:instrText>
      </w:r>
      <w:r w:rsidR="001A51BC" w:rsidRPr="001A51BC">
        <w:rPr>
          <w:rFonts w:cstheme="minorHAnsi"/>
          <w:lang w:val="en-GB"/>
        </w:rPr>
        <w:fldChar w:fldCharType="separate"/>
      </w:r>
      <w:r w:rsidR="001A51BC" w:rsidRPr="001A51BC">
        <w:rPr>
          <w:rFonts w:cstheme="minorHAnsi"/>
          <w:noProof/>
          <w:lang w:val="en-GB"/>
        </w:rPr>
        <w:t>[20]</w:t>
      </w:r>
      <w:r w:rsidR="001A51BC" w:rsidRPr="001A51BC">
        <w:rPr>
          <w:rFonts w:cstheme="minorHAnsi"/>
          <w:lang w:val="en-GB"/>
        </w:rPr>
        <w:fldChar w:fldCharType="end"/>
      </w:r>
      <w:bookmarkEnd w:id="3"/>
      <w:r w:rsidR="001A51BC" w:rsidRPr="001A51BC">
        <w:rPr>
          <w:lang w:val="en-GB"/>
        </w:rPr>
        <w:t xml:space="preserve"> </w:t>
      </w:r>
      <w:r w:rsidR="001A51BC" w:rsidRPr="001A51BC">
        <w:rPr>
          <w:rFonts w:cstheme="minorHAnsi"/>
          <w:lang w:val="en-GB"/>
        </w:rPr>
        <w:t xml:space="preserve">SNP-specific MR estimates were then pooled using an </w:t>
      </w:r>
      <w:r w:rsidR="001A51BC" w:rsidRPr="001A51BC">
        <w:rPr>
          <w:rFonts w:cstheme="minorHAnsi"/>
          <w:color w:val="000000"/>
          <w:lang w:val="en-GB"/>
        </w:rPr>
        <w:t xml:space="preserve">inverse-variance weighted (IVW) fixed-effect meta-analysis method that </w:t>
      </w:r>
      <w:r w:rsidR="001A51BC" w:rsidRPr="000F05EA">
        <w:rPr>
          <w:rFonts w:cstheme="minorHAnsi"/>
          <w:color w:val="000000"/>
          <w:lang w:val="en-GB"/>
        </w:rPr>
        <w:t xml:space="preserve">accounts for correlation between SNPs (R package </w:t>
      </w:r>
      <w:proofErr w:type="spellStart"/>
      <w:r w:rsidR="001A51BC" w:rsidRPr="000F05EA">
        <w:rPr>
          <w:rFonts w:cstheme="minorHAnsi"/>
          <w:i/>
          <w:color w:val="000000"/>
          <w:lang w:val="en-GB"/>
        </w:rPr>
        <w:lastRenderedPageBreak/>
        <w:t>MendelianRandomization</w:t>
      </w:r>
      <w:proofErr w:type="spellEnd"/>
      <w:r w:rsidR="001A51BC" w:rsidRPr="000F05EA">
        <w:rPr>
          <w:rFonts w:cstheme="minorHAnsi"/>
          <w:color w:val="000000"/>
          <w:lang w:val="en-GB"/>
        </w:rPr>
        <w:t>).</w:t>
      </w:r>
      <w:r w:rsidR="001A51BC" w:rsidRPr="000F05EA">
        <w:rPr>
          <w:rFonts w:cstheme="minorHAnsi"/>
          <w:lang w:val="en-GB"/>
        </w:rPr>
        <w:fldChar w:fldCharType="begin" w:fldLock="1"/>
      </w:r>
      <w:r w:rsidR="00DA41F8">
        <w:rPr>
          <w:rFonts w:cstheme="minorHAnsi"/>
          <w:lang w:val="en-GB"/>
        </w:rPr>
        <w:instrText>ADDIN CSL_CITATION {"citationItems":[{"id":"ITEM-1","itemData":{"DOI":"10.1093/ije/dyx034","ISSN":"14643685","PMID":"28398548","abstract":"MendelianRandomization is a software package for the R open-source software environ-ment that performs Mendelian randomization analyses using summarized data. The core functionality is to implement the inverse-variance weighted, MR-Egger and weighted me-dian methods for multiple genetic variants. Several options are available to the user, such as the use of robust regression, fixed-or random-effects models and the penaliza-tion of weights for genetic variants with heterogeneous causal estimates. Extensions to these methods, such as allowing for variants to be correlated, can be chosen if appropri-ate. Graphical commands allow summarized data to be displayed in an interactive graph, or the plotting of causal estimates from multiple methods, for comparison. Although the main method of data entry is directly by the user, there is also an option for allowing summarized data to be incorporated from the PhenoScanner database of genotype— phenotype associations. We hope to develop this feature in future versions of the package. The R software environment is available for download from [https://www.r-project.org/]. The MendelianRandomization package can be downloaded from the Comprehensive R Archive Network (CRAN) within R, or directly from [https://cran. r-project.org/web/packages/MendelianRandomization/]. Both R and the MendelianRand omization package are released under GNU General Public Licenses (GPL-2jGPL-3).","author":[{"dropping-particle":"","family":"Yavorska","given":"Olena O.","non-dropping-particle":"","parse-names":false,"suffix":""},{"dropping-particle":"","family":"Burgess","given":"Stephen","non-dropping-particle":"","parse-names":false,"suffix":""}],"container-title":"International Journal of Epidemiology","id":"ITEM-1","issue":"6","issued":{"date-parts":[["2017","12"]]},"page":"1734-1739","title":"MendelianRandomization: An R package for performing Mendelian randomization analyses using summarized data","type":"article-journal","volume":"46"},"uris":["http://www.mendeley.com/documents/?uuid=f12c565e-f278-4326-af67-51d2d686e3f9","http://www.mendeley.com/documents/?uuid=263d16e3-3f4c-4a81-97ef-1da4df2202fd"]},{"id":"ITEM-2","itemData":{"DOI":"10.1002/gepi.21758","ISBN":"1098-2272 (Electronic)\\r0741-0395 (Linking)","ISSN":"07410395","PMID":"24114802","abstract":"Genome-wide association studies, which typically report regression coefficients summarizing the associations of many genetic variants with various traits, are potentially a powerful source of data for Mendelian randomization investigations. We demonstrate how such coefficients from multiple variants can be combined in a Mendelian randomization analysis to estimate the causal effect of a risk factor on an outcome. The bias and efficiency of estimates based on summarized data are compared to those based on individual-level data in simulation studies. We investigate the impact of gene-gene interactions, linkage disequilibrium, and 'weak instruments' on these estimates. Both an inverse-variance weighted average of variant-specific associations and a likelihood-based approach for summarized data give similar estimates and precision to the two-stage least squares method for individual-level data, even when there are gene-gene interactions. However, these summarized data methods overstate precision when variants are in linkage disequilibrium. If the P-value in a linear regression of the risk factor for each variant is less than 1×10⁻⁵, then weak instrument bias will be small. We use these methods to estimate the causal association of low-density lipoprotein cholesterol (LDL-C) on coronary artery disease using published data on five genetic variants. A 30% reduction in LDL-C is estimated to reduce coronary artery disease risk by 67% (95% CI: 54% to 76%). We conclude that Mendelian randomization investigations using summarized data from uncorrelated variants are similarly efficient to those using individual-level data, although the necessary assumptions cannot be so fully assessed.","author":[{"dropping-particle":"","family":"Burgess","given":"Stephen","non-dropping-particle":"","parse-names":false,"suffix":""},{"dropping-particle":"","family":"Butterworth","given":"Adam","non-dropping-particle":"","parse-names":false,"suffix":""},{"dropping-particle":"","family":"Thompson","given":"Simon G.","non-dropping-particle":"","parse-names":false,"suffix":""}],"container-title":"Genetic Epidemiology","id":"ITEM-2","issue":"7","issued":{"date-parts":[["2013"]]},"page":"658-665","title":"Mendelian randomization analysis with multiple genetic variants using summarized data","type":"article-journal","volume":"37"},"uris":["http://www.mendeley.com/documents/?uuid=877b6f1d-dcf3-43bd-b8cc-77b845e411ff","http://www.mendeley.com/documents/?uuid=a4904a32-8f48-42fe-84da-18d641e77e25"]}],"mendeley":{"formattedCitation":"[19, 21]","plainTextFormattedCitation":"[19, 21]","previouslyFormattedCitation":"[19, 21]"},"properties":{"noteIndex":0},"schema":"https://github.com/citation-style-language/schema/raw/master/csl-citation.json"}</w:instrText>
      </w:r>
      <w:r w:rsidR="001A51BC" w:rsidRPr="000F05EA">
        <w:rPr>
          <w:rFonts w:cstheme="minorHAnsi"/>
          <w:lang w:val="en-GB"/>
        </w:rPr>
        <w:fldChar w:fldCharType="separate"/>
      </w:r>
      <w:r w:rsidR="001A51BC" w:rsidRPr="000F05EA">
        <w:rPr>
          <w:rFonts w:cstheme="minorHAnsi"/>
          <w:noProof/>
          <w:lang w:val="en-GB"/>
        </w:rPr>
        <w:t>[19, 21]</w:t>
      </w:r>
      <w:r w:rsidR="001A51BC" w:rsidRPr="000F05EA">
        <w:rPr>
          <w:rFonts w:cstheme="minorHAnsi"/>
          <w:lang w:val="en-GB"/>
        </w:rPr>
        <w:fldChar w:fldCharType="end"/>
      </w:r>
      <w:r w:rsidR="001A51BC" w:rsidRPr="000F05EA">
        <w:rPr>
          <w:rFonts w:cstheme="minorHAnsi"/>
          <w:lang w:val="en-GB"/>
        </w:rPr>
        <w:t xml:space="preserve"> </w:t>
      </w:r>
      <w:bookmarkEnd w:id="7"/>
      <w:r w:rsidR="00A270D9" w:rsidRPr="00293C29">
        <w:rPr>
          <w:lang w:val="en-GB"/>
        </w:rPr>
        <w:t xml:space="preserve">We used </w:t>
      </w:r>
      <w:r w:rsidR="009C0FE6">
        <w:rPr>
          <w:lang w:val="en-GB"/>
        </w:rPr>
        <w:t>the IVW</w:t>
      </w:r>
      <w:r w:rsidR="00AD683A" w:rsidRPr="00293C29">
        <w:rPr>
          <w:lang w:val="en-GB"/>
        </w:rPr>
        <w:t xml:space="preserve"> </w:t>
      </w:r>
      <w:r w:rsidR="00A270D9" w:rsidRPr="00293C29">
        <w:rPr>
          <w:lang w:val="en-GB"/>
        </w:rPr>
        <w:t>two-sample MR method</w:t>
      </w:r>
      <w:r w:rsidR="00AD683A">
        <w:rPr>
          <w:lang w:val="en-GB"/>
        </w:rPr>
        <w:t xml:space="preserve"> </w:t>
      </w:r>
      <w:r w:rsidR="00A270D9" w:rsidRPr="00293C29">
        <w:rPr>
          <w:lang w:val="en-GB"/>
        </w:rPr>
        <w:t xml:space="preserve">because the standard MR approach in a one-sample setting (as in our study), which is the two-stage least square (2SLS) method, does not account for pleiotropy. </w:t>
      </w:r>
    </w:p>
    <w:p w14:paraId="1725193A" w14:textId="77777777" w:rsidR="00B20066" w:rsidRPr="00293C29" w:rsidRDefault="00B20066" w:rsidP="00B20066">
      <w:pPr>
        <w:spacing w:after="120"/>
        <w:jc w:val="both"/>
        <w:rPr>
          <w:u w:val="single"/>
          <w:lang w:val="en-GB"/>
        </w:rPr>
      </w:pPr>
      <w:r w:rsidRPr="00293C29">
        <w:rPr>
          <w:u w:val="single"/>
          <w:lang w:val="en-GB"/>
        </w:rPr>
        <w:t>Assessing pleiotropy</w:t>
      </w:r>
    </w:p>
    <w:p w14:paraId="2844BAFB" w14:textId="2C806B01" w:rsidR="006E68E6" w:rsidRDefault="00711B51">
      <w:pPr>
        <w:spacing w:after="120"/>
        <w:jc w:val="both"/>
        <w:rPr>
          <w:lang w:val="en-GB"/>
        </w:rPr>
      </w:pPr>
      <w:r w:rsidRPr="00293C29">
        <w:rPr>
          <w:lang w:val="en-GB"/>
        </w:rPr>
        <w:t>T</w:t>
      </w:r>
      <w:r w:rsidR="00BE6A03" w:rsidRPr="00293C29">
        <w:rPr>
          <w:lang w:val="en-GB"/>
        </w:rPr>
        <w:t xml:space="preserve">he presence of </w:t>
      </w:r>
      <w:r w:rsidR="00C24FA4" w:rsidRPr="00293C29">
        <w:rPr>
          <w:lang w:val="en-GB"/>
        </w:rPr>
        <w:t>pleiotropy</w:t>
      </w:r>
      <w:r w:rsidR="00601E01" w:rsidRPr="00293C29">
        <w:rPr>
          <w:lang w:val="en-GB"/>
        </w:rPr>
        <w:t xml:space="preserve"> was </w:t>
      </w:r>
      <w:r w:rsidRPr="00293C29">
        <w:rPr>
          <w:lang w:val="en-GB"/>
        </w:rPr>
        <w:t>investigated using</w:t>
      </w:r>
      <w:r w:rsidR="00C24FA4" w:rsidRPr="00293C29">
        <w:rPr>
          <w:lang w:val="en-GB"/>
        </w:rPr>
        <w:t xml:space="preserve"> between-instrument heterogeneity of the </w:t>
      </w:r>
      <w:r w:rsidR="00B20066">
        <w:rPr>
          <w:lang w:val="en-GB"/>
        </w:rPr>
        <w:t xml:space="preserve">IVW </w:t>
      </w:r>
      <w:r w:rsidR="00C24FA4" w:rsidRPr="00293C29">
        <w:rPr>
          <w:lang w:val="en-GB"/>
        </w:rPr>
        <w:t>MR estimates</w:t>
      </w:r>
      <w:r w:rsidRPr="00293C29">
        <w:rPr>
          <w:lang w:val="en-GB"/>
        </w:rPr>
        <w:t xml:space="preserve">, based on </w:t>
      </w:r>
      <w:r w:rsidR="00792C2D" w:rsidRPr="00293C29">
        <w:rPr>
          <w:lang w:val="en-GB"/>
        </w:rPr>
        <w:t>I</w:t>
      </w:r>
      <w:r w:rsidR="00792C2D" w:rsidRPr="00293C29">
        <w:rPr>
          <w:vertAlign w:val="superscript"/>
          <w:lang w:val="en-GB"/>
        </w:rPr>
        <w:t>2</w:t>
      </w:r>
      <w:r w:rsidR="00792C2D" w:rsidRPr="00293C29">
        <w:rPr>
          <w:lang w:val="en-GB"/>
        </w:rPr>
        <w:t xml:space="preserve"> </w:t>
      </w:r>
      <w:r w:rsidR="002E54C1" w:rsidRPr="00293C29">
        <w:rPr>
          <w:lang w:val="en-GB"/>
        </w:rPr>
        <w:t xml:space="preserve">statistic </w:t>
      </w:r>
      <w:r w:rsidR="00792C2D" w:rsidRPr="00293C29">
        <w:rPr>
          <w:lang w:val="en-GB"/>
        </w:rPr>
        <w:t>and Q test.</w:t>
      </w:r>
      <w:r w:rsidR="00792C2D" w:rsidRPr="00293C29">
        <w:rPr>
          <w:lang w:val="en-GB"/>
        </w:rPr>
        <w:fldChar w:fldCharType="begin" w:fldLock="1"/>
      </w:r>
      <w:r w:rsidR="001A51BC">
        <w:rPr>
          <w:lang w:val="en-GB"/>
        </w:rPr>
        <w:instrText>ADDIN CSL_CITATION {"citationItems":[{"id":"ITEM-1","itemData":{"DOI":"10.1002/sim.6522","ISSN":"02776715","PMID":"25950993","abstract":"Mendelian randomisation (MR) estimates causal effects of modifiable phenotypes on an outcome by using genetic variants as instrumental variables, but its validity relies on the assumption of no pleiotropy, that is, genes influence the outcome only through the given phenotype. Excluding pleiotropy is difficult, but the use of multiple instruments can indirectly address the issue: if all genes represent valid instruments, their MR estimates should vary only by chance. The Sargan test detects pleiotropy when individual phenotype, outcome and genotype data are measured in the same subjects. We propose an alternative approach to be used when only summary genetic data are available or data on gene-phenotype and gene-outcome come from different subjects. The presence of pleiotropy is investigated using the between-instrument heterogeneity Q test (together with the I(2) index) in a meta-analysis of MR Wald estimates, derived separately from each instrument. For a continuous outcome, we evaluate the approach through simulations and illustrate it using published data. For the scenario where all data come from the same subjects, we compare it with the Sargan test. The Q test tends to be conservative in small samples. Its power increases with the degree of pleiotropy and the sample size, as does the precision of the I(2) index, in which case results are similar to those of the Sargan test. In MR studies with large sample sizes based on summary data, the between-instrument Q test represents a useful tool to explore the presence of heterogeneity due to pleiotropy or other causes.","author":[{"dropping-particle":"Del","family":"Greco M","given":"Fabiola","non-dropping-particle":"","parse-names":false,"suffix":""},{"dropping-particle":"","family":"Minelli","given":"Cosetta","non-dropping-particle":"","parse-names":false,"suffix":""},{"dropping-particle":"","family":"Sheehan","given":"Nuala A","non-dropping-particle":"","parse-names":false,"suffix":""},{"dropping-particle":"","family":"Thompson","given":"John R","non-dropping-particle":"","parse-names":false,"suffix":""}],"container-title":"Statistics in Medicine","id":"ITEM-1","issue":"21","issued":{"date-parts":[["2015","9"]]},"page":"2926-2940","title":"Detecting pleiotropy in Mendelian randomisation studies with summary data and a continuous outcome","type":"article-journal","volume":"34"},"uris":["http://www.mendeley.com/documents/?uuid=57672fdf-2351-3c4e-8d09-145f873d7447","http://www.mendeley.com/documents/?uuid=150f7acf-1f05-4066-8b87-6ef6b384e4dd"]}],"mendeley":{"formattedCitation":"[22]","plainTextFormattedCitation":"[22]","previouslyFormattedCitation":"[22]"},"properties":{"noteIndex":0},"schema":"https://github.com/citation-style-language/schema/raw/master/csl-citation.json"}</w:instrText>
      </w:r>
      <w:r w:rsidR="00792C2D" w:rsidRPr="00293C29">
        <w:rPr>
          <w:lang w:val="en-GB"/>
        </w:rPr>
        <w:fldChar w:fldCharType="separate"/>
      </w:r>
      <w:r w:rsidR="001A51BC" w:rsidRPr="001A51BC">
        <w:rPr>
          <w:noProof/>
          <w:lang w:val="en-GB"/>
        </w:rPr>
        <w:t>[22]</w:t>
      </w:r>
      <w:r w:rsidR="00792C2D" w:rsidRPr="00293C29">
        <w:rPr>
          <w:lang w:val="en-GB"/>
        </w:rPr>
        <w:fldChar w:fldCharType="end"/>
      </w:r>
      <w:r w:rsidR="00A270D9" w:rsidRPr="00293C29">
        <w:rPr>
          <w:lang w:val="en-GB"/>
        </w:rPr>
        <w:t xml:space="preserve"> </w:t>
      </w:r>
      <w:r w:rsidR="002A5244" w:rsidRPr="00293C29">
        <w:rPr>
          <w:lang w:val="en-US"/>
        </w:rPr>
        <w:t>In secondary</w:t>
      </w:r>
      <w:r w:rsidR="00F50759" w:rsidRPr="00293C29">
        <w:rPr>
          <w:lang w:val="en-US"/>
        </w:rPr>
        <w:t xml:space="preserve"> analyses</w:t>
      </w:r>
      <w:r w:rsidR="00E01578" w:rsidRPr="00293C29">
        <w:rPr>
          <w:lang w:val="en-US"/>
        </w:rPr>
        <w:t xml:space="preserve"> </w:t>
      </w:r>
      <w:r w:rsidR="002A5244" w:rsidRPr="00293C29">
        <w:rPr>
          <w:lang w:val="en-US"/>
        </w:rPr>
        <w:t xml:space="preserve">we investigated </w:t>
      </w:r>
      <w:r w:rsidR="008C06D9" w:rsidRPr="00293C29">
        <w:rPr>
          <w:lang w:val="en-US"/>
        </w:rPr>
        <w:t xml:space="preserve">the </w:t>
      </w:r>
      <w:r w:rsidR="002A5244" w:rsidRPr="00293C29">
        <w:rPr>
          <w:lang w:val="en-US"/>
        </w:rPr>
        <w:t xml:space="preserve">robustness </w:t>
      </w:r>
      <w:r w:rsidR="008E0372" w:rsidRPr="00293C29">
        <w:rPr>
          <w:lang w:val="en-US"/>
        </w:rPr>
        <w:t xml:space="preserve">of our findings </w:t>
      </w:r>
      <w:r w:rsidR="002A5244" w:rsidRPr="00293C29">
        <w:rPr>
          <w:lang w:val="en-US"/>
        </w:rPr>
        <w:t xml:space="preserve">to pleiotropy using </w:t>
      </w:r>
      <w:r w:rsidR="0050475A" w:rsidRPr="00293C29">
        <w:rPr>
          <w:lang w:val="en-US"/>
        </w:rPr>
        <w:t xml:space="preserve">MR </w:t>
      </w:r>
      <w:r w:rsidR="00A450B0" w:rsidRPr="00293C29">
        <w:rPr>
          <w:lang w:val="en-US"/>
        </w:rPr>
        <w:t>methods based on different assumptions about the direction of possible pleiotropic effects</w:t>
      </w:r>
      <w:r w:rsidR="004D5425" w:rsidRPr="00293C29">
        <w:rPr>
          <w:lang w:val="en-US"/>
        </w:rPr>
        <w:t>: 1) IVW random-effect meta-analysis</w:t>
      </w:r>
      <w:r w:rsidR="00E105B1" w:rsidRPr="00293C29">
        <w:rPr>
          <w:lang w:val="en-US"/>
        </w:rPr>
        <w:t xml:space="preserve"> (IVW-R</w:t>
      </w:r>
      <w:r w:rsidR="00C632CA" w:rsidRPr="00C420A5">
        <w:rPr>
          <w:lang w:val="en-GB"/>
        </w:rPr>
        <w:t>, assumes random pleiotropic effects</w:t>
      </w:r>
      <w:r w:rsidR="00E105B1" w:rsidRPr="00293C29">
        <w:rPr>
          <w:lang w:val="en-US"/>
        </w:rPr>
        <w:t>)</w:t>
      </w:r>
      <w:r w:rsidR="004D5425" w:rsidRPr="00293C29">
        <w:rPr>
          <w:lang w:val="en-US"/>
        </w:rPr>
        <w:t>; 2) weighted median analysis</w:t>
      </w:r>
      <w:r w:rsidR="00C632CA">
        <w:rPr>
          <w:lang w:val="en-US"/>
        </w:rPr>
        <w:t xml:space="preserve"> </w:t>
      </w:r>
      <w:r w:rsidR="00C632CA" w:rsidRPr="00C420A5">
        <w:rPr>
          <w:lang w:val="en-GB"/>
        </w:rPr>
        <w:t>(assumes that at least 50% of the SNPs are valid IVs with no assumption on the direction of pleiotropic effects)</w:t>
      </w:r>
      <w:r w:rsidR="004D5425" w:rsidRPr="00293C29">
        <w:rPr>
          <w:lang w:val="en-US"/>
        </w:rPr>
        <w:t>; 3) MR-Egger regression with penalized weight</w:t>
      </w:r>
      <w:r w:rsidR="008F50AB">
        <w:rPr>
          <w:lang w:val="en-US"/>
        </w:rPr>
        <w:t>s</w:t>
      </w:r>
      <w:r w:rsidR="00C632CA">
        <w:rPr>
          <w:lang w:val="en-US"/>
        </w:rPr>
        <w:t xml:space="preserve"> </w:t>
      </w:r>
      <w:r w:rsidR="00C632CA" w:rsidRPr="00C420A5">
        <w:rPr>
          <w:lang w:val="en-GB"/>
        </w:rPr>
        <w:t xml:space="preserve">(assumes directional </w:t>
      </w:r>
      <w:r w:rsidR="00C632CA" w:rsidRPr="00077332">
        <w:rPr>
          <w:lang w:val="en-GB"/>
        </w:rPr>
        <w:t>pleiotropic effects)</w:t>
      </w:r>
      <w:r w:rsidR="00C4516C" w:rsidRPr="00077332">
        <w:rPr>
          <w:lang w:val="en-US"/>
        </w:rPr>
        <w:t>;</w:t>
      </w:r>
      <w:r w:rsidR="00C4516C">
        <w:rPr>
          <w:lang w:val="en-US"/>
        </w:rPr>
        <w:t xml:space="preserve"> and 4) MR-PRESSO</w:t>
      </w:r>
      <w:r w:rsidR="00C632CA">
        <w:rPr>
          <w:lang w:val="en-US"/>
        </w:rPr>
        <w:t xml:space="preserve"> </w:t>
      </w:r>
      <w:r w:rsidR="00C632CA">
        <w:rPr>
          <w:lang w:val="en-GB"/>
        </w:rPr>
        <w:t>(</w:t>
      </w:r>
      <w:r w:rsidR="00C632CA" w:rsidRPr="00001CE3">
        <w:rPr>
          <w:lang w:val="en-GB"/>
        </w:rPr>
        <w:t xml:space="preserve">corrects for horizontal </w:t>
      </w:r>
      <w:r w:rsidR="0088281F" w:rsidRPr="0088281F">
        <w:rPr>
          <w:lang w:val="en-GB"/>
        </w:rPr>
        <w:t>pleiotropy by removing pleiotropic outlier SNPs</w:t>
      </w:r>
      <w:r w:rsidR="00C632CA">
        <w:rPr>
          <w:lang w:val="en-GB"/>
        </w:rPr>
        <w:t>)</w:t>
      </w:r>
      <w:r w:rsidR="004D5425" w:rsidRPr="00293C29">
        <w:rPr>
          <w:lang w:val="en-US"/>
        </w:rPr>
        <w:t>.</w:t>
      </w:r>
      <w:r w:rsidR="001C4EED" w:rsidRPr="00293C29">
        <w:rPr>
          <w:lang w:val="en-GB"/>
        </w:rPr>
        <w:fldChar w:fldCharType="begin" w:fldLock="1"/>
      </w:r>
      <w:r w:rsidR="00DA41F8">
        <w:rPr>
          <w:lang w:val="en-US"/>
        </w:rPr>
        <w:instrText>ADDIN CSL_CITATION {"citationItems":[{"id":"ITEM-1","itemData":{"DOI":"10.1002/gepi.21965","ISBN":"1464-3685 (Electronic)\\r0300-5771 (Linking)","ISSN":"10982272","PMID":"27061298","abstract":"Developments in genome-wide association studies and the increasing availability of summary genetic association data have made application of Mendelian randomization relatively straightforward. However, obtaining reliable results from a Mendelian randomization investigation remains problematic, as the conventional inverse-variance weighted method only gives consistent estimates if all of the genetic variants in the analysis are valid instrumental variables. We present a novel weighted median estimator for combining data on multiple genetic variants into a single causal estimate. This estimator is consistent even when up to 50% of the information comes from invalid instrumental variables. In a simulation analysis, it is shown to have better finite-sample Type 1 error rates than the inverse-variance weighted method, and is complementary to the recently proposed MR-Egger (Mendelian randomization-Egger) regression method. In analyses of the causal effects of low-density lipoprotein cholesterol and high-density lipoprotein cholesterol on coronary artery disease risk, the inverse-variance weighted method suggests a causal effect of both lipid fractions, whereas the weighted median and MR-Egger regression methods suggest a null effect of high-density lipoprotein cholesterol that corresponds with the experimental evidence. Both median-based and MR-Egger regression methods should be considered as sensitivity analyses for Mendelian randomization investigations with multiple genetic variants.","author":[{"dropping-particle":"","family":"Bowden","given":"Jack","non-dropping-particle":"","parse-names":false,"suffix":""},{"dropping-particle":"","family":"Davey Smith","given":"George","non-dropping-particle":"","parse-names":false,"suffix":""},{"dropping-particle":"","family":"Haycock","given":"Philip C.","non-dropping-particle":"","parse-names":false,"suffix":""},{"dropping-particle":"","family":"Burgess","given":"Stephen","non-dropping-particle":"","parse-names":false,"suffix":""}],"container-title":"Genetic Epidemiology","id":"ITEM-1","issue":"4","issued":{"date-parts":[["2016"]]},"page":"304-314","title":"Consistent Estimation in Mendelian Randomization with Some Invalid Instruments Using a Weighted Median Estimator","type":"article-journal","volume":"40"},"uris":["http://www.mendeley.com/documents/?uuid=e0100513-bfd7-4aae-939f-4e953b9dce08","http://www.mendeley.com/documents/?uuid=1c2fbed4-b6ba-450a-96b1-4cbddd56f10a"]},{"id":"ITEM-2","itemData":{"DOI":"10.1093/ije/dyv080","ISBN":"1464-3685 (Electronic)\\r0300-5771 (Linking)","ISSN":"14643685","PMID":"26050253","abstract":"BACKGROUND: The number of Mendelian randomization analyses including large numbers of genetic variants is rapidly increasing. This is due to the proliferation of genome-wide association studies, and the desire to obtain more precise estimates of causal effects. However, some genetic variants may not be valid instrumental variables, in particular due to them having more than one proximal phenotypic correlate (pleiotropy).\\n\\nMETHODS: We view Mendelian randomization with multiple instruments as a meta-analysis, and show that bias caused by pleiotropy can be regarded as analogous to small study bias. Causal estimates using each instrument can be displayed visually by a funnel plot to assess potential asymmetry. Egger regression, a tool to detect small study bias in meta-analysis, can be adapted to test for bias from pleiotropy, and the slope coefficient from Egger regression provides an estimate of the causal effect. Under the assumption that the association of each genetic variant with the exposure is independent of the pleiotropic effect of the variant (not via the exposure), Egger's test gives a valid test of the null causal hypothesis and a consistent causal effect estimate even when all the genetic variants are invalid instrumental variables.\\n\\nRESULTS: We illustrate the use of this approach by re-analysing two published Mendelian randomization studies of the causal effect of height on lung function, and the causal effect of blood pressure on coronary artery disease risk. The conservative nature of this approach is illustrated with these examples.\\n\\nCONCLUSIONS: An adaption of Egger regression (which we call MR-Egger) can detect some violations of the standard instrumental variable assumptions, and provide an effect estimate which is not subject to these violations. The approach provides a sensitivity analysis for the robustness of the findings from a Mendelian randomization investigation.","author":[{"dropping-particle":"","family":"Bowden","given":"Jack","non-dropping-particle":"","parse-names":false,"suffix":""},{"dropping-particle":"","family":"Smith","given":"George Davey","non-dropping-particle":"","parse-names":false,"suffix":""},{"dropping-particle":"","family":"Burgess","given":"Stephen","non-dropping-particle":"","parse-names":false,"suffix":""}],"container-title":"International Journal of Epidemiology","id":"ITEM-2","issue":"2","issued":{"date-parts":[["2015"]]},"page":"512-525","title":"Mendelian randomization with invalid instruments: Effect estimation and bias detection through Egger regression","type":"article-journal","volume":"44"},"uris":["http://www.mendeley.com/documents/?uuid=dbf67f60-5b5b-49e6-a425-4c217cc751af","http://www.mendeley.com/documents/?uuid=c8d2062e-6789-4e2b-a9d2-8bfb75a4a139"]},{"id":"ITEM-3","itemData":{"DOI":"10.1002/sim.7221","ISSN":"10970258","PMID":"28114746","abstract":"Mendelian randomization (MR) uses genetic data to probe questions of causality in epidemiological research, by invoking the Instrumental Variable (IV) assumptions. In recent years, it has become commonplace to attempt MR analyses by synthesising summary data estimates of genetic association gleaned from large and independent study populations. This is referred to as two-sample summary data MR. Unfortunately, due to the sheer number of variants that can be easily included into summary data MR analyses, it is increasingly likely that some do not meet the IV assumptions due to pleiotropy. There is a pressing need to develop methods that can both detect and correct for pleiotropy, in order to preserve the validity of the MR approach in this context. In this paper, we aim to clarify how established methods of meta-regression and random effects modelling from mainstream meta-analysis are being adapted to perform this task. Specifically, we focus on two contrastin g approaches: the Inverse Variance Weighted (IVW) method which assumes in its simplest form that all genetic variants are valid IVs, and the method of MR-Egger regression that allows all variants to violate the IV assumptions, albeit in a specific way. We investigate the ability of two popular random effects models to provide robustness to pleiotropy under the IVW approach, and propose statistics to quantify the relative goodness-of-fit of the IVW approach over MR-Egger regression. © 2017 The Authors. Statistics in Medicine Published by JohnWiley &amp; Sons Ltd.","author":[{"dropping-particle":"","family":"Bowden","given":"Jack","non-dropping-particle":"","parse-names":false,"suffix":""},{"dropping-particle":"","family":"Del Greco M","given":"Fabiola","non-dropping-particle":"","parse-names":false,"suffix":""},{"dropping-particle":"","family":"Minelli","given":"Cosetta","non-dropping-particle":"","parse-names":false,"suffix":""},{"dropping-particle":"","family":"Davey Smith","given":"George","non-dropping-particle":"","parse-names":false,"suffix":""},{"dropping-particle":"","family":"Sheehan","given":"Nuala","non-dropping-particle":"","parse-names":false,"suffix":""},{"dropping-particle":"","family":"Thompson","given":"John","non-dropping-particle":"","parse-names":false,"suffix":""}],"container-title":"Statistics in Medicine","id":"ITEM-3","issue":"11","issued":{"date-parts":[["2017"]]},"page":"1783-1802","title":"A framework for the investigation of pleiotropy in two-sample summary data Mendelian randomization","type":"article-journal","volume":"36"},"uris":["http://www.mendeley.com/documents/?uuid=a203c937-b563-44de-8d26-df899df4f491","http://www.mendeley.com/documents/?uuid=77a7871b-e3be-4453-8ab9-7614603cccc2"]},{"id":"ITEM-4","itemData":{"DOI":"10.1038/s41588-018-0099-7","ISSN":"15461718","PMID":"29686387","abstract":"Horizontal pleiotropy occurs when the variant has an effect on disease outside of its effect on the exposure in Mendelian randomization (MR). Violation of the ‘no horizontal pleiotropy’ assumption can cause severe bias in MR. We developed the Mendelian randomization pleiotropy residual sum and outlier (MR-PRESSO) test to identify horizontal pleiotropic outliers in multi-instrument summary-level MR testing. We showed using simulations that the MR-PRESSO test is best suited when horizontal pleiotropy occurs in &lt;50% of instruments. Next we applied the MR-PRESSO test, along with several other MR tests, to complex traits and diseases and found that horizontal pleiotropy (i) was detectable in over 48% of significant causal relationships in MR; (ii) introduced distortions in the causal estimates in MR that ranged on average from –131% to 201%; (iii) induced false-positive causal relationships in up to 10% of relationships; and (iv) could be corrected in some but not all instances.","author":[{"dropping-particle":"","family":"Verbanck","given":"Marie","non-dropping-particle":"","parse-names":false,"suffix":""},{"dropping-particle":"","family":"Chen","given":"Chia Yen","non-dropping-particle":"","parse-names":false,"suffix":""},{"dropping-particle":"","family":"Neale","given":"Benjamin","non-dropping-particle":"","parse-names":false,"suffix":""},{"dropping-particle":"","family":"Do","given":"Ron","non-dropping-particle":"","parse-names":false,"suffix":""}],"container-title":"Nature Genetics","id":"ITEM-4","issue":"5","issued":{"date-parts":[["2018"]]},"page":"693–698","title":"Detection of widespread horizontal pleiotropy in causal relationships inferred from Mendelian randomization between complex traits and diseases","type":"article-journal","volume":"50"},"uris":["http://www.mendeley.com/documents/?uuid=f3629f38-7c1a-4e78-894b-9c9b4fad4e88"]}],"mendeley":{"formattedCitation":"[10, 23–25]","plainTextFormattedCitation":"[10, 23–25]","previouslyFormattedCitation":"[10, 23–25]"},"properties":{"noteIndex":0},"schema":"https://github.com/citation-style-language/schema/raw/master/csl-citation.json"}</w:instrText>
      </w:r>
      <w:r w:rsidR="001C4EED" w:rsidRPr="00293C29">
        <w:rPr>
          <w:lang w:val="en-GB"/>
        </w:rPr>
        <w:fldChar w:fldCharType="separate"/>
      </w:r>
      <w:r w:rsidR="001A51BC" w:rsidRPr="001A51BC">
        <w:rPr>
          <w:noProof/>
          <w:lang w:val="en-GB"/>
        </w:rPr>
        <w:t>[10, 23–25]</w:t>
      </w:r>
      <w:r w:rsidR="001C4EED" w:rsidRPr="00293C29">
        <w:rPr>
          <w:lang w:val="en-GB"/>
        </w:rPr>
        <w:fldChar w:fldCharType="end"/>
      </w:r>
      <w:r w:rsidR="00AB61CD" w:rsidRPr="00293C29">
        <w:rPr>
          <w:lang w:val="en-GB"/>
        </w:rPr>
        <w:t xml:space="preserve"> </w:t>
      </w:r>
      <w:r w:rsidR="00A450B0" w:rsidRPr="00293C29">
        <w:rPr>
          <w:lang w:val="en-GB"/>
        </w:rPr>
        <w:t xml:space="preserve">Furthermore, we </w:t>
      </w:r>
      <w:r w:rsidR="00A450B0" w:rsidRPr="00293C29">
        <w:rPr>
          <w:i/>
          <w:lang w:val="en-GB"/>
        </w:rPr>
        <w:t xml:space="preserve">a priori </w:t>
      </w:r>
      <w:r w:rsidR="00A450B0" w:rsidRPr="00293C29">
        <w:rPr>
          <w:lang w:val="en-GB"/>
        </w:rPr>
        <w:t>considered height, BMI, and age at menarche as potential sources of pleiotropy</w:t>
      </w:r>
      <w:r w:rsidR="00F04609" w:rsidRPr="00293C29">
        <w:rPr>
          <w:lang w:val="en-GB"/>
        </w:rPr>
        <w:t xml:space="preserve">. </w:t>
      </w:r>
      <w:r w:rsidR="009A78FB" w:rsidRPr="00293C29">
        <w:rPr>
          <w:lang w:val="en-GB"/>
        </w:rPr>
        <w:t>We excluded</w:t>
      </w:r>
      <w:r w:rsidR="00F04609" w:rsidRPr="00293C29">
        <w:rPr>
          <w:lang w:val="en-GB"/>
        </w:rPr>
        <w:t xml:space="preserve"> SNPs</w:t>
      </w:r>
      <w:r w:rsidR="009A78FB" w:rsidRPr="00293C29">
        <w:rPr>
          <w:lang w:val="en-GB"/>
        </w:rPr>
        <w:t xml:space="preserve"> that</w:t>
      </w:r>
      <w:r w:rsidR="00F04609" w:rsidRPr="00293C29">
        <w:rPr>
          <w:lang w:val="en-GB"/>
        </w:rPr>
        <w:t xml:space="preserve"> were associated with these traits </w:t>
      </w:r>
      <w:r w:rsidR="00C67A74" w:rsidRPr="00293C29">
        <w:rPr>
          <w:lang w:val="en-GB"/>
        </w:rPr>
        <w:t>at</w:t>
      </w:r>
      <w:r w:rsidR="00F04609" w:rsidRPr="00293C29">
        <w:rPr>
          <w:lang w:val="en-GB"/>
        </w:rPr>
        <w:t xml:space="preserve"> </w:t>
      </w:r>
      <w:r w:rsidR="009A78FB" w:rsidRPr="00293C29">
        <w:rPr>
          <w:lang w:val="en-GB"/>
        </w:rPr>
        <w:t xml:space="preserve">a p-value </w:t>
      </w:r>
      <w:r w:rsidR="00F04609" w:rsidRPr="00293C29">
        <w:rPr>
          <w:lang w:val="en-GB"/>
        </w:rPr>
        <w:t>&lt;</w:t>
      </w:r>
      <w:r w:rsidR="009A78FB" w:rsidRPr="00293C29">
        <w:rPr>
          <w:lang w:val="en-GB"/>
        </w:rPr>
        <w:t>7.9</w:t>
      </w:r>
      <w:r w:rsidR="00F04609" w:rsidRPr="00293C29">
        <w:rPr>
          <w:lang w:val="en-GB"/>
        </w:rPr>
        <w:t>x10</w:t>
      </w:r>
      <w:r w:rsidR="00F04609" w:rsidRPr="00293C29">
        <w:rPr>
          <w:vertAlign w:val="superscript"/>
          <w:lang w:val="en-GB"/>
        </w:rPr>
        <w:t>-4</w:t>
      </w:r>
      <w:r w:rsidR="00F04609" w:rsidRPr="00293C29">
        <w:rPr>
          <w:lang w:val="en-GB"/>
        </w:rPr>
        <w:t xml:space="preserve"> (Bonferroni correction, 0.05/63) based on </w:t>
      </w:r>
      <w:r w:rsidR="00873404" w:rsidRPr="00293C29">
        <w:rPr>
          <w:lang w:val="en-GB"/>
        </w:rPr>
        <w:t xml:space="preserve">information from the </w:t>
      </w:r>
      <w:r w:rsidR="00836DF6" w:rsidRPr="00293C29">
        <w:rPr>
          <w:lang w:val="en-GB"/>
        </w:rPr>
        <w:t xml:space="preserve">online </w:t>
      </w:r>
      <w:proofErr w:type="spellStart"/>
      <w:r w:rsidR="00F04609" w:rsidRPr="00293C29">
        <w:rPr>
          <w:lang w:val="en-GB"/>
        </w:rPr>
        <w:t>PhenoScanner</w:t>
      </w:r>
      <w:proofErr w:type="spellEnd"/>
      <w:r w:rsidR="00DC234C">
        <w:rPr>
          <w:lang w:val="en-GB"/>
        </w:rPr>
        <w:t>.</w:t>
      </w:r>
      <w:r w:rsidR="00C67A74" w:rsidRPr="00293C29">
        <w:rPr>
          <w:lang w:val="en-GB"/>
        </w:rPr>
        <w:fldChar w:fldCharType="begin" w:fldLock="1"/>
      </w:r>
      <w:r w:rsidR="001A51BC">
        <w:rPr>
          <w:lang w:val="en-GB"/>
        </w:rPr>
        <w:instrText>ADDIN CSL_CITATION {"citationItems":[{"id":"ITEM-1","itemData":{"DOI":"10.1093/bioinformatics/btw373","ISSN":"1367-4803","PMID":"27318201","abstract":"PhenoScanner is a curated database of publicly available results from large-scale genetic association studies. This tool aims to facilitate 'phenome scans', the cross-referencing of genetic variants with many phenotypes, to help aid understanding of disease pathways and biology. The database currently contains over 350 million association results and over 10 million unique genetic variants, mostly single nucleotide polymorphisms. It is accompanied by a web-based tool that queries the database for associations with user-specified variants, providing results according to the same effect and non-effect alleles for each input variant. The tool provides the option of searching for trait associations with proxies of the input variants, calculated using the European samples from 1000 Genomes and Hapmap. AVAILABILITY AND IMPLEMENTATION PhenoScanner is available at www.phenoscanner.medschl.cam.ac.uk CONTACT: jrs95@medschl.cam.ac.ukSupplementary information: Supplementary data are available at Bioinformatics online.","author":[{"dropping-particle":"","family":"Staley","given":"James R.","non-dropping-particle":"","parse-names":false,"suffix":""},{"dropping-particle":"","family":"Blackshaw","given":"James","non-dropping-particle":"","parse-names":false,"suffix":""},{"dropping-particle":"","family":"Kamat","given":"Mihir A.","non-dropping-particle":"","parse-names":false,"suffix":""},{"dropping-particle":"","family":"Ellis","given":"Steve","non-dropping-particle":"","parse-names":false,"suffix":""},{"dropping-particle":"","family":"Surendran","given":"Praveen","non-dropping-particle":"","parse-names":false,"suffix":""},{"dropping-particle":"","family":"Sun","given":"Benjamin B.","non-dropping-particle":"","parse-names":false,"suffix":""},{"dropping-particle":"","family":"Paul","given":"Dirk S.","non-dropping-particle":"","parse-names":false,"suffix":""},{"dropping-particle":"","family":"Freitag","given":"Daniel","non-dropping-particle":"","parse-names":false,"suffix":""},{"dropping-particle":"","family":"Burgess","given":"Stephen","non-dropping-particle":"","parse-names":false,"suffix":""},{"dropping-particle":"","family":"Danesh","given":"John","non-dropping-particle":"","parse-names":false,"suffix":""},{"dropping-particle":"","family":"Young","given":"Robin","non-dropping-particle":"","parse-names":false,"suffix":""},{"dropping-particle":"","family":"Butterworth","given":"Adam S.","non-dropping-particle":"","parse-names":false,"suffix":""}],"container-title":"Bioinformatics","id":"ITEM-1","issue":"20","issued":{"date-parts":[["2016","10"]]},"page":"3207-3209","title":"PhenoScanner: a database of human genotype–phenotype associations","type":"article-journal","volume":"32"},"uris":["http://www.mendeley.com/documents/?uuid=b3d426c4-03b8-3d22-bf1d-79f8deca9541","http://www.mendeley.com/documents/?uuid=6ce54d91-2524-4008-899b-b2ec5b5190bd"]}],"mendeley":{"formattedCitation":"[26]","plainTextFormattedCitation":"[26]","previouslyFormattedCitation":"[26]"},"properties":{"noteIndex":0},"schema":"https://github.com/citation-style-language/schema/raw/master/csl-citation.json"}</w:instrText>
      </w:r>
      <w:r w:rsidR="00C67A74" w:rsidRPr="00293C29">
        <w:rPr>
          <w:lang w:val="en-GB"/>
        </w:rPr>
        <w:fldChar w:fldCharType="separate"/>
      </w:r>
      <w:r w:rsidR="001A51BC" w:rsidRPr="001A51BC">
        <w:rPr>
          <w:noProof/>
          <w:lang w:val="en-GB"/>
        </w:rPr>
        <w:t>[26]</w:t>
      </w:r>
      <w:r w:rsidR="00C67A74" w:rsidRPr="00293C29">
        <w:rPr>
          <w:lang w:val="en-GB"/>
        </w:rPr>
        <w:fldChar w:fldCharType="end"/>
      </w:r>
    </w:p>
    <w:p w14:paraId="5657CAE2" w14:textId="4FD521A4" w:rsidR="00B20066" w:rsidRPr="00293C29" w:rsidRDefault="00417A32" w:rsidP="00B20066">
      <w:pPr>
        <w:spacing w:after="120"/>
        <w:jc w:val="both"/>
        <w:rPr>
          <w:u w:val="single"/>
          <w:lang w:val="en-GB"/>
        </w:rPr>
      </w:pPr>
      <w:r>
        <w:rPr>
          <w:u w:val="single"/>
          <w:lang w:val="en-GB"/>
        </w:rPr>
        <w:t>S</w:t>
      </w:r>
      <w:r w:rsidR="00B20066">
        <w:rPr>
          <w:u w:val="single"/>
          <w:lang w:val="en-GB"/>
        </w:rPr>
        <w:t>ensitivity</w:t>
      </w:r>
      <w:r w:rsidR="00B20066" w:rsidRPr="00293C29">
        <w:rPr>
          <w:u w:val="single"/>
          <w:lang w:val="en-GB"/>
        </w:rPr>
        <w:t xml:space="preserve"> analyses </w:t>
      </w:r>
    </w:p>
    <w:p w14:paraId="5B35692E" w14:textId="16E6C6BD" w:rsidR="00F73081" w:rsidRDefault="00F73081" w:rsidP="00F73081">
      <w:pPr>
        <w:pBdr>
          <w:top w:val="nil"/>
          <w:left w:val="nil"/>
          <w:bottom w:val="nil"/>
          <w:right w:val="nil"/>
          <w:between w:val="nil"/>
        </w:pBdr>
        <w:jc w:val="both"/>
        <w:rPr>
          <w:color w:val="000000"/>
          <w:lang w:val="en-GB"/>
        </w:rPr>
      </w:pPr>
      <w:bookmarkStart w:id="8" w:name="_Hlk6386468"/>
      <w:r w:rsidRPr="00AC3598">
        <w:rPr>
          <w:lang w:val="en-GB"/>
        </w:rPr>
        <w:t>We performed several sensitivity analyses</w:t>
      </w:r>
      <w:r w:rsidRPr="00243AFD">
        <w:rPr>
          <w:lang w:val="en-US"/>
        </w:rPr>
        <w:t xml:space="preserve"> </w:t>
      </w:r>
      <w:r>
        <w:rPr>
          <w:lang w:val="en-US"/>
        </w:rPr>
        <w:t xml:space="preserve">to assess the robustness of our findings to choices made </w:t>
      </w:r>
      <w:r w:rsidRPr="002E1AC8">
        <w:rPr>
          <w:i/>
          <w:lang w:val="en-US"/>
        </w:rPr>
        <w:t xml:space="preserve">a priori </w:t>
      </w:r>
      <w:r>
        <w:rPr>
          <w:lang w:val="en-US"/>
        </w:rPr>
        <w:t xml:space="preserve">for our MR analyses. </w:t>
      </w:r>
      <w:r w:rsidR="00063922" w:rsidRPr="00063922">
        <w:rPr>
          <w:lang w:val="en-US"/>
        </w:rPr>
        <w:t xml:space="preserve">These relate to the </w:t>
      </w:r>
      <w:r w:rsidR="00694CDC">
        <w:rPr>
          <w:lang w:val="en-US"/>
        </w:rPr>
        <w:t xml:space="preserve">used </w:t>
      </w:r>
      <w:r w:rsidR="00063922" w:rsidRPr="00063922">
        <w:rPr>
          <w:lang w:val="en-US"/>
        </w:rPr>
        <w:t xml:space="preserve">MR method, the </w:t>
      </w:r>
      <w:r w:rsidR="00A817BA">
        <w:rPr>
          <w:lang w:val="en-US"/>
        </w:rPr>
        <w:t>used</w:t>
      </w:r>
      <w:r w:rsidR="00A817BA" w:rsidRPr="00063922">
        <w:rPr>
          <w:lang w:val="en-US"/>
        </w:rPr>
        <w:t xml:space="preserve"> </w:t>
      </w:r>
      <w:r w:rsidR="00063922" w:rsidRPr="00063922">
        <w:rPr>
          <w:lang w:val="en-US"/>
        </w:rPr>
        <w:t>sampl</w:t>
      </w:r>
      <w:r w:rsidR="00A817BA">
        <w:rPr>
          <w:lang w:val="en-US"/>
        </w:rPr>
        <w:t>e</w:t>
      </w:r>
      <w:r w:rsidR="00063922" w:rsidRPr="00063922">
        <w:rPr>
          <w:lang w:val="en-US"/>
        </w:rPr>
        <w:t>, and the choice of SNPs used as instruments</w:t>
      </w:r>
      <w:r>
        <w:rPr>
          <w:lang w:val="en-US"/>
        </w:rPr>
        <w:t xml:space="preserve">: 1) We performed </w:t>
      </w:r>
      <w:r w:rsidRPr="00293C29">
        <w:rPr>
          <w:lang w:val="en-GB"/>
        </w:rPr>
        <w:t xml:space="preserve">the standard MR </w:t>
      </w:r>
      <w:r>
        <w:rPr>
          <w:lang w:val="en-GB"/>
        </w:rPr>
        <w:t>analysis</w:t>
      </w:r>
      <w:r w:rsidRPr="00293C29">
        <w:rPr>
          <w:lang w:val="en-GB"/>
        </w:rPr>
        <w:t xml:space="preserve"> </w:t>
      </w:r>
      <w:r>
        <w:rPr>
          <w:lang w:val="en-GB"/>
        </w:rPr>
        <w:t>for</w:t>
      </w:r>
      <w:r w:rsidRPr="00293C29">
        <w:rPr>
          <w:lang w:val="en-GB"/>
        </w:rPr>
        <w:t xml:space="preserve"> </w:t>
      </w:r>
      <w:r>
        <w:rPr>
          <w:lang w:val="en-GB"/>
        </w:rPr>
        <w:t>the</w:t>
      </w:r>
      <w:r w:rsidRPr="00293C29">
        <w:rPr>
          <w:lang w:val="en-GB"/>
        </w:rPr>
        <w:t xml:space="preserve"> one-sample setting</w:t>
      </w:r>
      <w:r>
        <w:rPr>
          <w:lang w:val="en-GB"/>
        </w:rPr>
        <w:t xml:space="preserve">, the </w:t>
      </w:r>
      <w:r w:rsidRPr="00AC3598">
        <w:rPr>
          <w:lang w:val="en-GB"/>
        </w:rPr>
        <w:t>2SLS regression analysis</w:t>
      </w:r>
      <w:r>
        <w:rPr>
          <w:lang w:val="en-GB"/>
        </w:rPr>
        <w:t xml:space="preserve">, which assumes no pleiotropy similarly to the IVW fixed-effect method </w:t>
      </w:r>
      <w:r w:rsidRPr="00AC3598">
        <w:rPr>
          <w:lang w:val="en-US"/>
        </w:rPr>
        <w:fldChar w:fldCharType="begin" w:fldLock="1"/>
      </w:r>
      <w:r>
        <w:rPr>
          <w:lang w:val="en-US"/>
        </w:rPr>
        <w:instrText>ADDIN CSL_CITATION {"citationItems":[{"id":"ITEM-1","itemData":{"DOI":"10.1093/aje/kwr026","ISBN":"0002-9262; 1476-6256","ISSN":"00029262","PMID":"2011327454","abstract":"In this paper, the authors describe different instrumental variable (IV) estimators of causal risk ratios and odds ratios with particular attention to methods that can handle continuously measured exposures. The authors present this discussion in the context of a Mendelian randomization analysis of the effect of body mass index (BMI; weight (kg)/height (m)&lt;sup&gt;2&lt;/sup&gt;) on the risk of asthma at age 7 years (Avon Longitudinal Study of Parents and Children, 1991-1992). The authors show that the multiplicative structural mean model (MSMM) and the multiplicative generalized method of moments (MGMM) estimator produce identical estimates of the causal risk ratio. In the example, MSMM and MGMM estimates suggested an inverse relation between BMI and asthma but other IV estimates suggested a positive relation, although all estimates had wide confidence intervals. An interaction between the associations of BMI and fat mass and obesity-associated (FTO) genotype with asthma explained the different directions of the different estimates, and a simulation study supported the observation that MSMM/MGMM estimators are negatively correlated with the other estimators when such an interaction is present. The authors conclude that point estimates from various IV methods can differ in practical applications. Based on the theoretical properties of the estimators, structural mean models make weaker assumptions than other IV estimators and can therefore be expected to be consistent in a wider range of situations. © 2011 The Author.","author":[{"dropping-particle":"","family":"Palmer","given":"Tom M.","non-dropping-particle":"","parse-names":false,"suffix":""},{"dropping-particle":"","family":"Sterne","given":"Jonathan A C","non-dropping-particle":"","parse-names":false,"suffix":""},{"dropping-particle":"","family":"Harbord","given":"Roger M.","non-dropping-particle":"","parse-names":false,"suffix":""},{"dropping-particle":"","family":"Lawlor","given":"Debbie A.","non-dropping-particle":"","parse-names":false,"suffix":""},{"dropping-particle":"","family":"Sheehan","given":"Nuala A.","non-dropping-particle":"","parse-names":false,"suffix":""},{"dropping-particle":"","family":"Meng","given":"Sha","non-dropping-particle":"","parse-names":false,"suffix":""},{"dropping-particle":"","family":"Granell","given":"Raquel","non-dropping-particle":"","parse-names":false,"suffix":""},{"dropping-particle":"","family":"Smith","given":"George Davey","non-dropping-particle":"","parse-names":false,"suffix":""},{"dropping-particle":"","family":"Didelez","given":"Vanessa","non-dropping-particle":"","parse-names":false,"suffix":""}],"container-title":"American Journal of Epidemiology","id":"ITEM-1","issue":"12","issued":{"date-parts":[["2011"]]},"page":"1392-1403","title":"Instrumental variable estimation of causal risk ratios and causal odds ratios in mendelian randomization analyses","type":"article-journal","volume":"173"},"uris":["http://www.mendeley.com/documents/?uuid=420825cf-6858-4bc3-9d08-e1ef05fd926c","http://www.mendeley.com/documents/?uuid=7c2b0447-cda0-4e52-9b91-8caee96100e7"]}],"mendeley":{"formattedCitation":"[27]","plainTextFormattedCitation":"[27]","previouslyFormattedCitation":"[27]"},"properties":{"noteIndex":0},"schema":"https://github.com/citation-style-language/schema/raw/master/csl-citation.json"}</w:instrText>
      </w:r>
      <w:r w:rsidRPr="00AC3598">
        <w:rPr>
          <w:lang w:val="en-US"/>
        </w:rPr>
        <w:fldChar w:fldCharType="separate"/>
      </w:r>
      <w:r w:rsidRPr="001A51BC">
        <w:rPr>
          <w:noProof/>
          <w:lang w:val="en-US"/>
        </w:rPr>
        <w:t>[27]</w:t>
      </w:r>
      <w:r w:rsidRPr="00AC3598">
        <w:rPr>
          <w:lang w:val="en-US"/>
        </w:rPr>
        <w:fldChar w:fldCharType="end"/>
      </w:r>
      <w:r>
        <w:rPr>
          <w:lang w:val="en-US"/>
        </w:rPr>
        <w:t>;</w:t>
      </w:r>
      <w:r w:rsidRPr="00AC3598">
        <w:rPr>
          <w:lang w:val="en-GB"/>
        </w:rPr>
        <w:t xml:space="preserve"> </w:t>
      </w:r>
      <w:r>
        <w:rPr>
          <w:lang w:val="en-GB"/>
        </w:rPr>
        <w:t>2) We restricted</w:t>
      </w:r>
      <w:r w:rsidRPr="00AC3598">
        <w:rPr>
          <w:lang w:val="en-GB"/>
        </w:rPr>
        <w:t xml:space="preserve"> the main MR analysis to </w:t>
      </w:r>
      <w:r>
        <w:rPr>
          <w:lang w:val="en-GB"/>
        </w:rPr>
        <w:t xml:space="preserve">exactly the same number of women </w:t>
      </w:r>
      <w:r w:rsidRPr="00AC3598">
        <w:rPr>
          <w:lang w:val="en-GB"/>
        </w:rPr>
        <w:t>included in the observational analys</w:t>
      </w:r>
      <w:r>
        <w:rPr>
          <w:lang w:val="en-GB"/>
        </w:rPr>
        <w:t>i</w:t>
      </w:r>
      <w:r w:rsidRPr="00AC3598">
        <w:rPr>
          <w:lang w:val="en-GB"/>
        </w:rPr>
        <w:t>s</w:t>
      </w:r>
      <w:r>
        <w:rPr>
          <w:lang w:val="en-GB"/>
        </w:rPr>
        <w:t xml:space="preserve"> to allow comparison between the two approaches (n=</w:t>
      </w:r>
      <w:r w:rsidRPr="00AC3598">
        <w:rPr>
          <w:lang w:val="en-GB"/>
        </w:rPr>
        <w:t>84,844</w:t>
      </w:r>
      <w:r>
        <w:rPr>
          <w:lang w:val="en-GB"/>
        </w:rPr>
        <w:t xml:space="preserve">); 3) We </w:t>
      </w:r>
      <w:r w:rsidRPr="008F7A9F">
        <w:rPr>
          <w:lang w:val="en-GB"/>
        </w:rPr>
        <w:t>exclud</w:t>
      </w:r>
      <w:r>
        <w:rPr>
          <w:lang w:val="en-GB"/>
        </w:rPr>
        <w:t xml:space="preserve">ed </w:t>
      </w:r>
      <w:r w:rsidRPr="008F7A9F">
        <w:rPr>
          <w:lang w:val="en-GB"/>
        </w:rPr>
        <w:t>asthmatic women as these women may have reversible airflow obstruction</w:t>
      </w:r>
      <w:r>
        <w:rPr>
          <w:lang w:val="en-GB"/>
        </w:rPr>
        <w:t>;</w:t>
      </w:r>
      <w:r w:rsidR="00A817BA">
        <w:rPr>
          <w:lang w:val="en-GB"/>
        </w:rPr>
        <w:t xml:space="preserve"> and</w:t>
      </w:r>
      <w:r>
        <w:rPr>
          <w:lang w:val="en-GB"/>
        </w:rPr>
        <w:t xml:space="preserve"> 4) We limited the MR analyses to the 54 SNPs</w:t>
      </w:r>
      <w:r w:rsidRPr="008F7A9F">
        <w:rPr>
          <w:lang w:val="en-GB"/>
        </w:rPr>
        <w:t xml:space="preserve"> identified by the </w:t>
      </w:r>
      <w:r>
        <w:rPr>
          <w:lang w:val="en-GB"/>
        </w:rPr>
        <w:t xml:space="preserve">most recent and </w:t>
      </w:r>
      <w:r w:rsidRPr="008F7A9F">
        <w:rPr>
          <w:lang w:val="en-GB"/>
        </w:rPr>
        <w:t xml:space="preserve">largest GWAS on age at menopause </w:t>
      </w:r>
      <w:r>
        <w:rPr>
          <w:lang w:val="en-GB"/>
        </w:rPr>
        <w:t>(</w:t>
      </w:r>
      <w:r w:rsidRPr="008A58F0">
        <w:rPr>
          <w:lang w:val="en-GB"/>
        </w:rPr>
        <w:t>Day</w:t>
      </w:r>
      <w:r w:rsidRPr="008A58F0">
        <w:rPr>
          <w:i/>
          <w:lang w:val="en-GB"/>
        </w:rPr>
        <w:t xml:space="preserve"> et al</w:t>
      </w:r>
      <w:r w:rsidRPr="008A58F0">
        <w:rPr>
          <w:lang w:val="en-GB"/>
        </w:rPr>
        <w:t>.</w:t>
      </w:r>
      <w:r w:rsidRPr="00243AFD">
        <w:rPr>
          <w:lang w:val="en-GB"/>
        </w:rPr>
        <w:t xml:space="preserve"> </w:t>
      </w:r>
      <w:r w:rsidRPr="00AC3598">
        <w:rPr>
          <w:lang w:val="en-GB"/>
        </w:rPr>
        <w:fldChar w:fldCharType="begin" w:fldLock="1"/>
      </w:r>
      <w:r>
        <w:rPr>
          <w:lang w:val="en-GB"/>
        </w:rPr>
        <w:instrText>ADDIN CSL_CITATION {"citationItems":[{"id":"ITEM-1","itemData":{"DOI":"10.1038/ng.3412","PMID":"26414677","abstract":"Menopause timing has a substantial impact on infertility and risk of disease, including breast cancer, but the underlying mechanisms are poorly understood. We report a dual strategy in ~70,000 women to identify common and low-frequency protein-coding variation associated with age at natural menopause (ANM). We identified 44 regions with common variants, including two regions harboring additional rare missense alleles of large effect. We found enrichment of signals in or near genes involved in delayed puberty, highlighting the first molecular links between the onset and end of reproductive lifespan. Pathway analyses identified major association with DNA damage response (DDR) genes, including the first common coding variant in BRCA1 associated with any complex trait. Mendelian randomization analyses supported a causal effect of later ANM on breast cancer risk (~6% increase in risk per year; P = 3 × 10−14), likely mediated by prolonged sex hormone exposure rather than DDR mechanisms.","author":[{"dropping-particle":"","family":"Day","given":"FR","non-dropping-particle":"","parse-names":false,"suffix":""},{"dropping-particle":"","family":"Ruth","given":"KS","non-dropping-particle":"","parse-names":false,"suffix":""},{"dropping-particle":"","family":"Thompson","given":"DJ","non-dropping-particle":"","parse-names":false,"suffix":""}],"container-title":"Nature Genetics","id":"ITEM-1","issue":"11","issued":{"date-parts":[["2015"]]},"page":"1294-1303","title":"Large-scale genomic analyses link reproductive aging to hypothalamic signaling, breast cancer susceptibility and BRCA1-mediated DNA repair","type":"article-journal","volume":"47"},"uris":["http://www.mendeley.com/documents/?uuid=b41cb5c5-d314-4bce-a40b-afd9e69f609c"]}],"mendeley":{"formattedCitation":"[18]","plainTextFormattedCitation":"[18]","previouslyFormattedCitation":"[18]"},"properties":{"noteIndex":0},"schema":"https://github.com/citation-style-language/schema/raw/master/csl-citation.json"}</w:instrText>
      </w:r>
      <w:r w:rsidRPr="00AC3598">
        <w:rPr>
          <w:lang w:val="en-GB"/>
        </w:rPr>
        <w:fldChar w:fldCharType="separate"/>
      </w:r>
      <w:r w:rsidRPr="00AC3598">
        <w:rPr>
          <w:noProof/>
          <w:lang w:val="en-GB"/>
        </w:rPr>
        <w:t>[18]</w:t>
      </w:r>
      <w:r w:rsidRPr="00AC3598">
        <w:rPr>
          <w:lang w:val="en-GB"/>
        </w:rPr>
        <w:fldChar w:fldCharType="end"/>
      </w:r>
      <w:r>
        <w:rPr>
          <w:lang w:val="en-GB"/>
        </w:rPr>
        <w:t>) and did not adjust for correlation (the 54 SNPs are independent) or</w:t>
      </w:r>
      <w:r w:rsidRPr="002E1AC8">
        <w:rPr>
          <w:lang w:val="en-GB"/>
        </w:rPr>
        <w:t xml:space="preserve"> remove</w:t>
      </w:r>
      <w:r>
        <w:rPr>
          <w:lang w:val="en-GB"/>
        </w:rPr>
        <w:t xml:space="preserve"> weak SNPs in these analyses</w:t>
      </w:r>
      <w:r w:rsidR="00534BCE">
        <w:rPr>
          <w:lang w:val="en-GB"/>
        </w:rPr>
        <w:t xml:space="preserve">. </w:t>
      </w:r>
      <w:r w:rsidR="00534BCE" w:rsidRPr="00534BCE">
        <w:rPr>
          <w:lang w:val="en-GB"/>
        </w:rPr>
        <w:t xml:space="preserve">Finally, we used GX estimates for continuous age at menopause from Day et al. </w:t>
      </w:r>
      <w:r w:rsidR="00534BCE" w:rsidRPr="00AC3598">
        <w:rPr>
          <w:lang w:val="en-GB"/>
        </w:rPr>
        <w:fldChar w:fldCharType="begin" w:fldLock="1"/>
      </w:r>
      <w:r w:rsidR="00534BCE">
        <w:rPr>
          <w:lang w:val="en-GB"/>
        </w:rPr>
        <w:instrText>ADDIN CSL_CITATION {"citationItems":[{"id":"ITEM-1","itemData":{"DOI":"10.1038/ng.3412","PMID":"26414677","abstract":"Menopause timing has a substantial impact on infertility and risk of disease, including breast cancer, but the underlying mechanisms are poorly understood. We report a dual strategy in ~70,000 women to identify common and low-frequency protein-coding variation associated with age at natural menopause (ANM). We identified 44 regions with common variants, including two regions harboring additional rare missense alleles of large effect. We found enrichment of signals in or near genes involved in delayed puberty, highlighting the first molecular links between the onset and end of reproductive lifespan. Pathway analyses identified major association with DNA damage response (DDR) genes, including the first common coding variant in BRCA1 associated with any complex trait. Mendelian randomization analyses supported a causal effect of later ANM on breast cancer risk (~6% increase in risk per year; P = 3 × 10−14), likely mediated by prolonged sex hormone exposure rather than DDR mechanisms.","author":[{"dropping-particle":"","family":"Day","given":"FR","non-dropping-particle":"","parse-names":false,"suffix":""},{"dropping-particle":"","family":"Ruth","given":"KS","non-dropping-particle":"","parse-names":false,"suffix":""},{"dropping-particle":"","family":"Thompson","given":"DJ","non-dropping-particle":"","parse-names":false,"suffix":""}],"container-title":"Nature Genetics","id":"ITEM-1","issue":"11","issued":{"date-parts":[["2015"]]},"page":"1294-1303","title":"Large-scale genomic analyses link reproductive aging to hypothalamic signaling, breast cancer susceptibility and BRCA1-mediated DNA repair","type":"article-journal","volume":"47"},"uris":["http://www.mendeley.com/documents/?uuid=b41cb5c5-d314-4bce-a40b-afd9e69f609c"]}],"mendeley":{"formattedCitation":"[18]","plainTextFormattedCitation":"[18]","previouslyFormattedCitation":"[18]"},"properties":{"noteIndex":0},"schema":"https://github.com/citation-style-language/schema/raw/master/csl-citation.json"}</w:instrText>
      </w:r>
      <w:r w:rsidR="00534BCE" w:rsidRPr="00AC3598">
        <w:rPr>
          <w:lang w:val="en-GB"/>
        </w:rPr>
        <w:fldChar w:fldCharType="separate"/>
      </w:r>
      <w:r w:rsidR="00534BCE" w:rsidRPr="00AC3598">
        <w:rPr>
          <w:noProof/>
          <w:lang w:val="en-GB"/>
        </w:rPr>
        <w:t>[18]</w:t>
      </w:r>
      <w:r w:rsidR="00534BCE" w:rsidRPr="00AC3598">
        <w:rPr>
          <w:lang w:val="en-GB"/>
        </w:rPr>
        <w:fldChar w:fldCharType="end"/>
      </w:r>
      <w:r w:rsidR="00534BCE" w:rsidRPr="00534BCE">
        <w:rPr>
          <w:lang w:val="en-GB"/>
        </w:rPr>
        <w:t xml:space="preserve">) together with the GY estimates from UKB, to further investigate the robustness of our findings when using two independent data sources </w:t>
      </w:r>
      <w:bookmarkStart w:id="9" w:name="_Hlk12261954"/>
      <w:r w:rsidR="00534BCE" w:rsidRPr="00534BCE">
        <w:rPr>
          <w:lang w:val="en-GB"/>
        </w:rPr>
        <w:t xml:space="preserve">(two-sample MR) </w:t>
      </w:r>
      <w:bookmarkEnd w:id="9"/>
      <w:r w:rsidR="00534BCE" w:rsidRPr="00534BCE">
        <w:rPr>
          <w:lang w:val="en-GB"/>
        </w:rPr>
        <w:t xml:space="preserve">instead of a single dataset </w:t>
      </w:r>
      <w:bookmarkStart w:id="10" w:name="_Hlk12261962"/>
      <w:r w:rsidR="00534BCE" w:rsidRPr="00534BCE">
        <w:rPr>
          <w:lang w:val="en-GB"/>
        </w:rPr>
        <w:t>(one-sample MR)</w:t>
      </w:r>
      <w:bookmarkEnd w:id="10"/>
      <w:r w:rsidR="00534BCE" w:rsidRPr="00534BCE">
        <w:rPr>
          <w:lang w:val="en-GB"/>
        </w:rPr>
        <w:t>.</w:t>
      </w:r>
    </w:p>
    <w:bookmarkEnd w:id="8"/>
    <w:p w14:paraId="12255675" w14:textId="502B6ED2" w:rsidR="00B20066" w:rsidRPr="00293C29" w:rsidRDefault="00B20066" w:rsidP="00B20066">
      <w:pPr>
        <w:spacing w:after="120"/>
        <w:jc w:val="both"/>
        <w:rPr>
          <w:u w:val="single"/>
          <w:lang w:val="en-GB"/>
        </w:rPr>
      </w:pPr>
      <w:r w:rsidRPr="00293C29">
        <w:rPr>
          <w:u w:val="single"/>
          <w:lang w:val="en-GB"/>
        </w:rPr>
        <w:t xml:space="preserve">Subgroup analyses </w:t>
      </w:r>
    </w:p>
    <w:p w14:paraId="29866169" w14:textId="43753055" w:rsidR="00DE6DDA" w:rsidRPr="00293C29" w:rsidRDefault="00C209AB" w:rsidP="00A87748">
      <w:pPr>
        <w:spacing w:after="120"/>
        <w:jc w:val="both"/>
        <w:rPr>
          <w:lang w:val="en-GB"/>
        </w:rPr>
      </w:pPr>
      <w:r>
        <w:rPr>
          <w:lang w:val="en-GB"/>
        </w:rPr>
        <w:t>For the lung function outcomes with consistent</w:t>
      </w:r>
      <w:r w:rsidR="00D2742C">
        <w:rPr>
          <w:lang w:val="en-GB"/>
        </w:rPr>
        <w:t>ly significant</w:t>
      </w:r>
      <w:r>
        <w:rPr>
          <w:lang w:val="en-GB"/>
        </w:rPr>
        <w:t xml:space="preserve"> findings, w</w:t>
      </w:r>
      <w:r w:rsidR="008E0372" w:rsidRPr="00293C29">
        <w:rPr>
          <w:lang w:val="en-GB"/>
        </w:rPr>
        <w:t xml:space="preserve">e performed subgroup analyses by smoking status (never/ever) as some evidence suggests that a longer exposure to female sex hormones might increase </w:t>
      </w:r>
      <w:r>
        <w:rPr>
          <w:lang w:val="en-GB"/>
        </w:rPr>
        <w:t xml:space="preserve">airway </w:t>
      </w:r>
      <w:r w:rsidR="008E0372" w:rsidRPr="00293C29">
        <w:rPr>
          <w:lang w:val="en-GB"/>
        </w:rPr>
        <w:t>susceptibility to the effects of</w:t>
      </w:r>
      <w:r w:rsidR="0016391F" w:rsidRPr="00293C29">
        <w:rPr>
          <w:lang w:val="en-GB"/>
        </w:rPr>
        <w:t xml:space="preserve"> smoking</w:t>
      </w:r>
      <w:r w:rsidR="008E0372" w:rsidRPr="00293C29">
        <w:rPr>
          <w:lang w:val="en-GB"/>
        </w:rPr>
        <w:t>.</w:t>
      </w:r>
      <w:r w:rsidR="008E0372" w:rsidRPr="00293C29">
        <w:rPr>
          <w:lang w:val="en-GB"/>
        </w:rPr>
        <w:fldChar w:fldCharType="begin" w:fldLock="1"/>
      </w:r>
      <w:r w:rsidR="00DA41F8">
        <w:rPr>
          <w:lang w:val="en-GB"/>
        </w:rPr>
        <w:instrText>ADDIN CSL_CITATION {"citationItems":[{"id":"ITEM-1","itemData":{"DOI":"10.1164/rccm.201608-1545OC","ISBN":"1073-449X","ISSN":"15354970","PMID":"28075609","abstract":"RATIONALE The prevalence of chronic obstructive pulmonary disease (COPD) is increasing faster among women than among men. &lt;br&gt;&lt;br&gt; Objectives: To examine sex differences in the risk of airflow obstruction (COPD hallmark) in relation to smoking history. &lt;br&gt;&lt;br&gt; Methods: We analysed 149,075 women and 100,252 men taking part in the UK Biobank, who had provided spirometry measurements and information on smoking. The association of airflow obstruction with smoking characteristics was assessed, by sex, using regression analysis. The shape of this relationship was examined using restricted cubic splines. &lt;br&gt;&lt;br&gt; Measurements and main results: The association of airflow obstruction with smoking status was stronger in women (ORex=1.44; ORcurrent=3.45) than in men (ORex=1.25; ORcurrent=3.06) (P-interaction=5.6x10(-4)). In both sexes, the association of airflow obstruction with cigarettes/day, duration and pack-years did not follow a linear pattern, with the increase in risk at lower doses being steeper among women. For equal doses of exposure, sex differences were present in both ex- and current smokers for cigarettes/day (P-interactionex=6.0x10(-8); P-interactioncurrent=1.1x10(-5)), duration (P-interactionex=7.9x10(-4); P-interactioncurrent=0.004) and pack-years (P-interactionex=6.6x10(-18); P-interactioncurrent=1.3x10(-6)). Overall those who started smoking before 18 were more likely to have airflow obstruction, but a sex difference in this association was not clear. For equal time since quitting, the reduction in risk among women seemed less marked than among men. &lt;br&gt;&lt;br&gt; Conclusion: Exposed to the same dose of smoking, women show higher risk of airflow obstruction than men. This could partly explain the increasingly smaller sex difference in the prevalence of COPD, especially in countries where smoking patterns have become similar between women and men.","author":[{"dropping-particle":"","family":"Amaral","given":"André F.S.","non-dropping-particle":"","parse-names":false,"suffix":""},{"dropping-particle":"","family":"Strachan","given":"David P.","non-dropping-particle":"","parse-names":false,"suffix":""},{"dropping-particle":"","family":"Burney","given":"Peter G.J.","non-dropping-particle":"","parse-names":false,"suffix":""},{"dropping-particle":"","family":"Jarvis","given":"Deborah L.","non-dropping-particle":"","parse-names":false,"suffix":""}],"container-title":"American Journal of Respiratory and Critical Care Medicine","id":"ITEM-1","issue":"9","issued":{"date-parts":[["2017"]]},"page":"1226-1235","title":"Female smokers are at greater risk of airflow obstruction than male smokers UK Biobank","type":"article-journal","volume":"195"},"uris":["http://www.mendeley.com/documents/?uuid=ce87be38-e29f-4ff3-b3ec-2aee6b629a90","http://www.mendeley.com/documents/?uuid=427b6c7a-3c13-442e-a938-dc17d7d7ecc6"]},{"id":"ITEM-2","itemData":{"DOI":"10.1371/journal.pone.0164835","ISSN":"19326203","PMID":"27788167","abstract":"Female smokers have increased risk of chronic obstructive pulmonary disease (COPD) compared with male smokers who have a similar history of cigarette smoke exposure. We have shown previously that chronic smoke exposure for 6 months leads to increased airway wall remodeling in female C57BL/6 mice compared with male C57BL/6 mice. These differences, however, were not evident in female ovariectomized mice exposed to cigarette smoke. Herein, we report on the pulmonary function test results from the flexiVent system, which was used to determine the potential functional consequences of the histologic changes observed in these mice. We found that tissue damping (G) was increased in female compared to male or ovariectomized female mice after smoke exposure. At low oscillating frequencies, complex input resistance (Zrs) and impedance (Xrs) of the respiratory system was increased and decreased, respectively, in female but not in male or ovariectomized female mice after smoke exposure. Quasistatic pressure-volume curves revealed a reduction in inspiratory capacity in female mice but not in male or ovariectomized female mice after smoke exposure. The remaining lung function measurements including quasistatic compliance were similar amongst all groups. This is the first study characterizing a sexual dimorphism in respiratory functional properties in a mouse model of COPD. These findings demonstrate that increased airway remodeling in female mice following chronic smoke exposure is associated with increased tissue resistance in the peripheral airways. These data may explain the importance of female sex hormones and the increased risk of airway disease in female smokers.","author":[{"dropping-particle":"","family":"Tam","given":"Anthony","non-dropping-particle":"","parse-names":false,"suffix":""},{"dropping-particle":"","family":"Bates","given":"Jason H.T.","non-dropping-particle":"","parse-names":false,"suffix":""},{"dropping-particle":"","family":"Churg","given":"Andrew","non-dropping-particle":"","parse-names":false,"suffix":""},{"dropping-particle":"","family":"Wright","given":"Joanne L.","non-dropping-particle":"","parse-names":false,"suffix":""},{"dropping-particle":"","family":"Man","given":"S. F.Paul","non-dropping-particle":"","parse-names":false,"suffix":""},{"dropping-particle":"","family":"Sin","given":"Don D.","non-dropping-particle":"","parse-names":false,"suffix":""}],"container-title":"PLoS ONE","id":"ITEM-2","issue":"10","issued":{"date-parts":[["2016"]]},"page":"e0164835","title":"Sex-related differences in pulmonary function following 6 months of cigarette exposure: Implications for sexual dimorphism in mild COPD","type":"article-journal","volume":"11"},"uris":["http://www.mendeley.com/documents/?uuid=c3b59b39-2aa1-4a12-8a68-9471e0f43b93","http://www.mendeley.com/documents/?uuid=44c74474-1a60-4582-9f1b-ac8ef6af7e96"]}],"mendeley":{"formattedCitation":"[28, 29]","plainTextFormattedCitation":"[28, 29]","previouslyFormattedCitation":"[28, 29]"},"properties":{"noteIndex":0},"schema":"https://github.com/citation-style-language/schema/raw/master/csl-citation.json"}</w:instrText>
      </w:r>
      <w:r w:rsidR="008E0372" w:rsidRPr="00293C29">
        <w:rPr>
          <w:lang w:val="en-GB"/>
        </w:rPr>
        <w:fldChar w:fldCharType="separate"/>
      </w:r>
      <w:r w:rsidR="001A51BC" w:rsidRPr="001A51BC">
        <w:rPr>
          <w:noProof/>
          <w:lang w:val="en-GB"/>
        </w:rPr>
        <w:t>[28, 29]</w:t>
      </w:r>
      <w:r w:rsidR="008E0372" w:rsidRPr="00293C29">
        <w:rPr>
          <w:lang w:val="en-GB"/>
        </w:rPr>
        <w:fldChar w:fldCharType="end"/>
      </w:r>
      <w:r w:rsidR="008E0372" w:rsidRPr="00293C29">
        <w:rPr>
          <w:lang w:val="en-GB"/>
        </w:rPr>
        <w:t xml:space="preserve"> In addition, we investigated potential effect modification by MHT use (never/ever) and BMI (low vs. high based on </w:t>
      </w:r>
      <w:r w:rsidR="008E0372" w:rsidRPr="00293C29">
        <w:rPr>
          <w:lang w:val="en-US"/>
        </w:rPr>
        <w:t xml:space="preserve">a </w:t>
      </w:r>
      <w:r w:rsidR="008E0372" w:rsidRPr="00293C29">
        <w:rPr>
          <w:lang w:val="en-US"/>
        </w:rPr>
        <w:lastRenderedPageBreak/>
        <w:t xml:space="preserve">cut-off of 26kg/m² (median), since </w:t>
      </w:r>
      <w:r w:rsidR="008E0372" w:rsidRPr="00293C29">
        <w:rPr>
          <w:lang w:val="en-GB"/>
        </w:rPr>
        <w:t xml:space="preserve">women taking hormonal therapy and obese women may still have high levels of female sex hormones after menopause. </w:t>
      </w:r>
    </w:p>
    <w:p w14:paraId="2C67F6FE" w14:textId="77777777" w:rsidR="00F76111" w:rsidRPr="00293C29" w:rsidRDefault="00F76111" w:rsidP="00A87748">
      <w:pPr>
        <w:spacing w:after="120"/>
        <w:jc w:val="both"/>
        <w:rPr>
          <w:i/>
          <w:lang w:val="en-GB"/>
        </w:rPr>
      </w:pPr>
      <w:r w:rsidRPr="00293C29">
        <w:rPr>
          <w:i/>
          <w:lang w:val="en-GB"/>
        </w:rPr>
        <w:t>Observational analyses</w:t>
      </w:r>
    </w:p>
    <w:p w14:paraId="2B7B3442" w14:textId="7B6C3E87" w:rsidR="00F76111" w:rsidRPr="00293C29" w:rsidRDefault="00F76111" w:rsidP="00A87748">
      <w:pPr>
        <w:spacing w:after="120"/>
        <w:jc w:val="both"/>
        <w:rPr>
          <w:lang w:val="en-GB"/>
        </w:rPr>
      </w:pPr>
      <w:r w:rsidRPr="00293C29">
        <w:rPr>
          <w:lang w:val="en-GB"/>
        </w:rPr>
        <w:t>Earlier observational analyses in UKB examined age at menopause as a categorical variable divided into five groups.</w:t>
      </w:r>
      <w:r w:rsidRPr="00293C29">
        <w:rPr>
          <w:szCs w:val="18"/>
          <w:lang w:val="en-GB"/>
        </w:rPr>
        <w:fldChar w:fldCharType="begin" w:fldLock="1"/>
      </w:r>
      <w:r w:rsidR="00C4516C">
        <w:rPr>
          <w:szCs w:val="18"/>
          <w:lang w:val="en-GB"/>
        </w:rPr>
        <w:instrText>ADDIN CSL_CITATION {"citationItems":[{"id":"ITEM-1","itemData":{"DOI":"10.1183/13993003.00412-2016","ISSN":"13993003","PMID":"27660514","author":[{"dropping-particle":"","family":"Amaral","given":"André F.S.","non-dropping-particle":"","parse-names":false,"suffix":""},{"dropping-particle":"","family":"Strachan","given":"David P.","non-dropping-particle":"","parse-names":false,"suffix":""},{"dropping-particle":"","family":"Real","given":"Francisco Gómez","non-dropping-particle":"","parse-names":false,"suffix":""},{"dropping-particle":"","family":"Burney","given":"Peter G.J.","non-dropping-particle":"","parse-names":false,"suffix":""},{"dropping-particle":"","family":"Jarvis","given":"Deborah L.","non-dropping-particle":"","parse-names":false,"suffix":""}],"container-title":"European Respiratory Journal","id":"ITEM-1","issue":"5","issued":{"date-parts":[["2016"]]},"page":"1288-1297","title":"Lower lung function associates with cessation of menstruation: UK Biobank data","type":"article-journal","volume":"48"},"uris":["http://www.mendeley.com/documents/?uuid=0beec237-6c89-4102-866b-64ceee1512e4","http://www.mendeley.com/documents/?uuid=6fb8e9ef-b3e8-46d0-9f8f-9ad21d9dd325"]}],"mendeley":{"formattedCitation":"[5]","plainTextFormattedCitation":"[5]","previouslyFormattedCitation":"[5]"},"properties":{"noteIndex":0},"schema":"https://github.com/citation-style-language/schema/raw/master/csl-citation.json"}</w:instrText>
      </w:r>
      <w:r w:rsidRPr="00293C29">
        <w:rPr>
          <w:szCs w:val="18"/>
          <w:lang w:val="en-GB"/>
        </w:rPr>
        <w:fldChar w:fldCharType="separate"/>
      </w:r>
      <w:r w:rsidR="00634A20" w:rsidRPr="00293C29">
        <w:rPr>
          <w:noProof/>
          <w:szCs w:val="18"/>
          <w:lang w:val="en-GB"/>
        </w:rPr>
        <w:t>[5]</w:t>
      </w:r>
      <w:r w:rsidRPr="00293C29">
        <w:rPr>
          <w:szCs w:val="18"/>
          <w:lang w:val="en-GB"/>
        </w:rPr>
        <w:fldChar w:fldCharType="end"/>
      </w:r>
      <w:r w:rsidRPr="00293C29">
        <w:rPr>
          <w:szCs w:val="18"/>
          <w:lang w:val="en-GB"/>
        </w:rPr>
        <w:t xml:space="preserve"> For comparison with our MR findings, w</w:t>
      </w:r>
      <w:r w:rsidRPr="00293C29">
        <w:rPr>
          <w:lang w:val="en-GB"/>
        </w:rPr>
        <w:t xml:space="preserve">e performed observational analyses in UKB using three menopause categories. </w:t>
      </w:r>
      <w:r w:rsidR="00B47697" w:rsidRPr="00293C29">
        <w:rPr>
          <w:lang w:val="en-GB"/>
        </w:rPr>
        <w:t>Moreover, in addition to confounders previously considered</w:t>
      </w:r>
      <w:r w:rsidRPr="00293C29">
        <w:rPr>
          <w:lang w:val="en-GB"/>
        </w:rPr>
        <w:t xml:space="preserve"> (</w:t>
      </w:r>
      <w:r w:rsidR="0074330C" w:rsidRPr="00293C29">
        <w:rPr>
          <w:lang w:val="en-GB"/>
        </w:rPr>
        <w:t>centre</w:t>
      </w:r>
      <w:r w:rsidRPr="00293C29">
        <w:rPr>
          <w:lang w:val="en-GB"/>
        </w:rPr>
        <w:t>, age, age</w:t>
      </w:r>
      <w:r w:rsidRPr="00293C29">
        <w:rPr>
          <w:vertAlign w:val="superscript"/>
          <w:lang w:val="en-GB"/>
        </w:rPr>
        <w:t>2</w:t>
      </w:r>
      <w:r w:rsidRPr="00293C29">
        <w:rPr>
          <w:lang w:val="en-GB"/>
        </w:rPr>
        <w:t>, height, BMI, smoking groups, Townsend deprivation index, MHT use, number of live births, ever use of oral contraceptives, and age at menarche)</w:t>
      </w:r>
      <w:r w:rsidR="00651F9A" w:rsidRPr="00293C29">
        <w:rPr>
          <w:lang w:val="en-GB"/>
        </w:rPr>
        <w:t>,</w:t>
      </w:r>
      <w:r w:rsidRPr="00293C29">
        <w:rPr>
          <w:lang w:val="en-GB"/>
        </w:rPr>
        <w:t xml:space="preserve"> </w:t>
      </w:r>
      <w:r w:rsidR="00B47697" w:rsidRPr="00293C29">
        <w:rPr>
          <w:lang w:val="en-GB"/>
        </w:rPr>
        <w:t>we also included</w:t>
      </w:r>
      <w:r w:rsidRPr="00293C29">
        <w:rPr>
          <w:lang w:val="en-GB"/>
        </w:rPr>
        <w:t xml:space="preserve"> physical activity and education level.</w:t>
      </w:r>
      <w:r w:rsidRPr="00293C29">
        <w:rPr>
          <w:lang w:val="en-GB"/>
        </w:rPr>
        <w:fldChar w:fldCharType="begin" w:fldLock="1"/>
      </w:r>
      <w:r w:rsidR="001A51BC">
        <w:rPr>
          <w:lang w:val="en-GB"/>
        </w:rPr>
        <w:instrText>ADDIN CSL_CITATION {"citationItems":[{"id":"ITEM-1","itemData":{"ISBN":"0709943512","author":[{"dropping-particle":"","family":"Townsend","given":"Peter","non-dropping-particle":"","parse-names":false,"suffix":""},{"dropping-particle":"","family":"Phillimore","given":"Peter","non-dropping-particle":"","parse-names":false,"suffix":""},{"dropping-particle":"","family":"Beattie","given":"Alastair.","non-dropping-particle":"","parse-names":false,"suffix":""}],"id":"ITEM-1","issued":{"date-parts":[["1988"]]},"number-of-pages":"211","publisher":"Croom Helm","title":"Health and deprivation : inequality and the North","type":"book"},"uris":["http://www.mendeley.com/documents/?uuid=ce220ea5-11b3-3fb5-8e54-31e7b6c22744","http://www.mendeley.com/documents/?uuid=8b522254-2ccd-4b83-9f56-e0d4701a1d5a","http://www.mendeley.com/documents/?uuid=f7dcd512-f3ce-4e5a-9351-f54b359e86d3"]},{"id":"ITEM-2","itemData":{"DOI":"10.4103/0976-7800.127779","ISBN":"0976-7800 (Print)","ISSN":"0976-7800","PMID":"24672198","abstract":"A literature search was done using PubMed. The age at natural menopause (ANM) depends on various factors like genetic, environmental, socioeconomic, reproductive, dietary, and lifestyle of which some like nulliparity, vegetarian diet, smoking, high fat intake, cholesterol, and caffeine accelerates; while others like parity, prior use of oral contraceptive pills, and Japanese ethnicity delays the ANM. ANM is an important risk factor for long-term morbidity and mortality; and hence, the need to identify the modifiable risk factors like diet and lifestyle changes. Delayed menopause is associated with increased risk of endometrial and breast cancer, while early ANM enhances the risk for cardiovascular diseases and osteoporosis. The correlation between diet and ANM has not been extensively studied; however, whatever studies have been done till now point towards role of high intake of total calories, fruits, and proteins in delaying the ANM, while high polyunsaturated fat intake accelerates it. The role of dietary soy, total fat, saturated fat, red meat, and dietary fiber in determining the ANM has been controversial and needs further studies to substantiate it. The lifestyle factors like current smoking and vigorous exercise have been significantly associated with early menopause, while moderate alcohol consumption delays the ANM. Large prospective studies are needed to study the association of ANM and other modifiable factors like passive smoking fish consumption, soy, and various types of tea. The knowledge of modifiable determinants of ANM can help in setting up menopausal clinics and initiating health programs specially in developing countries.","author":[{"dropping-particle":"","family":"Sapre","given":"Shilpa","non-dropping-particle":"","parse-names":false,"suffix":""},{"dropping-particle":"","family":"Thakur","given":"Ratna","non-dropping-particle":"","parse-names":false,"suffix":""}],"container-title":"Journal of Mid-life Health","id":"ITEM-2","issue":"1","issued":{"date-parts":[["2014"]]},"page":"3","title":"Lifestyle and dietary factors determine age at natural menopause","type":"article-journal","volume":"5"},"uris":["http://www.mendeley.com/documents/?uuid=0dceb4fb-efcc-4bf3-abe8-81767625317c","http://www.mendeley.com/documents/?uuid=b3a53a06-fcd5-4f49-a480-237d5a156918"]},{"id":"ITEM-3","itemData":{"DOI":"10.1038/srep24710","ISSN":"2045-2322","PMID":"27094806","abstract":"The available oocyte pool is determined before birth, with the majority of oocytes lost before puberty. We hypothesised that events occurring before birth, in childhood or in adolescence ('early-life risk factors') could influence the size of the oocyte pool and thus the timing of menopause. We included cross-sectional data from 273,474 women from the UK Biobank, recruited in 2006-2010 from across the UK. We analysed the association of early menopause with events occurring before adulthood in 11,781 cases (menopause aged under 45) and 173,641 controls (menopause/pre-menopausal at ≥45 years), in models controlling for potential confounding variables. Being part of a multiple birth was strongly associated with early menopause (odds ratio = 1.42, confidence interval: 1.11, 1.82, P = 8.0 × 10(-9), fully-adjusted model). Earlier age at menarche (odds ratio = 1.03, confidence interval: 1.01, 1.06, P = 2.5 × 10(-6)) and earlier year of birth were also associated with EM (odds ratio = 1.02, confidence interval: 1.00, 1.04, P = 8.0 × 10(-6)). We also confirmed previously reported associations with smoking, drinking alcohol, educational level and number of births. We identified an association between multiple births and early menopause, which connects events pre-birth, when the oocyte pool is formed, with reproductive ageing in later life. ","author":[{"dropping-particle":"","family":"Ruth","given":"Katherine S.","non-dropping-particle":"","parse-names":false,"suffix":""},{"dropping-particle":"","family":"Perry","given":"John R. B.","non-dropping-particle":"","parse-names":false,"suffix":""},{"dropping-particle":"","family":"Henley","given":"William E.","non-dropping-particle":"","parse-names":false,"suffix":""},{"dropping-particle":"","family":"Melzer","given":"David","non-dropping-particle":"","parse-names":false,"suffix":""},{"dropping-particle":"","family":"Weedon","given":"Michael N.","non-dropping-particle":"","parse-names":false,"suffix":""},{"dropping-particle":"","family":"Murray","given":"Anna","non-dropping-particle":"","parse-names":false,"suffix":""}],"container-title":"Scientific Reports","id":"ITEM-3","issue":"1","issued":{"date-parts":[["2016"]]},"page":"24710","title":"Events in Early Life are Associated with Female Reproductive Ageing: A UK Biobank Study","type":"article-journal","volume":"6"},"uris":["http://www.mendeley.com/documents/?uuid=8d4c7be2-6cc1-45d9-a275-3fab0172ce1a","http://www.mendeley.com/documents/?uuid=369a1ff4-7b48-45c3-a77f-64c1117a8f60","http://www.mendeley.com/documents/?uuid=29d852d0-6c62-4132-98a5-9e0283ffb20e"]}],"mendeley":{"formattedCitation":"[6, 7, 30]","plainTextFormattedCitation":"[6, 7, 30]","previouslyFormattedCitation":"[6, 7, 30]"},"properties":{"noteIndex":0},"schema":"https://github.com/citation-style-language/schema/raw/master/csl-citation.json"}</w:instrText>
      </w:r>
      <w:r w:rsidRPr="00293C29">
        <w:rPr>
          <w:lang w:val="en-GB"/>
        </w:rPr>
        <w:fldChar w:fldCharType="separate"/>
      </w:r>
      <w:r w:rsidR="001A51BC" w:rsidRPr="001A51BC">
        <w:rPr>
          <w:noProof/>
          <w:lang w:val="en-GB"/>
        </w:rPr>
        <w:t>[6, 7, 30]</w:t>
      </w:r>
      <w:r w:rsidRPr="00293C29">
        <w:rPr>
          <w:lang w:val="en-GB"/>
        </w:rPr>
        <w:fldChar w:fldCharType="end"/>
      </w:r>
    </w:p>
    <w:p w14:paraId="359CF79E" w14:textId="4695A5C7" w:rsidR="004A29E2" w:rsidRPr="00293C29" w:rsidRDefault="00C916CA" w:rsidP="00C81AE6">
      <w:pPr>
        <w:spacing w:after="120"/>
        <w:jc w:val="both"/>
        <w:rPr>
          <w:lang w:val="en-GB"/>
        </w:rPr>
      </w:pPr>
      <w:r w:rsidRPr="00293C29">
        <w:rPr>
          <w:lang w:val="en-GB"/>
        </w:rPr>
        <w:t xml:space="preserve">All analyses </w:t>
      </w:r>
      <w:r w:rsidR="003D2B0B" w:rsidRPr="00293C29">
        <w:rPr>
          <w:lang w:val="en-GB"/>
        </w:rPr>
        <w:t xml:space="preserve">were </w:t>
      </w:r>
      <w:r w:rsidR="00841A97" w:rsidRPr="00293C29">
        <w:rPr>
          <w:lang w:val="en-GB"/>
        </w:rPr>
        <w:t>performed using R</w:t>
      </w:r>
      <w:r w:rsidR="00A5128E" w:rsidRPr="00293C29">
        <w:rPr>
          <w:lang w:val="en-GB"/>
        </w:rPr>
        <w:t>.</w:t>
      </w:r>
      <w:r w:rsidR="00841A97" w:rsidRPr="00293C29">
        <w:rPr>
          <w:lang w:val="en-GB"/>
        </w:rPr>
        <w:t xml:space="preserve"> </w:t>
      </w:r>
      <w:r w:rsidR="004A29E2" w:rsidRPr="00293C29">
        <w:rPr>
          <w:b/>
          <w:sz w:val="24"/>
          <w:lang w:val="en-GB"/>
        </w:rPr>
        <w:br w:type="page"/>
      </w:r>
    </w:p>
    <w:p w14:paraId="61D4466F" w14:textId="77777777" w:rsidR="00066D47" w:rsidRPr="00293C29" w:rsidRDefault="00066D47" w:rsidP="00A87748">
      <w:pPr>
        <w:spacing w:after="120"/>
        <w:jc w:val="both"/>
        <w:rPr>
          <w:b/>
          <w:sz w:val="24"/>
          <w:lang w:val="en-GB"/>
        </w:rPr>
      </w:pPr>
      <w:r w:rsidRPr="00293C29">
        <w:rPr>
          <w:b/>
          <w:sz w:val="24"/>
          <w:lang w:val="en-GB"/>
        </w:rPr>
        <w:lastRenderedPageBreak/>
        <w:t>Results</w:t>
      </w:r>
    </w:p>
    <w:p w14:paraId="279EE897" w14:textId="77777777" w:rsidR="00BD4909" w:rsidRPr="00293C29" w:rsidRDefault="00BD4909" w:rsidP="00A87748">
      <w:pPr>
        <w:spacing w:after="120"/>
        <w:jc w:val="both"/>
        <w:rPr>
          <w:i/>
          <w:lang w:val="en-GB"/>
        </w:rPr>
      </w:pPr>
      <w:r w:rsidRPr="00293C29">
        <w:rPr>
          <w:i/>
          <w:lang w:val="en-GB"/>
        </w:rPr>
        <w:t>Population characteristics</w:t>
      </w:r>
    </w:p>
    <w:p w14:paraId="164DC1A6" w14:textId="29045555" w:rsidR="00616FEF" w:rsidRPr="00293C29" w:rsidRDefault="005057FE" w:rsidP="00A87748">
      <w:pPr>
        <w:spacing w:after="120"/>
        <w:jc w:val="both"/>
        <w:rPr>
          <w:lang w:val="en-GB"/>
        </w:rPr>
      </w:pPr>
      <w:r w:rsidRPr="00293C29">
        <w:rPr>
          <w:lang w:val="en-GB"/>
        </w:rPr>
        <w:t xml:space="preserve">From </w:t>
      </w:r>
      <w:r w:rsidR="0073074F" w:rsidRPr="00293C29">
        <w:rPr>
          <w:lang w:val="en-GB"/>
        </w:rPr>
        <w:t>UKB</w:t>
      </w:r>
      <w:r w:rsidR="009510B8" w:rsidRPr="00293C29">
        <w:rPr>
          <w:lang w:val="en-GB"/>
        </w:rPr>
        <w:t>,</w:t>
      </w:r>
      <w:r w:rsidRPr="00293C29">
        <w:rPr>
          <w:lang w:val="en-GB"/>
        </w:rPr>
        <w:t xml:space="preserve"> 94,742 </w:t>
      </w:r>
      <w:r w:rsidR="002700CC" w:rsidRPr="00293C29">
        <w:rPr>
          <w:lang w:val="en-GB"/>
        </w:rPr>
        <w:t xml:space="preserve">white </w:t>
      </w:r>
      <w:r w:rsidRPr="00293C29">
        <w:rPr>
          <w:lang w:val="en-GB"/>
        </w:rPr>
        <w:t>women</w:t>
      </w:r>
      <w:r w:rsidR="00966549" w:rsidRPr="00293C29">
        <w:rPr>
          <w:lang w:val="en-GB"/>
        </w:rPr>
        <w:t xml:space="preserve"> having undergone</w:t>
      </w:r>
      <w:r w:rsidRPr="00293C29">
        <w:rPr>
          <w:lang w:val="en-GB"/>
        </w:rPr>
        <w:t xml:space="preserve"> </w:t>
      </w:r>
      <w:r w:rsidR="00966549" w:rsidRPr="00293C29">
        <w:rPr>
          <w:lang w:val="en-GB"/>
        </w:rPr>
        <w:t xml:space="preserve">natural menopausal </w:t>
      </w:r>
      <w:r w:rsidRPr="00293C29">
        <w:rPr>
          <w:lang w:val="en-GB"/>
        </w:rPr>
        <w:t xml:space="preserve">were </w:t>
      </w:r>
      <w:r w:rsidR="00156785" w:rsidRPr="00293C29">
        <w:rPr>
          <w:lang w:val="en-GB"/>
        </w:rPr>
        <w:t xml:space="preserve">included </w:t>
      </w:r>
      <w:r w:rsidR="004D0B41" w:rsidRPr="00293C29">
        <w:rPr>
          <w:lang w:val="en-GB"/>
        </w:rPr>
        <w:t xml:space="preserve">in </w:t>
      </w:r>
      <w:r w:rsidRPr="00293C29">
        <w:rPr>
          <w:lang w:val="en-GB"/>
        </w:rPr>
        <w:t>the MR analyses</w:t>
      </w:r>
      <w:r w:rsidR="008A6A74" w:rsidRPr="00293C29">
        <w:rPr>
          <w:lang w:val="en-GB"/>
        </w:rPr>
        <w:t>, of which 7,206 had early and 8,468 had late menopause</w:t>
      </w:r>
      <w:r w:rsidR="004D0B41" w:rsidRPr="00293C29">
        <w:rPr>
          <w:lang w:val="en-GB"/>
        </w:rPr>
        <w:t xml:space="preserve"> (Table 1 and Supplementary Table S1).</w:t>
      </w:r>
      <w:r w:rsidR="00386A00" w:rsidRPr="00293C29">
        <w:rPr>
          <w:lang w:val="en-GB"/>
        </w:rPr>
        <w:t xml:space="preserve"> </w:t>
      </w:r>
      <w:r w:rsidR="004D0B41" w:rsidRPr="00293C29">
        <w:rPr>
          <w:lang w:val="en-GB"/>
        </w:rPr>
        <w:t>T</w:t>
      </w:r>
      <w:r w:rsidR="00310DAE" w:rsidRPr="00293C29">
        <w:rPr>
          <w:lang w:val="en-GB"/>
        </w:rPr>
        <w:t>he</w:t>
      </w:r>
      <w:r w:rsidR="00E73C45" w:rsidRPr="00293C29">
        <w:rPr>
          <w:lang w:val="en-GB"/>
        </w:rPr>
        <w:t xml:space="preserve"> mean age was 60 years</w:t>
      </w:r>
      <w:r w:rsidR="00F86ED3" w:rsidRPr="00293C29">
        <w:rPr>
          <w:lang w:val="en-GB"/>
        </w:rPr>
        <w:t xml:space="preserve"> and</w:t>
      </w:r>
      <w:r w:rsidR="0098679F" w:rsidRPr="00293C29">
        <w:rPr>
          <w:lang w:val="en-GB"/>
        </w:rPr>
        <w:t xml:space="preserve"> </w:t>
      </w:r>
      <w:r w:rsidR="00E73C45" w:rsidRPr="00293C29">
        <w:rPr>
          <w:lang w:val="en-GB"/>
        </w:rPr>
        <w:t>mean age at menopause 51 years</w:t>
      </w:r>
      <w:r w:rsidR="004D0B41" w:rsidRPr="00293C29">
        <w:rPr>
          <w:lang w:val="en-GB"/>
        </w:rPr>
        <w:t>;</w:t>
      </w:r>
      <w:r w:rsidR="00F92AFC" w:rsidRPr="00293C29">
        <w:rPr>
          <w:lang w:val="en-GB"/>
        </w:rPr>
        <w:t xml:space="preserve"> </w:t>
      </w:r>
      <w:r w:rsidR="00E73C45" w:rsidRPr="00293C29">
        <w:rPr>
          <w:lang w:val="en-GB"/>
        </w:rPr>
        <w:t xml:space="preserve">57% of women never used </w:t>
      </w:r>
      <w:r w:rsidR="00F9246D" w:rsidRPr="00293C29">
        <w:rPr>
          <w:lang w:val="en-GB"/>
        </w:rPr>
        <w:t>MHT</w:t>
      </w:r>
      <w:r w:rsidR="00F92AFC" w:rsidRPr="00293C29">
        <w:rPr>
          <w:lang w:val="en-GB"/>
        </w:rPr>
        <w:t>,</w:t>
      </w:r>
      <w:r w:rsidR="00A638D0" w:rsidRPr="00293C29">
        <w:rPr>
          <w:lang w:val="en-GB"/>
        </w:rPr>
        <w:t xml:space="preserve"> </w:t>
      </w:r>
      <w:r w:rsidR="009233C5" w:rsidRPr="00293C29">
        <w:rPr>
          <w:shd w:val="clear" w:color="auto" w:fill="FFFFFF"/>
          <w:lang w:val="en-GB"/>
        </w:rPr>
        <w:t>7% had spirometric restriction (FVC&lt;LLN)</w:t>
      </w:r>
      <w:r w:rsidR="009233C5" w:rsidRPr="00293C29">
        <w:rPr>
          <w:lang w:val="en-GB"/>
        </w:rPr>
        <w:t xml:space="preserve"> and </w:t>
      </w:r>
      <w:r w:rsidR="00A03754" w:rsidRPr="00293C29">
        <w:rPr>
          <w:lang w:val="en-GB"/>
        </w:rPr>
        <w:t>8</w:t>
      </w:r>
      <w:r w:rsidR="00E73C45" w:rsidRPr="00293C29">
        <w:rPr>
          <w:lang w:val="en-GB"/>
        </w:rPr>
        <w:t xml:space="preserve">% </w:t>
      </w:r>
      <w:r w:rsidR="0098679F" w:rsidRPr="00293C29">
        <w:rPr>
          <w:lang w:val="en-GB"/>
        </w:rPr>
        <w:t xml:space="preserve">had </w:t>
      </w:r>
      <w:r w:rsidR="005C5DC5" w:rsidRPr="00293C29">
        <w:rPr>
          <w:lang w:val="en-GB"/>
        </w:rPr>
        <w:t>airflow</w:t>
      </w:r>
      <w:r w:rsidR="00E73C45" w:rsidRPr="00293C29">
        <w:rPr>
          <w:lang w:val="en-GB"/>
        </w:rPr>
        <w:t xml:space="preserve"> obstruction </w:t>
      </w:r>
      <w:r w:rsidR="005C5DC5" w:rsidRPr="00293C29">
        <w:rPr>
          <w:lang w:val="en-GB"/>
        </w:rPr>
        <w:t>(</w:t>
      </w:r>
      <w:r w:rsidR="00E73C45" w:rsidRPr="00293C29">
        <w:rPr>
          <w:shd w:val="clear" w:color="auto" w:fill="FFFFFF"/>
          <w:lang w:val="en-GB"/>
        </w:rPr>
        <w:t>FEV</w:t>
      </w:r>
      <w:r w:rsidR="00E73C45" w:rsidRPr="00293C29">
        <w:rPr>
          <w:shd w:val="clear" w:color="auto" w:fill="FFFFFF"/>
          <w:vertAlign w:val="subscript"/>
          <w:lang w:val="en-GB"/>
        </w:rPr>
        <w:t>1</w:t>
      </w:r>
      <w:r w:rsidR="005C5DC5" w:rsidRPr="00293C29">
        <w:rPr>
          <w:shd w:val="clear" w:color="auto" w:fill="FFFFFF"/>
          <w:lang w:val="en-GB"/>
        </w:rPr>
        <w:t>/FVC&lt;</w:t>
      </w:r>
      <w:r w:rsidR="00E73C45" w:rsidRPr="00293C29">
        <w:rPr>
          <w:shd w:val="clear" w:color="auto" w:fill="FFFFFF"/>
          <w:lang w:val="en-GB"/>
        </w:rPr>
        <w:t>LLN</w:t>
      </w:r>
      <w:r w:rsidR="005C5DC5" w:rsidRPr="00293C29">
        <w:rPr>
          <w:shd w:val="clear" w:color="auto" w:fill="FFFFFF"/>
          <w:lang w:val="en-GB"/>
        </w:rPr>
        <w:t>)</w:t>
      </w:r>
      <w:r w:rsidR="009233C5" w:rsidRPr="00293C29">
        <w:rPr>
          <w:shd w:val="clear" w:color="auto" w:fill="FFFFFF"/>
          <w:lang w:val="en-GB"/>
        </w:rPr>
        <w:t>.</w:t>
      </w:r>
      <w:r w:rsidR="00A03754" w:rsidRPr="00293C29">
        <w:rPr>
          <w:shd w:val="clear" w:color="auto" w:fill="FFFFFF"/>
          <w:lang w:val="en-GB"/>
        </w:rPr>
        <w:t xml:space="preserve"> </w:t>
      </w:r>
      <w:r w:rsidR="00E33B65" w:rsidRPr="00293C29">
        <w:rPr>
          <w:lang w:val="en-GB"/>
        </w:rPr>
        <w:t xml:space="preserve">Women with late menopause </w:t>
      </w:r>
      <w:r w:rsidR="00AB3FD0" w:rsidRPr="00293C29">
        <w:rPr>
          <w:lang w:val="en-GB"/>
        </w:rPr>
        <w:t>were</w:t>
      </w:r>
      <w:r w:rsidR="00E33B65" w:rsidRPr="00293C29">
        <w:rPr>
          <w:lang w:val="en-GB"/>
        </w:rPr>
        <w:t xml:space="preserve"> less likely to </w:t>
      </w:r>
      <w:r w:rsidR="006257F6" w:rsidRPr="00293C29">
        <w:rPr>
          <w:lang w:val="en-GB"/>
        </w:rPr>
        <w:t>have ever smoked</w:t>
      </w:r>
      <w:r w:rsidR="00E33B65" w:rsidRPr="00293C29">
        <w:rPr>
          <w:lang w:val="en-GB"/>
        </w:rPr>
        <w:t xml:space="preserve"> </w:t>
      </w:r>
      <w:r w:rsidR="006257F6" w:rsidRPr="00293C29">
        <w:rPr>
          <w:lang w:val="en-GB"/>
        </w:rPr>
        <w:t xml:space="preserve">and </w:t>
      </w:r>
      <w:r w:rsidR="00AB3FD0" w:rsidRPr="00293C29">
        <w:rPr>
          <w:lang w:val="en-GB"/>
        </w:rPr>
        <w:t xml:space="preserve">to </w:t>
      </w:r>
      <w:r w:rsidR="007F09CF" w:rsidRPr="00293C29">
        <w:rPr>
          <w:lang w:val="en-GB"/>
        </w:rPr>
        <w:t xml:space="preserve">have ever </w:t>
      </w:r>
      <w:r w:rsidR="00E33B65" w:rsidRPr="00293C29">
        <w:rPr>
          <w:lang w:val="en-GB"/>
        </w:rPr>
        <w:t>use</w:t>
      </w:r>
      <w:r w:rsidR="005043E5">
        <w:rPr>
          <w:lang w:val="en-GB"/>
        </w:rPr>
        <w:t>d</w:t>
      </w:r>
      <w:r w:rsidR="00E33B65" w:rsidRPr="00293C29">
        <w:rPr>
          <w:lang w:val="en-GB"/>
        </w:rPr>
        <w:t xml:space="preserve"> MHT compared to women with early menopause.</w:t>
      </w:r>
      <w:r w:rsidR="00FB3815" w:rsidRPr="00293C29">
        <w:rPr>
          <w:lang w:val="en-GB"/>
        </w:rPr>
        <w:t xml:space="preserve"> </w:t>
      </w:r>
      <w:r w:rsidR="006257F6" w:rsidRPr="00293C29">
        <w:rPr>
          <w:lang w:val="en-GB"/>
        </w:rPr>
        <w:t xml:space="preserve">Only 84,844 of these women </w:t>
      </w:r>
      <w:r w:rsidR="00060D83" w:rsidRPr="00293C29">
        <w:rPr>
          <w:lang w:val="en-GB"/>
        </w:rPr>
        <w:t>had</w:t>
      </w:r>
      <w:r w:rsidR="006257F6" w:rsidRPr="00293C29">
        <w:rPr>
          <w:lang w:val="en-GB"/>
        </w:rPr>
        <w:t xml:space="preserve"> complete data on all confounders </w:t>
      </w:r>
      <w:r w:rsidR="00060D83" w:rsidRPr="00293C29">
        <w:rPr>
          <w:lang w:val="en-GB"/>
        </w:rPr>
        <w:t xml:space="preserve">and </w:t>
      </w:r>
      <w:r w:rsidR="006257F6" w:rsidRPr="00293C29">
        <w:rPr>
          <w:lang w:val="en-GB"/>
        </w:rPr>
        <w:t>were included in</w:t>
      </w:r>
      <w:r w:rsidR="004D0B41" w:rsidRPr="00293C29">
        <w:rPr>
          <w:lang w:val="en-GB"/>
        </w:rPr>
        <w:t xml:space="preserve"> the observational analyses, </w:t>
      </w:r>
      <w:r w:rsidR="00060D83" w:rsidRPr="00293C29">
        <w:rPr>
          <w:lang w:val="en-GB"/>
        </w:rPr>
        <w:t>and</w:t>
      </w:r>
      <w:r w:rsidR="004D0B41" w:rsidRPr="00293C29">
        <w:rPr>
          <w:lang w:val="en-GB"/>
        </w:rPr>
        <w:t xml:space="preserve"> their characteristics were the same</w:t>
      </w:r>
      <w:r w:rsidR="00060D83" w:rsidRPr="00293C29">
        <w:rPr>
          <w:lang w:val="en-GB"/>
        </w:rPr>
        <w:t xml:space="preserve"> </w:t>
      </w:r>
      <w:r w:rsidR="001F3908" w:rsidRPr="00293C29">
        <w:rPr>
          <w:lang w:val="en-GB"/>
        </w:rPr>
        <w:t xml:space="preserve">as the </w:t>
      </w:r>
      <w:r w:rsidR="004C7063" w:rsidRPr="00293C29">
        <w:rPr>
          <w:lang w:val="en-GB"/>
        </w:rPr>
        <w:t>MR</w:t>
      </w:r>
      <w:r w:rsidR="001F3908" w:rsidRPr="00293C29">
        <w:rPr>
          <w:lang w:val="en-GB"/>
        </w:rPr>
        <w:t xml:space="preserve"> sample </w:t>
      </w:r>
      <w:r w:rsidR="004D0B41" w:rsidRPr="00293C29">
        <w:rPr>
          <w:lang w:val="en-GB"/>
        </w:rPr>
        <w:t xml:space="preserve">(Table 1 and Table S1). </w:t>
      </w:r>
    </w:p>
    <w:p w14:paraId="400ABA26" w14:textId="12330E50" w:rsidR="00AD39FC" w:rsidRPr="00293C29" w:rsidRDefault="00616FEF" w:rsidP="00A87748">
      <w:pPr>
        <w:spacing w:after="120"/>
        <w:jc w:val="both"/>
        <w:rPr>
          <w:lang w:val="en-GB"/>
        </w:rPr>
      </w:pPr>
      <w:r w:rsidRPr="00293C29">
        <w:rPr>
          <w:lang w:val="en-GB"/>
        </w:rPr>
        <w:t>Detailed results of all MR and observational analyses</w:t>
      </w:r>
      <w:r w:rsidR="007F09CF" w:rsidRPr="00293C29">
        <w:rPr>
          <w:lang w:val="en-GB"/>
        </w:rPr>
        <w:t>, separately for early and late menopause,</w:t>
      </w:r>
      <w:r w:rsidRPr="00293C29">
        <w:rPr>
          <w:lang w:val="en-GB"/>
        </w:rPr>
        <w:t xml:space="preserve"> can be found in Supplementary Table </w:t>
      </w:r>
      <w:r w:rsidR="007F09CF" w:rsidRPr="00293C29">
        <w:rPr>
          <w:lang w:val="en-GB"/>
        </w:rPr>
        <w:t>S2</w:t>
      </w:r>
      <w:r w:rsidR="00C50546">
        <w:rPr>
          <w:lang w:val="en-GB"/>
        </w:rPr>
        <w:t xml:space="preserve"> (GX and GY effect estimates)</w:t>
      </w:r>
      <w:r w:rsidR="007F09CF" w:rsidRPr="00293C29">
        <w:rPr>
          <w:lang w:val="en-GB"/>
        </w:rPr>
        <w:t xml:space="preserve"> and</w:t>
      </w:r>
      <w:r w:rsidR="00C50546">
        <w:rPr>
          <w:lang w:val="en-GB"/>
        </w:rPr>
        <w:t xml:space="preserve"> Table</w:t>
      </w:r>
      <w:r w:rsidR="007F09CF" w:rsidRPr="00293C29">
        <w:rPr>
          <w:lang w:val="en-GB"/>
        </w:rPr>
        <w:t xml:space="preserve"> </w:t>
      </w:r>
      <w:r w:rsidRPr="00293C29">
        <w:rPr>
          <w:lang w:val="en-GB"/>
        </w:rPr>
        <w:t>S3</w:t>
      </w:r>
      <w:r w:rsidR="00C50546">
        <w:rPr>
          <w:lang w:val="en-GB"/>
        </w:rPr>
        <w:t xml:space="preserve"> (MR res</w:t>
      </w:r>
      <w:r w:rsidR="0033157F">
        <w:rPr>
          <w:lang w:val="en-GB"/>
        </w:rPr>
        <w:t>ults)</w:t>
      </w:r>
      <w:r w:rsidRPr="00293C29">
        <w:rPr>
          <w:lang w:val="en-GB"/>
        </w:rPr>
        <w:t xml:space="preserve">. </w:t>
      </w:r>
    </w:p>
    <w:p w14:paraId="76940A29" w14:textId="77777777" w:rsidR="002870F3" w:rsidRPr="00293C29" w:rsidRDefault="002870F3" w:rsidP="00A87748">
      <w:pPr>
        <w:spacing w:after="120"/>
        <w:jc w:val="both"/>
        <w:rPr>
          <w:i/>
          <w:lang w:val="en-GB"/>
        </w:rPr>
      </w:pPr>
      <w:r w:rsidRPr="00293C29">
        <w:rPr>
          <w:i/>
          <w:lang w:val="en-GB"/>
        </w:rPr>
        <w:t>MR analyses</w:t>
      </w:r>
    </w:p>
    <w:p w14:paraId="741D2F11" w14:textId="77777777" w:rsidR="00A109A2" w:rsidRDefault="00BC49CE" w:rsidP="00A87748">
      <w:pPr>
        <w:spacing w:after="120"/>
        <w:jc w:val="both"/>
        <w:rPr>
          <w:lang w:val="en-GB"/>
        </w:rPr>
      </w:pPr>
      <w:r w:rsidRPr="00293C29">
        <w:rPr>
          <w:lang w:val="en-GB"/>
        </w:rPr>
        <w:t>For early menopause</w:t>
      </w:r>
      <w:r w:rsidR="00865931">
        <w:rPr>
          <w:lang w:val="en-GB"/>
        </w:rPr>
        <w:t xml:space="preserve"> (Table 2)</w:t>
      </w:r>
      <w:r w:rsidRPr="00293C29">
        <w:rPr>
          <w:lang w:val="en-GB"/>
        </w:rPr>
        <w:t>, the MR analyses showed higher FEV</w:t>
      </w:r>
      <w:r w:rsidRPr="00293C29">
        <w:rPr>
          <w:vertAlign w:val="subscript"/>
          <w:lang w:val="en-GB"/>
        </w:rPr>
        <w:t>1</w:t>
      </w:r>
      <w:r w:rsidRPr="00293C29">
        <w:rPr>
          <w:lang w:val="en-GB"/>
        </w:rPr>
        <w:t xml:space="preserve"> (5.55mL [0.92 to 10.18])</w:t>
      </w:r>
      <w:r w:rsidR="00476D4A" w:rsidRPr="00293C29">
        <w:rPr>
          <w:lang w:val="en-GB"/>
        </w:rPr>
        <w:t>,</w:t>
      </w:r>
      <w:r w:rsidR="00B227E2" w:rsidRPr="00293C29">
        <w:rPr>
          <w:lang w:val="en-GB"/>
        </w:rPr>
        <w:t xml:space="preserve"> higher FEV</w:t>
      </w:r>
      <w:r w:rsidR="00B227E2" w:rsidRPr="00293C29">
        <w:rPr>
          <w:vertAlign w:val="subscript"/>
          <w:lang w:val="en-GB"/>
        </w:rPr>
        <w:t>1</w:t>
      </w:r>
      <w:r w:rsidR="00B227E2" w:rsidRPr="00293C29">
        <w:rPr>
          <w:lang w:val="en-GB"/>
        </w:rPr>
        <w:t>/FVC (0.29% [0.22 to 0.36])</w:t>
      </w:r>
      <w:r w:rsidRPr="00293C29">
        <w:rPr>
          <w:lang w:val="en-GB"/>
        </w:rPr>
        <w:t>, and 15% lower risk of airflow obstruction (OR 0.85 [0.82 to 0.89]), as compared to normal menopause (</w:t>
      </w:r>
      <w:r w:rsidR="00243E5B" w:rsidRPr="00293C29">
        <w:rPr>
          <w:lang w:val="en-GB"/>
        </w:rPr>
        <w:t xml:space="preserve">Figure </w:t>
      </w:r>
      <w:r w:rsidR="001A45EC">
        <w:rPr>
          <w:lang w:val="en-GB"/>
        </w:rPr>
        <w:t>2</w:t>
      </w:r>
      <w:r w:rsidR="00E2508B" w:rsidRPr="00293C29">
        <w:rPr>
          <w:lang w:val="en-GB"/>
        </w:rPr>
        <w:t xml:space="preserve"> </w:t>
      </w:r>
      <w:r w:rsidRPr="00293C29">
        <w:rPr>
          <w:lang w:val="en-GB"/>
        </w:rPr>
        <w:t xml:space="preserve">and Table S3). No effect of </w:t>
      </w:r>
      <w:r w:rsidR="004A78E7" w:rsidRPr="00293C29">
        <w:rPr>
          <w:lang w:val="en-GB"/>
        </w:rPr>
        <w:t>early</w:t>
      </w:r>
      <w:r w:rsidRPr="00293C29">
        <w:rPr>
          <w:lang w:val="en-GB"/>
        </w:rPr>
        <w:t xml:space="preserve"> menopause was found for FVC </w:t>
      </w:r>
      <w:r w:rsidR="00E2508B" w:rsidRPr="00293C29">
        <w:rPr>
          <w:lang w:val="en-GB"/>
        </w:rPr>
        <w:t>(-4.98</w:t>
      </w:r>
      <w:r w:rsidRPr="00293C29">
        <w:rPr>
          <w:lang w:val="en-GB"/>
        </w:rPr>
        <w:t xml:space="preserve">mL [-10.5 to 0.53]) or spirometric restriction (OR 1.03 [0.99 to 1.08]). </w:t>
      </w:r>
    </w:p>
    <w:p w14:paraId="40DE5A8D" w14:textId="4DE5633E" w:rsidR="00100A20" w:rsidRDefault="00BC49CE" w:rsidP="00A87748">
      <w:pPr>
        <w:spacing w:after="120"/>
        <w:jc w:val="both"/>
        <w:rPr>
          <w:lang w:val="en-GB"/>
        </w:rPr>
      </w:pPr>
      <w:r w:rsidRPr="00293C29">
        <w:rPr>
          <w:lang w:val="en-GB"/>
        </w:rPr>
        <w:t>For late menopause</w:t>
      </w:r>
      <w:r w:rsidR="00865931">
        <w:rPr>
          <w:lang w:val="en-GB"/>
        </w:rPr>
        <w:t xml:space="preserve"> (Table 3)</w:t>
      </w:r>
      <w:r w:rsidRPr="00293C29">
        <w:rPr>
          <w:lang w:val="en-GB"/>
        </w:rPr>
        <w:t>, the MR analyses showed lower FEV</w:t>
      </w:r>
      <w:r w:rsidRPr="00293C29">
        <w:rPr>
          <w:vertAlign w:val="subscript"/>
          <w:lang w:val="en-GB"/>
        </w:rPr>
        <w:t>1</w:t>
      </w:r>
      <w:r w:rsidRPr="00293C29">
        <w:rPr>
          <w:lang w:val="en-GB"/>
        </w:rPr>
        <w:t xml:space="preserve"> (-11.0mL [-16.4 to -5.68])</w:t>
      </w:r>
      <w:r w:rsidR="00256686" w:rsidRPr="00293C29">
        <w:rPr>
          <w:lang w:val="en-GB"/>
        </w:rPr>
        <w:t xml:space="preserve"> and </w:t>
      </w:r>
      <w:r w:rsidR="00E2508B" w:rsidRPr="00293C29">
        <w:rPr>
          <w:lang w:val="en-GB"/>
        </w:rPr>
        <w:t xml:space="preserve">lower </w:t>
      </w:r>
      <w:r w:rsidR="00B227E2" w:rsidRPr="00293C29">
        <w:rPr>
          <w:lang w:val="en-GB"/>
        </w:rPr>
        <w:t>FEV</w:t>
      </w:r>
      <w:r w:rsidR="00B227E2" w:rsidRPr="00293C29">
        <w:rPr>
          <w:vertAlign w:val="subscript"/>
          <w:lang w:val="en-GB"/>
        </w:rPr>
        <w:t>1</w:t>
      </w:r>
      <w:r w:rsidR="00B227E2" w:rsidRPr="00293C29">
        <w:rPr>
          <w:lang w:val="en-GB"/>
        </w:rPr>
        <w:t xml:space="preserve">/FVC </w:t>
      </w:r>
      <w:r w:rsidR="00E2508B" w:rsidRPr="00293C29">
        <w:rPr>
          <w:lang w:val="en-GB"/>
        </w:rPr>
        <w:t>(</w:t>
      </w:r>
      <w:r w:rsidR="00B227E2" w:rsidRPr="00293C29">
        <w:rPr>
          <w:lang w:val="en-GB"/>
        </w:rPr>
        <w:t>-0.18% [-0.26 to -0.10]),</w:t>
      </w:r>
      <w:r w:rsidRPr="00293C29">
        <w:rPr>
          <w:lang w:val="en-GB"/>
        </w:rPr>
        <w:t xml:space="preserve"> and </w:t>
      </w:r>
      <w:r w:rsidR="00ED49EE" w:rsidRPr="00293C29">
        <w:rPr>
          <w:lang w:val="en-GB"/>
        </w:rPr>
        <w:t>moderate</w:t>
      </w:r>
      <w:r w:rsidRPr="00293C29">
        <w:rPr>
          <w:lang w:val="en-GB"/>
        </w:rPr>
        <w:t xml:space="preserve"> higher risk of airflow obstruction (OR 1.06 [1.01 to 1.11])</w:t>
      </w:r>
      <w:r w:rsidR="00243E5B" w:rsidRPr="00293C29">
        <w:rPr>
          <w:lang w:val="en-GB"/>
        </w:rPr>
        <w:t xml:space="preserve"> (</w:t>
      </w:r>
      <w:r w:rsidR="001166F9" w:rsidRPr="00293C29">
        <w:rPr>
          <w:lang w:val="en-GB"/>
        </w:rPr>
        <w:t xml:space="preserve">Figure </w:t>
      </w:r>
      <w:r w:rsidR="001A45EC">
        <w:rPr>
          <w:lang w:val="en-GB"/>
        </w:rPr>
        <w:t>2</w:t>
      </w:r>
      <w:r w:rsidR="001166F9" w:rsidRPr="00293C29">
        <w:rPr>
          <w:lang w:val="en-GB"/>
        </w:rPr>
        <w:t xml:space="preserve"> and </w:t>
      </w:r>
      <w:r w:rsidR="00243E5B" w:rsidRPr="00293C29">
        <w:rPr>
          <w:lang w:val="en-GB"/>
        </w:rPr>
        <w:t>Table S3)</w:t>
      </w:r>
      <w:r w:rsidRPr="00293C29">
        <w:rPr>
          <w:lang w:val="en-GB"/>
        </w:rPr>
        <w:t xml:space="preserve">. </w:t>
      </w:r>
      <w:r w:rsidR="005816D3" w:rsidRPr="00293C29">
        <w:rPr>
          <w:lang w:val="en-GB"/>
        </w:rPr>
        <w:t xml:space="preserve">Late menopause was also </w:t>
      </w:r>
      <w:r w:rsidR="00B227E2" w:rsidRPr="00293C29">
        <w:rPr>
          <w:lang w:val="en-GB"/>
        </w:rPr>
        <w:t>borderline significant</w:t>
      </w:r>
      <w:r w:rsidR="005816D3" w:rsidRPr="00293C29">
        <w:rPr>
          <w:lang w:val="en-GB"/>
        </w:rPr>
        <w:t>ly associated with</w:t>
      </w:r>
      <w:r w:rsidR="00B227E2" w:rsidRPr="00293C29">
        <w:rPr>
          <w:lang w:val="en-GB"/>
        </w:rPr>
        <w:t xml:space="preserve"> lower FVC (-7.10mL [-13.5 to -0.75]</w:t>
      </w:r>
      <w:r w:rsidR="0029508A" w:rsidRPr="00293C29">
        <w:rPr>
          <w:lang w:val="en-GB"/>
        </w:rPr>
        <w:t>)</w:t>
      </w:r>
      <w:r w:rsidR="00E07879" w:rsidRPr="00293C29">
        <w:rPr>
          <w:lang w:val="en-GB"/>
        </w:rPr>
        <w:t>,</w:t>
      </w:r>
      <w:r w:rsidR="00256686" w:rsidRPr="00293C29">
        <w:rPr>
          <w:lang w:val="en-GB"/>
        </w:rPr>
        <w:t xml:space="preserve"> but not </w:t>
      </w:r>
      <w:r w:rsidR="005816D3" w:rsidRPr="00293C29">
        <w:rPr>
          <w:lang w:val="en-GB"/>
        </w:rPr>
        <w:t xml:space="preserve">with spirometric restriction (1.00 [0.95 to 1.05]). </w:t>
      </w:r>
    </w:p>
    <w:p w14:paraId="14746C1C" w14:textId="0BDBDFD7" w:rsidR="00100A20" w:rsidRPr="00293C29" w:rsidRDefault="00E1519B" w:rsidP="00A87748">
      <w:pPr>
        <w:spacing w:after="120"/>
        <w:jc w:val="both"/>
        <w:rPr>
          <w:lang w:val="en-GB"/>
        </w:rPr>
      </w:pPr>
      <w:r>
        <w:rPr>
          <w:lang w:val="en-GB"/>
        </w:rPr>
        <w:t>There r</w:t>
      </w:r>
      <w:r w:rsidR="00100A20" w:rsidRPr="00C420A5">
        <w:rPr>
          <w:lang w:val="en-GB"/>
        </w:rPr>
        <w:t>esults were consistent</w:t>
      </w:r>
      <w:r w:rsidR="00100A20">
        <w:rPr>
          <w:lang w:val="en-GB"/>
        </w:rPr>
        <w:t xml:space="preserve"> w</w:t>
      </w:r>
      <w:r w:rsidR="00100A20" w:rsidRPr="00C420A5">
        <w:rPr>
          <w:lang w:val="en-GB"/>
        </w:rPr>
        <w:t xml:space="preserve">hen considering age at menopause as a continuous variable, </w:t>
      </w:r>
      <w:r w:rsidR="00100A20">
        <w:rPr>
          <w:lang w:val="en-GB"/>
        </w:rPr>
        <w:t>with a</w:t>
      </w:r>
      <w:r w:rsidR="00100A20" w:rsidRPr="00C420A5">
        <w:rPr>
          <w:lang w:val="en-GB"/>
        </w:rPr>
        <w:t>n increase in age at menopause associated with lower FEV</w:t>
      </w:r>
      <w:r w:rsidR="00100A20" w:rsidRPr="00C420A5">
        <w:rPr>
          <w:vertAlign w:val="subscript"/>
          <w:lang w:val="en-GB"/>
        </w:rPr>
        <w:t>1</w:t>
      </w:r>
      <w:r w:rsidR="00100A20" w:rsidRPr="00C420A5">
        <w:rPr>
          <w:lang w:val="en-GB"/>
        </w:rPr>
        <w:t>, lower FEV</w:t>
      </w:r>
      <w:r w:rsidR="00100A20" w:rsidRPr="00C420A5">
        <w:rPr>
          <w:vertAlign w:val="subscript"/>
          <w:lang w:val="en-GB"/>
        </w:rPr>
        <w:t>1</w:t>
      </w:r>
      <w:r w:rsidR="00100A20" w:rsidRPr="00C420A5">
        <w:rPr>
          <w:lang w:val="en-GB"/>
        </w:rPr>
        <w:t>/FVC, and a higher risk of obstruction</w:t>
      </w:r>
      <w:r w:rsidR="00100A20">
        <w:rPr>
          <w:lang w:val="en-GB"/>
        </w:rPr>
        <w:t xml:space="preserve"> (</w:t>
      </w:r>
      <w:r w:rsidR="00100A20" w:rsidRPr="00293C29">
        <w:rPr>
          <w:lang w:val="en-GB"/>
        </w:rPr>
        <w:t>Supplementary</w:t>
      </w:r>
      <w:r w:rsidR="00100A20" w:rsidRPr="00C420A5">
        <w:rPr>
          <w:lang w:val="en-GB"/>
        </w:rPr>
        <w:t xml:space="preserve"> Table S4).</w:t>
      </w:r>
    </w:p>
    <w:p w14:paraId="74233F7D" w14:textId="77777777" w:rsidR="0056252D" w:rsidRPr="00293C29" w:rsidRDefault="0056252D" w:rsidP="00A87748">
      <w:pPr>
        <w:spacing w:after="120"/>
        <w:jc w:val="both"/>
        <w:rPr>
          <w:u w:val="single"/>
          <w:lang w:val="en-GB"/>
        </w:rPr>
      </w:pPr>
      <w:r w:rsidRPr="00293C29">
        <w:rPr>
          <w:u w:val="single"/>
          <w:lang w:val="en-GB"/>
        </w:rPr>
        <w:t>Assessing pleiotropy</w:t>
      </w:r>
    </w:p>
    <w:p w14:paraId="5A74641F" w14:textId="0D26FD6C" w:rsidR="003A5696" w:rsidRDefault="003A5696" w:rsidP="00A87748">
      <w:pPr>
        <w:spacing w:after="120"/>
        <w:jc w:val="both"/>
        <w:rPr>
          <w:lang w:val="en-GB"/>
        </w:rPr>
      </w:pPr>
      <w:bookmarkStart w:id="11" w:name="_Hlk3281664"/>
      <w:r w:rsidRPr="00293C29">
        <w:rPr>
          <w:lang w:val="en-GB"/>
        </w:rPr>
        <w:t xml:space="preserve">Heterogeneity was </w:t>
      </w:r>
      <w:r>
        <w:rPr>
          <w:lang w:val="en-GB"/>
        </w:rPr>
        <w:t>low</w:t>
      </w:r>
      <w:r w:rsidRPr="00293C29">
        <w:rPr>
          <w:lang w:val="en-GB"/>
        </w:rPr>
        <w:t xml:space="preserve"> for the analyses on spirometric restriction and airflow obstruction (I</w:t>
      </w:r>
      <w:r w:rsidRPr="00293C29">
        <w:rPr>
          <w:vertAlign w:val="superscript"/>
          <w:lang w:val="en-GB"/>
        </w:rPr>
        <w:t>2</w:t>
      </w:r>
      <w:r w:rsidRPr="00293C29">
        <w:rPr>
          <w:lang w:val="en-GB"/>
        </w:rPr>
        <w:t xml:space="preserve">: 0 to 20%; </w:t>
      </w:r>
      <w:r>
        <w:rPr>
          <w:lang w:val="en-GB"/>
        </w:rPr>
        <w:t xml:space="preserve">Q </w:t>
      </w:r>
      <w:r w:rsidRPr="00293C29">
        <w:rPr>
          <w:lang w:val="en-GB"/>
        </w:rPr>
        <w:t>p-value: 0.098 to 3.2x10</w:t>
      </w:r>
      <w:r w:rsidRPr="00293C29">
        <w:rPr>
          <w:vertAlign w:val="superscript"/>
          <w:lang w:val="en-GB"/>
        </w:rPr>
        <w:t>-4</w:t>
      </w:r>
      <w:r>
        <w:rPr>
          <w:lang w:val="en-GB"/>
        </w:rPr>
        <w:t>; global test p-value: 0.05 to 0.22</w:t>
      </w:r>
      <w:r w:rsidRPr="00293C29">
        <w:rPr>
          <w:lang w:val="en-GB"/>
        </w:rPr>
        <w:t xml:space="preserve">). </w:t>
      </w:r>
      <w:r w:rsidR="0057467A" w:rsidRPr="00293C29">
        <w:rPr>
          <w:lang w:val="en-GB"/>
        </w:rPr>
        <w:t>For the continuous lung function outcomes</w:t>
      </w:r>
      <w:r w:rsidR="00650857" w:rsidRPr="00293C29">
        <w:rPr>
          <w:lang w:val="en-GB"/>
        </w:rPr>
        <w:t>,</w:t>
      </w:r>
      <w:r w:rsidR="0057467A" w:rsidRPr="00293C29">
        <w:rPr>
          <w:lang w:val="en-GB"/>
        </w:rPr>
        <w:t xml:space="preserve"> the high I</w:t>
      </w:r>
      <w:r w:rsidR="0057467A" w:rsidRPr="00293C29">
        <w:rPr>
          <w:vertAlign w:val="superscript"/>
          <w:lang w:val="en-GB"/>
        </w:rPr>
        <w:t>2</w:t>
      </w:r>
      <w:r w:rsidR="0057467A" w:rsidRPr="00293C29">
        <w:rPr>
          <w:lang w:val="en-GB"/>
        </w:rPr>
        <w:t xml:space="preserve"> (</w:t>
      </w:r>
      <w:r w:rsidR="00320AB3" w:rsidRPr="00293C29">
        <w:rPr>
          <w:lang w:val="en-GB"/>
        </w:rPr>
        <w:t xml:space="preserve">46 </w:t>
      </w:r>
      <w:r w:rsidR="0057467A" w:rsidRPr="00293C29">
        <w:rPr>
          <w:lang w:val="en-GB"/>
        </w:rPr>
        <w:t>to 53%)</w:t>
      </w:r>
      <w:r w:rsidR="003B0FB2">
        <w:rPr>
          <w:lang w:val="en-GB"/>
        </w:rPr>
        <w:t>,</w:t>
      </w:r>
      <w:r w:rsidR="0057467A" w:rsidRPr="00293C29">
        <w:rPr>
          <w:lang w:val="en-GB"/>
        </w:rPr>
        <w:t xml:space="preserve"> the significant Q test (p-value: </w:t>
      </w:r>
      <w:r w:rsidR="00320AB3" w:rsidRPr="00293C29">
        <w:rPr>
          <w:lang w:val="en-GB"/>
        </w:rPr>
        <w:t>1.0</w:t>
      </w:r>
      <w:r w:rsidR="0057467A" w:rsidRPr="00293C29">
        <w:rPr>
          <w:lang w:val="en-GB"/>
        </w:rPr>
        <w:t>x10</w:t>
      </w:r>
      <w:r w:rsidR="0057467A" w:rsidRPr="00293C29">
        <w:rPr>
          <w:vertAlign w:val="superscript"/>
          <w:lang w:val="en-GB"/>
        </w:rPr>
        <w:t>-</w:t>
      </w:r>
      <w:r w:rsidR="00320AB3" w:rsidRPr="00293C29">
        <w:rPr>
          <w:vertAlign w:val="superscript"/>
          <w:lang w:val="en-GB"/>
        </w:rPr>
        <w:t>5</w:t>
      </w:r>
      <w:r w:rsidR="0057467A" w:rsidRPr="00293C29">
        <w:rPr>
          <w:lang w:val="en-GB"/>
        </w:rPr>
        <w:t xml:space="preserve"> to </w:t>
      </w:r>
      <w:r w:rsidR="00320AB3" w:rsidRPr="00293C29">
        <w:rPr>
          <w:lang w:val="en-GB"/>
        </w:rPr>
        <w:t>5.2</w:t>
      </w:r>
      <w:r w:rsidR="0057467A" w:rsidRPr="00293C29">
        <w:rPr>
          <w:lang w:val="en-GB"/>
        </w:rPr>
        <w:t>x10</w:t>
      </w:r>
      <w:r w:rsidR="0057467A" w:rsidRPr="00293C29">
        <w:rPr>
          <w:vertAlign w:val="superscript"/>
          <w:lang w:val="en-GB"/>
        </w:rPr>
        <w:t>-</w:t>
      </w:r>
      <w:r w:rsidR="00320AB3" w:rsidRPr="00293C29">
        <w:rPr>
          <w:vertAlign w:val="superscript"/>
          <w:lang w:val="en-GB"/>
        </w:rPr>
        <w:t>10</w:t>
      </w:r>
      <w:r w:rsidR="0057467A" w:rsidRPr="00293C29">
        <w:rPr>
          <w:lang w:val="en-GB"/>
        </w:rPr>
        <w:t xml:space="preserve">) </w:t>
      </w:r>
      <w:r w:rsidR="003B0FB2">
        <w:rPr>
          <w:lang w:val="en-GB"/>
        </w:rPr>
        <w:t xml:space="preserve">and significant global test of MR-PRESSO (p-value: &lt;0.0005) </w:t>
      </w:r>
      <w:r w:rsidR="0057467A" w:rsidRPr="00293C29">
        <w:rPr>
          <w:lang w:val="en-GB"/>
        </w:rPr>
        <w:t xml:space="preserve">suggested the presence of </w:t>
      </w:r>
      <w:r w:rsidR="003B0FB2">
        <w:rPr>
          <w:lang w:val="en-GB"/>
        </w:rPr>
        <w:t xml:space="preserve">(horizontal) </w:t>
      </w:r>
      <w:r w:rsidR="0057467A" w:rsidRPr="00293C29">
        <w:rPr>
          <w:lang w:val="en-GB"/>
        </w:rPr>
        <w:t xml:space="preserve">pleiotropy (Table </w:t>
      </w:r>
      <w:r w:rsidR="002A5327" w:rsidRPr="00293C29">
        <w:rPr>
          <w:lang w:val="en-GB"/>
        </w:rPr>
        <w:t>S3</w:t>
      </w:r>
      <w:r w:rsidR="0057467A" w:rsidRPr="00293C29">
        <w:rPr>
          <w:lang w:val="en-GB"/>
        </w:rPr>
        <w:t xml:space="preserve">). </w:t>
      </w:r>
      <w:r w:rsidR="003B0FB2">
        <w:rPr>
          <w:lang w:val="en-GB"/>
        </w:rPr>
        <w:t>Correcting for horizontal pleiotropy by MR-PRESSO</w:t>
      </w:r>
      <w:r w:rsidR="0077271F">
        <w:rPr>
          <w:lang w:val="en-GB"/>
        </w:rPr>
        <w:t xml:space="preserve"> </w:t>
      </w:r>
      <w:r w:rsidR="003B0FB2">
        <w:rPr>
          <w:lang w:val="en-GB"/>
        </w:rPr>
        <w:t xml:space="preserve">increased the effect estimate sizes but </w:t>
      </w:r>
      <w:r w:rsidR="00B279B2">
        <w:rPr>
          <w:lang w:val="en-GB"/>
        </w:rPr>
        <w:t>these</w:t>
      </w:r>
      <w:r w:rsidR="00B74C01">
        <w:rPr>
          <w:lang w:val="en-GB"/>
        </w:rPr>
        <w:t xml:space="preserve"> </w:t>
      </w:r>
      <w:r w:rsidR="00392CDA">
        <w:rPr>
          <w:lang w:val="en-GB"/>
        </w:rPr>
        <w:t>were</w:t>
      </w:r>
      <w:r w:rsidR="003B0FB2">
        <w:rPr>
          <w:lang w:val="en-GB"/>
        </w:rPr>
        <w:t xml:space="preserve"> not s</w:t>
      </w:r>
      <w:r w:rsidR="0077271F">
        <w:rPr>
          <w:lang w:val="en-GB"/>
        </w:rPr>
        <w:t xml:space="preserve">ignificantly </w:t>
      </w:r>
      <w:r w:rsidR="003B0FB2">
        <w:rPr>
          <w:lang w:val="en-GB"/>
        </w:rPr>
        <w:t>different</w:t>
      </w:r>
      <w:r w:rsidR="0077271F">
        <w:rPr>
          <w:lang w:val="en-GB"/>
        </w:rPr>
        <w:t xml:space="preserve"> </w:t>
      </w:r>
      <w:r w:rsidR="00B279B2">
        <w:rPr>
          <w:lang w:val="en-GB"/>
        </w:rPr>
        <w:t>from</w:t>
      </w:r>
      <w:r w:rsidR="003B0FB2">
        <w:rPr>
          <w:lang w:val="en-GB"/>
        </w:rPr>
        <w:t xml:space="preserve"> the original</w:t>
      </w:r>
      <w:r w:rsidR="0077271F">
        <w:rPr>
          <w:lang w:val="en-GB"/>
        </w:rPr>
        <w:t xml:space="preserve"> MR estimate</w:t>
      </w:r>
      <w:r w:rsidR="003B0FB2">
        <w:rPr>
          <w:lang w:val="en-GB"/>
        </w:rPr>
        <w:t>s</w:t>
      </w:r>
      <w:r w:rsidR="0077271F">
        <w:rPr>
          <w:lang w:val="en-GB"/>
        </w:rPr>
        <w:t xml:space="preserve"> (distortion test</w:t>
      </w:r>
      <w:r w:rsidR="00012F93">
        <w:rPr>
          <w:lang w:val="en-GB"/>
        </w:rPr>
        <w:t>; p-value: 0.43 to 0.94</w:t>
      </w:r>
      <w:r w:rsidR="0077271F">
        <w:rPr>
          <w:lang w:val="en-GB"/>
        </w:rPr>
        <w:t xml:space="preserve">). </w:t>
      </w:r>
    </w:p>
    <w:p w14:paraId="5D9D6CD2" w14:textId="7678131C" w:rsidR="00E073CB" w:rsidRPr="00293C29" w:rsidRDefault="00E1519B" w:rsidP="00A87748">
      <w:pPr>
        <w:spacing w:after="120"/>
        <w:jc w:val="both"/>
        <w:rPr>
          <w:lang w:val="en-GB"/>
        </w:rPr>
      </w:pPr>
      <w:r>
        <w:rPr>
          <w:lang w:val="en-GB"/>
        </w:rPr>
        <w:lastRenderedPageBreak/>
        <w:t>Overall, t</w:t>
      </w:r>
      <w:r w:rsidR="00F415E7" w:rsidRPr="00293C29">
        <w:rPr>
          <w:lang w:val="en-GB"/>
        </w:rPr>
        <w:t xml:space="preserve">he results </w:t>
      </w:r>
      <w:r w:rsidRPr="00B279B2">
        <w:rPr>
          <w:lang w:val="en-GB"/>
        </w:rPr>
        <w:t>from the other MR methods robust to pleiotropy</w:t>
      </w:r>
      <w:r w:rsidRPr="00293C29">
        <w:rPr>
          <w:lang w:val="en-GB"/>
        </w:rPr>
        <w:t xml:space="preserve"> </w:t>
      </w:r>
      <w:r w:rsidR="00F415E7" w:rsidRPr="00293C29">
        <w:rPr>
          <w:lang w:val="en-GB"/>
        </w:rPr>
        <w:t xml:space="preserve">were consistent </w:t>
      </w:r>
      <w:r w:rsidR="00B279B2" w:rsidRPr="00B279B2">
        <w:rPr>
          <w:lang w:val="en-GB"/>
        </w:rPr>
        <w:t xml:space="preserve">with those from the main analysis </w:t>
      </w:r>
      <w:r w:rsidR="00E105B1" w:rsidRPr="00293C29">
        <w:rPr>
          <w:lang w:val="en-GB"/>
        </w:rPr>
        <w:t>(</w:t>
      </w:r>
      <w:r w:rsidR="003A5FD5" w:rsidRPr="00293C29">
        <w:rPr>
          <w:lang w:val="en-GB"/>
        </w:rPr>
        <w:t xml:space="preserve">Figure </w:t>
      </w:r>
      <w:r w:rsidR="001A45EC">
        <w:rPr>
          <w:lang w:val="en-GB"/>
        </w:rPr>
        <w:t>2</w:t>
      </w:r>
      <w:r w:rsidR="00EE65E5" w:rsidRPr="00293C29">
        <w:rPr>
          <w:lang w:val="en-GB"/>
        </w:rPr>
        <w:t xml:space="preserve"> and Table </w:t>
      </w:r>
      <w:r w:rsidR="002A5327" w:rsidRPr="00293C29">
        <w:rPr>
          <w:lang w:val="en-GB"/>
        </w:rPr>
        <w:t>S3</w:t>
      </w:r>
      <w:r w:rsidR="00E105B1" w:rsidRPr="00293C29">
        <w:rPr>
          <w:lang w:val="en-GB"/>
        </w:rPr>
        <w:t xml:space="preserve">). </w:t>
      </w:r>
      <w:bookmarkEnd w:id="11"/>
      <w:r>
        <w:rPr>
          <w:lang w:val="en-GB"/>
        </w:rPr>
        <w:t>F</w:t>
      </w:r>
      <w:r w:rsidRPr="00293C29">
        <w:rPr>
          <w:lang w:val="en-GB"/>
        </w:rPr>
        <w:t>or FEV</w:t>
      </w:r>
      <w:r w:rsidRPr="00293C29">
        <w:rPr>
          <w:vertAlign w:val="subscript"/>
          <w:lang w:val="en-GB"/>
        </w:rPr>
        <w:t>1</w:t>
      </w:r>
      <w:r w:rsidRPr="00293C29">
        <w:rPr>
          <w:lang w:val="en-GB"/>
        </w:rPr>
        <w:t>/FVC and airflow obstruction</w:t>
      </w:r>
      <w:r>
        <w:rPr>
          <w:lang w:val="en-GB"/>
        </w:rPr>
        <w:t xml:space="preserve">, a protective effect of early menopause was found </w:t>
      </w:r>
      <w:r w:rsidR="00152965">
        <w:rPr>
          <w:lang w:val="en-GB"/>
        </w:rPr>
        <w:t>for all</w:t>
      </w:r>
      <w:r>
        <w:rPr>
          <w:lang w:val="en-GB"/>
        </w:rPr>
        <w:t xml:space="preserve"> MR </w:t>
      </w:r>
      <w:r w:rsidR="00152965">
        <w:rPr>
          <w:lang w:val="en-GB"/>
        </w:rPr>
        <w:t>methods</w:t>
      </w:r>
      <w:r>
        <w:rPr>
          <w:lang w:val="en-GB"/>
        </w:rPr>
        <w:t>, and f</w:t>
      </w:r>
      <w:r w:rsidR="007033BE" w:rsidRPr="00293C29">
        <w:rPr>
          <w:lang w:val="en-GB"/>
        </w:rPr>
        <w:t xml:space="preserve">or </w:t>
      </w:r>
      <w:r w:rsidR="003A5FD5" w:rsidRPr="00293C29">
        <w:rPr>
          <w:lang w:val="en-GB"/>
        </w:rPr>
        <w:t xml:space="preserve">FVC and </w:t>
      </w:r>
      <w:r w:rsidR="00D53B32" w:rsidRPr="00293C29">
        <w:rPr>
          <w:lang w:val="en-GB"/>
        </w:rPr>
        <w:t>spirometric restriction</w:t>
      </w:r>
      <w:r w:rsidR="003A5FD5" w:rsidRPr="00293C29">
        <w:rPr>
          <w:lang w:val="en-GB"/>
        </w:rPr>
        <w:t xml:space="preserve">, </w:t>
      </w:r>
      <w:r w:rsidR="007033BE" w:rsidRPr="00293C29">
        <w:rPr>
          <w:lang w:val="en-GB"/>
        </w:rPr>
        <w:t xml:space="preserve">the MR estimates </w:t>
      </w:r>
      <w:r w:rsidR="004500D0">
        <w:rPr>
          <w:lang w:val="en-GB"/>
        </w:rPr>
        <w:t>remained</w:t>
      </w:r>
      <w:r w:rsidR="005A2C58">
        <w:rPr>
          <w:lang w:val="en-GB"/>
        </w:rPr>
        <w:t xml:space="preserve"> </w:t>
      </w:r>
      <w:r w:rsidR="001871A4" w:rsidRPr="00293C29">
        <w:rPr>
          <w:lang w:val="en-GB"/>
        </w:rPr>
        <w:t>not significant</w:t>
      </w:r>
      <w:r w:rsidR="003A5FD5" w:rsidRPr="00293C29">
        <w:rPr>
          <w:lang w:val="en-GB"/>
        </w:rPr>
        <w:t xml:space="preserve">, except </w:t>
      </w:r>
      <w:r w:rsidR="00E9421C" w:rsidRPr="00293C29">
        <w:rPr>
          <w:lang w:val="en-GB"/>
        </w:rPr>
        <w:t xml:space="preserve">for </w:t>
      </w:r>
      <w:r w:rsidR="003A5FD5" w:rsidRPr="00293C29">
        <w:rPr>
          <w:lang w:val="en-GB"/>
        </w:rPr>
        <w:t xml:space="preserve">the MR-Egger </w:t>
      </w:r>
      <w:r w:rsidR="00764702" w:rsidRPr="00293C29">
        <w:rPr>
          <w:lang w:val="en-GB"/>
        </w:rPr>
        <w:t xml:space="preserve">estimate </w:t>
      </w:r>
      <w:r w:rsidR="001871A4" w:rsidRPr="00293C29">
        <w:rPr>
          <w:lang w:val="en-GB"/>
        </w:rPr>
        <w:t>of</w:t>
      </w:r>
      <w:r w:rsidR="003A5FD5" w:rsidRPr="00293C29">
        <w:rPr>
          <w:lang w:val="en-GB"/>
        </w:rPr>
        <w:t xml:space="preserve"> </w:t>
      </w:r>
      <w:r w:rsidR="00FB46EB" w:rsidRPr="00293C29">
        <w:rPr>
          <w:lang w:val="en-GB"/>
        </w:rPr>
        <w:t xml:space="preserve">early menopause </w:t>
      </w:r>
      <w:r w:rsidR="00F05C3A" w:rsidRPr="00293C29">
        <w:rPr>
          <w:lang w:val="en-GB"/>
        </w:rPr>
        <w:t xml:space="preserve">on </w:t>
      </w:r>
      <w:r w:rsidR="00FB46EB" w:rsidRPr="00293C29">
        <w:rPr>
          <w:lang w:val="en-GB"/>
        </w:rPr>
        <w:t>spirometric restriction (OR 1.12</w:t>
      </w:r>
      <w:r w:rsidR="00F225AB" w:rsidRPr="00293C29">
        <w:rPr>
          <w:lang w:val="en-GB"/>
        </w:rPr>
        <w:t xml:space="preserve"> [1.00 to 1.24]</w:t>
      </w:r>
      <w:r w:rsidR="00FB46EB" w:rsidRPr="00293C29">
        <w:rPr>
          <w:lang w:val="en-GB"/>
        </w:rPr>
        <w:t xml:space="preserve">). </w:t>
      </w:r>
    </w:p>
    <w:p w14:paraId="7B649DEF" w14:textId="321D6B3B" w:rsidR="004E30E7" w:rsidRDefault="006F4615" w:rsidP="00A87748">
      <w:pPr>
        <w:spacing w:after="120"/>
        <w:jc w:val="both"/>
        <w:rPr>
          <w:lang w:val="en-GB"/>
        </w:rPr>
      </w:pPr>
      <w:r w:rsidRPr="00293C29">
        <w:rPr>
          <w:lang w:val="en-GB"/>
        </w:rPr>
        <w:t xml:space="preserve">We further </w:t>
      </w:r>
      <w:r w:rsidR="00BD0D9D" w:rsidRPr="00293C29">
        <w:rPr>
          <w:lang w:val="en-GB"/>
        </w:rPr>
        <w:t xml:space="preserve">assessed the impact of pleiotropy by </w:t>
      </w:r>
      <w:r w:rsidR="00AB61CD" w:rsidRPr="00293C29">
        <w:rPr>
          <w:lang w:val="en-GB"/>
        </w:rPr>
        <w:t>remov</w:t>
      </w:r>
      <w:r w:rsidR="00BD0D9D" w:rsidRPr="00293C29">
        <w:rPr>
          <w:lang w:val="en-GB"/>
        </w:rPr>
        <w:t xml:space="preserve">ing </w:t>
      </w:r>
      <w:r w:rsidR="00AB61CD" w:rsidRPr="00293C29">
        <w:rPr>
          <w:lang w:val="en-GB"/>
        </w:rPr>
        <w:t>SNPs with potential pleiotropic effects.</w:t>
      </w:r>
      <w:r w:rsidR="007A0590" w:rsidRPr="00293C29">
        <w:rPr>
          <w:lang w:val="en-GB"/>
        </w:rPr>
        <w:t xml:space="preserve"> Out of </w:t>
      </w:r>
      <w:r w:rsidR="00EE65E5" w:rsidRPr="00293C29">
        <w:rPr>
          <w:lang w:val="en-GB"/>
        </w:rPr>
        <w:t>63 SNPs, 16</w:t>
      </w:r>
      <w:r w:rsidR="007A0590" w:rsidRPr="00293C29">
        <w:rPr>
          <w:lang w:val="en-GB"/>
        </w:rPr>
        <w:t xml:space="preserve"> SNPs were previously associated with height, </w:t>
      </w:r>
      <w:r w:rsidR="00470CD6" w:rsidRPr="00293C29">
        <w:rPr>
          <w:lang w:val="en-GB"/>
        </w:rPr>
        <w:t>five</w:t>
      </w:r>
      <w:r w:rsidR="007A0590" w:rsidRPr="00293C29">
        <w:rPr>
          <w:lang w:val="en-GB"/>
        </w:rPr>
        <w:t xml:space="preserve"> with </w:t>
      </w:r>
      <w:r w:rsidR="00886A59" w:rsidRPr="00293C29">
        <w:rPr>
          <w:lang w:val="en-GB"/>
        </w:rPr>
        <w:t xml:space="preserve">(adult) </w:t>
      </w:r>
      <w:r w:rsidR="007A0590" w:rsidRPr="00293C29">
        <w:rPr>
          <w:lang w:val="en-GB"/>
        </w:rPr>
        <w:t xml:space="preserve">BMI and </w:t>
      </w:r>
      <w:r w:rsidR="00470CD6" w:rsidRPr="00293C29">
        <w:rPr>
          <w:lang w:val="en-GB"/>
        </w:rPr>
        <w:t>four</w:t>
      </w:r>
      <w:r w:rsidR="007A0590" w:rsidRPr="00293C29">
        <w:rPr>
          <w:lang w:val="en-GB"/>
        </w:rPr>
        <w:t xml:space="preserve"> with age at menarche. Removing these SNPs gave similar results </w:t>
      </w:r>
      <w:r w:rsidR="005E27C2" w:rsidRPr="00293C29">
        <w:rPr>
          <w:lang w:val="en-GB"/>
        </w:rPr>
        <w:t>for both FEV</w:t>
      </w:r>
      <w:r w:rsidR="005E27C2" w:rsidRPr="00293C29">
        <w:rPr>
          <w:vertAlign w:val="subscript"/>
          <w:lang w:val="en-GB"/>
        </w:rPr>
        <w:t>1</w:t>
      </w:r>
      <w:r w:rsidR="005E27C2" w:rsidRPr="00293C29">
        <w:rPr>
          <w:lang w:val="en-GB"/>
        </w:rPr>
        <w:t xml:space="preserve">/FVC and airflow obstruction compared </w:t>
      </w:r>
      <w:r w:rsidR="007A0590" w:rsidRPr="00293C29">
        <w:rPr>
          <w:lang w:val="en-GB"/>
        </w:rPr>
        <w:t>to the main analyses</w:t>
      </w:r>
      <w:r w:rsidR="009D5685" w:rsidRPr="00293C29">
        <w:rPr>
          <w:lang w:val="en-GB"/>
        </w:rPr>
        <w:t xml:space="preserve">, indicating </w:t>
      </w:r>
      <w:r w:rsidR="00D62E26" w:rsidRPr="00293C29">
        <w:rPr>
          <w:lang w:val="en-GB"/>
        </w:rPr>
        <w:t>robustness to pleiotropy</w:t>
      </w:r>
      <w:r w:rsidR="009D5685" w:rsidRPr="00293C29">
        <w:rPr>
          <w:lang w:val="en-GB"/>
        </w:rPr>
        <w:t xml:space="preserve"> (Table</w:t>
      </w:r>
      <w:r w:rsidR="004E30E7" w:rsidRPr="00293C29">
        <w:rPr>
          <w:lang w:val="en-GB"/>
        </w:rPr>
        <w:t>s</w:t>
      </w:r>
      <w:r w:rsidR="009D5685" w:rsidRPr="00293C29">
        <w:rPr>
          <w:lang w:val="en-GB"/>
        </w:rPr>
        <w:t xml:space="preserve"> </w:t>
      </w:r>
      <w:r w:rsidR="00F821D1" w:rsidRPr="00293C29">
        <w:rPr>
          <w:lang w:val="en-GB"/>
        </w:rPr>
        <w:t xml:space="preserve">2, 3 </w:t>
      </w:r>
      <w:r w:rsidR="00EE65E5" w:rsidRPr="00293C29">
        <w:rPr>
          <w:lang w:val="en-GB"/>
        </w:rPr>
        <w:t xml:space="preserve">and </w:t>
      </w:r>
      <w:r w:rsidR="002A5327" w:rsidRPr="00293C29">
        <w:rPr>
          <w:lang w:val="en-GB"/>
        </w:rPr>
        <w:t>S3</w:t>
      </w:r>
      <w:r w:rsidR="009D5685" w:rsidRPr="00293C29">
        <w:rPr>
          <w:lang w:val="en-GB"/>
        </w:rPr>
        <w:t>).</w:t>
      </w:r>
      <w:r w:rsidR="00277E13" w:rsidRPr="00293C29">
        <w:rPr>
          <w:lang w:val="en-GB"/>
        </w:rPr>
        <w:t xml:space="preserve"> Yet, we found </w:t>
      </w:r>
      <w:r w:rsidR="00395A49" w:rsidRPr="00293C29">
        <w:rPr>
          <w:lang w:val="en-GB"/>
        </w:rPr>
        <w:t>a small detrimental effect</w:t>
      </w:r>
      <w:r w:rsidR="00277E13" w:rsidRPr="00293C29">
        <w:rPr>
          <w:lang w:val="en-GB"/>
        </w:rPr>
        <w:t xml:space="preserve"> of early menopause</w:t>
      </w:r>
      <w:r w:rsidR="00395A49" w:rsidRPr="00293C29">
        <w:rPr>
          <w:lang w:val="en-GB"/>
        </w:rPr>
        <w:t xml:space="preserve"> on</w:t>
      </w:r>
      <w:r w:rsidR="00AB4E95" w:rsidRPr="00293C29">
        <w:rPr>
          <w:lang w:val="en-GB"/>
        </w:rPr>
        <w:t xml:space="preserve"> FVC </w:t>
      </w:r>
      <w:r w:rsidR="00152965">
        <w:rPr>
          <w:lang w:val="en-GB"/>
        </w:rPr>
        <w:t xml:space="preserve">when excluding possible pleiotropic SNPs </w:t>
      </w:r>
      <w:r w:rsidR="00AB4E95" w:rsidRPr="00293C29">
        <w:rPr>
          <w:lang w:val="en-GB"/>
        </w:rPr>
        <w:t>(-6.77mL [-12.8 to -0.067])</w:t>
      </w:r>
      <w:r w:rsidR="00BA6A68" w:rsidRPr="00293C29">
        <w:rPr>
          <w:lang w:val="en-GB"/>
        </w:rPr>
        <w:t xml:space="preserve">, but </w:t>
      </w:r>
      <w:r w:rsidR="00764702" w:rsidRPr="00293C29">
        <w:rPr>
          <w:lang w:val="en-GB"/>
        </w:rPr>
        <w:t xml:space="preserve">still </w:t>
      </w:r>
      <w:r w:rsidR="00EC792B" w:rsidRPr="00293C29">
        <w:rPr>
          <w:lang w:val="en-GB"/>
        </w:rPr>
        <w:t>no effect on</w:t>
      </w:r>
      <w:r w:rsidR="00BA6A68" w:rsidRPr="00293C29">
        <w:rPr>
          <w:lang w:val="en-GB"/>
        </w:rPr>
        <w:t xml:space="preserve"> spirometric restriction (OR 1.03 [0.98 to 1.08])</w:t>
      </w:r>
      <w:r w:rsidR="00AB4E95" w:rsidRPr="00293C29">
        <w:rPr>
          <w:lang w:val="en-GB"/>
        </w:rPr>
        <w:t xml:space="preserve">. </w:t>
      </w:r>
    </w:p>
    <w:p w14:paraId="237C54EA" w14:textId="515ED7F1" w:rsidR="00737994" w:rsidRPr="00293C29" w:rsidRDefault="00737994" w:rsidP="00737994">
      <w:pPr>
        <w:spacing w:after="120"/>
        <w:jc w:val="both"/>
        <w:rPr>
          <w:u w:val="single"/>
          <w:lang w:val="en-GB"/>
        </w:rPr>
      </w:pPr>
      <w:r>
        <w:rPr>
          <w:u w:val="single"/>
          <w:lang w:val="en-GB"/>
        </w:rPr>
        <w:t>Sensitivity</w:t>
      </w:r>
      <w:r w:rsidRPr="00293C29">
        <w:rPr>
          <w:u w:val="single"/>
          <w:lang w:val="en-GB"/>
        </w:rPr>
        <w:t xml:space="preserve"> analyses </w:t>
      </w:r>
    </w:p>
    <w:p w14:paraId="44DF246A" w14:textId="5D8E91FE" w:rsidR="00FA5641" w:rsidRDefault="00694CDC" w:rsidP="00A238B8">
      <w:pPr>
        <w:spacing w:after="120"/>
        <w:jc w:val="both"/>
        <w:rPr>
          <w:lang w:val="en-GB"/>
        </w:rPr>
      </w:pPr>
      <w:r w:rsidRPr="00694CDC">
        <w:rPr>
          <w:lang w:val="en-GB"/>
        </w:rPr>
        <w:t xml:space="preserve">Results consistent with the main analyses were found in all sensitivity analyses assessing the robustness of our findings to choices made </w:t>
      </w:r>
      <w:r w:rsidRPr="00694CDC">
        <w:rPr>
          <w:i/>
          <w:lang w:val="en-GB"/>
        </w:rPr>
        <w:t>a priori</w:t>
      </w:r>
      <w:r w:rsidRPr="00694CDC">
        <w:rPr>
          <w:lang w:val="en-GB"/>
        </w:rPr>
        <w:t xml:space="preserve"> (Tables 2 and 3 for FEV</w:t>
      </w:r>
      <w:r w:rsidRPr="00694CDC">
        <w:rPr>
          <w:vertAlign w:val="subscript"/>
          <w:lang w:val="en-GB"/>
        </w:rPr>
        <w:t>1</w:t>
      </w:r>
      <w:r w:rsidRPr="00694CDC">
        <w:rPr>
          <w:lang w:val="en-GB"/>
        </w:rPr>
        <w:t xml:space="preserve">/FVC and airflow obstruction; Table S3 for all outcomes). These related to the MR method used (one-sample 2SLS (Figure 2)), the sample used (same number as observational analyses and </w:t>
      </w:r>
      <w:bookmarkStart w:id="12" w:name="_Hlk12024494"/>
      <w:r>
        <w:rPr>
          <w:lang w:val="en-GB"/>
        </w:rPr>
        <w:t>limited to</w:t>
      </w:r>
      <w:bookmarkEnd w:id="12"/>
      <w:r>
        <w:rPr>
          <w:lang w:val="en-GB"/>
        </w:rPr>
        <w:t xml:space="preserve"> </w:t>
      </w:r>
      <w:r w:rsidRPr="00694CDC">
        <w:rPr>
          <w:lang w:val="en-GB"/>
        </w:rPr>
        <w:t>non-asthmatic</w:t>
      </w:r>
      <w:r>
        <w:rPr>
          <w:lang w:val="en-GB"/>
        </w:rPr>
        <w:t>s</w:t>
      </w:r>
      <w:r w:rsidRPr="00694CDC">
        <w:rPr>
          <w:lang w:val="en-GB"/>
        </w:rPr>
        <w:t xml:space="preserve">), and the choice of SNPs used as instruments (limiting to SNPs identified by Day et al. </w:t>
      </w:r>
      <w:r w:rsidRPr="00AC3598">
        <w:rPr>
          <w:lang w:val="en-GB"/>
        </w:rPr>
        <w:fldChar w:fldCharType="begin" w:fldLock="1"/>
      </w:r>
      <w:r>
        <w:rPr>
          <w:lang w:val="en-GB"/>
        </w:rPr>
        <w:instrText>ADDIN CSL_CITATION {"citationItems":[{"id":"ITEM-1","itemData":{"DOI":"10.1038/ng.3412","PMID":"26414677","abstract":"Menopause timing has a substantial impact on infertility and risk of disease, including breast cancer, but the underlying mechanisms are poorly understood. We report a dual strategy in ~70,000 women to identify common and low-frequency protein-coding variation associated with age at natural menopause (ANM). We identified 44 regions with common variants, including two regions harboring additional rare missense alleles of large effect. We found enrichment of signals in or near genes involved in delayed puberty, highlighting the first molecular links between the onset and end of reproductive lifespan. Pathway analyses identified major association with DNA damage response (DDR) genes, including the first common coding variant in BRCA1 associated with any complex trait. Mendelian randomization analyses supported a causal effect of later ANM on breast cancer risk (~6% increase in risk per year; P = 3 × 10−14), likely mediated by prolonged sex hormone exposure rather than DDR mechanisms.","author":[{"dropping-particle":"","family":"Day","given":"FR","non-dropping-particle":"","parse-names":false,"suffix":""},{"dropping-particle":"","family":"Ruth","given":"KS","non-dropping-particle":"","parse-names":false,"suffix":""},{"dropping-particle":"","family":"Thompson","given":"DJ","non-dropping-particle":"","parse-names":false,"suffix":""}],"container-title":"Nature Genetics","id":"ITEM-1","issue":"11","issued":{"date-parts":[["2015"]]},"page":"1294-1303","title":"Large-scale genomic analyses link reproductive aging to hypothalamic signaling, breast cancer susceptibility and BRCA1-mediated DNA repair","type":"article-journal","volume":"47"},"uris":["http://www.mendeley.com/documents/?uuid=b41cb5c5-d314-4bce-a40b-afd9e69f609c"]}],"mendeley":{"formattedCitation":"[18]","plainTextFormattedCitation":"[18]","previouslyFormattedCitation":"[18]"},"properties":{"noteIndex":0},"schema":"https://github.com/citation-style-language/schema/raw/master/csl-citation.json"}</w:instrText>
      </w:r>
      <w:r w:rsidRPr="00AC3598">
        <w:rPr>
          <w:lang w:val="en-GB"/>
        </w:rPr>
        <w:fldChar w:fldCharType="separate"/>
      </w:r>
      <w:r w:rsidRPr="00AC3598">
        <w:rPr>
          <w:noProof/>
          <w:lang w:val="en-GB"/>
        </w:rPr>
        <w:t>[18]</w:t>
      </w:r>
      <w:r w:rsidRPr="00AC3598">
        <w:rPr>
          <w:lang w:val="en-GB"/>
        </w:rPr>
        <w:fldChar w:fldCharType="end"/>
      </w:r>
      <w:r>
        <w:rPr>
          <w:lang w:val="en-GB"/>
        </w:rPr>
        <w:t>)</w:t>
      </w:r>
      <w:r w:rsidRPr="00694CDC">
        <w:rPr>
          <w:lang w:val="en-GB"/>
        </w:rPr>
        <w:t xml:space="preserve">. </w:t>
      </w:r>
      <w:bookmarkStart w:id="13" w:name="_Hlk12024630"/>
      <w:r w:rsidR="00FA5641" w:rsidRPr="00FA5641">
        <w:rPr>
          <w:lang w:val="en-GB"/>
        </w:rPr>
        <w:t>We also found consistent results when using GX estimates for continuous age at menopause from the literature (Day et al.</w:t>
      </w:r>
      <w:r w:rsidR="00894962" w:rsidRPr="00894962">
        <w:rPr>
          <w:lang w:val="en-GB"/>
        </w:rPr>
        <w:t xml:space="preserve"> </w:t>
      </w:r>
      <w:r w:rsidR="00894962" w:rsidRPr="00AC3598">
        <w:rPr>
          <w:lang w:val="en-GB"/>
        </w:rPr>
        <w:fldChar w:fldCharType="begin" w:fldLock="1"/>
      </w:r>
      <w:r w:rsidR="00894962">
        <w:rPr>
          <w:lang w:val="en-GB"/>
        </w:rPr>
        <w:instrText>ADDIN CSL_CITATION {"citationItems":[{"id":"ITEM-1","itemData":{"DOI":"10.1038/ng.3412","PMID":"26414677","abstract":"Menopause timing has a substantial impact on infertility and risk of disease, including breast cancer, but the underlying mechanisms are poorly understood. We report a dual strategy in ~70,000 women to identify common and low-frequency protein-coding variation associated with age at natural menopause (ANM). We identified 44 regions with common variants, including two regions harboring additional rare missense alleles of large effect. We found enrichment of signals in or near genes involved in delayed puberty, highlighting the first molecular links between the onset and end of reproductive lifespan. Pathway analyses identified major association with DNA damage response (DDR) genes, including the first common coding variant in BRCA1 associated with any complex trait. Mendelian randomization analyses supported a causal effect of later ANM on breast cancer risk (~6% increase in risk per year; P = 3 × 10−14), likely mediated by prolonged sex hormone exposure rather than DDR mechanisms.","author":[{"dropping-particle":"","family":"Day","given":"FR","non-dropping-particle":"","parse-names":false,"suffix":""},{"dropping-particle":"","family":"Ruth","given":"KS","non-dropping-particle":"","parse-names":false,"suffix":""},{"dropping-particle":"","family":"Thompson","given":"DJ","non-dropping-particle":"","parse-names":false,"suffix":""}],"container-title":"Nature Genetics","id":"ITEM-1","issue":"11","issued":{"date-parts":[["2015"]]},"page":"1294-1303","title":"Large-scale genomic analyses link reproductive aging to hypothalamic signaling, breast cancer susceptibility and BRCA1-mediated DNA repair","type":"article-journal","volume":"47"},"uris":["http://www.mendeley.com/documents/?uuid=b41cb5c5-d314-4bce-a40b-afd9e69f609c"]}],"mendeley":{"formattedCitation":"[18]","plainTextFormattedCitation":"[18]","previouslyFormattedCitation":"[18]"},"properties":{"noteIndex":0},"schema":"https://github.com/citation-style-language/schema/raw/master/csl-citation.json"}</w:instrText>
      </w:r>
      <w:r w:rsidR="00894962" w:rsidRPr="00AC3598">
        <w:rPr>
          <w:lang w:val="en-GB"/>
        </w:rPr>
        <w:fldChar w:fldCharType="separate"/>
      </w:r>
      <w:r w:rsidR="00894962" w:rsidRPr="00AC3598">
        <w:rPr>
          <w:noProof/>
          <w:lang w:val="en-GB"/>
        </w:rPr>
        <w:t>[18]</w:t>
      </w:r>
      <w:r w:rsidR="00894962" w:rsidRPr="00AC3598">
        <w:rPr>
          <w:lang w:val="en-GB"/>
        </w:rPr>
        <w:fldChar w:fldCharType="end"/>
      </w:r>
      <w:r w:rsidR="00FA5641" w:rsidRPr="00FA5641">
        <w:rPr>
          <w:lang w:val="en-GB"/>
        </w:rPr>
        <w:t>) and GY estimates from UKB</w:t>
      </w:r>
      <w:r w:rsidR="001969DE">
        <w:rPr>
          <w:lang w:val="en-GB"/>
        </w:rPr>
        <w:t xml:space="preserve"> (Table S4)</w:t>
      </w:r>
      <w:r w:rsidR="00FA5641">
        <w:rPr>
          <w:lang w:val="en-GB"/>
        </w:rPr>
        <w:t>.</w:t>
      </w:r>
      <w:bookmarkEnd w:id="13"/>
    </w:p>
    <w:p w14:paraId="5E0BDE5F" w14:textId="77777777" w:rsidR="002E05FE" w:rsidRPr="00293C29" w:rsidRDefault="002E05FE" w:rsidP="00A87748">
      <w:pPr>
        <w:spacing w:after="120"/>
        <w:jc w:val="both"/>
        <w:rPr>
          <w:u w:val="single"/>
          <w:lang w:val="en-GB"/>
        </w:rPr>
      </w:pPr>
      <w:r w:rsidRPr="00293C29">
        <w:rPr>
          <w:u w:val="single"/>
          <w:lang w:val="en-GB"/>
        </w:rPr>
        <w:t>Subgroup analyses</w:t>
      </w:r>
      <w:r w:rsidR="00131854" w:rsidRPr="00293C29">
        <w:rPr>
          <w:u w:val="single"/>
          <w:lang w:val="en-GB"/>
        </w:rPr>
        <w:t xml:space="preserve"> </w:t>
      </w:r>
    </w:p>
    <w:p w14:paraId="1CD73B05" w14:textId="7D9F666B" w:rsidR="00011601" w:rsidRPr="00293C29" w:rsidRDefault="00787099" w:rsidP="00A87748">
      <w:pPr>
        <w:spacing w:after="120"/>
        <w:jc w:val="both"/>
        <w:rPr>
          <w:lang w:val="en-GB"/>
        </w:rPr>
      </w:pPr>
      <w:r w:rsidRPr="00293C29">
        <w:rPr>
          <w:lang w:val="en-GB"/>
        </w:rPr>
        <w:t>W</w:t>
      </w:r>
      <w:r w:rsidR="00BC5248" w:rsidRPr="00293C29">
        <w:rPr>
          <w:lang w:val="en-GB"/>
        </w:rPr>
        <w:t xml:space="preserve">e hypothesized a possible stronger effect in </w:t>
      </w:r>
      <w:proofErr w:type="gramStart"/>
      <w:r w:rsidR="00BC5248" w:rsidRPr="00293C29">
        <w:rPr>
          <w:lang w:val="en-GB"/>
        </w:rPr>
        <w:t>smokers</w:t>
      </w:r>
      <w:r w:rsidR="00AE6431" w:rsidRPr="00293C29">
        <w:rPr>
          <w:lang w:val="en-GB"/>
        </w:rPr>
        <w:t>, but</w:t>
      </w:r>
      <w:proofErr w:type="gramEnd"/>
      <w:r w:rsidR="00AE6431" w:rsidRPr="00293C29">
        <w:rPr>
          <w:lang w:val="en-GB"/>
        </w:rPr>
        <w:t xml:space="preserve"> found no statistically significant difference in MR estimates </w:t>
      </w:r>
      <w:r w:rsidR="006E68E6" w:rsidRPr="00293C29">
        <w:rPr>
          <w:lang w:val="en-GB"/>
        </w:rPr>
        <w:t>for FEV</w:t>
      </w:r>
      <w:r w:rsidR="006E68E6" w:rsidRPr="00293C29">
        <w:rPr>
          <w:vertAlign w:val="subscript"/>
          <w:lang w:val="en-GB"/>
        </w:rPr>
        <w:t>1</w:t>
      </w:r>
      <w:r w:rsidR="006E68E6" w:rsidRPr="00293C29">
        <w:rPr>
          <w:lang w:val="en-GB"/>
        </w:rPr>
        <w:t xml:space="preserve">/FVC and airflow obstruction </w:t>
      </w:r>
      <w:r w:rsidR="00140D01" w:rsidRPr="00293C29">
        <w:rPr>
          <w:lang w:val="en-GB"/>
        </w:rPr>
        <w:t>between</w:t>
      </w:r>
      <w:r w:rsidR="006E68E6" w:rsidRPr="00293C29">
        <w:rPr>
          <w:lang w:val="en-GB"/>
        </w:rPr>
        <w:t xml:space="preserve"> </w:t>
      </w:r>
      <w:r w:rsidR="00A118E6" w:rsidRPr="00293C29">
        <w:rPr>
          <w:lang w:val="en-GB"/>
        </w:rPr>
        <w:t>ever-</w:t>
      </w:r>
      <w:r w:rsidR="00140D01" w:rsidRPr="00293C29">
        <w:rPr>
          <w:lang w:val="en-GB"/>
        </w:rPr>
        <w:t xml:space="preserve"> and never-</w:t>
      </w:r>
      <w:r w:rsidR="00A118E6" w:rsidRPr="00293C29">
        <w:rPr>
          <w:lang w:val="en-GB"/>
        </w:rPr>
        <w:t xml:space="preserve">smokers (Figure </w:t>
      </w:r>
      <w:r w:rsidR="001A45EC">
        <w:rPr>
          <w:lang w:val="en-GB"/>
        </w:rPr>
        <w:t>3</w:t>
      </w:r>
      <w:r w:rsidR="001A45EC" w:rsidRPr="00293C29">
        <w:rPr>
          <w:lang w:val="en-GB"/>
        </w:rPr>
        <w:t xml:space="preserve"> </w:t>
      </w:r>
      <w:r w:rsidR="00A118E6" w:rsidRPr="00293C29">
        <w:rPr>
          <w:lang w:val="en-GB"/>
        </w:rPr>
        <w:t>and Table S5).</w:t>
      </w:r>
      <w:r w:rsidR="006E68E6" w:rsidRPr="00293C29">
        <w:rPr>
          <w:lang w:val="en-GB"/>
        </w:rPr>
        <w:t xml:space="preserve"> </w:t>
      </w:r>
      <w:r w:rsidR="00BC463B" w:rsidRPr="00293C29">
        <w:rPr>
          <w:lang w:val="en-GB"/>
        </w:rPr>
        <w:t xml:space="preserve">In addition, we </w:t>
      </w:r>
      <w:r w:rsidR="003274F8" w:rsidRPr="00293C29">
        <w:rPr>
          <w:lang w:val="en-GB"/>
        </w:rPr>
        <w:t>hypothesized that</w:t>
      </w:r>
      <w:r w:rsidR="008A41ED" w:rsidRPr="00293C29">
        <w:rPr>
          <w:lang w:val="en-GB"/>
        </w:rPr>
        <w:t xml:space="preserve"> the </w:t>
      </w:r>
      <w:r w:rsidR="00C22C14" w:rsidRPr="00293C29">
        <w:rPr>
          <w:lang w:val="en-GB"/>
        </w:rPr>
        <w:t xml:space="preserve">protective </w:t>
      </w:r>
      <w:r w:rsidR="008A41ED" w:rsidRPr="00293C29">
        <w:rPr>
          <w:lang w:val="en-GB"/>
        </w:rPr>
        <w:t xml:space="preserve">effect of </w:t>
      </w:r>
      <w:r w:rsidR="00C22C14" w:rsidRPr="00293C29">
        <w:rPr>
          <w:lang w:val="en-GB"/>
        </w:rPr>
        <w:t xml:space="preserve">early </w:t>
      </w:r>
      <w:r w:rsidR="008A41ED" w:rsidRPr="00293C29">
        <w:rPr>
          <w:lang w:val="en-GB"/>
        </w:rPr>
        <w:t xml:space="preserve">menopause </w:t>
      </w:r>
      <w:r w:rsidR="003274F8" w:rsidRPr="00293C29">
        <w:rPr>
          <w:lang w:val="en-GB"/>
        </w:rPr>
        <w:t xml:space="preserve">might be </w:t>
      </w:r>
      <w:r w:rsidR="00DA1148" w:rsidRPr="00293C29">
        <w:rPr>
          <w:lang w:val="en-GB"/>
        </w:rPr>
        <w:t>less</w:t>
      </w:r>
      <w:r w:rsidR="00BF315E" w:rsidRPr="00293C29">
        <w:rPr>
          <w:lang w:val="en-GB"/>
        </w:rPr>
        <w:t xml:space="preserve"> evident</w:t>
      </w:r>
      <w:r w:rsidR="00C22C14" w:rsidRPr="00293C29">
        <w:rPr>
          <w:lang w:val="en-GB"/>
        </w:rPr>
        <w:t xml:space="preserve"> </w:t>
      </w:r>
      <w:r w:rsidR="008A41ED" w:rsidRPr="00293C29">
        <w:rPr>
          <w:lang w:val="en-GB"/>
        </w:rPr>
        <w:t xml:space="preserve">in women </w:t>
      </w:r>
      <w:r w:rsidR="00DA1148" w:rsidRPr="00293C29">
        <w:rPr>
          <w:lang w:val="en-GB"/>
        </w:rPr>
        <w:t xml:space="preserve">who still have high levels of female sex hormones after menopause (i.e. MHT users and </w:t>
      </w:r>
      <w:r w:rsidR="00E07879" w:rsidRPr="00293C29">
        <w:rPr>
          <w:lang w:val="en-GB"/>
        </w:rPr>
        <w:t>overweight/obese women</w:t>
      </w:r>
      <w:r w:rsidR="00DA1148" w:rsidRPr="00293C29">
        <w:rPr>
          <w:lang w:val="en-GB"/>
        </w:rPr>
        <w:t>)</w:t>
      </w:r>
      <w:r w:rsidR="00E275CF" w:rsidRPr="00293C29">
        <w:rPr>
          <w:lang w:val="en-GB"/>
        </w:rPr>
        <w:t>, and our findings support th</w:t>
      </w:r>
      <w:r w:rsidR="00E07879" w:rsidRPr="00293C29">
        <w:rPr>
          <w:lang w:val="en-GB"/>
        </w:rPr>
        <w:t>ese</w:t>
      </w:r>
      <w:r w:rsidR="00E275CF" w:rsidRPr="00293C29">
        <w:rPr>
          <w:lang w:val="en-GB"/>
        </w:rPr>
        <w:t xml:space="preserve"> hypothes</w:t>
      </w:r>
      <w:r w:rsidR="00E07879" w:rsidRPr="00293C29">
        <w:rPr>
          <w:lang w:val="en-GB"/>
        </w:rPr>
        <w:t>es</w:t>
      </w:r>
      <w:r w:rsidR="00B831F2" w:rsidRPr="00293C29">
        <w:rPr>
          <w:lang w:val="en-GB"/>
        </w:rPr>
        <w:t xml:space="preserve"> </w:t>
      </w:r>
      <w:r w:rsidR="003C2F99" w:rsidRPr="00293C29">
        <w:rPr>
          <w:lang w:val="en-GB"/>
        </w:rPr>
        <w:t>(</w:t>
      </w:r>
      <w:r w:rsidR="00486A8C" w:rsidRPr="00293C29">
        <w:rPr>
          <w:lang w:val="en-GB"/>
        </w:rPr>
        <w:t xml:space="preserve">Figure </w:t>
      </w:r>
      <w:r w:rsidR="001A45EC">
        <w:rPr>
          <w:lang w:val="en-GB"/>
        </w:rPr>
        <w:t>3</w:t>
      </w:r>
      <w:r w:rsidR="001A45EC" w:rsidRPr="00293C29">
        <w:rPr>
          <w:lang w:val="en-GB"/>
        </w:rPr>
        <w:t xml:space="preserve"> </w:t>
      </w:r>
      <w:r w:rsidR="001631F9" w:rsidRPr="00293C29">
        <w:rPr>
          <w:lang w:val="en-GB"/>
        </w:rPr>
        <w:t>and</w:t>
      </w:r>
      <w:r w:rsidR="00486A8C" w:rsidRPr="00293C29">
        <w:rPr>
          <w:lang w:val="en-GB"/>
        </w:rPr>
        <w:t xml:space="preserve"> Table S</w:t>
      </w:r>
      <w:r w:rsidR="007259FD" w:rsidRPr="00293C29">
        <w:rPr>
          <w:lang w:val="en-GB"/>
        </w:rPr>
        <w:t>5</w:t>
      </w:r>
      <w:r w:rsidR="00486A8C" w:rsidRPr="00293C29">
        <w:rPr>
          <w:lang w:val="en-GB"/>
        </w:rPr>
        <w:t xml:space="preserve">). </w:t>
      </w:r>
      <w:r w:rsidR="00DA1148" w:rsidRPr="00293C29">
        <w:rPr>
          <w:lang w:val="en-GB"/>
        </w:rPr>
        <w:t>We found a significant difference in effect between</w:t>
      </w:r>
      <w:r w:rsidR="00E07879" w:rsidRPr="00293C29">
        <w:rPr>
          <w:lang w:val="en-GB"/>
        </w:rPr>
        <w:t xml:space="preserve"> never- and ever MHT users</w:t>
      </w:r>
      <w:r w:rsidR="00DA1148" w:rsidRPr="00293C29">
        <w:rPr>
          <w:lang w:val="en-GB"/>
        </w:rPr>
        <w:t>;</w:t>
      </w:r>
      <w:r w:rsidR="00E07879" w:rsidRPr="00293C29">
        <w:rPr>
          <w:lang w:val="en-GB"/>
        </w:rPr>
        <w:t xml:space="preserve"> t</w:t>
      </w:r>
      <w:r w:rsidR="005D765F" w:rsidRPr="00293C29">
        <w:rPr>
          <w:lang w:val="en-GB"/>
        </w:rPr>
        <w:t>he interaction</w:t>
      </w:r>
      <w:r w:rsidR="00E07879" w:rsidRPr="00293C29">
        <w:rPr>
          <w:lang w:val="en-GB"/>
        </w:rPr>
        <w:t xml:space="preserve"> </w:t>
      </w:r>
      <w:r w:rsidR="005D765F" w:rsidRPr="00293C29">
        <w:rPr>
          <w:lang w:val="en-GB"/>
        </w:rPr>
        <w:t xml:space="preserve">was significant for </w:t>
      </w:r>
      <w:r w:rsidR="005E6315" w:rsidRPr="00293C29">
        <w:rPr>
          <w:lang w:val="en-GB"/>
        </w:rPr>
        <w:t>airflow obstruction</w:t>
      </w:r>
      <w:r w:rsidR="005E6315" w:rsidRPr="00293C29" w:rsidDel="005E6315">
        <w:rPr>
          <w:lang w:val="en-GB"/>
        </w:rPr>
        <w:t xml:space="preserve"> </w:t>
      </w:r>
      <w:r w:rsidR="00B1793F" w:rsidRPr="00293C29">
        <w:rPr>
          <w:lang w:val="en-GB"/>
        </w:rPr>
        <w:t>for bo</w:t>
      </w:r>
      <w:r w:rsidR="001631F9" w:rsidRPr="00293C29">
        <w:rPr>
          <w:lang w:val="en-GB"/>
        </w:rPr>
        <w:t>th early and late menopause (p=</w:t>
      </w:r>
      <w:r w:rsidR="00B1793F" w:rsidRPr="00293C29">
        <w:rPr>
          <w:lang w:val="en-GB"/>
        </w:rPr>
        <w:t>0.002 and 0.004)</w:t>
      </w:r>
      <w:r w:rsidR="00BF0A35" w:rsidRPr="00293C29">
        <w:rPr>
          <w:lang w:val="en-GB"/>
        </w:rPr>
        <w:t xml:space="preserve">, while </w:t>
      </w:r>
      <w:r w:rsidR="00B1793F" w:rsidRPr="00293C29">
        <w:rPr>
          <w:lang w:val="en-GB"/>
        </w:rPr>
        <w:t xml:space="preserve">for </w:t>
      </w:r>
      <w:r w:rsidR="005D765F" w:rsidRPr="00293C29">
        <w:rPr>
          <w:lang w:val="en-GB"/>
        </w:rPr>
        <w:t>FEV</w:t>
      </w:r>
      <w:r w:rsidR="005D765F" w:rsidRPr="00293C29">
        <w:rPr>
          <w:vertAlign w:val="subscript"/>
          <w:lang w:val="en-GB"/>
        </w:rPr>
        <w:t>1</w:t>
      </w:r>
      <w:r w:rsidR="00B1793F" w:rsidRPr="00293C29">
        <w:rPr>
          <w:lang w:val="en-GB"/>
        </w:rPr>
        <w:t>/FVC the interaction was significant for early menopause (</w:t>
      </w:r>
      <w:r w:rsidR="00011601" w:rsidRPr="00293C29">
        <w:rPr>
          <w:lang w:val="en-GB"/>
        </w:rPr>
        <w:t>p=</w:t>
      </w:r>
      <w:r w:rsidR="00E8673E" w:rsidRPr="00293C29">
        <w:rPr>
          <w:lang w:val="en-GB"/>
        </w:rPr>
        <w:t>0.04</w:t>
      </w:r>
      <w:r w:rsidR="00B1793F" w:rsidRPr="00293C29">
        <w:rPr>
          <w:lang w:val="en-GB"/>
        </w:rPr>
        <w:t>) and borderline for late menopause (</w:t>
      </w:r>
      <w:r w:rsidR="00011601" w:rsidRPr="00293C29">
        <w:rPr>
          <w:lang w:val="en-GB"/>
        </w:rPr>
        <w:t>p=</w:t>
      </w:r>
      <w:r w:rsidR="00E8673E" w:rsidRPr="00293C29">
        <w:rPr>
          <w:lang w:val="en-GB"/>
        </w:rPr>
        <w:t>0.07</w:t>
      </w:r>
      <w:r w:rsidR="00B1793F" w:rsidRPr="00293C29">
        <w:rPr>
          <w:lang w:val="en-GB"/>
        </w:rPr>
        <w:t>).</w:t>
      </w:r>
      <w:r w:rsidR="005E6315" w:rsidRPr="00293C29">
        <w:rPr>
          <w:lang w:val="en-GB"/>
        </w:rPr>
        <w:t xml:space="preserve"> </w:t>
      </w:r>
      <w:r w:rsidR="00E07879" w:rsidRPr="00293C29">
        <w:rPr>
          <w:lang w:val="en-GB"/>
        </w:rPr>
        <w:t>In the subgroup analyses based on median BMI, t</w:t>
      </w:r>
      <w:r w:rsidR="008D3CD5" w:rsidRPr="00293C29">
        <w:rPr>
          <w:lang w:val="en-GB"/>
        </w:rPr>
        <w:t xml:space="preserve">he </w:t>
      </w:r>
      <w:r w:rsidR="00BF0A35" w:rsidRPr="00293C29">
        <w:rPr>
          <w:lang w:val="en-GB"/>
        </w:rPr>
        <w:t>interaction</w:t>
      </w:r>
      <w:r w:rsidR="00011601" w:rsidRPr="00293C29">
        <w:rPr>
          <w:lang w:val="en-GB"/>
        </w:rPr>
        <w:t xml:space="preserve"> was significant for FEV</w:t>
      </w:r>
      <w:r w:rsidR="00011601" w:rsidRPr="00293C29">
        <w:rPr>
          <w:vertAlign w:val="subscript"/>
          <w:lang w:val="en-GB"/>
        </w:rPr>
        <w:t>1</w:t>
      </w:r>
      <w:r w:rsidR="00011601" w:rsidRPr="00293C29">
        <w:rPr>
          <w:lang w:val="en-GB"/>
        </w:rPr>
        <w:t>/FVC for both early and late menopause (p=4.6x10</w:t>
      </w:r>
      <w:r w:rsidR="00011601" w:rsidRPr="00293C29">
        <w:rPr>
          <w:vertAlign w:val="superscript"/>
          <w:lang w:val="en-GB"/>
        </w:rPr>
        <w:t>-7</w:t>
      </w:r>
      <w:r w:rsidR="00011601" w:rsidRPr="00293C29">
        <w:rPr>
          <w:lang w:val="en-GB"/>
        </w:rPr>
        <w:t xml:space="preserve"> and 0.005)</w:t>
      </w:r>
      <w:r w:rsidR="00E07879" w:rsidRPr="00293C29">
        <w:rPr>
          <w:lang w:val="en-GB"/>
        </w:rPr>
        <w:t>. F</w:t>
      </w:r>
      <w:r w:rsidR="00011601" w:rsidRPr="00293C29">
        <w:rPr>
          <w:lang w:val="en-GB"/>
        </w:rPr>
        <w:t xml:space="preserve">or </w:t>
      </w:r>
      <w:r w:rsidR="00BF0A35" w:rsidRPr="00293C29">
        <w:rPr>
          <w:lang w:val="en-GB"/>
        </w:rPr>
        <w:t>airflow obstruction</w:t>
      </w:r>
      <w:r w:rsidR="00E07879" w:rsidRPr="00293C29">
        <w:rPr>
          <w:lang w:val="en-GB"/>
        </w:rPr>
        <w:t>,</w:t>
      </w:r>
      <w:r w:rsidR="00BF0A35" w:rsidRPr="00293C29">
        <w:rPr>
          <w:lang w:val="en-GB"/>
        </w:rPr>
        <w:t xml:space="preserve"> </w:t>
      </w:r>
      <w:r w:rsidR="00011601" w:rsidRPr="00293C29">
        <w:rPr>
          <w:lang w:val="en-GB"/>
        </w:rPr>
        <w:t>the interaction was significant for early (p=0.026) and borderline for late menopause (p=0.07).</w:t>
      </w:r>
    </w:p>
    <w:p w14:paraId="07FFF16E" w14:textId="77777777" w:rsidR="00DD1A41" w:rsidRPr="00293C29" w:rsidRDefault="00DD1A41" w:rsidP="00A87748">
      <w:pPr>
        <w:spacing w:after="120"/>
        <w:jc w:val="both"/>
        <w:rPr>
          <w:i/>
          <w:lang w:val="en-GB"/>
        </w:rPr>
      </w:pPr>
      <w:r w:rsidRPr="00293C29">
        <w:rPr>
          <w:i/>
          <w:lang w:val="en-GB"/>
        </w:rPr>
        <w:t>Observational analyses</w:t>
      </w:r>
    </w:p>
    <w:p w14:paraId="00DDCECC" w14:textId="5D852956" w:rsidR="00DD1A41" w:rsidRDefault="00F46FCC" w:rsidP="00A87748">
      <w:pPr>
        <w:spacing w:after="120"/>
        <w:jc w:val="both"/>
        <w:rPr>
          <w:lang w:val="en-GB"/>
        </w:rPr>
      </w:pPr>
      <w:r w:rsidRPr="00293C29">
        <w:rPr>
          <w:lang w:val="en-GB"/>
        </w:rPr>
        <w:lastRenderedPageBreak/>
        <w:t>In the observational analyses, e</w:t>
      </w:r>
      <w:r w:rsidR="00DD1A41" w:rsidRPr="00293C29">
        <w:rPr>
          <w:lang w:val="en-GB"/>
        </w:rPr>
        <w:t>arly menopause s</w:t>
      </w:r>
      <w:r w:rsidR="001F0B72" w:rsidRPr="00293C29">
        <w:rPr>
          <w:lang w:val="en-GB"/>
        </w:rPr>
        <w:t>howed statistically significant</w:t>
      </w:r>
      <w:r w:rsidR="00DD1A41" w:rsidRPr="00293C29">
        <w:rPr>
          <w:lang w:val="en-GB"/>
        </w:rPr>
        <w:t xml:space="preserve"> lower FEV</w:t>
      </w:r>
      <w:r w:rsidR="00DD1A41" w:rsidRPr="00293C29">
        <w:rPr>
          <w:vertAlign w:val="subscript"/>
          <w:lang w:val="en-GB"/>
        </w:rPr>
        <w:t>1</w:t>
      </w:r>
      <w:r w:rsidR="00DD1A41" w:rsidRPr="00293C29">
        <w:rPr>
          <w:lang w:val="en-GB"/>
        </w:rPr>
        <w:t xml:space="preserve"> (-31.</w:t>
      </w:r>
      <w:r w:rsidR="00EF6B12">
        <w:rPr>
          <w:lang w:val="en-GB"/>
        </w:rPr>
        <w:t>4</w:t>
      </w:r>
      <w:r w:rsidR="00DD1A41" w:rsidRPr="00293C29">
        <w:rPr>
          <w:lang w:val="en-GB"/>
        </w:rPr>
        <w:t>mL</w:t>
      </w:r>
      <w:r w:rsidR="004A1920" w:rsidRPr="00293C29">
        <w:rPr>
          <w:lang w:val="en-GB"/>
        </w:rPr>
        <w:t xml:space="preserve"> [-4</w:t>
      </w:r>
      <w:r w:rsidR="00EF6B12">
        <w:rPr>
          <w:lang w:val="en-GB"/>
        </w:rPr>
        <w:t xml:space="preserve">2.0 </w:t>
      </w:r>
      <w:r w:rsidR="004A1920" w:rsidRPr="00293C29">
        <w:rPr>
          <w:lang w:val="en-GB"/>
        </w:rPr>
        <w:t>to -20.</w:t>
      </w:r>
      <w:r w:rsidR="00EF6B12">
        <w:rPr>
          <w:lang w:val="en-GB"/>
        </w:rPr>
        <w:t>9</w:t>
      </w:r>
      <w:r w:rsidR="004A1920" w:rsidRPr="00293C29">
        <w:rPr>
          <w:lang w:val="en-GB"/>
        </w:rPr>
        <w:t xml:space="preserve">]), </w:t>
      </w:r>
      <w:r w:rsidR="00DD1A41" w:rsidRPr="00293C29">
        <w:rPr>
          <w:lang w:val="en-GB"/>
        </w:rPr>
        <w:t>lower FVC (-36.3mL [-48.8 to -23.8])</w:t>
      </w:r>
      <w:r w:rsidR="004A1920" w:rsidRPr="00293C29">
        <w:rPr>
          <w:lang w:val="en-GB"/>
        </w:rPr>
        <w:t xml:space="preserve"> and a higher risk of spirometric restriction (OR</w:t>
      </w:r>
      <w:r w:rsidR="000E5CF3" w:rsidRPr="00293C29">
        <w:rPr>
          <w:lang w:val="en-GB"/>
        </w:rPr>
        <w:t xml:space="preserve"> </w:t>
      </w:r>
      <w:r w:rsidR="004A1920" w:rsidRPr="00293C29">
        <w:rPr>
          <w:lang w:val="en-GB"/>
        </w:rPr>
        <w:t>1.13 [1.02 to 1.24])</w:t>
      </w:r>
      <w:r w:rsidR="000E5CF3" w:rsidRPr="00293C29">
        <w:rPr>
          <w:lang w:val="en-GB"/>
        </w:rPr>
        <w:t xml:space="preserve"> (Figure </w:t>
      </w:r>
      <w:r w:rsidR="001A45EC">
        <w:rPr>
          <w:lang w:val="en-GB"/>
        </w:rPr>
        <w:t>2</w:t>
      </w:r>
      <w:r w:rsidR="000E5CF3" w:rsidRPr="00293C29">
        <w:rPr>
          <w:lang w:val="en-GB"/>
        </w:rPr>
        <w:t xml:space="preserve"> and Table S3)</w:t>
      </w:r>
      <w:r w:rsidR="004A1920" w:rsidRPr="00293C29">
        <w:rPr>
          <w:lang w:val="en-GB"/>
        </w:rPr>
        <w:t>. Early menopause was also associated with</w:t>
      </w:r>
      <w:r w:rsidR="00DD1A41" w:rsidRPr="00293C29">
        <w:rPr>
          <w:lang w:val="en-GB"/>
        </w:rPr>
        <w:t xml:space="preserve"> lower FEV</w:t>
      </w:r>
      <w:r w:rsidR="00DD1A41" w:rsidRPr="00293C29">
        <w:rPr>
          <w:vertAlign w:val="subscript"/>
          <w:lang w:val="en-GB"/>
        </w:rPr>
        <w:t>1</w:t>
      </w:r>
      <w:r w:rsidR="00DD1A41" w:rsidRPr="00293C29">
        <w:rPr>
          <w:lang w:val="en-GB"/>
        </w:rPr>
        <w:t>/FVC</w:t>
      </w:r>
      <w:r w:rsidR="004A1920" w:rsidRPr="00293C29">
        <w:rPr>
          <w:lang w:val="en-GB"/>
        </w:rPr>
        <w:t>, although the confidence interval was very large</w:t>
      </w:r>
      <w:r w:rsidR="00DD1A41" w:rsidRPr="00293C29">
        <w:rPr>
          <w:lang w:val="en-GB"/>
        </w:rPr>
        <w:t xml:space="preserve"> (-0.1</w:t>
      </w:r>
      <w:r w:rsidR="00EF6B12">
        <w:rPr>
          <w:lang w:val="en-GB"/>
        </w:rPr>
        <w:t>9</w:t>
      </w:r>
      <w:r w:rsidR="00DD1A41" w:rsidRPr="00293C29">
        <w:rPr>
          <w:lang w:val="en-GB"/>
        </w:rPr>
        <w:t>% [-0.34 to -0.03])</w:t>
      </w:r>
      <w:r w:rsidR="00235B45" w:rsidRPr="00293C29">
        <w:rPr>
          <w:lang w:val="en-GB"/>
        </w:rPr>
        <w:t>,</w:t>
      </w:r>
      <w:r w:rsidR="00DD1A41" w:rsidRPr="00293C29">
        <w:rPr>
          <w:lang w:val="en-GB"/>
        </w:rPr>
        <w:t xml:space="preserve"> </w:t>
      </w:r>
      <w:r w:rsidR="004A1920" w:rsidRPr="00293C29">
        <w:rPr>
          <w:lang w:val="en-GB"/>
        </w:rPr>
        <w:t xml:space="preserve">and </w:t>
      </w:r>
      <w:r w:rsidR="0047057F" w:rsidRPr="00293C29">
        <w:rPr>
          <w:lang w:val="en-GB"/>
        </w:rPr>
        <w:t xml:space="preserve">possibly </w:t>
      </w:r>
      <w:r w:rsidR="004A1920" w:rsidRPr="00293C29">
        <w:rPr>
          <w:lang w:val="en-GB"/>
        </w:rPr>
        <w:t xml:space="preserve">a </w:t>
      </w:r>
      <w:r w:rsidR="00F21561" w:rsidRPr="00293C29">
        <w:rPr>
          <w:lang w:val="en-GB"/>
        </w:rPr>
        <w:t xml:space="preserve">higher risk of </w:t>
      </w:r>
      <w:r w:rsidR="004A1920" w:rsidRPr="00293C29">
        <w:rPr>
          <w:lang w:val="en-GB"/>
        </w:rPr>
        <w:t>airflow obstruction (OR 1.</w:t>
      </w:r>
      <w:r w:rsidR="00EF6B12" w:rsidRPr="00293C29">
        <w:rPr>
          <w:lang w:val="en-GB"/>
        </w:rPr>
        <w:t>0</w:t>
      </w:r>
      <w:r w:rsidR="00EF6B12">
        <w:rPr>
          <w:lang w:val="en-GB"/>
        </w:rPr>
        <w:t>9</w:t>
      </w:r>
      <w:r w:rsidR="00EF6B12" w:rsidRPr="00293C29">
        <w:rPr>
          <w:lang w:val="en-GB"/>
        </w:rPr>
        <w:t xml:space="preserve"> </w:t>
      </w:r>
      <w:r w:rsidR="004A1920" w:rsidRPr="00293C29">
        <w:rPr>
          <w:lang w:val="en-GB"/>
        </w:rPr>
        <w:t>[</w:t>
      </w:r>
      <w:r w:rsidR="00EF6B12">
        <w:rPr>
          <w:lang w:val="en-GB"/>
        </w:rPr>
        <w:t>1.00</w:t>
      </w:r>
      <w:r w:rsidR="004A1920" w:rsidRPr="00293C29">
        <w:rPr>
          <w:lang w:val="en-GB"/>
        </w:rPr>
        <w:t xml:space="preserve"> to 1.19])</w:t>
      </w:r>
      <w:r w:rsidR="0047057F" w:rsidRPr="00293C29">
        <w:rPr>
          <w:lang w:val="en-GB"/>
        </w:rPr>
        <w:t xml:space="preserve"> that </w:t>
      </w:r>
      <w:r w:rsidR="00F511F4" w:rsidRPr="00293C29">
        <w:rPr>
          <w:lang w:val="en-GB"/>
        </w:rPr>
        <w:t>did not reach statistical significance</w:t>
      </w:r>
      <w:r w:rsidR="004A1920" w:rsidRPr="00293C29">
        <w:rPr>
          <w:lang w:val="en-GB"/>
        </w:rPr>
        <w:t xml:space="preserve">. </w:t>
      </w:r>
      <w:r w:rsidR="00DD1A41" w:rsidRPr="00293C29">
        <w:rPr>
          <w:lang w:val="en-GB"/>
        </w:rPr>
        <w:t>Late menopause was not associated with any of the five lung function outcomes.</w:t>
      </w:r>
    </w:p>
    <w:p w14:paraId="588FB3B0" w14:textId="1293C8A2" w:rsidR="00BE273D" w:rsidRDefault="00BE273D" w:rsidP="00A87748">
      <w:pPr>
        <w:spacing w:after="120"/>
        <w:jc w:val="both"/>
        <w:rPr>
          <w:lang w:val="en-GB"/>
        </w:rPr>
      </w:pPr>
    </w:p>
    <w:p w14:paraId="585326AC" w14:textId="4BBAC072" w:rsidR="00924B6A" w:rsidRPr="00293C29" w:rsidRDefault="00924B6A" w:rsidP="00A87748">
      <w:pPr>
        <w:spacing w:after="120"/>
        <w:jc w:val="both"/>
        <w:rPr>
          <w:b/>
          <w:sz w:val="24"/>
          <w:lang w:val="en-GB"/>
        </w:rPr>
      </w:pPr>
      <w:r w:rsidRPr="00293C29">
        <w:rPr>
          <w:b/>
          <w:sz w:val="24"/>
          <w:lang w:val="en-GB"/>
        </w:rPr>
        <w:t>Discussion</w:t>
      </w:r>
    </w:p>
    <w:p w14:paraId="08FF8807" w14:textId="6B3BF2CC" w:rsidR="0077148B" w:rsidRPr="00293C29" w:rsidRDefault="009A3159" w:rsidP="00A87748">
      <w:pPr>
        <w:spacing w:after="120"/>
        <w:jc w:val="both"/>
        <w:rPr>
          <w:lang w:val="en-GB"/>
        </w:rPr>
      </w:pPr>
      <w:r w:rsidRPr="00293C29">
        <w:rPr>
          <w:lang w:val="en-GB"/>
        </w:rPr>
        <w:t xml:space="preserve">Contrary to observational </w:t>
      </w:r>
      <w:r w:rsidR="009177AD" w:rsidRPr="00293C29">
        <w:rPr>
          <w:lang w:val="en-GB"/>
        </w:rPr>
        <w:t>findings</w:t>
      </w:r>
      <w:r w:rsidRPr="00293C29">
        <w:rPr>
          <w:lang w:val="en-GB"/>
        </w:rPr>
        <w:t xml:space="preserve">, </w:t>
      </w:r>
      <w:r w:rsidR="005F3D2A" w:rsidRPr="00293C29">
        <w:rPr>
          <w:lang w:val="en-GB"/>
        </w:rPr>
        <w:t xml:space="preserve">our </w:t>
      </w:r>
      <w:r w:rsidRPr="00293C29">
        <w:rPr>
          <w:lang w:val="en-GB"/>
        </w:rPr>
        <w:t xml:space="preserve">MR </w:t>
      </w:r>
      <w:r w:rsidR="00413C3A" w:rsidRPr="00293C29">
        <w:rPr>
          <w:lang w:val="en-GB"/>
        </w:rPr>
        <w:t xml:space="preserve">study </w:t>
      </w:r>
      <w:r w:rsidRPr="00293C29">
        <w:rPr>
          <w:lang w:val="en-GB"/>
        </w:rPr>
        <w:t>suggest</w:t>
      </w:r>
      <w:r w:rsidR="00413C3A" w:rsidRPr="00293C29">
        <w:rPr>
          <w:lang w:val="en-GB"/>
        </w:rPr>
        <w:t>s</w:t>
      </w:r>
      <w:r w:rsidRPr="00293C29">
        <w:rPr>
          <w:lang w:val="en-GB"/>
        </w:rPr>
        <w:t xml:space="preserve"> that early menopause has a protective effect on </w:t>
      </w:r>
      <w:r w:rsidR="007839FD" w:rsidRPr="00293C29">
        <w:rPr>
          <w:lang w:val="en-GB"/>
        </w:rPr>
        <w:t>airflow</w:t>
      </w:r>
      <w:r w:rsidRPr="00293C29">
        <w:rPr>
          <w:lang w:val="en-GB"/>
        </w:rPr>
        <w:t xml:space="preserve"> obstruction</w:t>
      </w:r>
      <w:r w:rsidR="00BE2711" w:rsidRPr="00293C29">
        <w:rPr>
          <w:lang w:val="en-GB"/>
        </w:rPr>
        <w:t xml:space="preserve">, </w:t>
      </w:r>
      <w:r w:rsidR="00413C3A" w:rsidRPr="00293C29">
        <w:rPr>
          <w:lang w:val="en-GB"/>
        </w:rPr>
        <w:t xml:space="preserve">with no </w:t>
      </w:r>
      <w:r w:rsidR="001F46F3" w:rsidRPr="00293C29">
        <w:rPr>
          <w:lang w:val="en-GB"/>
        </w:rPr>
        <w:t>clear</w:t>
      </w:r>
      <w:r w:rsidR="00413C3A" w:rsidRPr="00293C29">
        <w:rPr>
          <w:lang w:val="en-GB"/>
        </w:rPr>
        <w:t xml:space="preserve"> evidence of</w:t>
      </w:r>
      <w:r w:rsidR="00C55C66" w:rsidRPr="00293C29">
        <w:rPr>
          <w:lang w:val="en-GB"/>
        </w:rPr>
        <w:t xml:space="preserve"> an effect on FVC or</w:t>
      </w:r>
      <w:r w:rsidR="00BE2711" w:rsidRPr="00293C29">
        <w:rPr>
          <w:lang w:val="en-GB"/>
        </w:rPr>
        <w:t xml:space="preserve"> </w:t>
      </w:r>
      <w:r w:rsidR="00D53B32" w:rsidRPr="00293C29">
        <w:rPr>
          <w:lang w:val="en-GB"/>
        </w:rPr>
        <w:t>spirometric restriction</w:t>
      </w:r>
      <w:r w:rsidR="00BE2711" w:rsidRPr="00293C29">
        <w:rPr>
          <w:lang w:val="en-GB"/>
        </w:rPr>
        <w:t>.</w:t>
      </w:r>
      <w:r w:rsidR="00B549D3" w:rsidRPr="00293C29">
        <w:rPr>
          <w:lang w:val="en-GB"/>
        </w:rPr>
        <w:fldChar w:fldCharType="begin" w:fldLock="1"/>
      </w:r>
      <w:r w:rsidR="004664F0">
        <w:rPr>
          <w:lang w:val="en-GB"/>
        </w:rPr>
        <w:instrText>ADDIN CSL_CITATION {"citationItems":[{"id":"ITEM-1","itemData":{"DOI":"10.1016/j.jaci.2007.08.057","ISSN":"1097-6825","PMID":"18028993","abstract":"BACKGROUND: There is limited information on potential changes in respiratory health when women enter the menopausal transition. OBJECTIVE: We sought to investigate whether the menopausal transition is related to lung function and asthma and whether body mass index (BMI) modifies associations. METHODS: Four thousand two hundred fifty-nine women from 21 centers (ECRHS II, 2002) responded to a questionnaire concerning women's health. Women aged 45 to 56 years not using exogenous sex hormones (n = 1274) were included in the present analysis. Lung function measurements (n = 1120) and serum markers of hormonal status (follicle-stimulating hormone, luteinizing hormone, and estradiol; n = 710) were available. Logistic and linear regression analyses were adjusted for BMI, age, years of education, smoking status, center, and height. RESULTS: Women not menstruating for the last 6 months (n = 432, 34%) had significantly lower FEV(1) values (-120 mL [95% CI, -177 to -63]), lower forced vital capacity values (-115 mL [95% CI, -181 to -50]), and more respiratory symptoms (odds ratio [OR], 1.82 [95% CI, 1.27-2.61]) than those menstruating regularly. Results were similar when restricting analyses to those who never smoked. Associations were significantly stronger in women with BMIs of less than 23 kg/m(2) (respiratory symptoms: OR, 4.07 [95% CI, 1.88-8.80]; FEV(1) adjusted difference: -166 [95% CI, -263 to -70]) than in women with BMIs of 23 to 28 kg/m(2) (respiratory symptoms: OR, 1.10 [95% CI, 0.61-1.97], P(interaction): .04; FEV(1) adjusted difference, -54 [95% CI, -151 to 43], P(interaction) = .06). CONCLUSIONS: Menopause is associated with lower lung function and more respiratory symptoms, especially among lean women.","author":[{"dropping-particle":"","family":"Real","given":"Francisco Gómez","non-dropping-particle":"","parse-names":false,"suffix":""},{"dropping-particle":"","family":"Svanes","given":"Cecilie","non-dropping-particle":"","parse-names":false,"suffix":""},{"dropping-particle":"","family":"Omenaas","given":"Ernst Reidar","non-dropping-particle":"","parse-names":false,"suffix":""},{"dropping-particle":"","family":"Antò","given":"Josep Maria","non-dropping-particle":"","parse-names":false,"suffix":""},{"dropping-particle":"","family":"Plana","given":"Estel","non-dropping-particle":"","parse-names":false,"suffix":""},{"dropping-particle":"","family":"Jarvis","given":"Deborah","non-dropping-particle":"","parse-names":false,"suffix":""},{"dropping-particle":"","family":"Janson","given":"Christer","non-dropping-particle":"","parse-names":false,"suffix":""},{"dropping-particle":"","family":"Neukirch","given":"Françoise","non-dropping-particle":"","parse-names":false,"suffix":""},{"dropping-particle":"","family":"Zemp","given":"Elisabeth","non-dropping-particle":"","parse-names":false,"suffix":""},{"dropping-particle":"","family":"Dratva","given":"Julia","non-dropping-particle":"","parse-names":false,"suffix":""},{"dropping-particle":"","family":"Wjst","given":"Matthias","non-dropping-particle":"","parse-names":false,"suffix":""},{"dropping-particle":"","family":"Svanes","given":"Knut","non-dropping-particle":"","parse-names":false,"suffix":""},{"dropping-particle":"","family":"Leynaert","given":"Bénédicte","non-dropping-particle":"","parse-names":false,"suffix":""},{"dropping-particle":"","family":"Sunyer","given":"Jordi","non-dropping-particle":"","parse-names":false,"suffix":""}],"container-title":"The Journal of allergy and clinical immunology","id":"ITEM-1","issue":"1","issued":{"date-parts":[["2008"]]},"page":"72-80.e3","title":"Lung function, respiratory symptoms, and the menopausal transition.","type":"article-journal","volume":"121"},"uris":["http://www.mendeley.com/documents/?uuid=0d1d4ccd-7076-4720-9b85-72700a22f2ef","http://www.mendeley.com/documents/?uuid=406e1b22-9846-484d-99de-4e172b659cf2"]},{"id":"ITEM-2","itemData":{"DOI":"10.1111/j.1398-9995.2007.01530.x","ISBN":"1398-9995 (Electronic)\\r0105-4538 (Linking)","ISSN":"01054538","PMID":"17970824","abstract":"BACKGROUND Gynaecological surgery that may lead to cessation of menstruation is a major indication for the use of hormone replacement therapy (HRT) which in turn has been associated with asthma. METHODS Information on asthma-like symptoms, lung function and immunoglobulin E (IgE) sensitization to house dust mite (HDM) and on menstrual status and use of HRT was collected from 3724 women aged between 35 and 64 years living in England. Association of health outcomes with use of HRT and with surgery resulting in cessation of menstruation was examined in multivariable models. RESULTS Over a third of women who had ever used HRT had undergone surgery resulting in cessation of menstruation. Current use of HRT was associated with frequent wheeze, particularly in lean women [body mass index (BMI) &lt; 25; odds ratio (OR) 1.90; 95% confidence interval (CI) 1.17-3.05; BMI 25+; OR 1.02; 95% CI 0.69-1.51]. Wheeze was associated with the reporting of menstrual cessation that was due to surgery even if women denied ever using HRT (OR 1.55; 95% CI 1.09-2.20). There was some evidence that HRT use was associated with airway obstruction in leaner women but little evidence that it was associated with IgE sensitization to HDM. CONCLUSIONS In this cross-sectional study use of HRT was associated with asthma-like symptoms, particularly in those who have lower BMI. A substantial proportion of women whose periods have stopped because of surgery use HRT but this does not fully explain their increased morbidity.","author":[{"dropping-particle":"","family":"Jarvis","given":"D.","non-dropping-particle":"","parse-names":false,"suffix":""},{"dropping-particle":"","family":"Leynaert","given":"B.","non-dropping-particle":"","parse-names":false,"suffix":""}],"container-title":"Allergy","id":"ITEM-2","issue":"1","issued":{"date-parts":[["2008","1"]]},"page":"95-102","title":"The association of asthma, atopy and lung function with hormone replacement therapy and surgical cessation of menstruation in a population-based sample of English women","type":"article-journal","volume":"63"},"uris":["http://www.mendeley.com/documents/?uuid=93e5453f-7342-4728-b0e1-0fbffbb7852a","http://www.mendeley.com/documents/?uuid=deb898e7-85d3-4194-ae31-dc3b4bbb6314"]},{"id":"ITEM-3","itemData":{"DOI":"10.1089/jwh.2009.1715","ISBN":"1540-9996","ISSN":"1931-843X","PMID":"20500125","abstract":"OBJECTIVE: We aimed to investigate the influence of reproductive factors on chronic respiratory symptoms and pulmonary function in a cross-sectional study of premenopausal and postmenopausal women 44-61 years of age.\\n\\nMETHODS: Self-reported data on respiratory symptoms were obtained from 1082 women. Usable forced expiratory volume in 1 second (FEV(1)) (2.27 +/- 0.44 L) and forced vital capacity (FVC) (2.75 +/- 0.55 L) measurements were obtained from 1070 women. The influence of reproductive factors on FEV(1), FVC, and chronic respiratory symptoms was assessed by linear and logistic regression analyses.\\n\\nRESULTS: Menopause is associated with lower FEV(1) (p &lt; 0.0001, r = -0.181) and FVC (p &lt; 0.0001, r = -0.198) only in univariate analysis. The association disappears when age is adjusted for. However, association of menopause with increased odds of chronic cough plus phlegm is significant in multivariate analysis (odds ratio [OR] 1.84, 95% confidence interval [CI] 1.16-2.92, p = 0.0088). Among reproductive factors, only age at first birth is independently associated with FEV(1) (p = 0.01, r = 0.008) and FVC (p = 0.004, r = 0.013). Results were similar when restricting analyses to those who never smoked and after exclusion of asthmatics.\\n\\nCONCLUSIONS: Postmenopausal status is independently associated with increased odds of chronic cough plus phlegm, whereas it does not appear to be independently associated with FEV(1) or FVC. Among the reproductive factors, age at first birth is the only independent predictor of FEV(1) and FVC. These findings suggest that reproductive factors may influence women's pulmonary health.","author":[{"dropping-particle":"","family":"Songür","given":"Necla","non-dropping-particle":"","parse-names":false,"suffix":""},{"dropping-particle":"","family":"Aydin","given":"Zeynep D","non-dropping-particle":"","parse-names":false,"suffix":""},{"dropping-particle":"","family":"Oztürk","given":"Onder","non-dropping-particle":"","parse-names":false,"suffix":""},{"dropping-particle":"","family":"Sahin","given":"Unal","non-dropping-particle":"","parse-names":false,"suffix":""},{"dropping-particle":"","family":"Khayri","given":"Ulugbik","non-dropping-particle":"","parse-names":false,"suffix":""},{"dropping-particle":"","family":"Bircan","given":"Ahmet","non-dropping-particle":"","parse-names":false,"suffix":""},{"dropping-particle":"","family":"Akkaya","given":"Ahmet","non-dropping-particle":"","parse-names":false,"suffix":""}],"container-title":"Journal of women's health (2002)","id":"ITEM-3","issue":"6","issued":{"date-parts":[["2010"]]},"page":"1145-54","title":"Respiratory symptoms, pulmonary function, and reproductive history: Isparta Menopause and Health Study.","type":"article-journal","volume":"19"},"uris":["http://www.mendeley.com/documents/?uuid=7a86584e-6db2-4cd1-9b91-f84f46f354c6","http://www.mendeley.com/documents/?uuid=50d39154-3011-4ae7-bd71-fc63ded0017c"]},{"id":"ITEM-4","itemData":{"DOI":"10.1007/s00408-010-9269-9","ISBN":"0040801092699","ISSN":"03412040","PMID":"21152930","abstract":"There is a lack of evidence about whether menopausal status influences the effect of smoking on lung function. This study examined the association between smoking and menopausal status and lung function independent of each other. Data were from a cohort of women attending the 21-year follow-up of the Mater University of Queensland Study of Pregnancy. The study was based on 2020 women who provided data on respiratory function, smoking, and menopausal status. A Spirobank G spirometer system was used to measure forced vital capacity (FVC), forced expiratory volume in first second (FEV(1)), and forced expiratory flow between 25 and 75% of forced vital capacity (FEF(25-75)). Smoking and menopausal status were assessed by self-report. Respiratory function was associated with cigarette smoking, menopausal status, and hormone replacement therapy. Regardless of smoking status, postmenopausal women had poorer lung function when compared with premenopausal women. In multivariate analysis, cigarette smoking was associated with lower FVC, FEV(1), and FEF(25-75), with the magnitude of effect being stronger for women who were postmenopausal. The data suggest that the impact of smoking intensifies after menopause. It seems plausible that effective quit-smoking programs, particularly after menopause, may lead to better lung function and reduced morbidity and mortality in women.","author":[{"dropping-particle":"","family":"Hayatbakhsh","given":"Mohammad R.","non-dropping-particle":"","parse-names":false,"suffix":""},{"dropping-particle":"","family":"Najman","given":"Jake M.","non-dropping-particle":"","parse-names":false,"suffix":""},{"dropping-particle":"","family":"O'Callaghan","given":"Michael J.","non-dropping-particle":"","parse-names":false,"suffix":""},{"dropping-particle":"","family":"Williams","given":"Gail M.","non-dropping-particle":"","parse-names":false,"suffix":""},{"dropping-particle":"","family":"Paydar","given":"Anita","non-dropping-particle":"","parse-names":false,"suffix":""},{"dropping-particle":"","family":"Clavarino","given":"Alexandra","non-dropping-particle":"","parse-names":false,"suffix":""}],"container-title":"Lung","id":"ITEM-4","issue":"1","issued":{"date-parts":[["2011"]]},"page":"65-71","title":"Association between smoking and respiratory function before and after menopause","type":"article-journal","volume":"189"},"uris":["http://www.mendeley.com/documents/?uuid=eec496f0-25b9-43b1-9f71-822a80712ce4","http://www.mendeley.com/documents/?uuid=7ed1beff-ffa4-4e8e-bf9d-b5b1ee2fde73"]},{"id":"ITEM-5","itemData":{"DOI":"10.1164/rccm.201605-0968OC","ISSN":"15354970","PMID":"27907454","abstract":"RATIONALE Menopause is associated with changes in sex hormones, which affect immunity, inflammation, and osteoporosis and may impair lung function. Lung function decline has not previously been investigated in relation to menopause. OBJECTIVES To study whether lung function decline, assessed by forced vital capacity and forced expiratory volume in one second, is accelerated in women who undergo menopause. METHODS The population-based longitudinal European Community Respiratory Health Survey provided serum samples, spirometry and questionnaire data about respiratory and reproductive health from three study waves (N=1438). We measured follicle stimulating hormone and luteinizing hormone and added information on menstrual patterns, to determine menopausal status using latent class analysis. Associations with lung function decline were investigated using linear mixed effects models, adjusting for age, height, weight, packyears, current smoking, age at completed full-time education, spirometer and including study center as random effect. MEASUREMENTS AND MAIN RESULTS Menopausal status was associated with accelerated lung function decline. The adjusted mean forced vital capacity decline was increased by -10.2 ml/yr (95% Confidence interval -13.1 to -7.2) in transitional women and -12.5 ml/yr (-16.2 to -8.9) in postmenopausal women, compared to women menstruating regularly. The adjusted mean forced expiratory volume in one second decline increased by -3.8 ml/yr (-6.3 to -2.9) in transitional women and -5.2 ml/yr (-8.3 to -2.0) in postmenopausal women. CONCLUSIONS Lung function declined more rapidly among transitional and postmenopausal women, in particular for forced vital capacity, beyond the expected age change. Clinicians should be aware that respiratory health often deteriorates during reproductive aging.","author":[{"dropping-particle":"","family":"Triebner","given":"Kai","non-dropping-particle":"","parse-names":false,"suffix":""},{"dropping-particle":"","family":"Matulonga","given":"Bobette","non-dropping-particle":"","parse-names":false,"suffix":""},{"dropping-particle":"","family":"Johannessen","given":"Ane","non-dropping-particle":"","parse-names":false,"suffix":""},{"dropping-particle":"","family":"Suske","given":"Sandra","non-dropping-particle":"","parse-names":false,"suffix":""},{"dropping-particle":"","family":"Benediktsdóttir","given":"Brynd's","non-dropping-particle":"","parse-names":false,"suffix":""},{"dropping-particle":"","family":"Demoly","given":"Pascal","non-dropping-particle":"","parse-names":false,"suffix":""},{"dropping-particle":"","family":"Dharmage","given":"Shyamali C.","non-dropping-particle":"","parse-names":false,"suffix":""},{"dropping-particle":"","family":"Franklin","given":"Karl A.","non-dropping-particle":"","parse-names":false,"suffix":""},{"dropping-particle":"","family":"Garcia-Aymerich","given":"Judith","non-dropping-particle":"","parse-names":false,"suffix":""},{"dropping-particle":"","family":"Blanco","given":"JoséAntonio Gullón","non-dropping-particle":"","parse-names":false,"suffix":""},{"dropping-particle":"","family":"Heinrich","given":"Joachim","non-dropping-particle":"","parse-names":false,"suffix":""},{"dropping-particle":"","family":"Holm","given":"Mathias","non-dropping-particle":"","parse-names":false,"suffix":""},{"dropping-particle":"","family":"Jarvis","given":"Debbie","non-dropping-particle":"","parse-names":false,"suffix":""},{"dropping-particle":"","family":"Jõgi","given":"Rain","non-dropping-particle":"","parse-names":false,"suffix":""},{"dropping-particle":"","family":"Lindberg","given":"Eva","non-dropping-particle":"","parse-names":false,"suffix":""},{"dropping-particle":"","family":"Rovira","given":"Jesus Martńez Moratalla","non-dropping-particle":"","parse-names":false,"suffix":""},{"dropping-particle":"","family":"Agirre","given":"Nerea Muniozguren","non-dropping-particle":"","parse-names":false,"suffix":""},{"dropping-particle":"","family":"Pin","given":"Isabelle","non-dropping-particle":"","parse-names":false,"suffix":""},{"dropping-particle":"","family":"Probst-Hensch","given":"Nicole","non-dropping-particle":"","parse-names":false,"suffix":""},{"dropping-particle":"","family":"Puggini","given":"Luca","non-dropping-particle":"","parse-names":false,"suffix":""},{"dropping-particle":"","family":"Raherison","given":"Chantal","non-dropping-particle":"","parse-names":false,"suffix":""},{"dropping-particle":"","family":"Sánchez-Ramos","given":"JoséLuis","non-dropping-particle":"","parse-names":false,"suffix":""},{"dropping-particle":"","family":"Schlunssen","given":"Vivi","non-dropping-particle":"","parse-names":false,"suffix":""},{"dropping-particle":"","family":"Sunyer","given":"Jordi","non-dropping-particle":"","parse-names":false,"suffix":""},{"dropping-particle":"","family":"Svanes","given":"Cecilie","non-dropping-particle":"","parse-names":false,"suffix":""},{"dropping-particle":"","family":"Hustad","given":"Steinar","non-dropping-particle":"","parse-names":false,"suffix":""},{"dropping-particle":"","family":"Leynaert","given":"Bénédicte","non-dropping-particle":"","parse-names":false,"suffix":""},{"dropping-particle":"","family":"Real","given":"Francisco Gomez","non-dropping-particle":"","parse-names":false,"suffix":""}],"container-title":"American Journal of Respiratory and Critical Care Medicine","id":"ITEM-5","issue":"8","issued":{"date-parts":[["2017"]]},"page":"1058-1065","title":"Menopause is associated with accelerated lung function decline","type":"article-journal","volume":"195"},"uris":["http://www.mendeley.com/documents/?uuid=6b52675e-86ee-4f5b-b85a-dfc422a12af4","http://www.mendeley.com/documents/?uuid=b9f13fd5-19fb-45ce-af4e-79f59bd0bf19"]},{"id":"ITEM-6","itemData":{"DOI":"10.1183/13993003.00412-2016","ISSN":"13993003","PMID":"27660514","author":[{"dropping-particle":"","family":"Amaral","given":"André F.S.","non-dropping-particle":"","parse-names":false,"suffix":""},{"dropping-particle":"","family":"Strachan","given":"David P.","non-dropping-particle":"","parse-names":false,"suffix":""},{"dropping-particle":"","family":"Real","given":"Francisco Gómez","non-dropping-particle":"","parse-names":false,"suffix":""},{"dropping-particle":"","family":"Burney","given":"Peter G.J.","non-dropping-particle":"","parse-names":false,"suffix":""},{"dropping-particle":"","family":"Jarvis","given":"Deborah L.","non-dropping-particle":"","parse-names":false,"suffix":""}],"container-title":"European Respiratory Journal","id":"ITEM-6","issue":"5","issued":{"date-parts":[["2016"]]},"page":"1288-1297","title":"Lower lung function associates with cessation of menstruation: UK Biobank data","type":"article-journal","volume":"48"},"uris":["http://www.mendeley.com/documents/?uuid=0beec237-6c89-4102-866b-64ceee1512e4","http://www.mendeley.com/documents/?uuid=6fb8e9ef-b3e8-46d0-9f8f-9ad21d9dd325"]}],"mendeley":{"formattedCitation":"[5, 31–35]","plainTextFormattedCitation":"[5, 31–35]","previouslyFormattedCitation":"[5, 31–35]"},"properties":{"noteIndex":0},"schema":"https://github.com/citation-style-language/schema/raw/master/csl-citation.json"}</w:instrText>
      </w:r>
      <w:r w:rsidR="00B549D3" w:rsidRPr="00293C29">
        <w:rPr>
          <w:lang w:val="en-GB"/>
        </w:rPr>
        <w:fldChar w:fldCharType="separate"/>
      </w:r>
      <w:r w:rsidR="00223BF9" w:rsidRPr="00223BF9">
        <w:rPr>
          <w:noProof/>
          <w:lang w:val="en-GB"/>
        </w:rPr>
        <w:t>[5, 31–35]</w:t>
      </w:r>
      <w:r w:rsidR="00B549D3" w:rsidRPr="00293C29">
        <w:rPr>
          <w:lang w:val="en-GB"/>
        </w:rPr>
        <w:fldChar w:fldCharType="end"/>
      </w:r>
      <w:r w:rsidR="003A45A7" w:rsidRPr="00293C29">
        <w:rPr>
          <w:lang w:val="en-GB"/>
        </w:rPr>
        <w:t xml:space="preserve"> </w:t>
      </w:r>
      <w:r w:rsidR="00321D3A" w:rsidRPr="00293C29">
        <w:rPr>
          <w:lang w:val="en-GB"/>
        </w:rPr>
        <w:t>We found a 15% decrease in the risk of airflow obstruction for w</w:t>
      </w:r>
      <w:r w:rsidRPr="00293C29">
        <w:rPr>
          <w:lang w:val="en-GB"/>
        </w:rPr>
        <w:t xml:space="preserve">omen with menopause before the age of 45 </w:t>
      </w:r>
      <w:r w:rsidR="00BE2711" w:rsidRPr="00293C29">
        <w:rPr>
          <w:lang w:val="en-GB"/>
        </w:rPr>
        <w:t xml:space="preserve">compared to women with a </w:t>
      </w:r>
      <w:r w:rsidR="007A550F" w:rsidRPr="00293C29">
        <w:rPr>
          <w:lang w:val="en-GB"/>
        </w:rPr>
        <w:t>normal age at menopause</w:t>
      </w:r>
      <w:r w:rsidR="00FF4F7E" w:rsidRPr="00293C29">
        <w:rPr>
          <w:lang w:val="en-GB"/>
        </w:rPr>
        <w:t>, and</w:t>
      </w:r>
      <w:r w:rsidR="002C471E" w:rsidRPr="00293C29">
        <w:rPr>
          <w:lang w:val="en-GB"/>
        </w:rPr>
        <w:t xml:space="preserve"> this protective effect was less strong in women who had used </w:t>
      </w:r>
      <w:r w:rsidR="00634A20" w:rsidRPr="00293C29">
        <w:rPr>
          <w:lang w:val="en-GB"/>
        </w:rPr>
        <w:t>HRT</w:t>
      </w:r>
      <w:r w:rsidR="002C471E" w:rsidRPr="00293C29">
        <w:rPr>
          <w:lang w:val="en-GB"/>
        </w:rPr>
        <w:t xml:space="preserve"> </w:t>
      </w:r>
      <w:r w:rsidR="00FF4F7E" w:rsidRPr="00293C29">
        <w:rPr>
          <w:lang w:val="en-GB"/>
        </w:rPr>
        <w:t>as well as</w:t>
      </w:r>
      <w:r w:rsidR="002C471E" w:rsidRPr="00293C29">
        <w:rPr>
          <w:lang w:val="en-GB"/>
        </w:rPr>
        <w:t xml:space="preserve"> in overweight women. </w:t>
      </w:r>
      <w:r w:rsidRPr="00293C29">
        <w:rPr>
          <w:lang w:val="en-GB"/>
        </w:rPr>
        <w:t xml:space="preserve">Although there was </w:t>
      </w:r>
      <w:r w:rsidR="00DB7E34" w:rsidRPr="00293C29">
        <w:rPr>
          <w:lang w:val="en-GB"/>
        </w:rPr>
        <w:t xml:space="preserve">some evidence </w:t>
      </w:r>
      <w:r w:rsidR="00634A20" w:rsidRPr="00293C29">
        <w:rPr>
          <w:lang w:val="en-GB"/>
        </w:rPr>
        <w:t>of</w:t>
      </w:r>
      <w:r w:rsidR="00DF3D65" w:rsidRPr="00293C29">
        <w:rPr>
          <w:lang w:val="en-GB"/>
        </w:rPr>
        <w:t xml:space="preserve"> </w:t>
      </w:r>
      <w:r w:rsidR="00D5242E" w:rsidRPr="00293C29">
        <w:rPr>
          <w:lang w:val="en-GB"/>
        </w:rPr>
        <w:t>pleiotrop</w:t>
      </w:r>
      <w:r w:rsidR="0063632E" w:rsidRPr="00293C29">
        <w:rPr>
          <w:lang w:val="en-GB"/>
        </w:rPr>
        <w:t>y</w:t>
      </w:r>
      <w:r w:rsidR="00676BF9" w:rsidRPr="00293C29">
        <w:rPr>
          <w:lang w:val="en-GB"/>
        </w:rPr>
        <w:t>,</w:t>
      </w:r>
      <w:r w:rsidR="00DF3D65" w:rsidRPr="00293C29">
        <w:rPr>
          <w:lang w:val="en-GB"/>
        </w:rPr>
        <w:t xml:space="preserve"> </w:t>
      </w:r>
      <w:r w:rsidR="00C534AF" w:rsidRPr="00293C29">
        <w:rPr>
          <w:lang w:val="en-GB"/>
        </w:rPr>
        <w:t xml:space="preserve">overall </w:t>
      </w:r>
      <w:r w:rsidR="00DF3D65" w:rsidRPr="00293C29">
        <w:rPr>
          <w:lang w:val="en-GB"/>
        </w:rPr>
        <w:t>our findings</w:t>
      </w:r>
      <w:r w:rsidRPr="00293C29">
        <w:rPr>
          <w:lang w:val="en-GB"/>
        </w:rPr>
        <w:t xml:space="preserve"> were </w:t>
      </w:r>
      <w:r w:rsidR="0066341B" w:rsidRPr="00293C29">
        <w:rPr>
          <w:lang w:val="en-GB"/>
        </w:rPr>
        <w:t xml:space="preserve">consistent </w:t>
      </w:r>
      <w:r w:rsidRPr="00293C29">
        <w:rPr>
          <w:lang w:val="en-GB"/>
        </w:rPr>
        <w:t xml:space="preserve">when using MR methods robust to pleiotropy. </w:t>
      </w:r>
    </w:p>
    <w:p w14:paraId="4E1236EE" w14:textId="6972F89E" w:rsidR="00B07229" w:rsidRPr="00293C29" w:rsidRDefault="00B07229" w:rsidP="002B0A7A">
      <w:pPr>
        <w:spacing w:after="120"/>
        <w:jc w:val="both"/>
        <w:rPr>
          <w:lang w:val="en-GB"/>
        </w:rPr>
      </w:pPr>
      <w:r w:rsidRPr="00293C29">
        <w:rPr>
          <w:lang w:val="en-GB"/>
        </w:rPr>
        <w:t xml:space="preserve">MR studies can be considered </w:t>
      </w:r>
      <w:proofErr w:type="gramStart"/>
      <w:r w:rsidR="00964D5C" w:rsidRPr="00293C29">
        <w:rPr>
          <w:lang w:val="en-GB"/>
        </w:rPr>
        <w:t>similar to</w:t>
      </w:r>
      <w:proofErr w:type="gramEnd"/>
      <w:r w:rsidRPr="00293C29">
        <w:rPr>
          <w:lang w:val="en-GB"/>
        </w:rPr>
        <w:t xml:space="preserve"> randomized controlled trials (RCTs) </w:t>
      </w:r>
      <w:r w:rsidR="00964D5C" w:rsidRPr="00293C29">
        <w:rPr>
          <w:lang w:val="en-GB"/>
        </w:rPr>
        <w:t>in that</w:t>
      </w:r>
      <w:r w:rsidRPr="00293C29">
        <w:rPr>
          <w:lang w:val="en-GB"/>
        </w:rPr>
        <w:t xml:space="preserve"> </w:t>
      </w:r>
      <w:r w:rsidR="00964D5C" w:rsidRPr="00293C29">
        <w:rPr>
          <w:lang w:val="en-GB"/>
        </w:rPr>
        <w:t>exposure to a specific genetic variant is assigned</w:t>
      </w:r>
      <w:r w:rsidRPr="00293C29">
        <w:rPr>
          <w:lang w:val="en-GB"/>
        </w:rPr>
        <w:t xml:space="preserve"> randomly at conception. MR estimates are therefore not affected by classical confounding factors. However, MR studies can provide evidence of a causal effect only if the </w:t>
      </w:r>
      <w:r w:rsidR="00B65200">
        <w:rPr>
          <w:lang w:val="en-GB"/>
        </w:rPr>
        <w:t xml:space="preserve">three key </w:t>
      </w:r>
      <w:r w:rsidRPr="00293C29">
        <w:rPr>
          <w:lang w:val="en-GB"/>
        </w:rPr>
        <w:t>assumptions underlying MR hold</w:t>
      </w:r>
      <w:r w:rsidR="00B65200">
        <w:rPr>
          <w:lang w:val="en-GB"/>
        </w:rPr>
        <w:t xml:space="preserve"> (Figure 1).</w:t>
      </w:r>
      <w:r w:rsidR="00B65200">
        <w:rPr>
          <w:lang w:val="en-GB"/>
        </w:rPr>
        <w:fldChar w:fldCharType="begin" w:fldLock="1"/>
      </w:r>
      <w:r w:rsidR="00DA41F8">
        <w:rPr>
          <w:lang w:val="en-GB"/>
        </w:rPr>
        <w:instrText>ADDIN CSL_CITATION {"citationItems":[{"id":"ITEM-1","itemData":{"DOI":"10.1136/bmj.k601","ISSN":"17561833","PMID":"30002074","abstract":"Mendelian randomisation uses genetic variation as a natural experiment to investigate the causal relations between potentially modifiable risk factors and health outcomes in observational data. As with all epidemiological approaches, findings from Mendelian randomisation studies depend on specific assumptions. We provide explanations of the information typically reported in Mendelian randomisation studies that can be used to assess the plausibility of these assumptions and guidance on how to interpret findings from Mendelian randomisation studies in the context of other sources of evidence ### Summary points Understanding whether a biomarker or behaviour causes ill health is central to evidence based medicine, drug development, and better informed clinical decision making. Ideally, evidence of causal effects comes from well conducted randomised trials. Clinicians are well versed in the strengths and limitations of such trials and have an increasingly sophisticated understanding of traditional analyses of observational studies. But they may be less aware of the strengths and limitations of a more recently developed approach to analysing observational data known as Mendelian randomisation. Although numerous guides exist for conducting123 and reporting Mendelian randomisation studies and related methods,45 here we focus on helping clinicians and practitioners read and interpret them. Our goal is to provide explanations of core …","author":[{"dropping-particle":"","family":"Davies","given":"Neil M.","non-dropping-particle":"","parse-names":false,"suffix":""},{"dropping-particle":"V.","family":"Holmes","given":"Michael","non-dropping-particle":"","parse-names":false,"suffix":""},{"dropping-particle":"","family":"Davey Smith","given":"George","non-dropping-particle":"","parse-names":false,"suffix":""}],"container-title":"BMJ (Online)","id":"ITEM-1","issue":"k601","issued":{"date-parts":[["2018"]]},"title":"Reading Mendelian randomisation studies: A guide, glossary, and checklist for clinicians","type":"article-journal","volume":"362"},"uris":["http://www.mendeley.com/documents/?uuid=3a9b51d7-2a7c-4cf1-a3aa-95b6ca9f2ef5"]},{"id":"ITEM-2","itemData":{"DOI":"10.1177/0962280210394459","ISBN":"1477-0334 (Electronic)\\r0962-2802 (Linking)","ISSN":"09622802","PMID":"21216802","abstract":"Mendelian randomisation analyses use genetic variants as instrumental variables (IVs) to estimate causal effects of modifiable risk factors on disease outcomes. Genetic variants typically explain a small proportion of the variability in risk factors; hence Mendelian randomisation analyses can require large sample sizes. However, an increasing number of genetic variants have been found to be robustly associated with disease-related outcomes in genome-wide association studies. Use of multiple instruments can improve the precision of IV estimates, and also permit examination of underlying IV assumptions. We discuss the use of multiple genetic variants in Mendelian randomisation analyses with continuous outcome variables where all relationships are assumed to be linear. We describe possible violations of IV assumptions, and how multiple instrument analyses can be used to identify them. We present an example using four adiposity-associated genetic variants as IVs for the causal effect of fat mass on bone density, using data on 5509 children enrolled in the ALSPAC birth cohort study. We also use simulation studies to examine the effect of different sets of IVs on precision and bias. When each instrument independently explains variability in the risk factor, use of multiple instruments increases the precision of IV estimates. However, inclusion of weak instruments could increase finite sample bias. Missing data on multiple genetic variants can diminish the available sample size, compared with single instrument analyses. In simulations with additive genotype-risk factor effects, IV estimates using a weighted allele score had similar properties to estimates using multiple instruments. Under the correct conditions, multiple instrument analyses are a promising approach for Mendelian randomisation studies. Further research is required into multiple imputation methods to address missing data issues in IV estimation.","author":[{"dropping-particle":"","family":"Palmer","given":"Tom M.","non-dropping-particle":"","parse-names":false,"suffix":""},{"dropping-particle":"","family":"Lawlor","given":"Debbie A.","non-dropping-particle":"","parse-names":false,"suffix":""},{"dropping-particle":"","family":"Harbord","given":"Roger M.","non-dropping-particle":"","parse-names":false,"suffix":""},{"dropping-particle":"","family":"Sheehan","given":"Nuala A.","non-dropping-particle":"","parse-names":false,"suffix":""},{"dropping-particle":"","family":"Tobias","given":"Jon H.","non-dropping-particle":"","parse-names":false,"suffix":""},{"dropping-particle":"","family":"Timpson","given":"Nicholas J.","non-dropping-particle":"","parse-names":false,"suffix":""},{"dropping-particle":"","family":"Smith","given":"George Davey","non-dropping-particle":"","parse-names":false,"suffix":""},{"dropping-particle":"","family":"Sterne","given":"Jonathan A C","non-dropping-particle":"","parse-names":false,"suffix":""}],"container-title":"Statistical Methods in Medical Research","id":"ITEM-2","issue":"3","issued":{"date-parts":[["2012"]]},"page":"223-242","title":"Using multiple genetic variants as instrumental variables for modifiable risk factors","type":"paper-conference","volume":"21"},"uris":["http://www.mendeley.com/documents/?uuid=ba4266e8-1863-464d-a42e-bf34e8958c29"]}],"mendeley":{"formattedCitation":"[36, 37]","plainTextFormattedCitation":"[36, 37]","previouslyFormattedCitation":"[36, 37]"},"properties":{"noteIndex":0},"schema":"https://github.com/citation-style-language/schema/raw/master/csl-citation.json"}</w:instrText>
      </w:r>
      <w:r w:rsidR="00B65200">
        <w:rPr>
          <w:lang w:val="en-GB"/>
        </w:rPr>
        <w:fldChar w:fldCharType="separate"/>
      </w:r>
      <w:r w:rsidR="004664F0" w:rsidRPr="004664F0">
        <w:rPr>
          <w:noProof/>
          <w:lang w:val="en-GB"/>
        </w:rPr>
        <w:t>[36, 37]</w:t>
      </w:r>
      <w:r w:rsidR="00B65200">
        <w:rPr>
          <w:lang w:val="en-GB"/>
        </w:rPr>
        <w:fldChar w:fldCharType="end"/>
      </w:r>
      <w:r w:rsidR="00A97DE1" w:rsidRPr="00A97DE1">
        <w:rPr>
          <w:lang w:val="en-GB"/>
        </w:rPr>
        <w:t xml:space="preserve"> </w:t>
      </w:r>
      <w:r w:rsidR="0026444B" w:rsidRPr="0026444B">
        <w:rPr>
          <w:lang w:val="en-GB"/>
        </w:rPr>
        <w:t>The first assumption (relevance assumption) is that the SNPs used as instruments are associated with menopause, and we have strengthen this by removing weak instruments (F</w:t>
      </w:r>
      <w:r w:rsidR="000D289F">
        <w:rPr>
          <w:lang w:val="en-GB"/>
        </w:rPr>
        <w:t xml:space="preserve"> statistic </w:t>
      </w:r>
      <w:r w:rsidR="0026444B" w:rsidRPr="0026444B">
        <w:rPr>
          <w:lang w:val="en-GB"/>
        </w:rPr>
        <w:t>&lt;10). The second assumption (independence assumption)</w:t>
      </w:r>
      <w:r w:rsidR="005A2C58">
        <w:rPr>
          <w:lang w:val="en-GB"/>
        </w:rPr>
        <w:t>,</w:t>
      </w:r>
      <w:r w:rsidR="0026444B" w:rsidRPr="0026444B">
        <w:rPr>
          <w:lang w:val="en-GB"/>
        </w:rPr>
        <w:t xml:space="preserve"> is that the association between the SNP and the outcome is not confounded and the </w:t>
      </w:r>
      <w:r w:rsidR="00A97DE1">
        <w:rPr>
          <w:lang w:val="en-GB"/>
        </w:rPr>
        <w:t>third</w:t>
      </w:r>
      <w:r w:rsidR="000D289F">
        <w:rPr>
          <w:lang w:val="en-GB"/>
        </w:rPr>
        <w:t xml:space="preserve">, </w:t>
      </w:r>
      <w:r w:rsidR="00A97DE1">
        <w:rPr>
          <w:lang w:val="en-GB"/>
        </w:rPr>
        <w:t>and most important assumption</w:t>
      </w:r>
      <w:r w:rsidR="000D289F">
        <w:rPr>
          <w:lang w:val="en-GB"/>
        </w:rPr>
        <w:t xml:space="preserve"> </w:t>
      </w:r>
      <w:r w:rsidR="000D289F" w:rsidRPr="0026444B">
        <w:rPr>
          <w:lang w:val="en-GB"/>
        </w:rPr>
        <w:t>(exclusion restriction)</w:t>
      </w:r>
      <w:r w:rsidR="005A2C58">
        <w:rPr>
          <w:lang w:val="en-GB"/>
        </w:rPr>
        <w:t xml:space="preserve"> </w:t>
      </w:r>
      <w:r w:rsidR="00A97DE1">
        <w:rPr>
          <w:lang w:val="en-GB"/>
        </w:rPr>
        <w:t>is</w:t>
      </w:r>
      <w:r w:rsidR="005A2C58">
        <w:rPr>
          <w:lang w:val="en-GB"/>
        </w:rPr>
        <w:t xml:space="preserve"> </w:t>
      </w:r>
      <w:r w:rsidRPr="00293C29">
        <w:rPr>
          <w:lang w:val="en-GB"/>
        </w:rPr>
        <w:t xml:space="preserve">the absence of pleiotropy, i.e. the SNP </w:t>
      </w:r>
      <w:r w:rsidR="001531A8">
        <w:rPr>
          <w:lang w:val="en-GB"/>
        </w:rPr>
        <w:t>is</w:t>
      </w:r>
      <w:r w:rsidR="001531A8" w:rsidRPr="00293C29">
        <w:rPr>
          <w:lang w:val="en-GB"/>
        </w:rPr>
        <w:t xml:space="preserve"> </w:t>
      </w:r>
      <w:r w:rsidRPr="00293C29">
        <w:rPr>
          <w:lang w:val="en-GB"/>
        </w:rPr>
        <w:t xml:space="preserve">not associated with other traits that independently affect the outcome. </w:t>
      </w:r>
      <w:r w:rsidR="00055C2B" w:rsidRPr="00055C2B">
        <w:rPr>
          <w:lang w:val="en-GB"/>
        </w:rPr>
        <w:t xml:space="preserve">Related to assumption 2, the main confounder for genetic associations is population stratification, and we have addressed this by adjusting for </w:t>
      </w:r>
      <w:r w:rsidR="001235EF" w:rsidRPr="001235EF">
        <w:rPr>
          <w:lang w:val="en-GB"/>
        </w:rPr>
        <w:t xml:space="preserve">ancestry </w:t>
      </w:r>
      <w:r w:rsidR="00055C2B" w:rsidRPr="00055C2B">
        <w:rPr>
          <w:lang w:val="en-GB"/>
        </w:rPr>
        <w:t>principal components.</w:t>
      </w:r>
      <w:r w:rsidR="000D289F">
        <w:rPr>
          <w:lang w:val="en-GB"/>
        </w:rPr>
        <w:t xml:space="preserve"> T</w:t>
      </w:r>
      <w:r w:rsidR="00055C2B" w:rsidRPr="00055C2B">
        <w:rPr>
          <w:lang w:val="en-GB"/>
        </w:rPr>
        <w:t xml:space="preserve">he impact of </w:t>
      </w:r>
      <w:r w:rsidR="000D289F" w:rsidRPr="000D289F">
        <w:rPr>
          <w:lang w:val="en-GB"/>
        </w:rPr>
        <w:t xml:space="preserve">violations of </w:t>
      </w:r>
      <w:r w:rsidR="00055C2B" w:rsidRPr="00055C2B">
        <w:rPr>
          <w:lang w:val="en-GB"/>
        </w:rPr>
        <w:t>assumption</w:t>
      </w:r>
      <w:r w:rsidR="00300D45">
        <w:rPr>
          <w:lang w:val="en-GB"/>
        </w:rPr>
        <w:t>s</w:t>
      </w:r>
      <w:r w:rsidR="00055C2B" w:rsidRPr="00055C2B">
        <w:rPr>
          <w:lang w:val="en-GB"/>
        </w:rPr>
        <w:t xml:space="preserve"> 2 and 3 can be assessed</w:t>
      </w:r>
      <w:r w:rsidRPr="00293C29">
        <w:rPr>
          <w:lang w:val="en-GB"/>
        </w:rPr>
        <w:t xml:space="preserve"> by excluding SNPs known to be associated with traits</w:t>
      </w:r>
      <w:r w:rsidR="0020530A" w:rsidRPr="00293C29">
        <w:rPr>
          <w:lang w:val="en-GB"/>
        </w:rPr>
        <w:t xml:space="preserve"> that could affect lung function</w:t>
      </w:r>
      <w:r w:rsidRPr="00293C29">
        <w:rPr>
          <w:lang w:val="en-GB"/>
        </w:rPr>
        <w:t xml:space="preserve">. We </w:t>
      </w:r>
      <w:r w:rsidRPr="00293C29">
        <w:rPr>
          <w:i/>
          <w:lang w:val="en-GB"/>
        </w:rPr>
        <w:t xml:space="preserve">a priori </w:t>
      </w:r>
      <w:r w:rsidRPr="00293C29">
        <w:rPr>
          <w:lang w:val="en-GB"/>
        </w:rPr>
        <w:t xml:space="preserve">considered height, BMI, and age at menarche as potential sources of </w:t>
      </w:r>
      <w:r w:rsidR="002B0A7A" w:rsidRPr="002B0A7A">
        <w:rPr>
          <w:lang w:val="en-GB"/>
        </w:rPr>
        <w:t xml:space="preserve">confounding </w:t>
      </w:r>
      <w:r w:rsidR="002B0A7A">
        <w:rPr>
          <w:lang w:val="en-GB"/>
        </w:rPr>
        <w:t>and</w:t>
      </w:r>
      <w:r w:rsidR="00300D45">
        <w:rPr>
          <w:lang w:val="en-GB"/>
        </w:rPr>
        <w:t>/or</w:t>
      </w:r>
      <w:r w:rsidR="002B0A7A">
        <w:rPr>
          <w:lang w:val="en-GB"/>
        </w:rPr>
        <w:t xml:space="preserve"> </w:t>
      </w:r>
      <w:r w:rsidRPr="00293C29">
        <w:rPr>
          <w:lang w:val="en-GB"/>
        </w:rPr>
        <w:t xml:space="preserve">pleiotropy because </w:t>
      </w:r>
      <w:r w:rsidR="00594002" w:rsidRPr="00293C29">
        <w:rPr>
          <w:lang w:val="en-GB"/>
        </w:rPr>
        <w:t>these traits</w:t>
      </w:r>
      <w:r w:rsidRPr="00293C29">
        <w:rPr>
          <w:lang w:val="en-GB"/>
        </w:rPr>
        <w:t xml:space="preserve"> are associated with lung function, and 25%, 8% and 6% respectively of the 63 included SNPs </w:t>
      </w:r>
      <w:r w:rsidR="009E1C5B" w:rsidRPr="00293C29">
        <w:rPr>
          <w:lang w:val="en-GB"/>
        </w:rPr>
        <w:t xml:space="preserve">have been </w:t>
      </w:r>
      <w:r w:rsidR="00CE49FA" w:rsidRPr="00293C29">
        <w:rPr>
          <w:lang w:val="en-GB"/>
        </w:rPr>
        <w:t>previously</w:t>
      </w:r>
      <w:r w:rsidR="002C471E" w:rsidRPr="00293C29">
        <w:rPr>
          <w:lang w:val="en-GB"/>
        </w:rPr>
        <w:t xml:space="preserve"> associated with these traits</w:t>
      </w:r>
      <w:r w:rsidRPr="00293C29">
        <w:rPr>
          <w:lang w:val="en-GB"/>
        </w:rPr>
        <w:t xml:space="preserve">. Removing these SNPs resulted in similar results to those of the main analyses, suggesting no major </w:t>
      </w:r>
      <w:r w:rsidR="00300D45">
        <w:rPr>
          <w:lang w:val="en-GB"/>
        </w:rPr>
        <w:t>impact on the MR</w:t>
      </w:r>
      <w:r w:rsidR="00300D45" w:rsidRPr="00293C29">
        <w:rPr>
          <w:lang w:val="en-GB"/>
        </w:rPr>
        <w:t xml:space="preserve"> </w:t>
      </w:r>
      <w:r w:rsidR="00300D45">
        <w:rPr>
          <w:lang w:val="en-GB"/>
        </w:rPr>
        <w:t>results</w:t>
      </w:r>
      <w:r w:rsidR="00300D45" w:rsidRPr="00293C29">
        <w:rPr>
          <w:lang w:val="en-GB"/>
        </w:rPr>
        <w:t xml:space="preserve"> </w:t>
      </w:r>
      <w:r w:rsidRPr="00293C29">
        <w:rPr>
          <w:lang w:val="en-GB"/>
        </w:rPr>
        <w:t xml:space="preserve">through </w:t>
      </w:r>
      <w:r w:rsidR="00300D45">
        <w:rPr>
          <w:lang w:val="en-GB"/>
        </w:rPr>
        <w:t xml:space="preserve">genetic associations of </w:t>
      </w:r>
      <w:r w:rsidRPr="00293C29">
        <w:rPr>
          <w:lang w:val="en-GB"/>
        </w:rPr>
        <w:t xml:space="preserve">these traits. The presence of pleiotropy can also be investigated by looking at the variation between MR estimates </w:t>
      </w:r>
      <w:r w:rsidR="009C5BE0" w:rsidRPr="00293C29">
        <w:rPr>
          <w:lang w:val="en-GB"/>
        </w:rPr>
        <w:t>from the individual</w:t>
      </w:r>
      <w:r w:rsidRPr="00293C29">
        <w:rPr>
          <w:lang w:val="en-GB"/>
        </w:rPr>
        <w:t xml:space="preserve"> SNPs. We would expect the </w:t>
      </w:r>
      <w:r w:rsidR="00561392" w:rsidRPr="00293C29">
        <w:rPr>
          <w:lang w:val="en-GB"/>
        </w:rPr>
        <w:t>individual</w:t>
      </w:r>
      <w:r w:rsidRPr="00293C29">
        <w:rPr>
          <w:lang w:val="en-GB"/>
        </w:rPr>
        <w:t xml:space="preserve"> MR estimates </w:t>
      </w:r>
      <w:r w:rsidR="001C1924" w:rsidRPr="00293C29">
        <w:rPr>
          <w:lang w:val="en-GB"/>
        </w:rPr>
        <w:t>to vary only</w:t>
      </w:r>
      <w:r w:rsidR="00561392" w:rsidRPr="00293C29">
        <w:rPr>
          <w:lang w:val="en-GB"/>
        </w:rPr>
        <w:t xml:space="preserve"> by chance</w:t>
      </w:r>
      <w:r w:rsidR="00561392" w:rsidRPr="00293C29" w:rsidDel="00561392">
        <w:rPr>
          <w:lang w:val="en-GB"/>
        </w:rPr>
        <w:t xml:space="preserve"> </w:t>
      </w:r>
      <w:r w:rsidRPr="00293C29">
        <w:rPr>
          <w:lang w:val="en-GB"/>
        </w:rPr>
        <w:t>if all included SNPs were valid instruments (i.e. no pleiotropy).</w:t>
      </w:r>
      <w:r w:rsidRPr="00293C29">
        <w:rPr>
          <w:lang w:val="en-GB"/>
        </w:rPr>
        <w:fldChar w:fldCharType="begin" w:fldLock="1"/>
      </w:r>
      <w:r w:rsidR="001A51BC">
        <w:rPr>
          <w:lang w:val="en-GB"/>
        </w:rPr>
        <w:instrText>ADDIN CSL_CITATION {"citationItems":[{"id":"ITEM-1","itemData":{"DOI":"10.1002/sim.6522","ISSN":"02776715","PMID":"25950993","abstract":"Mendelian randomisation (MR) estimates causal effects of modifiable phenotypes on an outcome by using genetic variants as instrumental variables, but its validity relies on the assumption of no pleiotropy, that is, genes influence the outcome only through the given phenotype. Excluding pleiotropy is difficult, but the use of multiple instruments can indirectly address the issue: if all genes represent valid instruments, their MR estimates should vary only by chance. The Sargan test detects pleiotropy when individual phenotype, outcome and genotype data are measured in the same subjects. We propose an alternative approach to be used when only summary genetic data are available or data on gene-phenotype and gene-outcome come from different subjects. The presence of pleiotropy is investigated using the between-instrument heterogeneity Q test (together with the I(2) index) in a meta-analysis of MR Wald estimates, derived separately from each instrument. For a continuous outcome, we evaluate the approach through simulations and illustrate it using published data. For the scenario where all data come from the same subjects, we compare it with the Sargan test. The Q test tends to be conservative in small samples. Its power increases with the degree of pleiotropy and the sample size, as does the precision of the I(2) index, in which case results are similar to those of the Sargan test. In MR studies with large sample sizes based on summary data, the between-instrument Q test represents a useful tool to explore the presence of heterogeneity due to pleiotropy or other causes.","author":[{"dropping-particle":"Del","family":"Greco M","given":"Fabiola","non-dropping-particle":"","parse-names":false,"suffix":""},{"dropping-particle":"","family":"Minelli","given":"Cosetta","non-dropping-particle":"","parse-names":false,"suffix":""},{"dropping-particle":"","family":"Sheehan","given":"Nuala A","non-dropping-particle":"","parse-names":false,"suffix":""},{"dropping-particle":"","family":"Thompson","given":"John R","non-dropping-particle":"","parse-names":false,"suffix":""}],"container-title":"Statistics in Medicine","id":"ITEM-1","issue":"21","issued":{"date-parts":[["2015","9"]]},"page":"2926-2940","title":"Detecting pleiotropy in Mendelian randomisation studies with summary data and a continuous outcome","type":"article-journal","volume":"34"},"uris":["http://www.mendeley.com/documents/?uuid=150f7acf-1f05-4066-8b87-6ef6b384e4dd","http://www.mendeley.com/documents/?uuid=57672fdf-2351-3c4e-8d09-145f873d7447"]}],"mendeley":{"formattedCitation":"[22]","plainTextFormattedCitation":"[22]","previouslyFormattedCitation":"[22]"},"properties":{"noteIndex":0},"schema":"https://github.com/citation-style-language/schema/raw/master/csl-citation.json"}</w:instrText>
      </w:r>
      <w:r w:rsidRPr="00293C29">
        <w:rPr>
          <w:lang w:val="en-GB"/>
        </w:rPr>
        <w:fldChar w:fldCharType="separate"/>
      </w:r>
      <w:r w:rsidR="001A51BC" w:rsidRPr="001A51BC">
        <w:rPr>
          <w:noProof/>
          <w:lang w:val="en-GB"/>
        </w:rPr>
        <w:t>[22]</w:t>
      </w:r>
      <w:r w:rsidRPr="00293C29">
        <w:rPr>
          <w:lang w:val="en-GB"/>
        </w:rPr>
        <w:fldChar w:fldCharType="end"/>
      </w:r>
      <w:r w:rsidR="0072513E" w:rsidRPr="00293C29">
        <w:rPr>
          <w:lang w:val="en-GB"/>
        </w:rPr>
        <w:t xml:space="preserve"> </w:t>
      </w:r>
      <w:r w:rsidR="0072513E" w:rsidRPr="00293C29">
        <w:rPr>
          <w:lang w:val="en-GB"/>
        </w:rPr>
        <w:lastRenderedPageBreak/>
        <w:t>There was a suggestion of pleiotropy in our</w:t>
      </w:r>
      <w:r w:rsidR="00B817BA" w:rsidRPr="00293C29">
        <w:rPr>
          <w:lang w:val="en-GB"/>
        </w:rPr>
        <w:t xml:space="preserve"> main analyses on FEV</w:t>
      </w:r>
      <w:r w:rsidR="00B817BA" w:rsidRPr="00293C29">
        <w:rPr>
          <w:vertAlign w:val="subscript"/>
          <w:lang w:val="en-GB"/>
        </w:rPr>
        <w:t>1</w:t>
      </w:r>
      <w:r w:rsidR="00B817BA" w:rsidRPr="00293C29">
        <w:rPr>
          <w:lang w:val="en-GB"/>
        </w:rPr>
        <w:t>/FVC, FVC, and airflow obstruction (I</w:t>
      </w:r>
      <w:r w:rsidR="00B817BA" w:rsidRPr="00293C29">
        <w:rPr>
          <w:vertAlign w:val="superscript"/>
          <w:lang w:val="en-GB"/>
        </w:rPr>
        <w:t>2</w:t>
      </w:r>
      <w:r w:rsidR="00B817BA" w:rsidRPr="00293C29">
        <w:rPr>
          <w:lang w:val="en-GB"/>
        </w:rPr>
        <w:t>: 16-48), but not for spirometric restriction (I</w:t>
      </w:r>
      <w:r w:rsidR="00B817BA" w:rsidRPr="00293C29">
        <w:rPr>
          <w:vertAlign w:val="superscript"/>
          <w:lang w:val="en-GB"/>
        </w:rPr>
        <w:t>2</w:t>
      </w:r>
      <w:r w:rsidR="00376031" w:rsidRPr="00293C29">
        <w:rPr>
          <w:lang w:val="en-GB"/>
        </w:rPr>
        <w:t>=</w:t>
      </w:r>
      <w:r w:rsidR="00B817BA" w:rsidRPr="00293C29">
        <w:rPr>
          <w:lang w:val="en-GB"/>
        </w:rPr>
        <w:t xml:space="preserve"> 0). </w:t>
      </w:r>
      <w:r w:rsidR="00461E36" w:rsidRPr="00293C29">
        <w:rPr>
          <w:lang w:val="en-GB"/>
        </w:rPr>
        <w:t>However, w</w:t>
      </w:r>
      <w:r w:rsidRPr="00293C29">
        <w:rPr>
          <w:lang w:val="en-GB"/>
        </w:rPr>
        <w:t>hen we excluded possible pleiotropic SNPs, there was still residual heterogeneity</w:t>
      </w:r>
      <w:r w:rsidR="00461E36" w:rsidRPr="00293C29">
        <w:rPr>
          <w:lang w:val="en-GB"/>
        </w:rPr>
        <w:t xml:space="preserve"> (I</w:t>
      </w:r>
      <w:r w:rsidR="00461E36" w:rsidRPr="00293C29">
        <w:rPr>
          <w:vertAlign w:val="superscript"/>
          <w:lang w:val="en-GB"/>
        </w:rPr>
        <w:t>2</w:t>
      </w:r>
      <w:r w:rsidR="00461E36" w:rsidRPr="00293C29">
        <w:rPr>
          <w:lang w:val="en-GB"/>
        </w:rPr>
        <w:t>: 2-57)</w:t>
      </w:r>
      <w:r w:rsidRPr="00293C29">
        <w:rPr>
          <w:lang w:val="en-GB"/>
        </w:rPr>
        <w:t xml:space="preserve">, which could be due to other (unknown) independent pathways. </w:t>
      </w:r>
      <w:r w:rsidR="00F43BDA" w:rsidRPr="00293C29">
        <w:rPr>
          <w:lang w:val="en-GB"/>
        </w:rPr>
        <w:t>It is important to note that I</w:t>
      </w:r>
      <w:r w:rsidR="00F43BDA" w:rsidRPr="00293C29">
        <w:rPr>
          <w:vertAlign w:val="superscript"/>
          <w:lang w:val="en-GB"/>
        </w:rPr>
        <w:t>2</w:t>
      </w:r>
      <w:r w:rsidR="00F43BDA" w:rsidRPr="00293C29">
        <w:rPr>
          <w:lang w:val="en-GB"/>
        </w:rPr>
        <w:t xml:space="preserve"> is not independent of sample size or number of instruments, and with large sample sizes high I</w:t>
      </w:r>
      <w:r w:rsidR="00F43BDA" w:rsidRPr="00293C29">
        <w:rPr>
          <w:vertAlign w:val="superscript"/>
          <w:lang w:val="en-GB"/>
        </w:rPr>
        <w:t>2</w:t>
      </w:r>
      <w:r w:rsidR="00F43BDA" w:rsidRPr="00293C29">
        <w:rPr>
          <w:lang w:val="en-GB"/>
        </w:rPr>
        <w:t xml:space="preserve"> values might be observed in the absence of pleiotropy</w:t>
      </w:r>
      <w:r w:rsidRPr="00293C29">
        <w:rPr>
          <w:lang w:val="en-GB"/>
        </w:rPr>
        <w:t>.</w:t>
      </w:r>
      <w:r w:rsidRPr="00293C29">
        <w:rPr>
          <w:lang w:val="en-GB"/>
        </w:rPr>
        <w:fldChar w:fldCharType="begin" w:fldLock="1"/>
      </w:r>
      <w:r w:rsidR="001A51BC">
        <w:rPr>
          <w:lang w:val="en-GB"/>
        </w:rPr>
        <w:instrText>ADDIN CSL_CITATION {"citationItems":[{"id":"ITEM-1","itemData":{"DOI":"10.1002/sim.6522","ISSN":"02776715","PMID":"25950993","abstract":"Mendelian randomisation (MR) estimates causal effects of modifiable phenotypes on an outcome by using genetic variants as instrumental variables, but its validity relies on the assumption of no pleiotropy, that is, genes influence the outcome only through the given phenotype. Excluding pleiotropy is difficult, but the use of multiple instruments can indirectly address the issue: if all genes represent valid instruments, their MR estimates should vary only by chance. The Sargan test detects pleiotropy when individual phenotype, outcome and genotype data are measured in the same subjects. We propose an alternative approach to be used when only summary genetic data are available or data on gene-phenotype and gene-outcome come from different subjects. The presence of pleiotropy is investigated using the between-instrument heterogeneity Q test (together with the I(2) index) in a meta-analysis of MR Wald estimates, derived separately from each instrument. For a continuous outcome, we evaluate the approach through simulations and illustrate it using published data. For the scenario where all data come from the same subjects, we compare it with the Sargan test. The Q test tends to be conservative in small samples. Its power increases with the degree of pleiotropy and the sample size, as does the precision of the I(2) index, in which case results are similar to those of the Sargan test. In MR studies with large sample sizes based on summary data, the between-instrument Q test represents a useful tool to explore the presence of heterogeneity due to pleiotropy or other causes.","author":[{"dropping-particle":"Del","family":"Greco M","given":"Fabiola","non-dropping-particle":"","parse-names":false,"suffix":""},{"dropping-particle":"","family":"Minelli","given":"Cosetta","non-dropping-particle":"","parse-names":false,"suffix":""},{"dropping-particle":"","family":"Sheehan","given":"Nuala A","non-dropping-particle":"","parse-names":false,"suffix":""},{"dropping-particle":"","family":"Thompson","given":"John R","non-dropping-particle":"","parse-names":false,"suffix":""}],"container-title":"Statistics in Medicine","id":"ITEM-1","issue":"21","issued":{"date-parts":[["2015","9"]]},"page":"2926-2940","title":"Detecting pleiotropy in Mendelian randomisation studies with summary data and a continuous outcome","type":"article-journal","volume":"34"},"uris":["http://www.mendeley.com/documents/?uuid=150f7acf-1f05-4066-8b87-6ef6b384e4dd","http://www.mendeley.com/documents/?uuid=57672fdf-2351-3c4e-8d09-145f873d7447"]}],"mendeley":{"formattedCitation":"[22]","plainTextFormattedCitation":"[22]","previouslyFormattedCitation":"[22]"},"properties":{"noteIndex":0},"schema":"https://github.com/citation-style-language/schema/raw/master/csl-citation.json"}</w:instrText>
      </w:r>
      <w:r w:rsidRPr="00293C29">
        <w:rPr>
          <w:lang w:val="en-GB"/>
        </w:rPr>
        <w:fldChar w:fldCharType="separate"/>
      </w:r>
      <w:r w:rsidR="001A51BC" w:rsidRPr="001A51BC">
        <w:rPr>
          <w:noProof/>
          <w:lang w:val="en-GB"/>
        </w:rPr>
        <w:t>[22]</w:t>
      </w:r>
      <w:r w:rsidRPr="00293C29">
        <w:rPr>
          <w:lang w:val="en-GB"/>
        </w:rPr>
        <w:fldChar w:fldCharType="end"/>
      </w:r>
      <w:r w:rsidRPr="00293C29">
        <w:rPr>
          <w:lang w:val="en-GB"/>
        </w:rPr>
        <w:t xml:space="preserve"> The consistency </w:t>
      </w:r>
      <w:r w:rsidR="005C3A34" w:rsidRPr="00293C29">
        <w:rPr>
          <w:lang w:val="en-GB"/>
        </w:rPr>
        <w:t>between the findings of the</w:t>
      </w:r>
      <w:r w:rsidRPr="00293C29">
        <w:rPr>
          <w:lang w:val="en-GB"/>
        </w:rPr>
        <w:t xml:space="preserve"> different MR methods provides reassurance and indicates the robustness of our findings related to airflow obstruction.</w:t>
      </w:r>
    </w:p>
    <w:p w14:paraId="2BD21FC1" w14:textId="3D1CE7BD" w:rsidR="00D8229D" w:rsidRPr="00293C29" w:rsidRDefault="00D8229D" w:rsidP="00A87748">
      <w:pPr>
        <w:spacing w:after="120"/>
        <w:jc w:val="both"/>
        <w:rPr>
          <w:lang w:val="en-GB"/>
        </w:rPr>
      </w:pPr>
      <w:r w:rsidRPr="00293C29">
        <w:rPr>
          <w:lang w:val="en-GB"/>
        </w:rPr>
        <w:t>Our findings when using age at menopause as a continuous variable were consistent with those for early and late menopause. Of note, this MR analysis had 90% power to detect a minimum difference in FVC of 6.4ml per year increase in age at menopause, and hence we cannot exclude a smaller effect of age at menopause on FVC.</w:t>
      </w:r>
      <w:r w:rsidRPr="00293C29">
        <w:rPr>
          <w:lang w:val="en-GB"/>
        </w:rPr>
        <w:fldChar w:fldCharType="begin" w:fldLock="1"/>
      </w:r>
      <w:r w:rsidR="004664F0">
        <w:rPr>
          <w:lang w:val="en-GB"/>
        </w:rPr>
        <w:instrText>ADDIN CSL_CITATION {"citationItems":[{"id":"ITEM-1","itemData":{"DOI":"10.1093/ije/dyt179","ISSN":"1464-3685","author":[{"dropping-particle":"","family":"Brion","given":"Marie-Jo A","non-dropping-particle":"","parse-names":false,"suffix":""},{"dropping-particle":"","family":"Shakhbazov","given":"Konstantin","non-dropping-particle":"","parse-names":false,"suffix":""},{"dropping-particle":"","family":"Visscher","given":"Peter M","non-dropping-particle":"","parse-names":false,"suffix":""}],"container-title":"International Journal of Epidemiology","id":"ITEM-1","issue":"5","issued":{"date-parts":[["2013","10"]]},"page":"1497-1501","publisher":"Oxford University Press","title":"Calculating statistical power in Mendelian randomization studies","type":"article-journal","volume":"42"},"uris":["http://www.mendeley.com/documents/?uuid=505560de-bc38-3c42-911f-39b48ebf2582","http://www.mendeley.com/documents/?uuid=839f452f-d866-416b-8fc1-81143d9ca6b9"]}],"mendeley":{"formattedCitation":"[38]","plainTextFormattedCitation":"[38]","previouslyFormattedCitation":"[38]"},"properties":{"noteIndex":0},"schema":"https://github.com/citation-style-language/schema/raw/master/csl-citation.json"}</w:instrText>
      </w:r>
      <w:r w:rsidRPr="00293C29">
        <w:rPr>
          <w:lang w:val="en-GB"/>
        </w:rPr>
        <w:fldChar w:fldCharType="separate"/>
      </w:r>
      <w:r w:rsidR="00223BF9" w:rsidRPr="00223BF9">
        <w:rPr>
          <w:noProof/>
          <w:lang w:val="en-GB"/>
        </w:rPr>
        <w:t>[38]</w:t>
      </w:r>
      <w:r w:rsidRPr="00293C29">
        <w:rPr>
          <w:lang w:val="en-GB"/>
        </w:rPr>
        <w:fldChar w:fldCharType="end"/>
      </w:r>
      <w:r w:rsidRPr="00293C29">
        <w:rPr>
          <w:lang w:val="en-GB"/>
        </w:rPr>
        <w:t xml:space="preserve"> </w:t>
      </w:r>
      <w:r w:rsidR="009E1C5B" w:rsidRPr="00293C29">
        <w:rPr>
          <w:lang w:val="en-GB"/>
        </w:rPr>
        <w:t>Our main analyses suggested</w:t>
      </w:r>
      <w:r w:rsidRPr="00293C29">
        <w:rPr>
          <w:lang w:val="en-GB"/>
        </w:rPr>
        <w:t xml:space="preserve"> </w:t>
      </w:r>
      <w:r w:rsidR="009E1C5B" w:rsidRPr="00293C29">
        <w:rPr>
          <w:lang w:val="en-GB"/>
        </w:rPr>
        <w:t xml:space="preserve">the possibility of </w:t>
      </w:r>
      <w:r w:rsidRPr="00293C29">
        <w:rPr>
          <w:lang w:val="en-GB"/>
        </w:rPr>
        <w:t>a small detrimental effect of early menopause on FVC (-5mL</w:t>
      </w:r>
      <w:r w:rsidR="009E1C5B" w:rsidRPr="00293C29">
        <w:rPr>
          <w:lang w:val="en-GB"/>
        </w:rPr>
        <w:t xml:space="preserve">; </w:t>
      </w:r>
      <w:r w:rsidRPr="00293C29">
        <w:rPr>
          <w:lang w:val="en-GB"/>
        </w:rPr>
        <w:t xml:space="preserve">p=0.08). When we excluded possible pleiotropic SNPs, this association became significant (p=0.03) and its direction was the same as in the observational analysis, although of much smaller magnitude (-6.7mL vs. -36mL). We thus cannot confirm the detrimental effect of early menopause on FVC found in observational analyses, </w:t>
      </w:r>
      <w:r w:rsidR="00752CB1" w:rsidRPr="00293C29">
        <w:rPr>
          <w:lang w:val="en-GB"/>
        </w:rPr>
        <w:t xml:space="preserve">but </w:t>
      </w:r>
      <w:r w:rsidRPr="00293C29">
        <w:rPr>
          <w:lang w:val="en-GB"/>
        </w:rPr>
        <w:t xml:space="preserve">if there is a true causal effect this is likely to be small. </w:t>
      </w:r>
    </w:p>
    <w:p w14:paraId="0620396E" w14:textId="7AB8C573" w:rsidR="00907814" w:rsidRPr="00293C29" w:rsidRDefault="00572AA2" w:rsidP="00A87748">
      <w:pPr>
        <w:spacing w:after="120"/>
        <w:jc w:val="both"/>
        <w:rPr>
          <w:lang w:val="en-GB"/>
        </w:rPr>
      </w:pPr>
      <w:r w:rsidRPr="00293C29">
        <w:rPr>
          <w:rFonts w:ascii="Calibri" w:eastAsia="Times New Roman" w:hAnsi="Calibri" w:cs="Times New Roman"/>
          <w:lang w:val="en-GB" w:eastAsia="en-GB"/>
        </w:rPr>
        <w:t xml:space="preserve">Most </w:t>
      </w:r>
      <w:r w:rsidR="00D05B46" w:rsidRPr="00293C29">
        <w:rPr>
          <w:rFonts w:ascii="Calibri" w:eastAsia="Times New Roman" w:hAnsi="Calibri" w:cs="Times New Roman"/>
          <w:lang w:val="en-GB" w:eastAsia="en-GB"/>
        </w:rPr>
        <w:t xml:space="preserve">observational </w:t>
      </w:r>
      <w:r w:rsidR="007C7F1A" w:rsidRPr="00293C29">
        <w:rPr>
          <w:lang w:val="en-GB"/>
        </w:rPr>
        <w:t xml:space="preserve">studies reported lower </w:t>
      </w:r>
      <w:r w:rsidRPr="00293C29">
        <w:rPr>
          <w:lang w:val="en-GB"/>
        </w:rPr>
        <w:t>FEV</w:t>
      </w:r>
      <w:r w:rsidRPr="00293C29">
        <w:rPr>
          <w:vertAlign w:val="subscript"/>
          <w:lang w:val="en-GB"/>
        </w:rPr>
        <w:t>1</w:t>
      </w:r>
      <w:r w:rsidRPr="00293C29">
        <w:rPr>
          <w:lang w:val="en-GB"/>
        </w:rPr>
        <w:t xml:space="preserve"> and FVC</w:t>
      </w:r>
      <w:r w:rsidR="007C7F1A" w:rsidRPr="00293C29">
        <w:rPr>
          <w:lang w:val="en-GB"/>
        </w:rPr>
        <w:t xml:space="preserve"> </w:t>
      </w:r>
      <w:r w:rsidR="000B58B5" w:rsidRPr="00293C29">
        <w:rPr>
          <w:lang w:val="en-GB"/>
        </w:rPr>
        <w:t xml:space="preserve">in </w:t>
      </w:r>
      <w:r w:rsidR="007C7F1A" w:rsidRPr="00293C29">
        <w:rPr>
          <w:lang w:val="en-GB"/>
        </w:rPr>
        <w:t>post-menopausal women compared to pre-menopausal</w:t>
      </w:r>
      <w:r w:rsidR="00D05B46" w:rsidRPr="00293C29">
        <w:rPr>
          <w:lang w:val="en-GB"/>
        </w:rPr>
        <w:t xml:space="preserve">, but </w:t>
      </w:r>
      <w:r w:rsidR="001A3404" w:rsidRPr="00293C29">
        <w:rPr>
          <w:lang w:val="en-GB"/>
        </w:rPr>
        <w:t>no</w:t>
      </w:r>
      <w:r w:rsidR="00C55C66" w:rsidRPr="00293C29">
        <w:rPr>
          <w:lang w:val="en-GB"/>
        </w:rPr>
        <w:t xml:space="preserve"> effect on </w:t>
      </w:r>
      <w:r w:rsidR="001A3404" w:rsidRPr="00293C29">
        <w:rPr>
          <w:lang w:val="en-GB"/>
        </w:rPr>
        <w:t>FEV</w:t>
      </w:r>
      <w:r w:rsidR="001A3404" w:rsidRPr="00293C29">
        <w:rPr>
          <w:vertAlign w:val="subscript"/>
          <w:lang w:val="en-GB"/>
        </w:rPr>
        <w:t>1</w:t>
      </w:r>
      <w:r w:rsidR="001A3404" w:rsidRPr="00293C29">
        <w:rPr>
          <w:lang w:val="en-GB"/>
        </w:rPr>
        <w:t xml:space="preserve">/FVC or </w:t>
      </w:r>
      <w:r w:rsidR="00C55C66" w:rsidRPr="00293C29">
        <w:rPr>
          <w:lang w:val="en-GB"/>
        </w:rPr>
        <w:t>airflow obstruction</w:t>
      </w:r>
      <w:r w:rsidR="007C7F1A" w:rsidRPr="00293C29">
        <w:rPr>
          <w:lang w:val="en-GB"/>
        </w:rPr>
        <w:t>.</w:t>
      </w:r>
      <w:r w:rsidR="007C7F1A" w:rsidRPr="00293C29">
        <w:rPr>
          <w:lang w:val="en-GB"/>
        </w:rPr>
        <w:fldChar w:fldCharType="begin" w:fldLock="1"/>
      </w:r>
      <w:r w:rsidR="004664F0">
        <w:rPr>
          <w:lang w:val="en-GB"/>
        </w:rPr>
        <w:instrText>ADDIN CSL_CITATION {"citationItems":[{"id":"ITEM-1","itemData":{"DOI":"10.1016/j.jaci.2007.08.057","ISSN":"1097-6825","PMID":"18028993","abstract":"BACKGROUND: There is limited information on potential changes in respiratory health when women enter the menopausal transition. OBJECTIVE: We sought to investigate whether the menopausal transition is related to lung function and asthma and whether body mass index (BMI) modifies associations. METHODS: Four thousand two hundred fifty-nine women from 21 centers (ECRHS II, 2002) responded to a questionnaire concerning women's health. Women aged 45 to 56 years not using exogenous sex hormones (n = 1274) were included in the present analysis. Lung function measurements (n = 1120) and serum markers of hormonal status (follicle-stimulating hormone, luteinizing hormone, and estradiol; n = 710) were available. Logistic and linear regression analyses were adjusted for BMI, age, years of education, smoking status, center, and height. RESULTS: Women not menstruating for the last 6 months (n = 432, 34%) had significantly lower FEV(1) values (-120 mL [95% CI, -177 to -63]), lower forced vital capacity values (-115 mL [95% CI, -181 to -50]), and more respiratory symptoms (odds ratio [OR], 1.82 [95% CI, 1.27-2.61]) than those menstruating regularly. Results were similar when restricting analyses to those who never smoked. Associations were significantly stronger in women with BMIs of less than 23 kg/m(2) (respiratory symptoms: OR, 4.07 [95% CI, 1.88-8.80]; FEV(1) adjusted difference: -166 [95% CI, -263 to -70]) than in women with BMIs of 23 to 28 kg/m(2) (respiratory symptoms: OR, 1.10 [95% CI, 0.61-1.97], P(interaction): .04; FEV(1) adjusted difference, -54 [95% CI, -151 to 43], P(interaction) = .06). CONCLUSIONS: Menopause is associated with lower lung function and more respiratory symptoms, especially among lean women.","author":[{"dropping-particle":"","family":"Real","given":"Francisco Gómez","non-dropping-particle":"","parse-names":false,"suffix":""},{"dropping-particle":"","family":"Svanes","given":"Cecilie","non-dropping-particle":"","parse-names":false,"suffix":""},{"dropping-particle":"","family":"Omenaas","given":"Ernst Reidar","non-dropping-particle":"","parse-names":false,"suffix":""},{"dropping-particle":"","family":"Antò","given":"Josep Maria","non-dropping-particle":"","parse-names":false,"suffix":""},{"dropping-particle":"","family":"Plana","given":"Estel","non-dropping-particle":"","parse-names":false,"suffix":""},{"dropping-particle":"","family":"Jarvis","given":"Deborah","non-dropping-particle":"","parse-names":false,"suffix":""},{"dropping-particle":"","family":"Janson","given":"Christer","non-dropping-particle":"","parse-names":false,"suffix":""},{"dropping-particle":"","family":"Neukirch","given":"Françoise","non-dropping-particle":"","parse-names":false,"suffix":""},{"dropping-particle":"","family":"Zemp","given":"Elisabeth","non-dropping-particle":"","parse-names":false,"suffix":""},{"dropping-particle":"","family":"Dratva","given":"Julia","non-dropping-particle":"","parse-names":false,"suffix":""},{"dropping-particle":"","family":"Wjst","given":"Matthias","non-dropping-particle":"","parse-names":false,"suffix":""},{"dropping-particle":"","family":"Svanes","given":"Knut","non-dropping-particle":"","parse-names":false,"suffix":""},{"dropping-particle":"","family":"Leynaert","given":"Bénédicte","non-dropping-particle":"","parse-names":false,"suffix":""},{"dropping-particle":"","family":"Sunyer","given":"Jordi","non-dropping-particle":"","parse-names":false,"suffix":""}],"container-title":"The Journal of allergy and clinical immunology","id":"ITEM-1","issue":"1","issued":{"date-parts":[["2008"]]},"page":"72-80.e3","title":"Lung function, respiratory symptoms, and the menopausal transition.","type":"article-journal","volume":"121"},"uris":["http://www.mendeley.com/documents/?uuid=406e1b22-9846-484d-99de-4e172b659cf2","http://www.mendeley.com/documents/?uuid=0d1d4ccd-7076-4720-9b85-72700a22f2ef"]},{"id":"ITEM-2","itemData":{"DOI":"10.1111/j.1398-9995.2007.01530.x","ISBN":"1398-9995 (Electronic)\\r0105-4538 (Linking)","ISSN":"01054538","PMID":"17970824","abstract":"BACKGROUND Gynaecological surgery that may lead to cessation of menstruation is a major indication for the use of hormone replacement therapy (HRT) which in turn has been associated with asthma. METHODS Information on asthma-like symptoms, lung function and immunoglobulin E (IgE) sensitization to house dust mite (HDM) and on menstrual status and use of HRT was collected from 3724 women aged between 35 and 64 years living in England. Association of health outcomes with use of HRT and with surgery resulting in cessation of menstruation was examined in multivariable models. RESULTS Over a third of women who had ever used HRT had undergone surgery resulting in cessation of menstruation. Current use of HRT was associated with frequent wheeze, particularly in lean women [body mass index (BMI) &lt; 25; odds ratio (OR) 1.90; 95% confidence interval (CI) 1.17-3.05; BMI 25+; OR 1.02; 95% CI 0.69-1.51]. Wheeze was associated with the reporting of menstrual cessation that was due to surgery even if women denied ever using HRT (OR 1.55; 95% CI 1.09-2.20). There was some evidence that HRT use was associated with airway obstruction in leaner women but little evidence that it was associated with IgE sensitization to HDM. CONCLUSIONS In this cross-sectional study use of HRT was associated with asthma-like symptoms, particularly in those who have lower BMI. A substantial proportion of women whose periods have stopped because of surgery use HRT but this does not fully explain their increased morbidity.","author":[{"dropping-particle":"","family":"Jarvis","given":"D.","non-dropping-particle":"","parse-names":false,"suffix":""},{"dropping-particle":"","family":"Leynaert","given":"B.","non-dropping-particle":"","parse-names":false,"suffix":""}],"container-title":"Allergy","id":"ITEM-2","issue":"1","issued":{"date-parts":[["2008","1"]]},"page":"95-102","title":"The association of asthma, atopy and lung function with hormone replacement therapy and surgical cessation of menstruation in a population-based sample of English women","type":"article-journal","volume":"63"},"uris":["http://www.mendeley.com/documents/?uuid=deb898e7-85d3-4194-ae31-dc3b4bbb6314","http://www.mendeley.com/documents/?uuid=93e5453f-7342-4728-b0e1-0fbffbb7852a","http://www.mendeley.com/documents/?uuid=0cef52e0-c21e-4eb0-8b67-4cd42d49138e"]},{"id":"ITEM-3","itemData":{"DOI":"10.1089/jwh.2009.1715","ISBN":"1540-9996","ISSN":"1931-843X","PMID":"20500125","abstract":"OBJECTIVE: We aimed to investigate the influence of reproductive factors on chronic respiratory symptoms and pulmonary function in a cross-sectional study of premenopausal and postmenopausal women 44-61 years of age.\\n\\nMETHODS: Self-reported data on respiratory symptoms were obtained from 1082 women. Usable forced expiratory volume in 1 second (FEV(1)) (2.27 +/- 0.44 L) and forced vital capacity (FVC) (2.75 +/- 0.55 L) measurements were obtained from 1070 women. The influence of reproductive factors on FEV(1), FVC, and chronic respiratory symptoms was assessed by linear and logistic regression analyses.\\n\\nRESULTS: Menopause is associated with lower FEV(1) (p &lt; 0.0001, r = -0.181) and FVC (p &lt; 0.0001, r = -0.198) only in univariate analysis. The association disappears when age is adjusted for. However, association of menopause with increased odds of chronic cough plus phlegm is significant in multivariate analysis (odds ratio [OR] 1.84, 95% confidence interval [CI] 1.16-2.92, p = 0.0088). Among reproductive factors, only age at first birth is independently associated with FEV(1) (p = 0.01, r = 0.008) and FVC (p = 0.004, r = 0.013). Results were similar when restricting analyses to those who never smoked and after exclusion of asthmatics.\\n\\nCONCLUSIONS: Postmenopausal status is independently associated with increased odds of chronic cough plus phlegm, whereas it does not appear to be independently associated with FEV(1) or FVC. Among the reproductive factors, age at first birth is the only independent predictor of FEV(1) and FVC. These findings suggest that reproductive factors may influence women's pulmonary health.","author":[{"dropping-particle":"","family":"Songür","given":"Necla","non-dropping-particle":"","parse-names":false,"suffix":""},{"dropping-particle":"","family":"Aydin","given":"Zeynep D","non-dropping-particle":"","parse-names":false,"suffix":""},{"dropping-particle":"","family":"Oztürk","given":"Onder","non-dropping-particle":"","parse-names":false,"suffix":""},{"dropping-particle":"","family":"Sahin","given":"Unal","non-dropping-particle":"","parse-names":false,"suffix":""},{"dropping-particle":"","family":"Khayri","given":"Ulugbik","non-dropping-particle":"","parse-names":false,"suffix":""},{"dropping-particle":"","family":"Bircan","given":"Ahmet","non-dropping-particle":"","parse-names":false,"suffix":""},{"dropping-particle":"","family":"Akkaya","given":"Ahmet","non-dropping-particle":"","parse-names":false,"suffix":""}],"container-title":"Journal of women's health (2002)","id":"ITEM-3","issue":"6","issued":{"date-parts":[["2010"]]},"page":"1145-54","title":"Respiratory symptoms, pulmonary function, and reproductive history: Isparta Menopause and Health Study.","type":"article-journal","volume":"19"},"uris":["http://www.mendeley.com/documents/?uuid=50d39154-3011-4ae7-bd71-fc63ded0017c","http://www.mendeley.com/documents/?uuid=7a86584e-6db2-4cd1-9b91-f84f46f354c6","http://www.mendeley.com/documents/?uuid=90dc49f4-41bd-43f0-8ef1-64ed7ba317c5"]},{"id":"ITEM-4","itemData":{"DOI":"10.1007/s00408-010-9269-9","ISBN":"0040801092699","ISSN":"03412040","PMID":"21152930","abstract":"There is a lack of evidence about whether menopausal status influences the effect of smoking on lung function. This study examined the association between smoking and menopausal status and lung function independent of each other. Data were from a cohort of women attending the 21-year follow-up of the Mater University of Queensland Study of Pregnancy. The study was based on 2020 women who provided data on respiratory function, smoking, and menopausal status. A Spirobank G spirometer system was used to measure forced vital capacity (FVC), forced expiratory volume in first second (FEV(1)), and forced expiratory flow between 25 and 75% of forced vital capacity (FEF(25-75)). Smoking and menopausal status were assessed by self-report. Respiratory function was associated with cigarette smoking, menopausal status, and hormone replacement therapy. Regardless of smoking status, postmenopausal women had poorer lung function when compared with premenopausal women. In multivariate analysis, cigarette smoking was associated with lower FVC, FEV(1), and FEF(25-75), with the magnitude of effect being stronger for women who were postmenopausal. The data suggest that the impact of smoking intensifies after menopause. It seems plausible that effective quit-smoking programs, particularly after menopause, may lead to better lung function and reduced morbidity and mortality in women.","author":[{"dropping-particle":"","family":"Hayatbakhsh","given":"Mohammad R.","non-dropping-particle":"","parse-names":false,"suffix":""},{"dropping-particle":"","family":"Najman","given":"Jake M.","non-dropping-particle":"","parse-names":false,"suffix":""},{"dropping-particle":"","family":"O'Callaghan","given":"Michael J.","non-dropping-particle":"","parse-names":false,"suffix":""},{"dropping-particle":"","family":"Williams","given":"Gail M.","non-dropping-particle":"","parse-names":false,"suffix":""},{"dropping-particle":"","family":"Paydar","given":"Anita","non-dropping-particle":"","parse-names":false,"suffix":""},{"dropping-particle":"","family":"Clavarino","given":"Alexandra","non-dropping-particle":"","parse-names":false,"suffix":""}],"container-title":"Lung","id":"ITEM-4","issue":"1","issued":{"date-parts":[["2011"]]},"page":"65-71","title":"Association between smoking and respiratory function before and after menopause","type":"article-journal","volume":"189"},"uris":["http://www.mendeley.com/documents/?uuid=7ed1beff-ffa4-4e8e-bf9d-b5b1ee2fde73","http://www.mendeley.com/documents/?uuid=eec496f0-25b9-43b1-9f71-822a80712ce4","http://www.mendeley.com/documents/?uuid=b19c9ee4-ff64-4771-aa7c-7898682cf92b"]},{"id":"ITEM-5","itemData":{"DOI":"10.1183/13993003.00412-2016","ISSN":"13993003","PMID":"27660514","author":[{"dropping-particle":"","family":"Amaral","given":"André F.S.","non-dropping-particle":"","parse-names":false,"suffix":""},{"dropping-particle":"","family":"Strachan","given":"David P.","non-dropping-particle":"","parse-names":false,"suffix":""},{"dropping-particle":"","family":"Real","given":"Francisco Gómez","non-dropping-particle":"","parse-names":false,"suffix":""},{"dropping-particle":"","family":"Burney","given":"Peter G.J.","non-dropping-particle":"","parse-names":false,"suffix":""},{"dropping-particle":"","family":"Jarvis","given":"Deborah L.","non-dropping-particle":"","parse-names":false,"suffix":""}],"container-title":"European Respiratory Journal","id":"ITEM-5","issue":"5","issued":{"date-parts":[["2016"]]},"page":"1288-1297","title":"Lower lung function associates with cessation of menstruation: UK Biobank data","type":"article-journal","volume":"48"},"uris":["http://www.mendeley.com/documents/?uuid=0beec237-6c89-4102-866b-64ceee1512e4","http://www.mendeley.com/documents/?uuid=6fb8e9ef-b3e8-46d0-9f8f-9ad21d9dd325","http://www.mendeley.com/documents/?uuid=f58bac72-04d4-45e1-8114-94209008e246"]},{"id":"ITEM-6","itemData":{"DOI":"10.1164/rccm.201605-0968OC","ISSN":"15354970","PMID":"27907454","abstract":"RATIONALE Menopause is associated with changes in sex hormones, which affect immunity, inflammation, and osteoporosis and may impair lung function. Lung function decline has not previously been investigated in relation to menopause. OBJECTIVES To study whether lung function decline, assessed by forced vital capacity and forced expiratory volume in one second, is accelerated in women who undergo menopause. METHODS The population-based longitudinal European Community Respiratory Health Survey provided serum samples, spirometry and questionnaire data about respiratory and reproductive health from three study waves (N=1438). We measured follicle stimulating hormone and luteinizing hormone and added information on menstrual patterns, to determine menopausal status using latent class analysis. Associations with lung function decline were investigated using linear mixed effects models, adjusting for age, height, weight, packyears, current smoking, age at completed full-time education, spirometer and including study center as random effect. MEASUREMENTS AND MAIN RESULTS Menopausal status was associated with accelerated lung function decline. The adjusted mean forced vital capacity decline was increased by -10.2 ml/yr (95% Confidence interval -13.1 to -7.2) in transitional women and -12.5 ml/yr (-16.2 to -8.9) in postmenopausal women, compared to women menstruating regularly. The adjusted mean forced expiratory volume in one second decline increased by -3.8 ml/yr (-6.3 to -2.9) in transitional women and -5.2 ml/yr (-8.3 to -2.0) in postmenopausal women. CONCLUSIONS Lung function declined more rapidly among transitional and postmenopausal women, in particular for forced vital capacity, beyond the expected age change. Clinicians should be aware that respiratory health often deteriorates during reproductive aging.","author":[{"dropping-particle":"","family":"Triebner","given":"Kai","non-dropping-particle":"","parse-names":false,"suffix":""},{"dropping-particle":"","family":"Matulonga","given":"Bobette","non-dropping-particle":"","parse-names":false,"suffix":""},{"dropping-particle":"","family":"Johannessen","given":"Ane","non-dropping-particle":"","parse-names":false,"suffix":""},{"dropping-particle":"","family":"Suske","given":"Sandra","non-dropping-particle":"","parse-names":false,"suffix":""},{"dropping-particle":"","family":"Benediktsdóttir","given":"Brynd's","non-dropping-particle":"","parse-names":false,"suffix":""},{"dropping-particle":"","family":"Demoly","given":"Pascal","non-dropping-particle":"","parse-names":false,"suffix":""},{"dropping-particle":"","family":"Dharmage","given":"Shyamali C.","non-dropping-particle":"","parse-names":false,"suffix":""},{"dropping-particle":"","family":"Franklin","given":"Karl A.","non-dropping-particle":"","parse-names":false,"suffix":""},{"dropping-particle":"","family":"Garcia-Aymerich","given":"Judith","non-dropping-particle":"","parse-names":false,"suffix":""},{"dropping-particle":"","family":"Blanco","given":"JoséAntonio Gullón","non-dropping-particle":"","parse-names":false,"suffix":""},{"dropping-particle":"","family":"Heinrich","given":"Joachim","non-dropping-particle":"","parse-names":false,"suffix":""},{"dropping-particle":"","family":"Holm","given":"Mathias","non-dropping-particle":"","parse-names":false,"suffix":""},{"dropping-particle":"","family":"Jarvis","given":"Debbie","non-dropping-particle":"","parse-names":false,"suffix":""},{"dropping-particle":"","family":"Jõgi","given":"Rain","non-dropping-particle":"","parse-names":false,"suffix":""},{"dropping-particle":"","family":"Lindberg","given":"Eva","non-dropping-particle":"","parse-names":false,"suffix":""},{"dropping-particle":"","family":"Rovira","given":"Jesus Martńez Moratalla","non-dropping-particle":"","parse-names":false,"suffix":""},{"dropping-particle":"","family":"Agirre","given":"Nerea Muniozguren","non-dropping-particle":"","parse-names":false,"suffix":""},{"dropping-particle":"","family":"Pin","given":"Isabelle","non-dropping-particle":"","parse-names":false,"suffix":""},{"dropping-particle":"","family":"Probst-Hensch","given":"Nicole","non-dropping-particle":"","parse-names":false,"suffix":""},{"dropping-particle":"","family":"Puggini","given":"Luca","non-dropping-particle":"","parse-names":false,"suffix":""},{"dropping-particle":"","family":"Raherison","given":"Chantal","non-dropping-particle":"","parse-names":false,"suffix":""},{"dropping-particle":"","family":"Sánchez-Ramos","given":"JoséLuis","non-dropping-particle":"","parse-names":false,"suffix":""},{"dropping-particle":"","family":"Schlunssen","given":"Vivi","non-dropping-particle":"","parse-names":false,"suffix":""},{"dropping-particle":"","family":"Sunyer","given":"Jordi","non-dropping-particle":"","parse-names":false,"suffix":""},{"dropping-particle":"","family":"Svanes","given":"Cecilie","non-dropping-particle":"","parse-names":false,"suffix":""},{"dropping-particle":"","family":"Hustad","given":"Steinar","non-dropping-particle":"","parse-names":false,"suffix":""},{"dropping-particle":"","family":"Leynaert","given":"Bénédicte","non-dropping-particle":"","parse-names":false,"suffix":""},{"dropping-particle":"","family":"Real","given":"Francisco Gomez","non-dropping-particle":"","parse-names":false,"suffix":""}],"container-title":"American Journal of Respiratory and Critical Care Medicine","id":"ITEM-6","issue":"8","issued":{"date-parts":[["2017"]]},"page":"1058-1065","title":"Menopause is associated with accelerated lung function decline","type":"article-journal","volume":"195"},"uris":["http://www.mendeley.com/documents/?uuid=b9f13fd5-19fb-45ce-af4e-79f59bd0bf19","http://www.mendeley.com/documents/?uuid=6b52675e-86ee-4f5b-b85a-dfc422a12af4","http://www.mendeley.com/documents/?uuid=b9c32d78-6cb6-4f58-80b3-c186d9d54abe"]}],"mendeley":{"formattedCitation":"[5, 31–35]","plainTextFormattedCitation":"[5, 31–35]","previouslyFormattedCitation":"[5, 31–35]"},"properties":{"noteIndex":0},"schema":"https://github.com/citation-style-language/schema/raw/master/csl-citation.json"}</w:instrText>
      </w:r>
      <w:r w:rsidR="007C7F1A" w:rsidRPr="00293C29">
        <w:rPr>
          <w:lang w:val="en-GB"/>
        </w:rPr>
        <w:fldChar w:fldCharType="separate"/>
      </w:r>
      <w:r w:rsidR="00223BF9" w:rsidRPr="00223BF9">
        <w:rPr>
          <w:noProof/>
          <w:lang w:val="en-GB"/>
        </w:rPr>
        <w:t>[5, 31–35]</w:t>
      </w:r>
      <w:r w:rsidR="007C7F1A" w:rsidRPr="00293C29">
        <w:rPr>
          <w:lang w:val="en-GB"/>
        </w:rPr>
        <w:fldChar w:fldCharType="end"/>
      </w:r>
      <w:r w:rsidR="007C7F1A" w:rsidRPr="00293C29">
        <w:rPr>
          <w:lang w:val="en-GB"/>
        </w:rPr>
        <w:t xml:space="preserve"> Amaral et al.</w:t>
      </w:r>
      <w:r w:rsidR="00D83A28" w:rsidRPr="00293C29">
        <w:rPr>
          <w:lang w:val="en-GB"/>
        </w:rPr>
        <w:t xml:space="preserve"> </w:t>
      </w:r>
      <w:r w:rsidR="006B3F5B" w:rsidRPr="00293C29">
        <w:rPr>
          <w:lang w:val="en-GB"/>
        </w:rPr>
        <w:t>studied</w:t>
      </w:r>
      <w:r w:rsidR="00A91073" w:rsidRPr="00293C29">
        <w:rPr>
          <w:lang w:val="en-GB"/>
        </w:rPr>
        <w:t xml:space="preserve"> </w:t>
      </w:r>
      <w:r w:rsidR="00B549D3" w:rsidRPr="00293C29">
        <w:rPr>
          <w:lang w:val="en-GB"/>
        </w:rPr>
        <w:t>the effect of age at menopause (categorized in five groups)</w:t>
      </w:r>
      <w:r w:rsidR="00A91073" w:rsidRPr="00293C29">
        <w:rPr>
          <w:lang w:val="en-GB"/>
        </w:rPr>
        <w:t xml:space="preserve"> on lung function</w:t>
      </w:r>
      <w:r w:rsidR="00D83A28" w:rsidRPr="00293C29">
        <w:rPr>
          <w:lang w:val="en-GB"/>
        </w:rPr>
        <w:t xml:space="preserve"> in the UKB</w:t>
      </w:r>
      <w:r w:rsidR="00AE27DB" w:rsidRPr="00293C29">
        <w:rPr>
          <w:lang w:val="en-GB"/>
        </w:rPr>
        <w:t xml:space="preserve"> and</w:t>
      </w:r>
      <w:r w:rsidR="00A91073" w:rsidRPr="00293C29">
        <w:rPr>
          <w:lang w:val="en-GB"/>
        </w:rPr>
        <w:t xml:space="preserve"> </w:t>
      </w:r>
      <w:r w:rsidR="007C7F1A" w:rsidRPr="00293C29">
        <w:rPr>
          <w:szCs w:val="18"/>
          <w:lang w:val="en-GB"/>
        </w:rPr>
        <w:t xml:space="preserve">found </w:t>
      </w:r>
      <w:r w:rsidR="00AE27DB" w:rsidRPr="00293C29">
        <w:rPr>
          <w:szCs w:val="18"/>
          <w:lang w:val="en-GB"/>
        </w:rPr>
        <w:t>that an earlier</w:t>
      </w:r>
      <w:r w:rsidR="00152131" w:rsidRPr="00293C29">
        <w:rPr>
          <w:szCs w:val="18"/>
          <w:lang w:val="en-GB"/>
        </w:rPr>
        <w:t xml:space="preserve"> age at menopause associated with </w:t>
      </w:r>
      <w:r w:rsidR="007C7F1A" w:rsidRPr="00293C29">
        <w:rPr>
          <w:szCs w:val="18"/>
          <w:lang w:val="en-GB"/>
        </w:rPr>
        <w:t>lower FVC and FEV</w:t>
      </w:r>
      <w:r w:rsidR="007C7F1A" w:rsidRPr="00293C29">
        <w:rPr>
          <w:szCs w:val="18"/>
          <w:vertAlign w:val="subscript"/>
          <w:lang w:val="en-GB"/>
        </w:rPr>
        <w:t>1</w:t>
      </w:r>
      <w:r w:rsidR="007C7F1A" w:rsidRPr="00293C29">
        <w:rPr>
          <w:szCs w:val="18"/>
          <w:lang w:val="en-GB"/>
        </w:rPr>
        <w:t xml:space="preserve">, and </w:t>
      </w:r>
      <w:r w:rsidR="00A91073" w:rsidRPr="00293C29">
        <w:rPr>
          <w:szCs w:val="18"/>
          <w:lang w:val="en-GB"/>
        </w:rPr>
        <w:t xml:space="preserve">with </w:t>
      </w:r>
      <w:r w:rsidR="00AE27DB" w:rsidRPr="00293C29">
        <w:rPr>
          <w:szCs w:val="18"/>
          <w:lang w:val="en-GB"/>
        </w:rPr>
        <w:t xml:space="preserve">a </w:t>
      </w:r>
      <w:r w:rsidR="007C7F1A" w:rsidRPr="00293C29">
        <w:rPr>
          <w:szCs w:val="18"/>
          <w:lang w:val="en-GB"/>
        </w:rPr>
        <w:t xml:space="preserve">higher risk of </w:t>
      </w:r>
      <w:r w:rsidR="00323057" w:rsidRPr="00293C29">
        <w:rPr>
          <w:szCs w:val="18"/>
          <w:lang w:val="en-GB"/>
        </w:rPr>
        <w:t>spirometric restriction</w:t>
      </w:r>
      <w:r w:rsidR="007C7F1A" w:rsidRPr="00293C29">
        <w:rPr>
          <w:szCs w:val="18"/>
          <w:lang w:val="en-GB"/>
        </w:rPr>
        <w:t>.</w:t>
      </w:r>
      <w:r w:rsidR="007C7F1A" w:rsidRPr="00293C29">
        <w:rPr>
          <w:lang w:val="en-GB"/>
        </w:rPr>
        <w:fldChar w:fldCharType="begin" w:fldLock="1"/>
      </w:r>
      <w:r w:rsidR="00C4516C">
        <w:rPr>
          <w:lang w:val="en-GB"/>
        </w:rPr>
        <w:instrText>ADDIN CSL_CITATION {"citationItems":[{"id":"ITEM-1","itemData":{"DOI":"10.1183/13993003.00412-2016","ISSN":"13993003","PMID":"27660514","author":[{"dropping-particle":"","family":"Amaral","given":"André F.S.","non-dropping-particle":"","parse-names":false,"suffix":""},{"dropping-particle":"","family":"Strachan","given":"David P.","non-dropping-particle":"","parse-names":false,"suffix":""},{"dropping-particle":"","family":"Real","given":"Francisco Gómez","non-dropping-particle":"","parse-names":false,"suffix":""},{"dropping-particle":"","family":"Burney","given":"Peter G.J.","non-dropping-particle":"","parse-names":false,"suffix":""},{"dropping-particle":"","family":"Jarvis","given":"Deborah L.","non-dropping-particle":"","parse-names":false,"suffix":""}],"container-title":"European Respiratory Journal","id":"ITEM-1","issue":"5","issued":{"date-parts":[["2016"]]},"page":"1288-1297","title":"Lower lung function associates with cessation of menstruation: UK Biobank data","type":"article-journal","volume":"48"},"uris":["http://www.mendeley.com/documents/?uuid=0beec237-6c89-4102-866b-64ceee1512e4","http://www.mendeley.com/documents/?uuid=6fb8e9ef-b3e8-46d0-9f8f-9ad21d9dd325"]}],"mendeley":{"formattedCitation":"[5]","plainTextFormattedCitation":"[5]","previouslyFormattedCitation":"[5]"},"properties":{"noteIndex":0},"schema":"https://github.com/citation-style-language/schema/raw/master/csl-citation.json"}</w:instrText>
      </w:r>
      <w:r w:rsidR="007C7F1A" w:rsidRPr="00293C29">
        <w:rPr>
          <w:lang w:val="en-GB"/>
        </w:rPr>
        <w:fldChar w:fldCharType="separate"/>
      </w:r>
      <w:r w:rsidR="00634A20" w:rsidRPr="00293C29">
        <w:rPr>
          <w:noProof/>
          <w:lang w:val="en-GB"/>
        </w:rPr>
        <w:t>[5]</w:t>
      </w:r>
      <w:r w:rsidR="007C7F1A" w:rsidRPr="00293C29">
        <w:rPr>
          <w:lang w:val="en-GB"/>
        </w:rPr>
        <w:fldChar w:fldCharType="end"/>
      </w:r>
      <w:r w:rsidR="007759F0" w:rsidRPr="00293C29">
        <w:rPr>
          <w:lang w:val="en-GB"/>
        </w:rPr>
        <w:t xml:space="preserve"> </w:t>
      </w:r>
      <w:r w:rsidR="00660452" w:rsidRPr="00293C29">
        <w:rPr>
          <w:szCs w:val="18"/>
          <w:lang w:val="en-GB"/>
        </w:rPr>
        <w:t>In line with this</w:t>
      </w:r>
      <w:r w:rsidR="006B3F5B" w:rsidRPr="00293C29">
        <w:rPr>
          <w:szCs w:val="18"/>
          <w:lang w:val="en-GB"/>
        </w:rPr>
        <w:t xml:space="preserve"> </w:t>
      </w:r>
      <w:r w:rsidR="00A91073" w:rsidRPr="00293C29">
        <w:rPr>
          <w:szCs w:val="18"/>
          <w:lang w:val="en-GB"/>
        </w:rPr>
        <w:t>study</w:t>
      </w:r>
      <w:r w:rsidR="00660452" w:rsidRPr="00293C29">
        <w:rPr>
          <w:szCs w:val="18"/>
          <w:lang w:val="en-GB"/>
        </w:rPr>
        <w:t xml:space="preserve">, </w:t>
      </w:r>
      <w:r w:rsidR="000B58B5" w:rsidRPr="00293C29">
        <w:rPr>
          <w:szCs w:val="18"/>
          <w:lang w:val="en-GB"/>
        </w:rPr>
        <w:t xml:space="preserve">but </w:t>
      </w:r>
      <w:r w:rsidR="00C471B1" w:rsidRPr="00293C29">
        <w:rPr>
          <w:szCs w:val="18"/>
          <w:lang w:val="en-GB"/>
        </w:rPr>
        <w:t xml:space="preserve">focusing on </w:t>
      </w:r>
      <w:r w:rsidR="005F730D" w:rsidRPr="00293C29">
        <w:rPr>
          <w:szCs w:val="18"/>
          <w:lang w:val="en-GB"/>
        </w:rPr>
        <w:t>ear</w:t>
      </w:r>
      <w:r w:rsidR="00C471B1" w:rsidRPr="00293C29">
        <w:rPr>
          <w:szCs w:val="18"/>
          <w:lang w:val="en-GB"/>
        </w:rPr>
        <w:t xml:space="preserve">ly </w:t>
      </w:r>
      <w:r w:rsidR="005F730D" w:rsidRPr="00293C29">
        <w:rPr>
          <w:szCs w:val="18"/>
          <w:lang w:val="en-GB"/>
        </w:rPr>
        <w:t>and late</w:t>
      </w:r>
      <w:r w:rsidR="007C7F1A" w:rsidRPr="00293C29">
        <w:rPr>
          <w:szCs w:val="18"/>
          <w:lang w:val="en-GB"/>
        </w:rPr>
        <w:t xml:space="preserve"> menopause </w:t>
      </w:r>
      <w:r w:rsidR="00323057" w:rsidRPr="00293C29">
        <w:rPr>
          <w:szCs w:val="18"/>
          <w:lang w:val="en-GB"/>
        </w:rPr>
        <w:t xml:space="preserve">and adjusting for </w:t>
      </w:r>
      <w:r w:rsidR="0081303F" w:rsidRPr="00293C29">
        <w:rPr>
          <w:szCs w:val="18"/>
          <w:lang w:val="en-GB"/>
        </w:rPr>
        <w:t>additional</w:t>
      </w:r>
      <w:r w:rsidR="00323057" w:rsidRPr="00293C29">
        <w:rPr>
          <w:szCs w:val="18"/>
          <w:lang w:val="en-GB"/>
        </w:rPr>
        <w:t xml:space="preserve"> </w:t>
      </w:r>
      <w:r w:rsidR="00323B9F" w:rsidRPr="00293C29">
        <w:rPr>
          <w:szCs w:val="18"/>
          <w:lang w:val="en-GB"/>
        </w:rPr>
        <w:t xml:space="preserve">potential </w:t>
      </w:r>
      <w:r w:rsidR="00323057" w:rsidRPr="00293C29">
        <w:rPr>
          <w:szCs w:val="18"/>
          <w:lang w:val="en-GB"/>
        </w:rPr>
        <w:t>confounders</w:t>
      </w:r>
      <w:r w:rsidR="007C7F1A" w:rsidRPr="00293C29">
        <w:rPr>
          <w:szCs w:val="18"/>
          <w:lang w:val="en-GB"/>
        </w:rPr>
        <w:t xml:space="preserve">, </w:t>
      </w:r>
      <w:r w:rsidR="006054FD" w:rsidRPr="00293C29">
        <w:rPr>
          <w:szCs w:val="18"/>
          <w:lang w:val="en-GB"/>
        </w:rPr>
        <w:t>our observational analysis</w:t>
      </w:r>
      <w:r w:rsidR="0051104B" w:rsidRPr="00293C29">
        <w:rPr>
          <w:rFonts w:ascii="Calibri" w:eastAsia="Times New Roman" w:hAnsi="Calibri" w:cs="Times New Roman"/>
          <w:lang w:val="en-GB" w:eastAsia="en-GB"/>
        </w:rPr>
        <w:t xml:space="preserve"> </w:t>
      </w:r>
      <w:r w:rsidR="000B58B5" w:rsidRPr="00293C29">
        <w:rPr>
          <w:szCs w:val="18"/>
          <w:lang w:val="en-GB"/>
        </w:rPr>
        <w:t xml:space="preserve">in </w:t>
      </w:r>
      <w:r w:rsidR="0073074F" w:rsidRPr="00293C29">
        <w:rPr>
          <w:szCs w:val="18"/>
          <w:lang w:val="en-GB"/>
        </w:rPr>
        <w:t>UKB</w:t>
      </w:r>
      <w:r w:rsidR="000B58B5" w:rsidRPr="00293C29">
        <w:rPr>
          <w:rFonts w:ascii="Calibri" w:eastAsia="Times New Roman" w:hAnsi="Calibri" w:cs="Times New Roman"/>
          <w:lang w:val="en-GB" w:eastAsia="en-GB"/>
        </w:rPr>
        <w:t xml:space="preserve"> </w:t>
      </w:r>
      <w:r w:rsidR="0051104B" w:rsidRPr="00293C29">
        <w:rPr>
          <w:rFonts w:ascii="Calibri" w:eastAsia="Times New Roman" w:hAnsi="Calibri" w:cs="Times New Roman"/>
          <w:lang w:val="en-GB" w:eastAsia="en-GB"/>
        </w:rPr>
        <w:t xml:space="preserve">showed </w:t>
      </w:r>
      <w:r w:rsidR="00C945AD" w:rsidRPr="00293C29">
        <w:rPr>
          <w:rFonts w:ascii="Calibri" w:eastAsia="Times New Roman" w:hAnsi="Calibri" w:cs="Times New Roman"/>
          <w:lang w:val="en-GB" w:eastAsia="en-GB"/>
        </w:rPr>
        <w:t xml:space="preserve">strong </w:t>
      </w:r>
      <w:r w:rsidR="00323B9F" w:rsidRPr="00293C29">
        <w:rPr>
          <w:rFonts w:ascii="Calibri" w:eastAsia="Times New Roman" w:hAnsi="Calibri" w:cs="Times New Roman"/>
          <w:lang w:val="en-GB" w:eastAsia="en-GB"/>
        </w:rPr>
        <w:t xml:space="preserve">associations of </w:t>
      </w:r>
      <w:r w:rsidR="005F730D" w:rsidRPr="00293C29">
        <w:rPr>
          <w:lang w:val="en-GB"/>
        </w:rPr>
        <w:t>early menopause with</w:t>
      </w:r>
      <w:r w:rsidR="001D3621" w:rsidRPr="00293C29">
        <w:rPr>
          <w:lang w:val="en-GB"/>
        </w:rPr>
        <w:t xml:space="preserve"> </w:t>
      </w:r>
      <w:r w:rsidR="005F730D" w:rsidRPr="00293C29">
        <w:rPr>
          <w:lang w:val="en-GB"/>
        </w:rPr>
        <w:t xml:space="preserve">lower FVC and a 13% higher risk of spirometric restriction. </w:t>
      </w:r>
      <w:r w:rsidR="00323B9F" w:rsidRPr="00293C29">
        <w:rPr>
          <w:lang w:val="en-GB"/>
        </w:rPr>
        <w:t xml:space="preserve">Based on the same </w:t>
      </w:r>
      <w:r w:rsidR="0073074F" w:rsidRPr="00293C29">
        <w:rPr>
          <w:lang w:val="en-GB"/>
        </w:rPr>
        <w:t>UKB</w:t>
      </w:r>
      <w:r w:rsidR="00323B9F" w:rsidRPr="00293C29">
        <w:rPr>
          <w:lang w:val="en-GB"/>
        </w:rPr>
        <w:t xml:space="preserve"> study population but </w:t>
      </w:r>
      <w:r w:rsidR="0092281C" w:rsidRPr="00293C29">
        <w:rPr>
          <w:lang w:val="en-GB"/>
        </w:rPr>
        <w:t>using MR</w:t>
      </w:r>
      <w:r w:rsidR="001F3AD4" w:rsidRPr="00293C29">
        <w:rPr>
          <w:lang w:val="en-GB"/>
        </w:rPr>
        <w:t xml:space="preserve">, </w:t>
      </w:r>
      <w:r w:rsidR="0092281C" w:rsidRPr="00293C29">
        <w:rPr>
          <w:lang w:val="en-GB"/>
        </w:rPr>
        <w:t xml:space="preserve">we found </w:t>
      </w:r>
      <w:r w:rsidR="00C945AD" w:rsidRPr="00293C29">
        <w:rPr>
          <w:rFonts w:ascii="Calibri" w:eastAsia="Times New Roman" w:hAnsi="Calibri" w:cs="Times New Roman"/>
          <w:lang w:val="en-GB" w:eastAsia="en-GB"/>
        </w:rPr>
        <w:t xml:space="preserve">strong associations of </w:t>
      </w:r>
      <w:r w:rsidR="00C945AD" w:rsidRPr="00293C29">
        <w:rPr>
          <w:lang w:val="en-GB"/>
        </w:rPr>
        <w:t>early menopause with</w:t>
      </w:r>
      <w:r w:rsidR="00C945AD" w:rsidRPr="00293C29" w:rsidDel="00C945AD">
        <w:rPr>
          <w:lang w:val="en-GB"/>
        </w:rPr>
        <w:t xml:space="preserve"> </w:t>
      </w:r>
      <w:r w:rsidR="0092281C" w:rsidRPr="00293C29">
        <w:rPr>
          <w:lang w:val="en-GB"/>
        </w:rPr>
        <w:t>higher FEV</w:t>
      </w:r>
      <w:r w:rsidR="0092281C" w:rsidRPr="00293C29">
        <w:rPr>
          <w:vertAlign w:val="subscript"/>
          <w:lang w:val="en-GB"/>
        </w:rPr>
        <w:t>1</w:t>
      </w:r>
      <w:r w:rsidR="0092281C" w:rsidRPr="00293C29">
        <w:rPr>
          <w:lang w:val="en-GB"/>
        </w:rPr>
        <w:t>/FVC and a 15% lower risk of airflow obstruction</w:t>
      </w:r>
      <w:r w:rsidR="00923706" w:rsidRPr="00293C29">
        <w:rPr>
          <w:lang w:val="en-GB"/>
        </w:rPr>
        <w:t>.</w:t>
      </w:r>
      <w:r w:rsidR="0092281C" w:rsidRPr="00293C29">
        <w:rPr>
          <w:lang w:val="en-GB"/>
        </w:rPr>
        <w:t xml:space="preserve"> </w:t>
      </w:r>
      <w:r w:rsidR="00923706" w:rsidRPr="00293C29">
        <w:rPr>
          <w:lang w:val="en-GB"/>
        </w:rPr>
        <w:t>W</w:t>
      </w:r>
      <w:r w:rsidR="0092281C" w:rsidRPr="00293C29">
        <w:rPr>
          <w:lang w:val="en-GB"/>
        </w:rPr>
        <w:t>e could not confirm a</w:t>
      </w:r>
      <w:r w:rsidR="00270320" w:rsidRPr="00293C29">
        <w:rPr>
          <w:lang w:val="en-GB"/>
        </w:rPr>
        <w:t xml:space="preserve"> strong </w:t>
      </w:r>
      <w:r w:rsidR="0092281C" w:rsidRPr="00293C29">
        <w:rPr>
          <w:lang w:val="en-GB"/>
        </w:rPr>
        <w:t>effect on</w:t>
      </w:r>
      <w:r w:rsidR="001F3AD4" w:rsidRPr="00293C29">
        <w:rPr>
          <w:lang w:val="en-GB"/>
        </w:rPr>
        <w:t xml:space="preserve"> FVC </w:t>
      </w:r>
      <w:r w:rsidR="00C471B1" w:rsidRPr="00293C29">
        <w:rPr>
          <w:lang w:val="en-GB"/>
        </w:rPr>
        <w:t>n</w:t>
      </w:r>
      <w:r w:rsidR="001F3AD4" w:rsidRPr="00293C29">
        <w:rPr>
          <w:lang w:val="en-GB"/>
        </w:rPr>
        <w:t>or</w:t>
      </w:r>
      <w:r w:rsidR="0092281C" w:rsidRPr="00293C29">
        <w:rPr>
          <w:lang w:val="en-GB"/>
        </w:rPr>
        <w:t xml:space="preserve"> spirometric restriction</w:t>
      </w:r>
      <w:r w:rsidR="00894C2E" w:rsidRPr="00293C29">
        <w:rPr>
          <w:lang w:val="en-GB"/>
        </w:rPr>
        <w:t xml:space="preserve"> </w:t>
      </w:r>
      <w:r w:rsidR="00CA41CB" w:rsidRPr="00293C29">
        <w:rPr>
          <w:lang w:val="en-GB"/>
        </w:rPr>
        <w:t xml:space="preserve">using </w:t>
      </w:r>
      <w:r w:rsidR="00894C2E" w:rsidRPr="00293C29">
        <w:rPr>
          <w:lang w:val="en-GB"/>
        </w:rPr>
        <w:t>MR</w:t>
      </w:r>
      <w:r w:rsidR="0092281C" w:rsidRPr="00293C29">
        <w:rPr>
          <w:lang w:val="en-GB"/>
        </w:rPr>
        <w:t xml:space="preserve">. </w:t>
      </w:r>
      <w:r w:rsidR="00506A10" w:rsidRPr="00293C29">
        <w:rPr>
          <w:lang w:val="en-GB"/>
        </w:rPr>
        <w:t>A reason why we</w:t>
      </w:r>
      <w:r w:rsidR="000E69BB" w:rsidRPr="00293C29">
        <w:rPr>
          <w:lang w:val="en-GB"/>
        </w:rPr>
        <w:t xml:space="preserve"> find a protective effect of early menopause on airflow obstruction in MR</w:t>
      </w:r>
      <w:r w:rsidR="003F0C61" w:rsidRPr="00293C29">
        <w:rPr>
          <w:lang w:val="en-GB"/>
        </w:rPr>
        <w:t xml:space="preserve"> that we do not find</w:t>
      </w:r>
      <w:r w:rsidR="000E69BB" w:rsidRPr="00293C29">
        <w:rPr>
          <w:lang w:val="en-GB"/>
        </w:rPr>
        <w:t xml:space="preserve"> in observational studies </w:t>
      </w:r>
      <w:r w:rsidR="00F27425" w:rsidRPr="00293C29">
        <w:rPr>
          <w:lang w:val="en-GB"/>
        </w:rPr>
        <w:t>might</w:t>
      </w:r>
      <w:r w:rsidR="000E69BB" w:rsidRPr="00293C29">
        <w:rPr>
          <w:lang w:val="en-GB"/>
        </w:rPr>
        <w:t xml:space="preserve"> be confounding </w:t>
      </w:r>
      <w:r w:rsidR="003F1F0E" w:rsidRPr="00293C29">
        <w:rPr>
          <w:lang w:val="en-GB"/>
        </w:rPr>
        <w:t xml:space="preserve">of the observational findings </w:t>
      </w:r>
      <w:r w:rsidR="00993CBE" w:rsidRPr="00293C29">
        <w:rPr>
          <w:lang w:val="en-GB"/>
        </w:rPr>
        <w:t xml:space="preserve">by </w:t>
      </w:r>
      <w:r w:rsidR="00676BF9" w:rsidRPr="00293C29">
        <w:rPr>
          <w:lang w:val="en-GB"/>
        </w:rPr>
        <w:t xml:space="preserve">factors </w:t>
      </w:r>
      <w:r w:rsidR="00C33DA4" w:rsidRPr="00293C29">
        <w:rPr>
          <w:lang w:val="en-GB"/>
        </w:rPr>
        <w:t xml:space="preserve">that increase the risk of </w:t>
      </w:r>
      <w:r w:rsidR="00554FA8" w:rsidRPr="00293C29">
        <w:rPr>
          <w:lang w:val="en-GB"/>
        </w:rPr>
        <w:t xml:space="preserve">early </w:t>
      </w:r>
      <w:r w:rsidR="00676BF9" w:rsidRPr="00293C29">
        <w:rPr>
          <w:lang w:val="en-GB"/>
        </w:rPr>
        <w:t xml:space="preserve">menopause and </w:t>
      </w:r>
      <w:r w:rsidR="00C33DA4" w:rsidRPr="00293C29">
        <w:rPr>
          <w:lang w:val="en-GB"/>
        </w:rPr>
        <w:t>decrease</w:t>
      </w:r>
      <w:r w:rsidR="00554FA8" w:rsidRPr="00293C29">
        <w:rPr>
          <w:lang w:val="en-GB"/>
        </w:rPr>
        <w:t xml:space="preserve"> </w:t>
      </w:r>
      <w:r w:rsidR="00676BF9" w:rsidRPr="00293C29">
        <w:rPr>
          <w:lang w:val="en-GB"/>
        </w:rPr>
        <w:t>lung function</w:t>
      </w:r>
      <w:r w:rsidR="00993CBE" w:rsidRPr="00293C29">
        <w:rPr>
          <w:lang w:val="en-GB"/>
        </w:rPr>
        <w:t>,</w:t>
      </w:r>
      <w:r w:rsidR="00676BF9" w:rsidRPr="00293C29">
        <w:rPr>
          <w:lang w:val="en-GB"/>
        </w:rPr>
        <w:t xml:space="preserve"> </w:t>
      </w:r>
      <w:r w:rsidR="00F667F5" w:rsidRPr="00293C29">
        <w:rPr>
          <w:lang w:val="en-GB"/>
        </w:rPr>
        <w:t>which could include</w:t>
      </w:r>
      <w:r w:rsidR="00676BF9" w:rsidRPr="00293C29">
        <w:rPr>
          <w:lang w:val="en-GB"/>
        </w:rPr>
        <w:t xml:space="preserve"> early life factors,</w:t>
      </w:r>
      <w:r w:rsidR="009D193B" w:rsidRPr="00293C29">
        <w:rPr>
          <w:lang w:val="en-GB"/>
        </w:rPr>
        <w:t xml:space="preserve"> diet, </w:t>
      </w:r>
      <w:r w:rsidR="00F667F5" w:rsidRPr="00293C29">
        <w:rPr>
          <w:lang w:val="en-GB"/>
        </w:rPr>
        <w:t xml:space="preserve">and </w:t>
      </w:r>
      <w:r w:rsidR="009D193B" w:rsidRPr="00293C29">
        <w:rPr>
          <w:lang w:val="en-GB"/>
        </w:rPr>
        <w:t>occupational exposure</w:t>
      </w:r>
      <w:r w:rsidR="004755DF" w:rsidRPr="00293C29">
        <w:rPr>
          <w:lang w:val="en-GB"/>
        </w:rPr>
        <w:t>s</w:t>
      </w:r>
      <w:r w:rsidR="00012E15" w:rsidRPr="00293C29">
        <w:rPr>
          <w:lang w:val="en-GB"/>
        </w:rPr>
        <w:t>.</w:t>
      </w:r>
      <w:r w:rsidR="00554FA8" w:rsidRPr="00293C29">
        <w:rPr>
          <w:lang w:val="en-GB"/>
        </w:rPr>
        <w:t xml:space="preserve"> </w:t>
      </w:r>
      <w:r w:rsidR="006433E2" w:rsidRPr="00293C29">
        <w:rPr>
          <w:lang w:val="en-GB"/>
        </w:rPr>
        <w:t>C</w:t>
      </w:r>
      <w:r w:rsidR="00E1273A" w:rsidRPr="00293C29">
        <w:rPr>
          <w:lang w:val="en-GB"/>
        </w:rPr>
        <w:t>on</w:t>
      </w:r>
      <w:r w:rsidR="006433E2" w:rsidRPr="00293C29">
        <w:rPr>
          <w:lang w:val="en-GB"/>
        </w:rPr>
        <w:t xml:space="preserve">founding might also explain why early menopause is associated with a stronger reduction in FVC in observational analyses compared to MR. </w:t>
      </w:r>
      <w:r w:rsidR="004755DF" w:rsidRPr="00293C29">
        <w:rPr>
          <w:lang w:val="en-GB"/>
        </w:rPr>
        <w:t xml:space="preserve">Future </w:t>
      </w:r>
      <w:r w:rsidR="008C160B" w:rsidRPr="00293C29">
        <w:rPr>
          <w:lang w:val="en-GB"/>
        </w:rPr>
        <w:t>studies</w:t>
      </w:r>
      <w:r w:rsidR="007172EE" w:rsidRPr="00293C29">
        <w:rPr>
          <w:lang w:val="en-GB"/>
        </w:rPr>
        <w:t xml:space="preserve"> that can account for </w:t>
      </w:r>
      <w:r w:rsidR="0011372A" w:rsidRPr="00293C29">
        <w:rPr>
          <w:lang w:val="en-GB"/>
        </w:rPr>
        <w:t>more</w:t>
      </w:r>
      <w:r w:rsidR="00A35849" w:rsidRPr="00293C29">
        <w:rPr>
          <w:lang w:val="en-GB"/>
        </w:rPr>
        <w:t xml:space="preserve"> </w:t>
      </w:r>
      <w:r w:rsidR="007172EE" w:rsidRPr="00293C29">
        <w:rPr>
          <w:lang w:val="en-GB"/>
        </w:rPr>
        <w:t>potential confounders</w:t>
      </w:r>
      <w:r w:rsidR="00D11054" w:rsidRPr="00293C29">
        <w:rPr>
          <w:lang w:val="en-GB"/>
        </w:rPr>
        <w:t xml:space="preserve"> </w:t>
      </w:r>
      <w:r w:rsidR="00BC5A60" w:rsidRPr="00293C29">
        <w:rPr>
          <w:lang w:val="en-GB"/>
        </w:rPr>
        <w:t xml:space="preserve">could </w:t>
      </w:r>
      <w:r w:rsidR="00D11054" w:rsidRPr="00293C29">
        <w:rPr>
          <w:lang w:val="en-GB"/>
        </w:rPr>
        <w:t>help explain</w:t>
      </w:r>
      <w:r w:rsidR="007759F0" w:rsidRPr="00293C29">
        <w:rPr>
          <w:lang w:val="en-GB"/>
        </w:rPr>
        <w:t xml:space="preserve"> </w:t>
      </w:r>
      <w:r w:rsidR="00BC5A60" w:rsidRPr="00293C29">
        <w:rPr>
          <w:lang w:val="en-GB"/>
        </w:rPr>
        <w:t xml:space="preserve">the </w:t>
      </w:r>
      <w:r w:rsidR="000E69BB" w:rsidRPr="00293C29">
        <w:rPr>
          <w:lang w:val="en-GB"/>
        </w:rPr>
        <w:t xml:space="preserve">inconsistency </w:t>
      </w:r>
      <w:r w:rsidR="008C160B" w:rsidRPr="00293C29">
        <w:rPr>
          <w:lang w:val="en-GB"/>
        </w:rPr>
        <w:t xml:space="preserve">between observational and MR </w:t>
      </w:r>
      <w:r w:rsidR="009B19D9" w:rsidRPr="00293C29">
        <w:rPr>
          <w:lang w:val="en-GB"/>
        </w:rPr>
        <w:t>findings</w:t>
      </w:r>
      <w:r w:rsidR="008C160B" w:rsidRPr="00293C29">
        <w:rPr>
          <w:lang w:val="en-GB"/>
        </w:rPr>
        <w:t xml:space="preserve">. </w:t>
      </w:r>
    </w:p>
    <w:p w14:paraId="543D440C" w14:textId="3AFA070A" w:rsidR="00AD22DB" w:rsidRDefault="002E2E70" w:rsidP="00A87748">
      <w:pPr>
        <w:spacing w:after="120"/>
        <w:jc w:val="both"/>
        <w:rPr>
          <w:lang w:val="en-GB"/>
        </w:rPr>
      </w:pPr>
      <w:bookmarkStart w:id="14" w:name="_Hlk6488699"/>
      <w:bookmarkStart w:id="15" w:name="_Hlk6385395"/>
      <w:r w:rsidRPr="000C386B">
        <w:rPr>
          <w:lang w:val="en-GB"/>
        </w:rPr>
        <w:t xml:space="preserve">Menopause marks the end of the reproductive period, </w:t>
      </w:r>
      <w:r>
        <w:rPr>
          <w:lang w:val="en-GB"/>
        </w:rPr>
        <w:t xml:space="preserve">which is defined as </w:t>
      </w:r>
      <w:r w:rsidRPr="000C386B">
        <w:rPr>
          <w:lang w:val="en-GB"/>
        </w:rPr>
        <w:t>the time between menarche and menopause</w:t>
      </w:r>
      <w:r>
        <w:rPr>
          <w:lang w:val="en-GB"/>
        </w:rPr>
        <w:t>, and in fact age at menopause was</w:t>
      </w:r>
      <w:r w:rsidRPr="000C386B">
        <w:rPr>
          <w:lang w:val="en-GB"/>
        </w:rPr>
        <w:t xml:space="preserve"> highly correlated with the length of the </w:t>
      </w:r>
      <w:r w:rsidRPr="000C386B">
        <w:rPr>
          <w:lang w:val="en-GB"/>
        </w:rPr>
        <w:lastRenderedPageBreak/>
        <w:t>reproductive period</w:t>
      </w:r>
      <w:r>
        <w:rPr>
          <w:lang w:val="en-GB"/>
        </w:rPr>
        <w:t xml:space="preserve"> in our data </w:t>
      </w:r>
      <w:r w:rsidRPr="000C386B">
        <w:rPr>
          <w:lang w:val="en-GB"/>
        </w:rPr>
        <w:t>(correlation coefficient of 0.93)</w:t>
      </w:r>
      <w:r>
        <w:rPr>
          <w:lang w:val="en-GB"/>
        </w:rPr>
        <w:t xml:space="preserve">. </w:t>
      </w:r>
      <w:r w:rsidR="00656F73" w:rsidRPr="00293C29">
        <w:rPr>
          <w:lang w:val="en-GB"/>
        </w:rPr>
        <w:t>Early</w:t>
      </w:r>
      <w:r w:rsidR="00E42808" w:rsidRPr="00293C29">
        <w:rPr>
          <w:lang w:val="en-GB"/>
        </w:rPr>
        <w:t xml:space="preserve"> menopause </w:t>
      </w:r>
      <w:r w:rsidR="00407174" w:rsidRPr="00293C29">
        <w:rPr>
          <w:lang w:val="en-GB"/>
        </w:rPr>
        <w:t>might</w:t>
      </w:r>
      <w:r w:rsidR="00E42808" w:rsidRPr="00293C29">
        <w:rPr>
          <w:lang w:val="en-GB"/>
        </w:rPr>
        <w:t xml:space="preserve"> </w:t>
      </w:r>
      <w:r w:rsidR="00656F73" w:rsidRPr="00293C29">
        <w:rPr>
          <w:lang w:val="en-GB"/>
        </w:rPr>
        <w:t xml:space="preserve">thus </w:t>
      </w:r>
      <w:r w:rsidR="00E42808" w:rsidRPr="00293C29">
        <w:rPr>
          <w:lang w:val="en-GB"/>
        </w:rPr>
        <w:t xml:space="preserve">reflect the effect of a shorter </w:t>
      </w:r>
      <w:r w:rsidR="00407174" w:rsidRPr="00293C29">
        <w:rPr>
          <w:lang w:val="en-GB"/>
        </w:rPr>
        <w:t>lifetime “</w:t>
      </w:r>
      <w:r w:rsidR="00E42808" w:rsidRPr="00293C29">
        <w:rPr>
          <w:lang w:val="en-GB"/>
        </w:rPr>
        <w:t>exposure</w:t>
      </w:r>
      <w:r w:rsidR="00407174" w:rsidRPr="00293C29">
        <w:rPr>
          <w:lang w:val="en-GB"/>
        </w:rPr>
        <w:t>”</w:t>
      </w:r>
      <w:r w:rsidR="00E42808" w:rsidRPr="00293C29">
        <w:rPr>
          <w:lang w:val="en-GB"/>
        </w:rPr>
        <w:t xml:space="preserve"> to female sex hormones. </w:t>
      </w:r>
      <w:bookmarkEnd w:id="14"/>
      <w:r w:rsidR="0051260A" w:rsidRPr="00293C29">
        <w:rPr>
          <w:lang w:val="en-GB"/>
        </w:rPr>
        <w:t>W</w:t>
      </w:r>
      <w:r w:rsidR="00E42808" w:rsidRPr="00293C29">
        <w:rPr>
          <w:lang w:val="en-GB"/>
        </w:rPr>
        <w:t xml:space="preserve">e would expect </w:t>
      </w:r>
      <w:r w:rsidR="00EC380E" w:rsidRPr="00293C29">
        <w:rPr>
          <w:lang w:val="en-GB"/>
        </w:rPr>
        <w:t>less of an</w:t>
      </w:r>
      <w:r w:rsidR="00E42808" w:rsidRPr="00293C29">
        <w:rPr>
          <w:lang w:val="en-GB"/>
        </w:rPr>
        <w:t xml:space="preserve"> effect of </w:t>
      </w:r>
      <w:r w:rsidR="00EC380E" w:rsidRPr="00293C29">
        <w:rPr>
          <w:lang w:val="en-GB"/>
        </w:rPr>
        <w:t>early</w:t>
      </w:r>
      <w:r w:rsidR="00E42808" w:rsidRPr="00293C29">
        <w:rPr>
          <w:lang w:val="en-GB"/>
        </w:rPr>
        <w:t xml:space="preserve"> menopause on airflow obstruction in women who </w:t>
      </w:r>
      <w:r w:rsidR="004B44EF" w:rsidRPr="00293C29">
        <w:rPr>
          <w:lang w:val="en-GB"/>
        </w:rPr>
        <w:t xml:space="preserve">still have high levels of female sex hormones </w:t>
      </w:r>
      <w:r w:rsidR="00E42808" w:rsidRPr="00293C29">
        <w:rPr>
          <w:lang w:val="en-GB"/>
        </w:rPr>
        <w:t>after menopause</w:t>
      </w:r>
      <w:r w:rsidR="00EC380E" w:rsidRPr="00293C29">
        <w:rPr>
          <w:lang w:val="en-GB"/>
        </w:rPr>
        <w:t>, including women</w:t>
      </w:r>
      <w:r w:rsidR="0051260A" w:rsidRPr="00293C29">
        <w:rPr>
          <w:lang w:val="en-GB"/>
        </w:rPr>
        <w:t xml:space="preserve"> taking hormonal therapies and </w:t>
      </w:r>
      <w:r w:rsidR="00EC380E" w:rsidRPr="00293C29">
        <w:rPr>
          <w:lang w:val="en-GB"/>
        </w:rPr>
        <w:t>obese</w:t>
      </w:r>
      <w:r w:rsidR="00EC380E" w:rsidRPr="00293C29" w:rsidDel="00EC380E">
        <w:rPr>
          <w:lang w:val="en-GB"/>
        </w:rPr>
        <w:t xml:space="preserve"> </w:t>
      </w:r>
      <w:r w:rsidR="00EC380E" w:rsidRPr="00293C29">
        <w:rPr>
          <w:lang w:val="en-GB"/>
        </w:rPr>
        <w:t>women</w:t>
      </w:r>
      <w:r w:rsidR="0051260A" w:rsidRPr="00293C29">
        <w:rPr>
          <w:lang w:val="en-GB"/>
        </w:rPr>
        <w:t xml:space="preserve"> with higher endogenous levels</w:t>
      </w:r>
      <w:r w:rsidR="00E42808" w:rsidRPr="00293C29">
        <w:rPr>
          <w:lang w:val="en-GB"/>
        </w:rPr>
        <w:t xml:space="preserve">. </w:t>
      </w:r>
      <w:bookmarkEnd w:id="15"/>
      <w:r w:rsidR="00E42808" w:rsidRPr="00293C29">
        <w:rPr>
          <w:lang w:val="en-GB"/>
        </w:rPr>
        <w:t>We therefore performed subgroup analyses by MHT use</w:t>
      </w:r>
      <w:r w:rsidR="009D0682" w:rsidRPr="00293C29">
        <w:rPr>
          <w:lang w:val="en-GB"/>
        </w:rPr>
        <w:t xml:space="preserve"> and by </w:t>
      </w:r>
      <w:proofErr w:type="gramStart"/>
      <w:r w:rsidR="00E42808" w:rsidRPr="00293C29">
        <w:rPr>
          <w:lang w:val="en-GB"/>
        </w:rPr>
        <w:t>BMI</w:t>
      </w:r>
      <w:r w:rsidR="009D0682" w:rsidRPr="00293C29">
        <w:rPr>
          <w:lang w:val="en-GB"/>
        </w:rPr>
        <w:t>,</w:t>
      </w:r>
      <w:r w:rsidR="004B44EF" w:rsidRPr="00293C29">
        <w:rPr>
          <w:lang w:val="en-GB"/>
        </w:rPr>
        <w:t xml:space="preserve"> </w:t>
      </w:r>
      <w:r w:rsidR="0051260A" w:rsidRPr="00293C29">
        <w:rPr>
          <w:lang w:val="en-GB"/>
        </w:rPr>
        <w:t>and</w:t>
      </w:r>
      <w:proofErr w:type="gramEnd"/>
      <w:r w:rsidR="0051260A" w:rsidRPr="00293C29">
        <w:rPr>
          <w:lang w:val="en-GB"/>
        </w:rPr>
        <w:t xml:space="preserve"> </w:t>
      </w:r>
      <w:r w:rsidR="005C299C" w:rsidRPr="00293C29">
        <w:rPr>
          <w:lang w:val="en-GB"/>
        </w:rPr>
        <w:t>found</w:t>
      </w:r>
      <w:r w:rsidR="0051260A" w:rsidRPr="00293C29">
        <w:rPr>
          <w:lang w:val="en-GB"/>
        </w:rPr>
        <w:t xml:space="preserve"> that</w:t>
      </w:r>
      <w:r w:rsidR="00E42808" w:rsidRPr="00293C29">
        <w:rPr>
          <w:lang w:val="en-GB"/>
        </w:rPr>
        <w:t xml:space="preserve"> the effect of </w:t>
      </w:r>
      <w:r w:rsidR="00A07C66" w:rsidRPr="00293C29">
        <w:rPr>
          <w:lang w:val="en-GB"/>
        </w:rPr>
        <w:t xml:space="preserve">early </w:t>
      </w:r>
      <w:r w:rsidR="00E42808" w:rsidRPr="00293C29">
        <w:rPr>
          <w:lang w:val="en-GB"/>
        </w:rPr>
        <w:t xml:space="preserve">menopause on airflow obstruction was not </w:t>
      </w:r>
      <w:r w:rsidR="0051260A" w:rsidRPr="00293C29">
        <w:rPr>
          <w:lang w:val="en-GB"/>
        </w:rPr>
        <w:t>so apparent in these groups</w:t>
      </w:r>
      <w:r w:rsidR="00D438F7" w:rsidRPr="00293C29">
        <w:rPr>
          <w:lang w:val="en-GB"/>
        </w:rPr>
        <w:t>,</w:t>
      </w:r>
      <w:r w:rsidR="00A420AD" w:rsidRPr="00293C29">
        <w:rPr>
          <w:lang w:val="en-GB"/>
        </w:rPr>
        <w:t xml:space="preserve"> supporting this hypothesis</w:t>
      </w:r>
      <w:r w:rsidR="00E42808" w:rsidRPr="00293C29">
        <w:rPr>
          <w:lang w:val="en-GB"/>
        </w:rPr>
        <w:t xml:space="preserve">. </w:t>
      </w:r>
      <w:r w:rsidR="00AD22DB" w:rsidRPr="00293C29">
        <w:rPr>
          <w:lang w:val="en-GB"/>
        </w:rPr>
        <w:t xml:space="preserve">The role of sex hormones in the lung is complex and </w:t>
      </w:r>
      <w:r w:rsidR="0051260A" w:rsidRPr="00293C29">
        <w:rPr>
          <w:lang w:val="en-GB"/>
        </w:rPr>
        <w:t>there are biological reason</w:t>
      </w:r>
      <w:r w:rsidR="005538D3" w:rsidRPr="00293C29">
        <w:rPr>
          <w:lang w:val="en-GB"/>
        </w:rPr>
        <w:t>s</w:t>
      </w:r>
      <w:r w:rsidR="0051260A" w:rsidRPr="00293C29">
        <w:rPr>
          <w:lang w:val="en-GB"/>
        </w:rPr>
        <w:t xml:space="preserve"> </w:t>
      </w:r>
      <w:r w:rsidR="001940F0" w:rsidRPr="00293C29">
        <w:rPr>
          <w:lang w:val="en-GB"/>
        </w:rPr>
        <w:t>to support either a</w:t>
      </w:r>
      <w:r w:rsidR="00A420AD" w:rsidRPr="00293C29">
        <w:rPr>
          <w:lang w:val="en-GB"/>
        </w:rPr>
        <w:t xml:space="preserve"> </w:t>
      </w:r>
      <w:r w:rsidR="00AD22DB" w:rsidRPr="00293C29">
        <w:rPr>
          <w:shd w:val="clear" w:color="auto" w:fill="FFFFFF"/>
          <w:lang w:val="en-GB"/>
        </w:rPr>
        <w:t xml:space="preserve">beneficial </w:t>
      </w:r>
      <w:r w:rsidR="001940F0" w:rsidRPr="00293C29">
        <w:rPr>
          <w:shd w:val="clear" w:color="auto" w:fill="FFFFFF"/>
          <w:lang w:val="en-GB"/>
        </w:rPr>
        <w:t>or a</w:t>
      </w:r>
      <w:r w:rsidR="0051260A" w:rsidRPr="00293C29">
        <w:rPr>
          <w:shd w:val="clear" w:color="auto" w:fill="FFFFFF"/>
          <w:lang w:val="en-GB"/>
        </w:rPr>
        <w:t xml:space="preserve"> </w:t>
      </w:r>
      <w:r w:rsidR="00AD22DB" w:rsidRPr="00293C29">
        <w:rPr>
          <w:shd w:val="clear" w:color="auto" w:fill="FFFFFF"/>
          <w:lang w:val="en-GB"/>
        </w:rPr>
        <w:t xml:space="preserve">detrimental </w:t>
      </w:r>
      <w:r w:rsidR="001940F0" w:rsidRPr="00293C29">
        <w:rPr>
          <w:shd w:val="clear" w:color="auto" w:fill="FFFFFF"/>
          <w:lang w:val="en-GB"/>
        </w:rPr>
        <w:t xml:space="preserve">effect </w:t>
      </w:r>
      <w:r w:rsidR="00AD22DB" w:rsidRPr="00293C29">
        <w:rPr>
          <w:shd w:val="clear" w:color="auto" w:fill="FFFFFF"/>
          <w:lang w:val="en-GB"/>
        </w:rPr>
        <w:t xml:space="preserve">depending on </w:t>
      </w:r>
      <w:r w:rsidR="00AD22DB" w:rsidRPr="00293C29">
        <w:rPr>
          <w:lang w:val="en-GB"/>
        </w:rPr>
        <w:t>the t</w:t>
      </w:r>
      <w:r w:rsidR="00AD22DB" w:rsidRPr="00293C29">
        <w:rPr>
          <w:shd w:val="clear" w:color="auto" w:fill="FFFFFF"/>
          <w:lang w:val="en-GB"/>
        </w:rPr>
        <w:t>ype of hormone, concentration, duration of exposure, cell type, and the</w:t>
      </w:r>
      <w:r w:rsidR="0051260A" w:rsidRPr="00293C29">
        <w:rPr>
          <w:shd w:val="clear" w:color="auto" w:fill="FFFFFF"/>
          <w:lang w:val="en-GB"/>
        </w:rPr>
        <w:t>ir</w:t>
      </w:r>
      <w:r w:rsidR="00AD22DB" w:rsidRPr="00293C29">
        <w:rPr>
          <w:shd w:val="clear" w:color="auto" w:fill="FFFFFF"/>
          <w:lang w:val="en-GB"/>
        </w:rPr>
        <w:t xml:space="preserve"> interaction</w:t>
      </w:r>
      <w:r w:rsidR="0051260A" w:rsidRPr="00293C29">
        <w:rPr>
          <w:shd w:val="clear" w:color="auto" w:fill="FFFFFF"/>
          <w:lang w:val="en-GB"/>
        </w:rPr>
        <w:t>s.</w:t>
      </w:r>
      <w:r w:rsidR="00AD22DB" w:rsidRPr="00293C29">
        <w:rPr>
          <w:shd w:val="clear" w:color="auto" w:fill="FFFFFF"/>
          <w:lang w:val="en-GB"/>
        </w:rPr>
        <w:fldChar w:fldCharType="begin" w:fldLock="1"/>
      </w:r>
      <w:r w:rsidR="00DA41F8">
        <w:rPr>
          <w:shd w:val="clear" w:color="auto" w:fill="FFFFFF"/>
          <w:lang w:val="en-GB"/>
        </w:rPr>
        <w:instrText>ADDIN CSL_CITATION {"citationItems":[{"id":"ITEM-1","itemData":{"DOI":"10.1016/j.pharmthera.2015.01.007","ISBN":"0309072816","ISSN":"1879016X","PMID":"25595323","abstract":"There is increasing recognition that sex hormones (estrogen, progesterone, and testosterone) have biological and pathophysiological actions in peripheral, non-reproductive organs, including the lung. Clinically, sex differences in the incidence, morbidity and mortality of lung diseases such as asthma, chronic obstructive pulmonary disease (COPD), pulmonary fibrosis, lung cancer and pulmonary hypertension have been noted, although intrinsic sex differences vs. the roles of sex steroids are still not well-understood. Accordingly, it becomes important to ask the following questions: 1) Which sex steroids are involved? 2) How do they affect different components of the lung under normal circumstances? 3) How does sex steroid signaling change in or contribute to lung disease, and in this regard, are sex steroids detrimental or beneficial? As our understanding of sex steroid signaling in the lung improves, it is important to consider whether such information can be used to develop new therapeutic strategies to target lung diseases, perhaps in both sexes or in a sex-specific manner. In this review, we focus on the basics of sex steroid signaling, and the current state of knowledge regarding how they influence structure and function of specific lung components across the life span and in the context of some important lung diseases. We then summarize the potential for sex steroids as useful biomarkers and therapeutic targets in these lung diseases as a basis for future translational research in the area of gender and individualized medicine.","author":[{"dropping-particle":"","family":"Sathish","given":"Venkatachalem","non-dropping-particle":"","parse-names":false,"suffix":""},{"dropping-particle":"","family":"Martin","given":"Yvette N.","non-dropping-particle":"","parse-names":false,"suffix":""},{"dropping-particle":"","family":"Prakash","given":"Y. S.","non-dropping-particle":"","parse-names":false,"suffix":""}],"container-title":"Pharmacology and Therapeutics","id":"ITEM-1","issued":{"date-parts":[["2015"]]},"page":"94-108","title":"Sex steroid signaling: Implications for lung diseases","type":"article-journal","volume":"150"},"uris":["http://www.mendeley.com/documents/?uuid=12773dac-3f08-49e8-a609-8aaa7116b2dc","http://www.mendeley.com/documents/?uuid=8f73c9f5-b6ed-4b65-887e-e0fa89d75c62"]},{"id":"ITEM-2","itemData":{"DOI":"10.1210/er.2010-0031","ISBN":"0309072816","ISSN":"0163769X","PMID":"22240244","abstract":"Sex differences in the biology of different organ systems and the influence of sex hormones in modulating health and disease are increasingly relevant in clinical and research areas. Although work has focused on sex differences and sex hormones in cardiovascular, musculoskeletal, and neuronal systems, there is now increasing clinical evidence for sex differences in incidence, morbidity, and mortality of lung diseases including allergic diseases (such as asthma), chronic obstructive pulmonary disease, pulmonary fibrosis, lung cancer, as well as pulmonary hypertension. Whether such differences are inherent and/or whether sex steroids play a role in modulating these differences is currently under investigation. The purpose of this review is to define sex differences in lung structure/function under normal and specific disease states, with exploration of whether and how sex hormone signaling mechanisms may explain these clinical observations. Focusing on adult age groups, the review addresses the following: 1) inherent sex differences in lung anatomy and physiology; 2) the importance of certain time points in life such as puberty, pregnancy, menopause, and aging; 3) expression and signaling of sex steroid receptors under normal vs. disease states; 4) potential interplay between different sex steroids; 5) the question of whether sex steroids are beneficial or detrimental to the lung; and 6) the potential use of sex steroid signaling as biomarkers and therapeutic avenues in lung diseases. The importance of focusing on sex differences and sex steroids in the lung lies in the increasing incidence of lung diseases in women and the need to address lung diseases across the life span.","author":[{"dropping-particle":"","family":"Townsend","given":"Elizabeth A.","non-dropping-particle":"","parse-names":false,"suffix":""},{"dropping-particle":"","family":"Miller","given":"Virginia M.","non-dropping-particle":"","parse-names":false,"suffix":""},{"dropping-particle":"","family":"Prakash","given":"Y. S.","non-dropping-particle":"","parse-names":false,"suffix":""}],"container-title":"Endocrine Reviews","id":"ITEM-2","issue":"1","issued":{"date-parts":[["2012"]]},"page":"1-47","title":"Sex differences and sex steroids in lung health and disease","type":"article","volume":"33"},"uris":["http://www.mendeley.com/documents/?uuid=3f3d99f8-db36-41a1-8fb9-a89fa15b1760","http://www.mendeley.com/documents/?uuid=2209efa8-eec2-4f15-9072-863b378a5c52"]}],"mendeley":{"formattedCitation":"[2, 39]","plainTextFormattedCitation":"[2, 39]","previouslyFormattedCitation":"[2, 39]"},"properties":{"noteIndex":0},"schema":"https://github.com/citation-style-language/schema/raw/master/csl-citation.json"}</w:instrText>
      </w:r>
      <w:r w:rsidR="00AD22DB" w:rsidRPr="00293C29">
        <w:rPr>
          <w:shd w:val="clear" w:color="auto" w:fill="FFFFFF"/>
          <w:lang w:val="en-GB"/>
        </w:rPr>
        <w:fldChar w:fldCharType="separate"/>
      </w:r>
      <w:r w:rsidR="00223BF9" w:rsidRPr="00223BF9">
        <w:rPr>
          <w:noProof/>
          <w:shd w:val="clear" w:color="auto" w:fill="FFFFFF"/>
          <w:lang w:val="en-GB"/>
        </w:rPr>
        <w:t>[2, 39]</w:t>
      </w:r>
      <w:r w:rsidR="00AD22DB" w:rsidRPr="00293C29">
        <w:rPr>
          <w:shd w:val="clear" w:color="auto" w:fill="FFFFFF"/>
          <w:lang w:val="en-GB"/>
        </w:rPr>
        <w:fldChar w:fldCharType="end"/>
      </w:r>
      <w:r w:rsidR="00AD22DB" w:rsidRPr="00293C29">
        <w:rPr>
          <w:lang w:val="en-GB"/>
        </w:rPr>
        <w:t xml:space="preserve"> </w:t>
      </w:r>
      <w:r w:rsidR="009A435A" w:rsidRPr="00293C29">
        <w:rPr>
          <w:lang w:val="en-GB"/>
        </w:rPr>
        <w:t xml:space="preserve">Beneficial effects of hormone therapy on lung function after 3-6 months MHT use were reported by small RCTs, </w:t>
      </w:r>
      <w:r w:rsidR="00AD22DB" w:rsidRPr="00293C29">
        <w:rPr>
          <w:lang w:val="en-GB"/>
        </w:rPr>
        <w:t xml:space="preserve">while </w:t>
      </w:r>
      <w:r w:rsidR="009A435A" w:rsidRPr="00293C29">
        <w:rPr>
          <w:lang w:val="en-GB"/>
        </w:rPr>
        <w:t>a</w:t>
      </w:r>
      <w:r w:rsidR="0000775C" w:rsidRPr="00293C29">
        <w:rPr>
          <w:lang w:val="en-GB"/>
        </w:rPr>
        <w:t xml:space="preserve"> crossover RCT </w:t>
      </w:r>
      <w:r w:rsidR="006E2DB8" w:rsidRPr="00293C29">
        <w:rPr>
          <w:lang w:val="en-GB"/>
        </w:rPr>
        <w:t xml:space="preserve">reported </w:t>
      </w:r>
      <w:r w:rsidR="00AD22DB" w:rsidRPr="00293C29">
        <w:rPr>
          <w:lang w:val="en-GB"/>
        </w:rPr>
        <w:t xml:space="preserve">no </w:t>
      </w:r>
      <w:r w:rsidR="009A435A" w:rsidRPr="00293C29">
        <w:rPr>
          <w:lang w:val="en-GB"/>
        </w:rPr>
        <w:t>improvement in lung function</w:t>
      </w:r>
      <w:r w:rsidR="00725F16" w:rsidRPr="00293C29">
        <w:rPr>
          <w:lang w:val="en-GB"/>
        </w:rPr>
        <w:t xml:space="preserve"> after MHT use</w:t>
      </w:r>
      <w:r w:rsidR="00AD22DB" w:rsidRPr="00293C29">
        <w:rPr>
          <w:lang w:val="en-GB"/>
        </w:rPr>
        <w:t>.</w:t>
      </w:r>
      <w:r w:rsidR="00AD22DB" w:rsidRPr="00293C29">
        <w:rPr>
          <w:lang w:val="en-GB"/>
        </w:rPr>
        <w:fldChar w:fldCharType="begin" w:fldLock="1"/>
      </w:r>
      <w:r w:rsidR="004664F0">
        <w:rPr>
          <w:lang w:val="en-GB"/>
        </w:rPr>
        <w:instrText>ADDIN CSL_CITATION {"citationItems":[{"id":"ITEM-1","itemData":{"ISSN":"0378-5122 (Print)","PMID":"14585524","abstract":"OBJECTIVE: To study whether hormone replacement therapy (HRT) or Tibolone has an  effect on pulmonary function in postmenopausal women. METHODS: Seventy-five postmenopausal women without any risk factor for pulmonary disease were included in this randomized, prospective study. Fifty women had undergone natural menopause and 25 had had a hysterectomy/ooforectomy. Twenty-five natural menopause women were randomly allocated to two groups: 25 patients (Group I) were treated with Tibolone 2.5 mg/day, 25 patients (group II) with Estradiol Hemihidrate 2 mg+Norethindron Asetate 1 mg/day. Twenty-five induced menopause women were treated with 17 beta-estradiol 2 mg/day. Lung function tests including forced vital capacity (FVC), forced expiratory volume (FEV(1)), FEV(1)/FVC, forced expiratory flow rate over the 25-75% of the forced vital capacity volume (FEF(25-75%)), and peak expiratory flow rate (PEF) were evaluated at the beginning and 3 months after the treatment to assess the effects of HRT and Tibolone on respiratory function. RESULTS: Regardless of HRT types a significant difference was observed in FVC and FEV(1) after 3 months of the therapy (P=0.001, 0.0001, respectively). No significant difference was found between pre and post therapy values in the other parameters (P&gt;0.05). CONCLUSIONS: We determined a significant increase in FVC and FEV(1) parameters of pulmonary functions after 3 months of the therapy regardless of HRT types. Therefore, we think that HRT regimens have modifying effects on pulmonary function in postmenopausal women.","author":[{"dropping-particle":"","family":"Pata","given":"Ozlem","non-dropping-particle":"","parse-names":false,"suffix":""},{"dropping-particle":"","family":"Atis","given":"Sibel","non-dropping-particle":"","parse-names":false,"suffix":""},{"dropping-particle":"","family":"Utku Oz","given":"A","non-dropping-particle":"","parse-names":false,"suffix":""},{"dropping-particle":"","family":"Yazici","given":"Gurkan","non-dropping-particle":"","parse-names":false,"suffix":""},{"dropping-particle":"","family":"Tok","given":"Ekrem","non-dropping-particle":"","parse-names":false,"suffix":""},{"dropping-particle":"","family":"Pata","given":"Cengiz","non-dropping-particle":"","parse-names":false,"suffix":""},{"dropping-particle":"","family":"Kilic","given":"Filiz","non-dropping-particle":"","parse-names":false,"suffix":""},{"dropping-particle":"","family":"Camdeviren","given":"Handan","non-dropping-particle":"","parse-names":false,"suffix":""},{"dropping-particle":"","family":"Aban","given":"Meral","non-dropping-particle":"","parse-names":false,"suffix":""}],"container-title":"Maturitas","id":"ITEM-1","issue":"3","issued":{"date-parts":[["2003","11"]]},"language":"eng","page":"213-218","publisher-place":"Ireland","title":"The effects of hormone replacement therapy type on pulmonary functions in postmenopausal women.","type":"article-journal","volume":"46"},"uris":["http://www.mendeley.com/documents/?uuid=ee08ba9b-6b27-4e2a-b0dc-8c24c7a1e77c","http://www.mendeley.com/documents/?uuid=626e71b8-273d-47e4-9826-6c304badfbce"]},{"id":"ITEM-2","itemData":{"ISSN":"0003-9926","abstract":"Background Data from multiple clinical, epidemiologic, and in vitro studies are conflicting regarding the effect of estrogen replacement therapy (ERT) on airway function in postmenopausal women with asthma.Objective To determine the impact of withdrawal of estrogen administration in postmenopausal, asthmatic women.Methods Twenty asthmatic women who were postmenopausal for at least 2 years and undergoing ERT were recruited for this prospective crossover study. Subjects continued taking baseline estrogen for 28 days, stopped taking estrogen for 28 days, and then resumed taking the medication for 14 days. Objective measurements were obtained by recording daily peak flows in the morning and evening and formal spirometry at days 14, 28, 42, 56, and 70. Compliance was measured by evaluating serum estradiol levels at days 28 and 56. Daily use of short-acting β-agonist bronchodilators was also recorded.Results Differences in estradiol levels indicated compliance with the medication regimen. The combined day 14 and 28 (taking estrogen) mean percent predicted forced expiratory volume in 1 second (FEV1) was 77% compared with the combined day 42 and 56 (not taking estrogen) mean FEV1 of 78% and the day 70 (taking estrogen again) FEV1 of 76% (P&amp;gt;.05). Average peak flow measurements were 295.5 L/min for the duration of ERT, 293.9 L/min while not undergoing ERT, and 291.8 L/min when ERT was restarted for the final 2 weeks of the study (P&amp;gt;.05). Use of short-acting β-agonist bronchodilators did not differ between study periods.Conclusion These data indicate that neither the discontinuation nor reinitiation of ERT in postmenopausal, asthmatic women has any effect on objective measures of airway obstruction.","author":[{"dropping-particle":"","family":"Hepburn","given":"Matthew J","non-dropping-particle":"","parse-names":false,"suffix":""},{"dropping-particle":"","family":"Dooley","given":"David P","non-dropping-particle":"","parse-names":false,"suffix":""},{"dropping-particle":"","family":"Morris","given":"Michael J","non-dropping-particle":"","parse-names":false,"suffix":""}],"container-title":"Archives of Internal Medicine","id":"ITEM-2","issue":"22","issued":{"date-parts":[["2001","12"]]},"page":"2717-2720","title":"The effects of estrogen replacement therapy on airway function in postmenopausal, asthmatic women","type":"article-journal","volume":"161"},"uris":["http://www.mendeley.com/documents/?uuid=048df558-cf27-42af-a680-77c13424dda5","http://www.mendeley.com/documents/?uuid=6c3372b9-d5e5-4e23-ba1f-71be0c95fbd6"]},{"id":"ITEM-3","itemData":{"DOI":"10.1016/j.maturitas.2004.01.009","ISSN":"03785122","PMID":"15488350","abstract":"OBJECTIVE To investigate the effects of hormone therapy (HT) administered to postmenopausal women on pulmonary function tests (PFT). METHODS Eighty-two postmenopausal women who were having natural or surgically initiated menopause and had no risk factor that could affect the respiratory system were included into this prospective, randomized study. Twenty-five women who refused to use HT were assessed as the control group (Group I). Nineteen women who accepted using HT and who were having surgically initiated menopause were given continuous estrogen (Group II), 23 were given continuous estrogen and progesterone in combination (Group III) and 15 were given cyclic estrogen and progesterone combination (Group IV). Forced expiratory volume (FEV1), forced vital capacity (FVC), FEV1/FVC, forced expiratory flow rate over 25-75% of the forced vital capacity volume and peak expiratory flow rate were assessed at the beginning of the treatment and in the third month in order to evaluate the effects of HT regimens on the women's PFT. RESULTS A statistically significant increase was observed only in the FEV1 and FVC parameters of Group III after three months of therapy (P&lt;0.05). The comparison between pre- and posttherapy FEV1 and FVC values showed an increase in the Group IV, but the difference was not statistically significant, while there was no difference between basal and third month FEV1 and FVC values of the group receiving estrogen only. CONCLUSIONS It was seen that particularly continuous combined HT regimen positively affected the FEV1 and FVC parameters of the postmenopausal women.","author":[{"dropping-particle":"","family":"Cevrioglu","given":"Arif Serhan","non-dropping-particle":"","parse-names":false,"suffix":""},{"dropping-particle":"","family":"Fidan","given":"Fatma","non-dropping-particle":"","parse-names":false,"suffix":""},{"dropping-particle":"","family":"Unlu","given":"Mehmet","non-dropping-particle":"","parse-names":false,"suffix":""},{"dropping-particle":"","family":"Yilmazer","given":"Mehmet","non-dropping-particle":"","parse-names":false,"suffix":""},{"dropping-particle":"","family":"Orman","given":"Ayse","non-dropping-particle":"","parse-names":false,"suffix":""},{"dropping-particle":"","family":"Fenkci","given":"Ibrahim Veysel","non-dropping-particle":"","parse-names":false,"suffix":""},{"dropping-particle":"","family":"Serteser","given":"Mustafa","non-dropping-particle":"","parse-names":false,"suffix":""}],"container-title":"Maturitas","id":"ITEM-3","issue":"3","issued":{"date-parts":[["2004","11"]]},"page":"221-227","title":"The effects of hormone therapy on pulmonary function tests in postmenopausal women","type":"article-journal","volume":"49"},"uris":["http://www.mendeley.com/documents/?uuid=6dc951a5-20d4-3274-886a-8120b2f3b6ef","http://www.mendeley.com/documents/?uuid=ca67f6da-5687-460e-9644-2759aa986aa8"]},{"id":"ITEM-4","itemData":{"DOI":"10.1089/rej.2012.1337","ISSN":"1549-1684","PMID":"22950430","abstract":"OBJECTIVE This study examined the impact of estrogen replacement therapy with spirometry on pulmonary function in surgically castrated (salpingo-oophorectomy) postmenopausal women with genital prolapse. METHODS The study included 60 postmenopausal women with pelvic organ prolapse. The study received institutional Ethics Committee approval, and all subjects signed an informed consent. Women were randomly divided into two groups of 30 subjects: Group 1 (n=30) was administered estrogen replacement with 1 mg of stradiol hemihydrate (1 mg/day) orally for 6 months, and group 2 (n=30) was not taking estrogen. Both groups were matched by age, height, body mass index, parity, and duration of postmenopause. All subjects were evaluated with spirometry initially and after 6 months. For statistical analysis, descriptive and analytical methods were used, based on data type and distribution. The mean and standard deviations were used as measures of central tendency and variability. Categorical data were expressed as absolute and relative numbers (percentage). The t-test for independent samples (for comparison of groups) and t-test for dependent samples (for comparison of serial measurements in the same patients) were used. The analysis was performed using R software ( www.r-project.org ), with the level of significance set at p&lt;0.05. RESULTS Analysis of spirometry parameters showed statistically significant differences between the estrogen users and the nonusers groups. CONCLUSION The most important study result was the significantly improved lung respiratory function in postmenopausal women with genital prolapse after 6 months of taking estrogen, confirming that hormone replacement therapy should be recommended to postmenopausal women. The findings of our study suggest the need for further research into the effect of estrogen on pulmonary function.","author":[{"dropping-particle":"","family":"Stipic","given":"Ivica","non-dropping-particle":"","parse-names":false,"suffix":""},{"dropping-particle":"","family":"Polasek","given":"Ozren","non-dropping-particle":"","parse-names":false,"suffix":""},{"dropping-particle":"","family":"Vulic","given":"Marko","non-dropping-particle":"","parse-names":false,"suffix":""},{"dropping-particle":"","family":"Punda","given":"Hrvoje","non-dropping-particle":"","parse-names":false,"suffix":""},{"dropping-particle":"","family":"Grandic","given":"Leo","non-dropping-particle":"","parse-names":false,"suffix":""},{"dropping-particle":"","family":"Strinic","given":"Tomislav","non-dropping-particle":"","parse-names":false,"suffix":""}],"container-title":"Rejuvenation Research","id":"ITEM-4","issue":"6","issued":{"date-parts":[["2012","12"]]},"page":"596-600","title":"Estrogen Replacement Therapy Improves Pulmonary Function in Postmenopausal Women with Genital Prolapse","type":"article-journal","volume":"15"},"uris":["http://www.mendeley.com/documents/?uuid=13ba3040-2c65-3ec7-9479-8cf07f9559c9","http://www.mendeley.com/documents/?uuid=e8e98551-fb79-43d3-9632-e4f10cf79127"]}],"mendeley":{"formattedCitation":"[40–43]","plainTextFormattedCitation":"[40–43]","previouslyFormattedCitation":"[40–43]"},"properties":{"noteIndex":0},"schema":"https://github.com/citation-style-language/schema/raw/master/csl-citation.json"}</w:instrText>
      </w:r>
      <w:r w:rsidR="00AD22DB" w:rsidRPr="00293C29">
        <w:rPr>
          <w:lang w:val="en-GB"/>
        </w:rPr>
        <w:fldChar w:fldCharType="separate"/>
      </w:r>
      <w:r w:rsidR="00223BF9" w:rsidRPr="00223BF9">
        <w:rPr>
          <w:noProof/>
          <w:lang w:val="en-GB"/>
        </w:rPr>
        <w:t>[40–43]</w:t>
      </w:r>
      <w:r w:rsidR="00AD22DB" w:rsidRPr="00293C29">
        <w:rPr>
          <w:lang w:val="en-GB"/>
        </w:rPr>
        <w:fldChar w:fldCharType="end"/>
      </w:r>
      <w:r w:rsidR="00472314" w:rsidRPr="00293C29" w:rsidDel="00993AEC">
        <w:rPr>
          <w:lang w:val="en-GB"/>
        </w:rPr>
        <w:t xml:space="preserve"> </w:t>
      </w:r>
      <w:r w:rsidR="00AD22DB" w:rsidRPr="00293C29">
        <w:rPr>
          <w:lang w:val="en-GB"/>
        </w:rPr>
        <w:t xml:space="preserve">Previous research in mice has shown that </w:t>
      </w:r>
      <w:r w:rsidR="00A07C66" w:rsidRPr="00293C29">
        <w:rPr>
          <w:lang w:val="en-GB"/>
        </w:rPr>
        <w:t>oestrogens</w:t>
      </w:r>
      <w:r w:rsidR="00AD22DB" w:rsidRPr="00293C29">
        <w:rPr>
          <w:lang w:val="en-GB"/>
        </w:rPr>
        <w:t xml:space="preserve"> may potentiate the oxidative stress after smok</w:t>
      </w:r>
      <w:r w:rsidR="005538D3" w:rsidRPr="00293C29">
        <w:rPr>
          <w:lang w:val="en-GB"/>
        </w:rPr>
        <w:t>ing</w:t>
      </w:r>
      <w:r w:rsidR="00AD22DB" w:rsidRPr="00293C29">
        <w:rPr>
          <w:lang w:val="en-GB"/>
        </w:rPr>
        <w:t xml:space="preserve"> exposure, and thereby contribute to airway </w:t>
      </w:r>
      <w:r w:rsidR="00A07C66" w:rsidRPr="00293C29">
        <w:rPr>
          <w:lang w:val="en-GB"/>
        </w:rPr>
        <w:t>remodelling</w:t>
      </w:r>
      <w:r w:rsidR="00AD22DB" w:rsidRPr="00293C29">
        <w:rPr>
          <w:lang w:val="en-GB"/>
        </w:rPr>
        <w:t>.</w:t>
      </w:r>
      <w:r w:rsidR="00AD22DB" w:rsidRPr="00293C29">
        <w:rPr>
          <w:highlight w:val="yellow"/>
          <w:lang w:val="en-GB"/>
        </w:rPr>
        <w:fldChar w:fldCharType="begin" w:fldLock="1"/>
      </w:r>
      <w:r w:rsidR="00DA41F8">
        <w:rPr>
          <w:lang w:val="en-GB"/>
        </w:rPr>
        <w:instrText>ADDIN CSL_CITATION {"citationItems":[{"id":"ITEM-1","itemData":{"DOI":"10.1371/journal.pone.0164835","ISSN":"19326203","PMID":"27788167","abstract":"Female smokers have increased risk of chronic obstructive pulmonary disease (COPD) compared with male smokers who have a similar history of cigarette smoke exposure. We have shown previously that chronic smoke exposure for 6 months leads to increased airway wall remodeling in female C57BL/6 mice compared with male C57BL/6 mice. These differences, however, were not evident in female ovariectomized mice exposed to cigarette smoke. Herein, we report on the pulmonary function test results from the flexiVent system, which was used to determine the potential functional consequences of the histologic changes observed in these mice. We found that tissue damping (G) was increased in female compared to male or ovariectomized female mice after smoke exposure. At low oscillating frequencies, complex input resistance (Zrs) and impedance (Xrs) of the respiratory system was increased and decreased, respectively, in female but not in male or ovariectomized female mice after smoke exposure. Quasistatic pressure-volume curves revealed a reduction in inspiratory capacity in female mice but not in male or ovariectomized female mice after smoke exposure. The remaining lung function measurements including quasistatic compliance were similar amongst all groups. This is the first study characterizing a sexual dimorphism in respiratory functional properties in a mouse model of COPD. These findings demonstrate that increased airway remodeling in female mice following chronic smoke exposure is associated with increased tissue resistance in the peripheral airways. These data may explain the importance of female sex hormones and the increased risk of airway disease in female smokers.","author":[{"dropping-particle":"","family":"Tam","given":"Anthony","non-dropping-particle":"","parse-names":false,"suffix":""},{"dropping-particle":"","family":"Bates","given":"Jason H.T.","non-dropping-particle":"","parse-names":false,"suffix":""},{"dropping-particle":"","family":"Churg","given":"Andrew","non-dropping-particle":"","parse-names":false,"suffix":""},{"dropping-particle":"","family":"Wright","given":"Joanne L.","non-dropping-particle":"","parse-names":false,"suffix":""},{"dropping-particle":"","family":"Man","given":"S. F.Paul","non-dropping-particle":"","parse-names":false,"suffix":""},{"dropping-particle":"","family":"Sin","given":"Don D.","non-dropping-particle":"","parse-names":false,"suffix":""}],"container-title":"PLoS ONE","id":"ITEM-1","issue":"10","issued":{"date-parts":[["2016"]]},"page":"e0164835","title":"Sex-related differences in pulmonary function following 6 months of cigarette exposure: Implications for sexual dimorphism in mild COPD","type":"article-journal","volume":"11"},"uris":["http://www.mendeley.com/documents/?uuid=44c74474-1a60-4582-9f1b-ac8ef6af7e96","http://www.mendeley.com/documents/?uuid=c3b59b39-2aa1-4a12-8a68-9471e0f43b93"]}],"mendeley":{"formattedCitation":"[29]","plainTextFormattedCitation":"[29]","previouslyFormattedCitation":"[29]"},"properties":{"noteIndex":0},"schema":"https://github.com/citation-style-language/schema/raw/master/csl-citation.json"}</w:instrText>
      </w:r>
      <w:r w:rsidR="00AD22DB" w:rsidRPr="00293C29">
        <w:rPr>
          <w:highlight w:val="yellow"/>
          <w:lang w:val="en-GB"/>
        </w:rPr>
        <w:fldChar w:fldCharType="separate"/>
      </w:r>
      <w:r w:rsidR="001A51BC" w:rsidRPr="001A51BC">
        <w:rPr>
          <w:noProof/>
          <w:lang w:val="en-GB"/>
        </w:rPr>
        <w:t>[29]</w:t>
      </w:r>
      <w:r w:rsidR="00AD22DB" w:rsidRPr="00293C29">
        <w:rPr>
          <w:highlight w:val="yellow"/>
          <w:lang w:val="en-GB"/>
        </w:rPr>
        <w:fldChar w:fldCharType="end"/>
      </w:r>
      <w:r w:rsidR="00AD22DB" w:rsidRPr="00293C29">
        <w:rPr>
          <w:lang w:val="en-GB"/>
        </w:rPr>
        <w:t xml:space="preserve"> We therefore performed subgroup analyses by smoking status</w:t>
      </w:r>
      <w:r w:rsidR="00CA27C0" w:rsidRPr="00293C29">
        <w:rPr>
          <w:lang w:val="en-GB"/>
        </w:rPr>
        <w:t>,</w:t>
      </w:r>
      <w:r w:rsidR="0012726A" w:rsidRPr="00293C29">
        <w:rPr>
          <w:lang w:val="en-GB"/>
        </w:rPr>
        <w:t xml:space="preserve"> </w:t>
      </w:r>
      <w:r w:rsidR="00AD22DB" w:rsidRPr="00293C29">
        <w:rPr>
          <w:lang w:val="en-GB"/>
        </w:rPr>
        <w:t xml:space="preserve">but found no evidence of a difference between smokers and non-smokers. </w:t>
      </w:r>
    </w:p>
    <w:p w14:paraId="08E4EE9C" w14:textId="5604841D" w:rsidR="00EA1726" w:rsidRDefault="00D73C10" w:rsidP="005F505C">
      <w:pPr>
        <w:spacing w:after="120"/>
        <w:jc w:val="both"/>
        <w:rPr>
          <w:lang w:val="en-GB"/>
        </w:rPr>
      </w:pPr>
      <w:r>
        <w:rPr>
          <w:lang w:val="en-GB"/>
        </w:rPr>
        <w:t xml:space="preserve">Although, technically the reproductive period is also defined by menarche, age at menarche </w:t>
      </w:r>
      <w:r w:rsidRPr="000C386B">
        <w:rPr>
          <w:lang w:val="en-GB"/>
        </w:rPr>
        <w:t xml:space="preserve">varies </w:t>
      </w:r>
      <w:r>
        <w:rPr>
          <w:lang w:val="en-GB"/>
        </w:rPr>
        <w:t xml:space="preserve">very </w:t>
      </w:r>
      <w:r w:rsidRPr="000C386B">
        <w:rPr>
          <w:lang w:val="en-GB"/>
        </w:rPr>
        <w:t>little compared to age at menopause</w:t>
      </w:r>
      <w:r>
        <w:rPr>
          <w:lang w:val="en-GB"/>
        </w:rPr>
        <w:t xml:space="preserve"> and therefore influences lifetime exposure to sex </w:t>
      </w:r>
      <w:r w:rsidR="00671973">
        <w:rPr>
          <w:lang w:val="en-GB"/>
        </w:rPr>
        <w:t>hormones</w:t>
      </w:r>
      <w:r>
        <w:rPr>
          <w:lang w:val="en-GB"/>
        </w:rPr>
        <w:t xml:space="preserve"> </w:t>
      </w:r>
      <w:r w:rsidR="00F44900">
        <w:rPr>
          <w:lang w:val="en-GB"/>
        </w:rPr>
        <w:t>to a much lesser extent than age at menopause. Interestingly, a</w:t>
      </w:r>
      <w:r w:rsidR="00F44900" w:rsidRPr="00F44900">
        <w:rPr>
          <w:lang w:val="en-GB"/>
        </w:rPr>
        <w:t xml:space="preserve">n earlier age at menarche has been associated with a reduced FVC in </w:t>
      </w:r>
      <w:r w:rsidR="00F44900" w:rsidRPr="0010435C">
        <w:rPr>
          <w:lang w:val="en-GB"/>
        </w:rPr>
        <w:t>adult women in a previous MR study</w:t>
      </w:r>
      <w:r w:rsidR="003A733C" w:rsidRPr="0010435C">
        <w:rPr>
          <w:lang w:val="en-GB"/>
        </w:rPr>
        <w:t xml:space="preserve">, while no association </w:t>
      </w:r>
      <w:r w:rsidR="0010435C" w:rsidRPr="0016491A">
        <w:rPr>
          <w:lang w:val="en-GB"/>
        </w:rPr>
        <w:t xml:space="preserve">was </w:t>
      </w:r>
      <w:r w:rsidR="00EA1726">
        <w:rPr>
          <w:lang w:val="en-GB"/>
        </w:rPr>
        <w:t xml:space="preserve">found </w:t>
      </w:r>
      <w:r w:rsidR="003A733C" w:rsidRPr="0010435C">
        <w:rPr>
          <w:lang w:val="en-GB"/>
        </w:rPr>
        <w:t>for FEV</w:t>
      </w:r>
      <w:r w:rsidR="003A733C" w:rsidRPr="0016491A">
        <w:rPr>
          <w:vertAlign w:val="subscript"/>
          <w:lang w:val="en-GB"/>
        </w:rPr>
        <w:t>1</w:t>
      </w:r>
      <w:r w:rsidR="003A733C" w:rsidRPr="0010435C">
        <w:rPr>
          <w:lang w:val="en-GB"/>
        </w:rPr>
        <w:t>/FVC</w:t>
      </w:r>
      <w:r w:rsidR="00F44900" w:rsidRPr="0010435C">
        <w:rPr>
          <w:lang w:val="en-GB"/>
        </w:rPr>
        <w:t>.[38]</w:t>
      </w:r>
      <w:r w:rsidR="003A733C" w:rsidRPr="0010435C">
        <w:rPr>
          <w:lang w:val="en-GB"/>
        </w:rPr>
        <w:t xml:space="preserve"> The proposed</w:t>
      </w:r>
      <w:r w:rsidR="003A733C" w:rsidRPr="000C386B">
        <w:rPr>
          <w:lang w:val="en-GB"/>
        </w:rPr>
        <w:t xml:space="preserve"> mechanism</w:t>
      </w:r>
      <w:r w:rsidR="003A733C">
        <w:rPr>
          <w:lang w:val="en-GB"/>
        </w:rPr>
        <w:t xml:space="preserve"> for the effect of</w:t>
      </w:r>
      <w:r w:rsidR="003A733C" w:rsidRPr="000C386B">
        <w:rPr>
          <w:lang w:val="en-GB"/>
        </w:rPr>
        <w:t xml:space="preserve"> early menarche relates to </w:t>
      </w:r>
      <w:r w:rsidR="005F505C" w:rsidRPr="005F505C">
        <w:rPr>
          <w:lang w:val="en-GB"/>
        </w:rPr>
        <w:t>premature completion of lung development</w:t>
      </w:r>
      <w:r w:rsidR="005F505C">
        <w:rPr>
          <w:lang w:val="en-GB"/>
        </w:rPr>
        <w:t xml:space="preserve"> </w:t>
      </w:r>
      <w:r w:rsidR="005F505C" w:rsidRPr="0010435C">
        <w:rPr>
          <w:lang w:val="en-GB"/>
        </w:rPr>
        <w:t xml:space="preserve">and </w:t>
      </w:r>
      <w:r w:rsidR="005F505C">
        <w:rPr>
          <w:lang w:val="en-GB"/>
        </w:rPr>
        <w:t xml:space="preserve">a </w:t>
      </w:r>
      <w:r w:rsidR="005F505C" w:rsidRPr="0010435C">
        <w:rPr>
          <w:lang w:val="en-GB"/>
        </w:rPr>
        <w:t>lower maximal attained lung function</w:t>
      </w:r>
      <w:r w:rsidR="005F505C">
        <w:rPr>
          <w:lang w:val="en-GB"/>
        </w:rPr>
        <w:t>,</w:t>
      </w:r>
      <w:r w:rsidR="003A733C" w:rsidRPr="000C386B">
        <w:rPr>
          <w:lang w:val="en-GB"/>
        </w:rPr>
        <w:t xml:space="preserve"> which has been confirmed by</w:t>
      </w:r>
      <w:r w:rsidR="003A733C">
        <w:rPr>
          <w:lang w:val="en-GB"/>
        </w:rPr>
        <w:t xml:space="preserve"> an</w:t>
      </w:r>
      <w:r w:rsidR="003A733C" w:rsidRPr="000C386B">
        <w:rPr>
          <w:lang w:val="en-GB"/>
        </w:rPr>
        <w:t xml:space="preserve"> observational longitudinal </w:t>
      </w:r>
      <w:r w:rsidR="003A733C" w:rsidRPr="00EA1726">
        <w:rPr>
          <w:lang w:val="en-GB"/>
        </w:rPr>
        <w:t>study.</w:t>
      </w:r>
      <w:r w:rsidR="005F505C" w:rsidRPr="00EA1726">
        <w:rPr>
          <w:lang w:val="en-GB"/>
        </w:rPr>
        <w:fldChar w:fldCharType="begin" w:fldLock="1"/>
      </w:r>
      <w:r w:rsidR="00DA41F8">
        <w:rPr>
          <w:lang w:val="en-GB"/>
        </w:rPr>
        <w:instrText>ADDIN CSL_CITATION {"citationItems":[{"id":"ITEM-1","itemData":{"DOI":"10.1164/rccm.201802-0274OC","ISSN":"1535-4970 (Electronic)","PMID":"29995435","abstract":"RATIONALE: Puberty may influence lung function, but the precise role of pubertal height growth in lung development is unclear. OBJECTIVES: To examine associations of timing of puberty and peak velocity of pubertal height growth with lung function in adolescence and early-adulthood. METHODS: Longitudinal analyses of repeat height measurements from age 5-20 years for a British birth cohort with 4,772 males and 4,849 females were conducted to characterise height growth trajectories, and derive pubertal age and peak height velocity using the validated SuperImposition by Translation and Rotation (SITAR) model. Association of these estimates with pre-bronchodilator and post-bronchodilator spirometry measures: FEV1; FVC; FEV1/FVC; FEF25-75 at age 15 and 24 years were investigated using multivariable regression models adjusted for lung function at age 8 years, height and age at time of outcome measurements, and potential confounders. MEASUREMENTS AND MAIN RESULTS: Later pubertal age and greater peak velocity were associated with higher FEV1 and FVC at 24 years in both sexes. A 1-year advanced pubertal age was associated with a 263 ml higher FVC (95% confidence interval: 167, 360) for males (n=567), 100 ml (50, 150) for females (n=990). A 1-cm/year increase in peak velocity was associated with 145 ml (56, 234) and 50 ml (2, 99) increase in FVC for males and females respectively. No associations were found with FEV1/FVC. CONCLUSIONS: Later onset and greater peak velocity of height growth in puberty are associated with increased FEV1 and FVC in young adults but there was no evidence of dysanapsis of pubertal lung growth.","author":[{"dropping-particle":"","family":"Mahmoud","given":"Osama","non-dropping-particle":"","parse-names":false,"suffix":""},{"dropping-particle":"","family":"Granell","given":"Raquel","non-dropping-particle":"","parse-names":false,"suffix":""},{"dropping-particle":"","family":"Tilling","given":"Kate","non-dropping-particle":"","parse-names":false,"suffix":""},{"dropping-particle":"","family":"Minelli","given":"Cosetta","non-dropping-particle":"","parse-names":false,"suffix":""},{"dropping-particle":"","family":"Garcia-Aymerich","given":"Judith","non-dropping-particle":"","parse-names":false,"suffix":""},{"dropping-particle":"","family":"Holloway","given":"John W","non-dropping-particle":"","parse-names":false,"suffix":""},{"dropping-particle":"","family":"Custovic","given":"Adnan","non-dropping-particle":"","parse-names":false,"suffix":""},{"dropping-particle":"","family":"Jarvis","given":"Deborah","non-dropping-particle":"","parse-names":false,"suffix":""},{"dropping-particle":"","family":"Sterne","given":"Jonathan","non-dropping-particle":"","parse-names":false,"suffix":""},{"dropping-particle":"","family":"Henderson","given":"John","non-dropping-particle":"","parse-names":false,"suffix":""}],"container-title":"American journal of respiratory and critical care medicine","id":"ITEM-1","issue":"12","issued":{"date-parts":[["2018","7"]]},"language":"eng","publisher-place":"United States","title":"Association of Height Growth in Puberty with Lung Function: A Longitudinal Study.","type":"article-journal","volume":"198"},"uris":["http://www.mendeley.com/documents/?uuid=c597b12f-ec4e-48b9-8941-8cd2971b86a6"]}],"mendeley":{"formattedCitation":"[44]","plainTextFormattedCitation":"[44]","previouslyFormattedCitation":"[44]"},"properties":{"noteIndex":0},"schema":"https://github.com/citation-style-language/schema/raw/master/csl-citation.json"}</w:instrText>
      </w:r>
      <w:r w:rsidR="005F505C" w:rsidRPr="00EA1726">
        <w:rPr>
          <w:lang w:val="en-GB"/>
        </w:rPr>
        <w:fldChar w:fldCharType="separate"/>
      </w:r>
      <w:r w:rsidR="005F505C" w:rsidRPr="00EA1726">
        <w:rPr>
          <w:noProof/>
          <w:lang w:val="en-GB"/>
        </w:rPr>
        <w:t>[44]</w:t>
      </w:r>
      <w:r w:rsidR="005F505C" w:rsidRPr="00EA1726">
        <w:rPr>
          <w:lang w:val="en-GB"/>
        </w:rPr>
        <w:fldChar w:fldCharType="end"/>
      </w:r>
      <w:r w:rsidR="00EA1726">
        <w:rPr>
          <w:lang w:val="en-GB"/>
        </w:rPr>
        <w:t xml:space="preserve"> </w:t>
      </w:r>
      <w:r w:rsidR="00AA7C7B" w:rsidRPr="00AA7C7B">
        <w:rPr>
          <w:lang w:val="en-GB"/>
        </w:rPr>
        <w:t>Therefore the effect of age at menarche on lung function might not be through sex hormones, unlike what we hypothesise for age at menopause</w:t>
      </w:r>
      <w:r w:rsidR="00EA1726">
        <w:rPr>
          <w:lang w:val="en-GB"/>
        </w:rPr>
        <w:t>.</w:t>
      </w:r>
    </w:p>
    <w:p w14:paraId="4D686836" w14:textId="7B95AB96" w:rsidR="00815627" w:rsidRPr="00293C29" w:rsidRDefault="00A12BDC" w:rsidP="00A87748">
      <w:pPr>
        <w:spacing w:after="120"/>
        <w:jc w:val="both"/>
        <w:rPr>
          <w:lang w:val="en-GB"/>
        </w:rPr>
      </w:pPr>
      <w:r>
        <w:rPr>
          <w:lang w:val="en-GB"/>
        </w:rPr>
        <w:t>A</w:t>
      </w:r>
      <w:r w:rsidR="00275C3E" w:rsidRPr="00293C29">
        <w:rPr>
          <w:lang w:val="en-GB"/>
        </w:rPr>
        <w:t xml:space="preserve"> limitation of our study is the use of self-reported information on age at menopause</w:t>
      </w:r>
      <w:r w:rsidR="00942AAD" w:rsidRPr="00293C29">
        <w:rPr>
          <w:lang w:val="en-GB"/>
        </w:rPr>
        <w:t>.</w:t>
      </w:r>
      <w:r w:rsidR="00B81527" w:rsidRPr="00293C29">
        <w:rPr>
          <w:lang w:val="en-GB"/>
        </w:rPr>
        <w:t xml:space="preserve"> </w:t>
      </w:r>
      <w:r w:rsidR="00A313AD" w:rsidRPr="00293C29">
        <w:rPr>
          <w:lang w:val="en-GB"/>
        </w:rPr>
        <w:t xml:space="preserve">However, the </w:t>
      </w:r>
      <w:r w:rsidR="00A420AD" w:rsidRPr="00293C29">
        <w:rPr>
          <w:lang w:val="en-GB"/>
        </w:rPr>
        <w:t xml:space="preserve">misclassification </w:t>
      </w:r>
      <w:r w:rsidR="00A313AD" w:rsidRPr="00293C29">
        <w:rPr>
          <w:lang w:val="en-GB"/>
        </w:rPr>
        <w:t>is</w:t>
      </w:r>
      <w:r w:rsidR="00F034A9" w:rsidRPr="00293C29">
        <w:rPr>
          <w:lang w:val="en-GB"/>
        </w:rPr>
        <w:t xml:space="preserve"> likely to be random and </w:t>
      </w:r>
      <w:r w:rsidR="002F79C2" w:rsidRPr="00293C29">
        <w:rPr>
          <w:lang w:val="en-GB"/>
        </w:rPr>
        <w:t xml:space="preserve">the measurement error </w:t>
      </w:r>
      <w:r w:rsidR="00A313AD" w:rsidRPr="00293C29">
        <w:rPr>
          <w:lang w:val="en-GB"/>
        </w:rPr>
        <w:t xml:space="preserve">would </w:t>
      </w:r>
      <w:r w:rsidR="00F034A9" w:rsidRPr="00293C29">
        <w:rPr>
          <w:lang w:val="en-GB"/>
        </w:rPr>
        <w:t>reduce power</w:t>
      </w:r>
      <w:r w:rsidR="002F79C2" w:rsidRPr="00293C29">
        <w:rPr>
          <w:lang w:val="en-GB"/>
        </w:rPr>
        <w:t xml:space="preserve"> </w:t>
      </w:r>
      <w:r w:rsidR="00F034A9" w:rsidRPr="00293C29">
        <w:rPr>
          <w:lang w:val="en-GB"/>
        </w:rPr>
        <w:t xml:space="preserve">rather than </w:t>
      </w:r>
      <w:r w:rsidR="00A313AD" w:rsidRPr="00293C29">
        <w:rPr>
          <w:lang w:val="en-GB"/>
        </w:rPr>
        <w:t xml:space="preserve">causing </w:t>
      </w:r>
      <w:r w:rsidR="00F034A9" w:rsidRPr="00293C29">
        <w:rPr>
          <w:lang w:val="en-GB"/>
        </w:rPr>
        <w:t>bias</w:t>
      </w:r>
      <w:r w:rsidR="00275C3E" w:rsidRPr="00293C29">
        <w:rPr>
          <w:lang w:val="en-GB"/>
        </w:rPr>
        <w:t xml:space="preserve">. </w:t>
      </w:r>
      <w:r w:rsidR="0073074F" w:rsidRPr="00293C29">
        <w:rPr>
          <w:lang w:val="en-GB"/>
        </w:rPr>
        <w:t>UKB</w:t>
      </w:r>
      <w:r w:rsidR="00D91261" w:rsidRPr="00293C29">
        <w:rPr>
          <w:lang w:val="en-GB"/>
        </w:rPr>
        <w:t xml:space="preserve"> </w:t>
      </w:r>
      <w:r w:rsidR="00DF335B" w:rsidRPr="00293C29">
        <w:rPr>
          <w:lang w:val="en-GB"/>
        </w:rPr>
        <w:t xml:space="preserve">did not perform post-bronchodilator pulmonary function measurements, </w:t>
      </w:r>
      <w:r w:rsidR="004050E2" w:rsidRPr="00293C29">
        <w:rPr>
          <w:lang w:val="en-GB"/>
        </w:rPr>
        <w:t>s</w:t>
      </w:r>
      <w:r w:rsidR="00D91261" w:rsidRPr="00293C29">
        <w:rPr>
          <w:lang w:val="en-GB"/>
        </w:rPr>
        <w:t>o</w:t>
      </w:r>
      <w:r w:rsidR="004050E2" w:rsidRPr="00293C29">
        <w:rPr>
          <w:lang w:val="en-GB"/>
        </w:rPr>
        <w:t xml:space="preserve"> we</w:t>
      </w:r>
      <w:r w:rsidR="00FC7CBA" w:rsidRPr="00293C29">
        <w:rPr>
          <w:lang w:val="en-GB"/>
        </w:rPr>
        <w:t xml:space="preserve"> cannot </w:t>
      </w:r>
      <w:r w:rsidR="004050E2" w:rsidRPr="00293C29">
        <w:rPr>
          <w:lang w:val="en-GB"/>
        </w:rPr>
        <w:t xml:space="preserve">distinguish </w:t>
      </w:r>
      <w:r w:rsidR="00FC7CBA" w:rsidRPr="00293C29">
        <w:rPr>
          <w:lang w:val="en-GB"/>
        </w:rPr>
        <w:t>between reversible and fixed airflow obstruction</w:t>
      </w:r>
      <w:r w:rsidR="006D5BE9" w:rsidRPr="00293C29">
        <w:rPr>
          <w:lang w:val="en-GB"/>
        </w:rPr>
        <w:t>.</w:t>
      </w:r>
      <w:r w:rsidR="00FC7CBA" w:rsidRPr="00293C29">
        <w:rPr>
          <w:lang w:val="en-GB"/>
        </w:rPr>
        <w:t xml:space="preserve"> </w:t>
      </w:r>
      <w:r w:rsidR="006D5BE9" w:rsidRPr="00293C29">
        <w:rPr>
          <w:lang w:val="en-GB"/>
        </w:rPr>
        <w:t>W</w:t>
      </w:r>
      <w:r w:rsidR="00FC7CBA" w:rsidRPr="00293C29">
        <w:rPr>
          <w:lang w:val="en-GB"/>
        </w:rPr>
        <w:t>hen we</w:t>
      </w:r>
      <w:r w:rsidR="000F4198" w:rsidRPr="00293C29">
        <w:rPr>
          <w:lang w:val="en-GB"/>
        </w:rPr>
        <w:t xml:space="preserve"> </w:t>
      </w:r>
      <w:r w:rsidR="00FC7CBA" w:rsidRPr="00293C29">
        <w:rPr>
          <w:lang w:val="en-GB"/>
        </w:rPr>
        <w:t xml:space="preserve">excluded </w:t>
      </w:r>
      <w:r w:rsidR="009925DD" w:rsidRPr="00293C29">
        <w:rPr>
          <w:lang w:val="en-GB"/>
        </w:rPr>
        <w:t xml:space="preserve">self-reported </w:t>
      </w:r>
      <w:r w:rsidR="00FC7CBA" w:rsidRPr="00293C29">
        <w:rPr>
          <w:lang w:val="en-GB"/>
        </w:rPr>
        <w:t xml:space="preserve">asthmatics from the MR analyses, we found </w:t>
      </w:r>
      <w:r w:rsidR="00105E98" w:rsidRPr="00293C29">
        <w:rPr>
          <w:lang w:val="en-GB"/>
        </w:rPr>
        <w:t>almost identical</w:t>
      </w:r>
      <w:r w:rsidR="00FC7CBA" w:rsidRPr="00293C29">
        <w:rPr>
          <w:lang w:val="en-GB"/>
        </w:rPr>
        <w:t xml:space="preserve"> results</w:t>
      </w:r>
      <w:r w:rsidR="00105E98" w:rsidRPr="00293C29">
        <w:rPr>
          <w:lang w:val="en-GB"/>
        </w:rPr>
        <w:t xml:space="preserve"> compared to the main analysis</w:t>
      </w:r>
      <w:r w:rsidR="00436755" w:rsidRPr="00293C29">
        <w:rPr>
          <w:lang w:val="en-GB"/>
        </w:rPr>
        <w:t>.</w:t>
      </w:r>
      <w:r w:rsidR="004E26D3" w:rsidRPr="00293C29">
        <w:rPr>
          <w:lang w:val="en-GB"/>
        </w:rPr>
        <w:t xml:space="preserve"> S</w:t>
      </w:r>
      <w:r w:rsidR="00815627" w:rsidRPr="00293C29">
        <w:rPr>
          <w:lang w:val="en-GB"/>
        </w:rPr>
        <w:t>trength</w:t>
      </w:r>
      <w:r w:rsidR="004E26D3" w:rsidRPr="00293C29">
        <w:rPr>
          <w:lang w:val="en-GB"/>
        </w:rPr>
        <w:t>s</w:t>
      </w:r>
      <w:r w:rsidR="00815627" w:rsidRPr="00293C29">
        <w:rPr>
          <w:lang w:val="en-GB"/>
        </w:rPr>
        <w:t xml:space="preserve"> of our study </w:t>
      </w:r>
      <w:r w:rsidR="004E26D3" w:rsidRPr="00293C29">
        <w:rPr>
          <w:lang w:val="en-GB"/>
        </w:rPr>
        <w:t>are</w:t>
      </w:r>
      <w:r w:rsidR="00815627" w:rsidRPr="00293C29">
        <w:rPr>
          <w:lang w:val="en-GB"/>
        </w:rPr>
        <w:t xml:space="preserve"> the large samp</w:t>
      </w:r>
      <w:r w:rsidR="004E26D3" w:rsidRPr="00293C29">
        <w:rPr>
          <w:lang w:val="en-GB"/>
        </w:rPr>
        <w:t>le size, which is needed for MR, and the</w:t>
      </w:r>
      <w:r w:rsidR="00815627" w:rsidRPr="00293C29">
        <w:rPr>
          <w:lang w:val="en-GB"/>
        </w:rPr>
        <w:t xml:space="preserve"> 6</w:t>
      </w:r>
      <w:r w:rsidR="004E26D3" w:rsidRPr="00293C29">
        <w:rPr>
          <w:lang w:val="en-GB"/>
        </w:rPr>
        <w:t>% variance</w:t>
      </w:r>
      <w:r w:rsidR="00815627" w:rsidRPr="00293C29">
        <w:rPr>
          <w:lang w:val="en-GB"/>
        </w:rPr>
        <w:t xml:space="preserve"> </w:t>
      </w:r>
      <w:r w:rsidR="004E26D3" w:rsidRPr="00293C29">
        <w:rPr>
          <w:lang w:val="en-GB"/>
        </w:rPr>
        <w:t xml:space="preserve">explained </w:t>
      </w:r>
      <w:r w:rsidR="00815627" w:rsidRPr="00293C29">
        <w:rPr>
          <w:lang w:val="en-GB"/>
        </w:rPr>
        <w:t xml:space="preserve">in age at menopause </w:t>
      </w:r>
      <w:r w:rsidR="004E26D3" w:rsidRPr="00293C29">
        <w:rPr>
          <w:lang w:val="en-GB"/>
        </w:rPr>
        <w:t xml:space="preserve">by the SNPs used in our MR, which </w:t>
      </w:r>
      <w:r w:rsidR="00815627" w:rsidRPr="00293C29">
        <w:rPr>
          <w:lang w:val="en-GB"/>
        </w:rPr>
        <w:t xml:space="preserve">is relatively high. </w:t>
      </w:r>
    </w:p>
    <w:p w14:paraId="51CA29F6" w14:textId="1AE89786" w:rsidR="00BE273D" w:rsidRDefault="00AF07CD" w:rsidP="00BE273D">
      <w:pPr>
        <w:spacing w:after="120"/>
        <w:jc w:val="both"/>
        <w:rPr>
          <w:lang w:val="en-GB"/>
        </w:rPr>
      </w:pPr>
      <w:r w:rsidRPr="00293C29">
        <w:rPr>
          <w:lang w:val="en-GB"/>
        </w:rPr>
        <w:t xml:space="preserve">In conclusion, </w:t>
      </w:r>
      <w:r w:rsidR="00C13AE5" w:rsidRPr="00293C29">
        <w:rPr>
          <w:lang w:val="en-GB"/>
        </w:rPr>
        <w:t xml:space="preserve">this </w:t>
      </w:r>
      <w:r w:rsidR="00F039DF" w:rsidRPr="00293C29">
        <w:rPr>
          <w:lang w:val="en-GB"/>
        </w:rPr>
        <w:t>MR</w:t>
      </w:r>
      <w:r w:rsidR="00C13AE5" w:rsidRPr="00293C29">
        <w:rPr>
          <w:lang w:val="en-GB"/>
        </w:rPr>
        <w:t xml:space="preserve"> </w:t>
      </w:r>
      <w:r w:rsidR="00EC6EF4" w:rsidRPr="00293C29">
        <w:rPr>
          <w:lang w:val="en-GB"/>
        </w:rPr>
        <w:t xml:space="preserve">study </w:t>
      </w:r>
      <w:r w:rsidRPr="00293C29">
        <w:rPr>
          <w:lang w:val="en-GB"/>
        </w:rPr>
        <w:t>suggest</w:t>
      </w:r>
      <w:r w:rsidR="00C13AE5" w:rsidRPr="00293C29">
        <w:rPr>
          <w:lang w:val="en-GB"/>
        </w:rPr>
        <w:t>s</w:t>
      </w:r>
      <w:r w:rsidRPr="00293C29">
        <w:rPr>
          <w:lang w:val="en-GB"/>
        </w:rPr>
        <w:t xml:space="preserve"> that</w:t>
      </w:r>
      <w:r w:rsidR="00C13AE5" w:rsidRPr="00293C29">
        <w:rPr>
          <w:lang w:val="en-GB"/>
        </w:rPr>
        <w:t xml:space="preserve"> the earlier a woman’s menopause</w:t>
      </w:r>
      <w:r w:rsidR="00DA57DF" w:rsidRPr="00293C29">
        <w:rPr>
          <w:lang w:val="en-GB"/>
        </w:rPr>
        <w:t>,</w:t>
      </w:r>
      <w:r w:rsidR="00C13AE5" w:rsidRPr="00293C29">
        <w:rPr>
          <w:lang w:val="en-GB"/>
        </w:rPr>
        <w:t xml:space="preserve"> the less likely she is to have airflow obstruction.</w:t>
      </w:r>
      <w:r w:rsidR="00415AC0" w:rsidRPr="00293C29">
        <w:rPr>
          <w:lang w:val="en-GB"/>
        </w:rPr>
        <w:t xml:space="preserve"> </w:t>
      </w:r>
      <w:r w:rsidR="008F67C2" w:rsidRPr="00293C29">
        <w:rPr>
          <w:lang w:val="en-GB"/>
        </w:rPr>
        <w:t>Future research is needed to further assess the effect of female sex hormones and the length of the reproductive period on lung function. In addition, o</w:t>
      </w:r>
      <w:r w:rsidR="00EC6EF4" w:rsidRPr="00293C29">
        <w:rPr>
          <w:lang w:val="en-GB"/>
        </w:rPr>
        <w:t xml:space="preserve">ur </w:t>
      </w:r>
      <w:r w:rsidR="00415AC0" w:rsidRPr="00293C29">
        <w:rPr>
          <w:lang w:val="en-GB"/>
        </w:rPr>
        <w:t xml:space="preserve">MR </w:t>
      </w:r>
      <w:r w:rsidR="00EC6EF4" w:rsidRPr="00293C29">
        <w:rPr>
          <w:lang w:val="en-GB"/>
        </w:rPr>
        <w:t xml:space="preserve">study </w:t>
      </w:r>
      <w:r w:rsidR="00415AC0" w:rsidRPr="00293C29">
        <w:rPr>
          <w:lang w:val="en-GB"/>
        </w:rPr>
        <w:t xml:space="preserve">could not confirm </w:t>
      </w:r>
      <w:r w:rsidR="00115A7F" w:rsidRPr="00293C29">
        <w:rPr>
          <w:lang w:val="en-GB"/>
        </w:rPr>
        <w:t>a</w:t>
      </w:r>
      <w:r w:rsidR="00F37358" w:rsidRPr="00293C29">
        <w:rPr>
          <w:lang w:val="en-GB"/>
        </w:rPr>
        <w:t xml:space="preserve"> </w:t>
      </w:r>
      <w:r w:rsidR="00415AC0" w:rsidRPr="00293C29">
        <w:rPr>
          <w:lang w:val="en-GB"/>
        </w:rPr>
        <w:t>strong effect of e</w:t>
      </w:r>
      <w:r w:rsidR="00C13AE5" w:rsidRPr="00293C29">
        <w:rPr>
          <w:lang w:val="en-GB"/>
        </w:rPr>
        <w:t xml:space="preserve">arly </w:t>
      </w:r>
      <w:r w:rsidRPr="00293C29">
        <w:rPr>
          <w:lang w:val="en-GB"/>
        </w:rPr>
        <w:t xml:space="preserve">menopause </w:t>
      </w:r>
      <w:r w:rsidR="00415AC0" w:rsidRPr="00293C29">
        <w:rPr>
          <w:lang w:val="en-GB"/>
        </w:rPr>
        <w:t>on</w:t>
      </w:r>
      <w:r w:rsidR="00C335C9" w:rsidRPr="00293C29">
        <w:rPr>
          <w:lang w:val="en-GB"/>
        </w:rPr>
        <w:t xml:space="preserve"> </w:t>
      </w:r>
      <w:r w:rsidR="00BC646B" w:rsidRPr="00293C29">
        <w:rPr>
          <w:lang w:val="en-GB"/>
        </w:rPr>
        <w:t>FVC</w:t>
      </w:r>
      <w:r w:rsidR="00C13AE5" w:rsidRPr="00293C29">
        <w:rPr>
          <w:lang w:val="en-GB"/>
        </w:rPr>
        <w:t xml:space="preserve"> </w:t>
      </w:r>
      <w:r w:rsidR="00F37358" w:rsidRPr="00293C29">
        <w:rPr>
          <w:lang w:val="en-GB"/>
        </w:rPr>
        <w:t xml:space="preserve">and </w:t>
      </w:r>
      <w:r w:rsidR="00C335C9" w:rsidRPr="00293C29">
        <w:rPr>
          <w:lang w:val="en-GB"/>
        </w:rPr>
        <w:t>spirometric restriction</w:t>
      </w:r>
      <w:r w:rsidR="008F67C2" w:rsidRPr="00293C29">
        <w:rPr>
          <w:lang w:val="en-GB"/>
        </w:rPr>
        <w:t xml:space="preserve"> as</w:t>
      </w:r>
      <w:r w:rsidR="00942AAD" w:rsidRPr="00293C29">
        <w:rPr>
          <w:lang w:val="en-GB"/>
        </w:rPr>
        <w:t xml:space="preserve"> found </w:t>
      </w:r>
      <w:r w:rsidR="00B67794" w:rsidRPr="00293C29">
        <w:rPr>
          <w:lang w:val="en-GB"/>
        </w:rPr>
        <w:t>in</w:t>
      </w:r>
      <w:r w:rsidR="00F37358" w:rsidRPr="00293C29">
        <w:rPr>
          <w:lang w:val="en-GB"/>
        </w:rPr>
        <w:t xml:space="preserve"> observational studies</w:t>
      </w:r>
      <w:r w:rsidR="006763BD" w:rsidRPr="00293C29">
        <w:rPr>
          <w:lang w:val="en-GB"/>
        </w:rPr>
        <w:t>,</w:t>
      </w:r>
      <w:r w:rsidR="008F67C2" w:rsidRPr="00293C29">
        <w:rPr>
          <w:lang w:val="en-GB"/>
        </w:rPr>
        <w:t xml:space="preserve"> and further work </w:t>
      </w:r>
      <w:r w:rsidR="00D328C0" w:rsidRPr="00293C29">
        <w:rPr>
          <w:lang w:val="en-GB"/>
        </w:rPr>
        <w:t>might explain</w:t>
      </w:r>
      <w:r w:rsidR="008F67C2" w:rsidRPr="00293C29">
        <w:rPr>
          <w:lang w:val="en-GB"/>
        </w:rPr>
        <w:t xml:space="preserve"> this inconsistency.</w:t>
      </w:r>
      <w:r w:rsidR="00BE273D">
        <w:rPr>
          <w:lang w:val="en-GB"/>
        </w:rPr>
        <w:br w:type="page"/>
      </w:r>
    </w:p>
    <w:p w14:paraId="4D94A998" w14:textId="44FA4F8A" w:rsidR="00CE1608" w:rsidRPr="00293C29" w:rsidRDefault="00CE1608" w:rsidP="00A87748">
      <w:pPr>
        <w:spacing w:after="120"/>
        <w:jc w:val="both"/>
        <w:rPr>
          <w:b/>
          <w:lang w:val="en-GB"/>
        </w:rPr>
      </w:pPr>
      <w:r w:rsidRPr="00293C29">
        <w:rPr>
          <w:b/>
          <w:lang w:val="en-GB"/>
        </w:rPr>
        <w:lastRenderedPageBreak/>
        <w:t>Financial support</w:t>
      </w:r>
    </w:p>
    <w:p w14:paraId="0394F16B" w14:textId="1DA87A23" w:rsidR="006E5785" w:rsidRPr="00293C29" w:rsidRDefault="00C420A5" w:rsidP="00A87748">
      <w:pPr>
        <w:spacing w:after="120"/>
        <w:jc w:val="both"/>
        <w:rPr>
          <w:lang w:val="en-GB"/>
        </w:rPr>
      </w:pPr>
      <w:r w:rsidRPr="00293C29">
        <w:rPr>
          <w:lang w:val="en-GB"/>
        </w:rPr>
        <w:t>The current study is part of the Ageing for Lungs in European Cohorts (ALEC) study (www.alecstudy.org), which has received funding from the European Union’s Horizon 2020 research and innovation programme under grant agreement No 633212.</w:t>
      </w:r>
      <w:r w:rsidRPr="00293C29">
        <w:rPr>
          <w:rFonts w:ascii="Calibri" w:eastAsia="Calibri" w:hAnsi="Calibri" w:cs="Times New Roman"/>
          <w:lang w:val="en-GB"/>
        </w:rPr>
        <w:t xml:space="preserve"> </w:t>
      </w:r>
      <w:r w:rsidRPr="00293C29">
        <w:rPr>
          <w:lang w:val="en-GB"/>
        </w:rPr>
        <w:t xml:space="preserve">This research has been conducted using the UK Biobank Resource under Application Number 19136, and we thank the participants, field workers, and data managers for their time and cooperation. </w:t>
      </w:r>
      <w:proofErr w:type="spellStart"/>
      <w:r w:rsidRPr="00293C29">
        <w:rPr>
          <w:lang w:val="en-GB"/>
        </w:rPr>
        <w:t>ISGlobal</w:t>
      </w:r>
      <w:proofErr w:type="spellEnd"/>
      <w:r w:rsidRPr="00293C29">
        <w:rPr>
          <w:lang w:val="en-GB"/>
        </w:rPr>
        <w:t xml:space="preserve"> is a member of the CERCA Programme, </w:t>
      </w:r>
      <w:proofErr w:type="spellStart"/>
      <w:r w:rsidRPr="00293C29">
        <w:rPr>
          <w:lang w:val="en-GB"/>
        </w:rPr>
        <w:t>Generalitat</w:t>
      </w:r>
      <w:proofErr w:type="spellEnd"/>
      <w:r w:rsidRPr="00293C29">
        <w:rPr>
          <w:lang w:val="en-GB"/>
        </w:rPr>
        <w:t xml:space="preserve"> de Catalunya.</w:t>
      </w:r>
      <w:r w:rsidR="006E5785" w:rsidRPr="00293C29">
        <w:rPr>
          <w:b/>
          <w:lang w:val="en-GB"/>
        </w:rPr>
        <w:br w:type="page"/>
      </w:r>
    </w:p>
    <w:p w14:paraId="3ABC5DFE" w14:textId="46BA2A32" w:rsidR="0016491A" w:rsidRDefault="007F29B8" w:rsidP="0016491A">
      <w:pPr>
        <w:widowControl w:val="0"/>
        <w:autoSpaceDE w:val="0"/>
        <w:autoSpaceDN w:val="0"/>
        <w:adjustRightInd w:val="0"/>
        <w:spacing w:after="120"/>
        <w:jc w:val="both"/>
        <w:rPr>
          <w:b/>
          <w:lang w:val="en-GB"/>
        </w:rPr>
      </w:pPr>
      <w:r w:rsidRPr="0016491A">
        <w:rPr>
          <w:b/>
          <w:lang w:val="en-GB"/>
        </w:rPr>
        <w:lastRenderedPageBreak/>
        <w:t xml:space="preserve">References </w:t>
      </w:r>
    </w:p>
    <w:p w14:paraId="4B5077AC" w14:textId="7144D56F" w:rsidR="00DA41F8" w:rsidRPr="00EB618A" w:rsidRDefault="0016491A" w:rsidP="00DA41F8">
      <w:pPr>
        <w:widowControl w:val="0"/>
        <w:autoSpaceDE w:val="0"/>
        <w:autoSpaceDN w:val="0"/>
        <w:adjustRightInd w:val="0"/>
        <w:spacing w:after="120"/>
        <w:ind w:left="640" w:hanging="640"/>
        <w:rPr>
          <w:rFonts w:ascii="Calibri" w:hAnsi="Calibri" w:cs="Calibri"/>
          <w:noProof/>
          <w:szCs w:val="24"/>
          <w:lang w:val="en-GB"/>
        </w:rPr>
      </w:pPr>
      <w:r>
        <w:rPr>
          <w:lang w:val="en-GB"/>
        </w:rPr>
        <w:fldChar w:fldCharType="begin" w:fldLock="1"/>
      </w:r>
      <w:r>
        <w:rPr>
          <w:lang w:val="en-GB"/>
        </w:rPr>
        <w:instrText xml:space="preserve">ADDIN Mendeley Bibliography CSL_BIBLIOGRAPHY </w:instrText>
      </w:r>
      <w:r>
        <w:rPr>
          <w:lang w:val="en-GB"/>
        </w:rPr>
        <w:fldChar w:fldCharType="separate"/>
      </w:r>
      <w:r w:rsidR="00DA41F8" w:rsidRPr="00EB618A">
        <w:rPr>
          <w:rFonts w:ascii="Calibri" w:hAnsi="Calibri" w:cs="Calibri"/>
          <w:noProof/>
          <w:szCs w:val="24"/>
          <w:lang w:val="en-GB"/>
        </w:rPr>
        <w:t xml:space="preserve">1. </w:t>
      </w:r>
      <w:r w:rsidR="00DA41F8" w:rsidRPr="00EB618A">
        <w:rPr>
          <w:rFonts w:ascii="Calibri" w:hAnsi="Calibri" w:cs="Calibri"/>
          <w:noProof/>
          <w:szCs w:val="24"/>
          <w:lang w:val="en-GB"/>
        </w:rPr>
        <w:tab/>
        <w:t xml:space="preserve">Sansores RH, Ramírez-Venegas A. COPD in women: susceptibility or vulnerability? </w:t>
      </w:r>
      <w:r w:rsidR="00DA41F8" w:rsidRPr="00EB618A">
        <w:rPr>
          <w:rFonts w:ascii="Calibri" w:hAnsi="Calibri" w:cs="Calibri"/>
          <w:i/>
          <w:iCs/>
          <w:noProof/>
          <w:szCs w:val="24"/>
          <w:lang w:val="en-GB"/>
        </w:rPr>
        <w:t>Eur. Respir. J.</w:t>
      </w:r>
      <w:r w:rsidR="00DA41F8" w:rsidRPr="00EB618A">
        <w:rPr>
          <w:rFonts w:ascii="Calibri" w:hAnsi="Calibri" w:cs="Calibri"/>
          <w:noProof/>
          <w:szCs w:val="24"/>
          <w:lang w:val="en-GB"/>
        </w:rPr>
        <w:t xml:space="preserve"> 2016; 47: 19 LP – 22.</w:t>
      </w:r>
    </w:p>
    <w:p w14:paraId="690BD34E"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2. </w:t>
      </w:r>
      <w:r w:rsidRPr="00EB618A">
        <w:rPr>
          <w:rFonts w:ascii="Calibri" w:hAnsi="Calibri" w:cs="Calibri"/>
          <w:noProof/>
          <w:szCs w:val="24"/>
          <w:lang w:val="en-GB"/>
        </w:rPr>
        <w:tab/>
        <w:t>Townsend EA, Miller VM, Prakash YS. Sex differences and sex steroids in lung health and disease. Endocr. Rev. 2012. p. 1–47.</w:t>
      </w:r>
    </w:p>
    <w:p w14:paraId="05B63EAA"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3. </w:t>
      </w:r>
      <w:r w:rsidRPr="00EB618A">
        <w:rPr>
          <w:rFonts w:ascii="Calibri" w:hAnsi="Calibri" w:cs="Calibri"/>
          <w:noProof/>
          <w:szCs w:val="24"/>
          <w:lang w:val="en-GB"/>
        </w:rPr>
        <w:tab/>
        <w:t xml:space="preserve">Dratva J, Gómez Real F, Schindler C, Ackermann-Liebrich U, Gerbase MW, Probst-Hensch NM, Svanes C, Omenaas ER, Neukirch F, Wjst M, Morabia A, Jarvis D, Leynaert B, Zemp E, Real FG, Schindler C, Ackermann-Liebrich U, Gerbase MW, Probst-Hensch NM, Svanes C, Omenaas ER, Neukirch F, Wjst M, Morabia A, Jarvis D, Leynaert B, Zemp E, Gómez Real F, Schindler C, Ackermann-Liebrich U, et al. Is age at menopause increasing across Europe? Results on age at menopause and determinants from two population-based studies. </w:t>
      </w:r>
      <w:r w:rsidRPr="00EB618A">
        <w:rPr>
          <w:rFonts w:ascii="Calibri" w:hAnsi="Calibri" w:cs="Calibri"/>
          <w:i/>
          <w:iCs/>
          <w:noProof/>
          <w:szCs w:val="24"/>
          <w:lang w:val="en-GB"/>
        </w:rPr>
        <w:t>Menopause</w:t>
      </w:r>
      <w:r w:rsidRPr="00EB618A">
        <w:rPr>
          <w:rFonts w:ascii="Calibri" w:hAnsi="Calibri" w:cs="Calibri"/>
          <w:noProof/>
          <w:szCs w:val="24"/>
          <w:lang w:val="en-GB"/>
        </w:rPr>
        <w:t xml:space="preserve"> 2009; 16: 385–394.</w:t>
      </w:r>
    </w:p>
    <w:p w14:paraId="3B8EC5BE"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4. </w:t>
      </w:r>
      <w:r w:rsidRPr="00EB618A">
        <w:rPr>
          <w:rFonts w:ascii="Calibri" w:hAnsi="Calibri" w:cs="Calibri"/>
          <w:noProof/>
          <w:szCs w:val="24"/>
          <w:lang w:val="en-GB"/>
        </w:rPr>
        <w:tab/>
        <w:t xml:space="preserve">Campbell B, Davis SR, Abramson MJ, Mishra G, Handelsman DJ, Perret JL, Dharmage SC. Menopause, lung function and obstructive lung disease outcomes: a systematic review. </w:t>
      </w:r>
      <w:r w:rsidRPr="00EB618A">
        <w:rPr>
          <w:rFonts w:ascii="Calibri" w:hAnsi="Calibri" w:cs="Calibri"/>
          <w:i/>
          <w:iCs/>
          <w:noProof/>
          <w:szCs w:val="24"/>
          <w:lang w:val="en-GB"/>
        </w:rPr>
        <w:t>Climacteric</w:t>
      </w:r>
      <w:r w:rsidRPr="00EB618A">
        <w:rPr>
          <w:rFonts w:ascii="Calibri" w:hAnsi="Calibri" w:cs="Calibri"/>
          <w:noProof/>
          <w:szCs w:val="24"/>
          <w:lang w:val="en-GB"/>
        </w:rPr>
        <w:t xml:space="preserve"> Taylor &amp; Francis; 2017; 21: 1–10.</w:t>
      </w:r>
    </w:p>
    <w:p w14:paraId="6F44D686"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5. </w:t>
      </w:r>
      <w:r w:rsidRPr="00EB618A">
        <w:rPr>
          <w:rFonts w:ascii="Calibri" w:hAnsi="Calibri" w:cs="Calibri"/>
          <w:noProof/>
          <w:szCs w:val="24"/>
          <w:lang w:val="en-GB"/>
        </w:rPr>
        <w:tab/>
        <w:t xml:space="preserve">Amaral AFS, Strachan DP, Real FG, Burney PGJ, Jarvis DL. Lower lung function associates with cessation of menstruation: UK Biobank data. </w:t>
      </w:r>
      <w:r w:rsidRPr="00EB618A">
        <w:rPr>
          <w:rFonts w:ascii="Calibri" w:hAnsi="Calibri" w:cs="Calibri"/>
          <w:i/>
          <w:iCs/>
          <w:noProof/>
          <w:szCs w:val="24"/>
          <w:lang w:val="en-GB"/>
        </w:rPr>
        <w:t>Eur. Respir. J.</w:t>
      </w:r>
      <w:r w:rsidRPr="00EB618A">
        <w:rPr>
          <w:rFonts w:ascii="Calibri" w:hAnsi="Calibri" w:cs="Calibri"/>
          <w:noProof/>
          <w:szCs w:val="24"/>
          <w:lang w:val="en-GB"/>
        </w:rPr>
        <w:t xml:space="preserve"> 2016; 48: 1288–1297.</w:t>
      </w:r>
    </w:p>
    <w:p w14:paraId="3EE6BDFA"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6. </w:t>
      </w:r>
      <w:r w:rsidRPr="00EB618A">
        <w:rPr>
          <w:rFonts w:ascii="Calibri" w:hAnsi="Calibri" w:cs="Calibri"/>
          <w:noProof/>
          <w:szCs w:val="24"/>
          <w:lang w:val="en-GB"/>
        </w:rPr>
        <w:tab/>
        <w:t xml:space="preserve">Sapre S, Thakur R. Lifestyle and dietary factors determine age at natural menopause. </w:t>
      </w:r>
      <w:r w:rsidRPr="00EB618A">
        <w:rPr>
          <w:rFonts w:ascii="Calibri" w:hAnsi="Calibri" w:cs="Calibri"/>
          <w:i/>
          <w:iCs/>
          <w:noProof/>
          <w:szCs w:val="24"/>
          <w:lang w:val="en-GB"/>
        </w:rPr>
        <w:t>J. Midlife. Health</w:t>
      </w:r>
      <w:r w:rsidRPr="00EB618A">
        <w:rPr>
          <w:rFonts w:ascii="Calibri" w:hAnsi="Calibri" w:cs="Calibri"/>
          <w:noProof/>
          <w:szCs w:val="24"/>
          <w:lang w:val="en-GB"/>
        </w:rPr>
        <w:t xml:space="preserve"> 2014; 5: 3.</w:t>
      </w:r>
    </w:p>
    <w:p w14:paraId="3512FDDB"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7. </w:t>
      </w:r>
      <w:r w:rsidRPr="00EB618A">
        <w:rPr>
          <w:rFonts w:ascii="Calibri" w:hAnsi="Calibri" w:cs="Calibri"/>
          <w:noProof/>
          <w:szCs w:val="24"/>
          <w:lang w:val="en-GB"/>
        </w:rPr>
        <w:tab/>
        <w:t xml:space="preserve">Ruth KS, Perry JRB, Henley WE, Melzer D, Weedon MN, Murray A. Events in Early Life are Associated with Female Reproductive Ageing: A UK Biobank Study. </w:t>
      </w:r>
      <w:r w:rsidRPr="00EB618A">
        <w:rPr>
          <w:rFonts w:ascii="Calibri" w:hAnsi="Calibri" w:cs="Calibri"/>
          <w:i/>
          <w:iCs/>
          <w:noProof/>
          <w:szCs w:val="24"/>
          <w:lang w:val="en-GB"/>
        </w:rPr>
        <w:t>Sci. Rep.</w:t>
      </w:r>
      <w:r w:rsidRPr="00EB618A">
        <w:rPr>
          <w:rFonts w:ascii="Calibri" w:hAnsi="Calibri" w:cs="Calibri"/>
          <w:noProof/>
          <w:szCs w:val="24"/>
          <w:lang w:val="en-GB"/>
        </w:rPr>
        <w:t xml:space="preserve"> 2016; 6: 24710.</w:t>
      </w:r>
    </w:p>
    <w:p w14:paraId="34A192D3"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8. </w:t>
      </w:r>
      <w:r w:rsidRPr="00EB618A">
        <w:rPr>
          <w:rFonts w:ascii="Calibri" w:hAnsi="Calibri" w:cs="Calibri"/>
          <w:noProof/>
          <w:szCs w:val="24"/>
          <w:lang w:val="en-GB"/>
        </w:rPr>
        <w:tab/>
        <w:t>Burgess S, Thompson SG. Mendelian Randomization: Methods for Using Genetic Variants in Causal Estimation. CRC Press; 2015.</w:t>
      </w:r>
    </w:p>
    <w:p w14:paraId="358A8171"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9. </w:t>
      </w:r>
      <w:r w:rsidRPr="00EB618A">
        <w:rPr>
          <w:rFonts w:ascii="Calibri" w:hAnsi="Calibri" w:cs="Calibri"/>
          <w:noProof/>
          <w:szCs w:val="24"/>
          <w:lang w:val="en-GB"/>
        </w:rPr>
        <w:tab/>
        <w:t xml:space="preserve">Sheehan NA, Didelez V, Burton PR, Tobin MD. Mendelian randomisation and causal inference in observational epidemiology. </w:t>
      </w:r>
      <w:r w:rsidRPr="00EB618A">
        <w:rPr>
          <w:rFonts w:ascii="Calibri" w:hAnsi="Calibri" w:cs="Calibri"/>
          <w:i/>
          <w:iCs/>
          <w:noProof/>
          <w:szCs w:val="24"/>
          <w:lang w:val="en-GB"/>
        </w:rPr>
        <w:t>PLoS Med.</w:t>
      </w:r>
      <w:r w:rsidRPr="00EB618A">
        <w:rPr>
          <w:rFonts w:ascii="Calibri" w:hAnsi="Calibri" w:cs="Calibri"/>
          <w:noProof/>
          <w:szCs w:val="24"/>
          <w:lang w:val="en-GB"/>
        </w:rPr>
        <w:t xml:space="preserve"> Public Library of Science; 2008; 5: 1205–1210.</w:t>
      </w:r>
    </w:p>
    <w:p w14:paraId="1D94AF42"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10. </w:t>
      </w:r>
      <w:r w:rsidRPr="00EB618A">
        <w:rPr>
          <w:rFonts w:ascii="Calibri" w:hAnsi="Calibri" w:cs="Calibri"/>
          <w:noProof/>
          <w:szCs w:val="24"/>
          <w:lang w:val="en-GB"/>
        </w:rPr>
        <w:tab/>
        <w:t xml:space="preserve">Bowden J, Del Greco M F, Minelli C, Davey Smith G, Sheehan N, Thompson J. A framework for the investigation of pleiotropy in two-sample summary data Mendelian randomization. </w:t>
      </w:r>
      <w:r w:rsidRPr="00EB618A">
        <w:rPr>
          <w:rFonts w:ascii="Calibri" w:hAnsi="Calibri" w:cs="Calibri"/>
          <w:i/>
          <w:iCs/>
          <w:noProof/>
          <w:szCs w:val="24"/>
          <w:lang w:val="en-GB"/>
        </w:rPr>
        <w:t>Stat. Med.</w:t>
      </w:r>
      <w:r w:rsidRPr="00EB618A">
        <w:rPr>
          <w:rFonts w:ascii="Calibri" w:hAnsi="Calibri" w:cs="Calibri"/>
          <w:noProof/>
          <w:szCs w:val="24"/>
          <w:lang w:val="en-GB"/>
        </w:rPr>
        <w:t xml:space="preserve"> 2017; 36: 1783–1802.</w:t>
      </w:r>
    </w:p>
    <w:p w14:paraId="6C143D55"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11. </w:t>
      </w:r>
      <w:r w:rsidRPr="00EB618A">
        <w:rPr>
          <w:rFonts w:ascii="Calibri" w:hAnsi="Calibri" w:cs="Calibri"/>
          <w:noProof/>
          <w:szCs w:val="24"/>
          <w:lang w:val="en-GB"/>
        </w:rPr>
        <w:tab/>
        <w:t xml:space="preserve">Sudlow C, Gallacher J, Allen N, Beral V, Burton P, Danesh J, Downey P, Elliott P, Green J, Landray M, Liu B, Matthews P, Ong G, Pell J, Silman A, Young A, Sprosen T, Peakman T, Collins R. UK Biobank: An Open Access Resource for Identifying the Causes of a Wide Range of </w:t>
      </w:r>
      <w:r w:rsidRPr="00EB618A">
        <w:rPr>
          <w:rFonts w:ascii="Calibri" w:hAnsi="Calibri" w:cs="Calibri"/>
          <w:noProof/>
          <w:szCs w:val="24"/>
          <w:lang w:val="en-GB"/>
        </w:rPr>
        <w:lastRenderedPageBreak/>
        <w:t xml:space="preserve">Complex Diseases of Middle and Old Age. </w:t>
      </w:r>
      <w:r w:rsidRPr="00EB618A">
        <w:rPr>
          <w:rFonts w:ascii="Calibri" w:hAnsi="Calibri" w:cs="Calibri"/>
          <w:i/>
          <w:iCs/>
          <w:noProof/>
          <w:szCs w:val="24"/>
          <w:lang w:val="en-GB"/>
        </w:rPr>
        <w:t>PLOS Med.</w:t>
      </w:r>
      <w:r w:rsidRPr="00EB618A">
        <w:rPr>
          <w:rFonts w:ascii="Calibri" w:hAnsi="Calibri" w:cs="Calibri"/>
          <w:noProof/>
          <w:szCs w:val="24"/>
          <w:lang w:val="en-GB"/>
        </w:rPr>
        <w:t xml:space="preserve"> 2015; 12: e1001779.</w:t>
      </w:r>
    </w:p>
    <w:p w14:paraId="5F81D539" w14:textId="527C160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12. </w:t>
      </w:r>
      <w:r w:rsidRPr="00EB618A">
        <w:rPr>
          <w:rFonts w:ascii="Calibri" w:hAnsi="Calibri" w:cs="Calibri"/>
          <w:noProof/>
          <w:szCs w:val="24"/>
          <w:lang w:val="en-GB"/>
        </w:rPr>
        <w:tab/>
        <w:t xml:space="preserve">Quanjer PH, Stanojevic S, Cole TJ, Baur X, Hall GL, Culver BH, Enright PL, Hankinson JL, Ip MS, Zheng J, Stocks J, Initiative ERSGLF. Multi-ethnic reference values for spirometry for the 3-95-yr age range: the global lung function 2012 equations. </w:t>
      </w:r>
      <w:r w:rsidRPr="00EB618A">
        <w:rPr>
          <w:rFonts w:ascii="Calibri" w:hAnsi="Calibri" w:cs="Calibri"/>
          <w:i/>
          <w:iCs/>
          <w:noProof/>
          <w:szCs w:val="24"/>
          <w:lang w:val="en-GB"/>
        </w:rPr>
        <w:t>Eur. Respir. J.</w:t>
      </w:r>
      <w:r w:rsidRPr="00EB618A">
        <w:rPr>
          <w:rFonts w:ascii="Calibri" w:hAnsi="Calibri" w:cs="Calibri"/>
          <w:noProof/>
          <w:szCs w:val="24"/>
          <w:lang w:val="en-GB"/>
        </w:rPr>
        <w:t xml:space="preserve"> Dept of Pulmonary Diseases and Dept of Paediatrics, Erasmus Medical Centre, Erasmus University, Rotterdam, the Netherlands.; 2012; 40: 1324–1343.</w:t>
      </w:r>
    </w:p>
    <w:p w14:paraId="12DDC28D"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13. </w:t>
      </w:r>
      <w:r w:rsidRPr="00EB618A">
        <w:rPr>
          <w:rFonts w:ascii="Calibri" w:hAnsi="Calibri" w:cs="Calibri"/>
          <w:noProof/>
          <w:szCs w:val="24"/>
          <w:lang w:val="en-GB"/>
        </w:rPr>
        <w:tab/>
        <w:t xml:space="preserve">Stolk L, Zhai G, van Meurs JBJ, Verbiest MMPJ, Visser JA, Estrada K, Rivadeneira F, Williams FM, Cherkas L, Deloukas P, Soranzo N, de Keyzer JJ, Pop VJM, Lips P, Lebrun CEI, van der Schouw YT, Grobbee DE, Witteman J, Hofman A, Pols HAP, Laven JSE, Spector TD, Uitterlinden AG. Loci at chromosomes 13, 19 and 20 influence age at natural menopause. </w:t>
      </w:r>
      <w:r w:rsidRPr="00EB618A">
        <w:rPr>
          <w:rFonts w:ascii="Calibri" w:hAnsi="Calibri" w:cs="Calibri"/>
          <w:i/>
          <w:iCs/>
          <w:noProof/>
          <w:szCs w:val="24"/>
          <w:lang w:val="en-GB"/>
        </w:rPr>
        <w:t>Nat. Genet.</w:t>
      </w:r>
      <w:r w:rsidRPr="00EB618A">
        <w:rPr>
          <w:rFonts w:ascii="Calibri" w:hAnsi="Calibri" w:cs="Calibri"/>
          <w:noProof/>
          <w:szCs w:val="24"/>
          <w:lang w:val="en-GB"/>
        </w:rPr>
        <w:t xml:space="preserve"> 2009; 41: 645–647.</w:t>
      </w:r>
    </w:p>
    <w:p w14:paraId="607D62B4"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14. </w:t>
      </w:r>
      <w:r w:rsidRPr="00EB618A">
        <w:rPr>
          <w:rFonts w:ascii="Calibri" w:hAnsi="Calibri" w:cs="Calibri"/>
          <w:noProof/>
          <w:szCs w:val="24"/>
          <w:lang w:val="en-GB"/>
        </w:rPr>
        <w:tab/>
        <w:t xml:space="preserve">Stolk L, Perry JRB, Chasman DI, He C, Mangino M, Sulem P, Barbalic M, Broer L, Byrne EM, Ernst F, Esko T, Franceschini N, Gudbjartsson DF, Hottenga J-J, Kraft P, McArdle PF, Porcu E, Shin S-Y, Smith A V, van Wingerden S, Zhai G, Zhuang W V, Albrecht E, Alizadeh BZ, Aspelund T, Bandinelli S, Lauc LB, Beckmann JS, Boban M, Boerwinkle E, et al. Meta-analyses identify 13 loci associated with age at menopause and highlight DNA repair and immune pathways. </w:t>
      </w:r>
      <w:r w:rsidRPr="00EB618A">
        <w:rPr>
          <w:rFonts w:ascii="Calibri" w:hAnsi="Calibri" w:cs="Calibri"/>
          <w:i/>
          <w:iCs/>
          <w:noProof/>
          <w:szCs w:val="24"/>
          <w:lang w:val="en-GB"/>
        </w:rPr>
        <w:t>Nat. Genet.</w:t>
      </w:r>
      <w:r w:rsidRPr="00EB618A">
        <w:rPr>
          <w:rFonts w:ascii="Calibri" w:hAnsi="Calibri" w:cs="Calibri"/>
          <w:noProof/>
          <w:szCs w:val="24"/>
          <w:lang w:val="en-GB"/>
        </w:rPr>
        <w:t xml:space="preserve"> 2012; 44: 260–268.</w:t>
      </w:r>
    </w:p>
    <w:p w14:paraId="4540782B"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15. </w:t>
      </w:r>
      <w:r w:rsidRPr="00EB618A">
        <w:rPr>
          <w:rFonts w:ascii="Calibri" w:hAnsi="Calibri" w:cs="Calibri"/>
          <w:noProof/>
          <w:szCs w:val="24"/>
          <w:lang w:val="en-GB"/>
        </w:rPr>
        <w:tab/>
        <w:t xml:space="preserve">He C, Kraft P, Chen C, Buring JE, Paré G, Hankinson SE, Chanock SJ, Ridker PM, Hunter DJ, Chasman DI. Genome-wide association studies identify loci associated with age at menarche and age at natural menopause. </w:t>
      </w:r>
      <w:r w:rsidRPr="00EB618A">
        <w:rPr>
          <w:rFonts w:ascii="Calibri" w:hAnsi="Calibri" w:cs="Calibri"/>
          <w:i/>
          <w:iCs/>
          <w:noProof/>
          <w:szCs w:val="24"/>
          <w:lang w:val="en-GB"/>
        </w:rPr>
        <w:t>Nat. Genet.</w:t>
      </w:r>
      <w:r w:rsidRPr="00EB618A">
        <w:rPr>
          <w:rFonts w:ascii="Calibri" w:hAnsi="Calibri" w:cs="Calibri"/>
          <w:noProof/>
          <w:szCs w:val="24"/>
          <w:lang w:val="en-GB"/>
        </w:rPr>
        <w:t xml:space="preserve"> 2009; 41: 724–728.</w:t>
      </w:r>
    </w:p>
    <w:p w14:paraId="554EEF39"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16. </w:t>
      </w:r>
      <w:r w:rsidRPr="00EB618A">
        <w:rPr>
          <w:rFonts w:ascii="Calibri" w:hAnsi="Calibri" w:cs="Calibri"/>
          <w:noProof/>
          <w:szCs w:val="24"/>
          <w:lang w:val="en-GB"/>
        </w:rPr>
        <w:tab/>
        <w:t xml:space="preserve">Lunetta KL, D’Agostino RB, Karasik D, Benjamin EJ, Guo C-Y, Govindaraju R, Kiel DP, Kelly-Hayes M, Massaro JM, Pencina MJ, Seshadri S, Murabito JM. Genetic correlates of longevity and selected age-related phenotypes: a genome-wide association study in the Framingham Study. </w:t>
      </w:r>
      <w:r w:rsidRPr="00EB618A">
        <w:rPr>
          <w:rFonts w:ascii="Calibri" w:hAnsi="Calibri" w:cs="Calibri"/>
          <w:i/>
          <w:iCs/>
          <w:noProof/>
          <w:szCs w:val="24"/>
          <w:lang w:val="en-GB"/>
        </w:rPr>
        <w:t>BMC Med. Genet.</w:t>
      </w:r>
      <w:r w:rsidRPr="00EB618A">
        <w:rPr>
          <w:rFonts w:ascii="Calibri" w:hAnsi="Calibri" w:cs="Calibri"/>
          <w:noProof/>
          <w:szCs w:val="24"/>
          <w:lang w:val="en-GB"/>
        </w:rPr>
        <w:t xml:space="preserve"> 2007; 8: S13.</w:t>
      </w:r>
    </w:p>
    <w:p w14:paraId="503C433C"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17. </w:t>
      </w:r>
      <w:r w:rsidRPr="00EB618A">
        <w:rPr>
          <w:rFonts w:ascii="Calibri" w:hAnsi="Calibri" w:cs="Calibri"/>
          <w:noProof/>
          <w:szCs w:val="24"/>
          <w:lang w:val="en-GB"/>
        </w:rPr>
        <w:tab/>
        <w:t xml:space="preserve">Perry JRB, Corre T, Esko T, Chasman DI, Fischer K, Franceschini N, He C, Kutalik Z, Mangino M, Rose LM, Vernon smith A, Stolk L, Sulem P, Weedon MN, Zhuang W V., Arnold A, Ashworth A, Bergmann S, Buring JE, Burri A, Chen C, Cornelis MC, Couper DJ, Goodarzi MO, Gudnason V, Harris T, Hofman A, Jones M, Kraft P, Launer L, et al. A genome-wide association study of early menopause and the combined impact of identified variants. </w:t>
      </w:r>
      <w:r w:rsidRPr="00EB618A">
        <w:rPr>
          <w:rFonts w:ascii="Calibri" w:hAnsi="Calibri" w:cs="Calibri"/>
          <w:i/>
          <w:iCs/>
          <w:noProof/>
          <w:szCs w:val="24"/>
          <w:lang w:val="en-GB"/>
        </w:rPr>
        <w:t>Hum. Mol. Genet.</w:t>
      </w:r>
      <w:r w:rsidRPr="00EB618A">
        <w:rPr>
          <w:rFonts w:ascii="Calibri" w:hAnsi="Calibri" w:cs="Calibri"/>
          <w:noProof/>
          <w:szCs w:val="24"/>
          <w:lang w:val="en-GB"/>
        </w:rPr>
        <w:t xml:space="preserve"> 2013; 22: 1465–1472.</w:t>
      </w:r>
    </w:p>
    <w:p w14:paraId="32EC335C"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18. </w:t>
      </w:r>
      <w:r w:rsidRPr="00EB618A">
        <w:rPr>
          <w:rFonts w:ascii="Calibri" w:hAnsi="Calibri" w:cs="Calibri"/>
          <w:noProof/>
          <w:szCs w:val="24"/>
          <w:lang w:val="en-GB"/>
        </w:rPr>
        <w:tab/>
        <w:t xml:space="preserve">Day F, Ruth K, Thompson D. Large-scale genomic analyses link reproductive aging to hypothalamic signaling, breast cancer susceptibility and BRCA1-mediated DNA repair. </w:t>
      </w:r>
      <w:r w:rsidRPr="00EB618A">
        <w:rPr>
          <w:rFonts w:ascii="Calibri" w:hAnsi="Calibri" w:cs="Calibri"/>
          <w:i/>
          <w:iCs/>
          <w:noProof/>
          <w:szCs w:val="24"/>
          <w:lang w:val="en-GB"/>
        </w:rPr>
        <w:t>Nat. Genet.</w:t>
      </w:r>
      <w:r w:rsidRPr="00EB618A">
        <w:rPr>
          <w:rFonts w:ascii="Calibri" w:hAnsi="Calibri" w:cs="Calibri"/>
          <w:noProof/>
          <w:szCs w:val="24"/>
          <w:lang w:val="en-GB"/>
        </w:rPr>
        <w:t xml:space="preserve"> 2015; 47: 1294–1303.</w:t>
      </w:r>
    </w:p>
    <w:p w14:paraId="2A7B0CBE"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lastRenderedPageBreak/>
        <w:t xml:space="preserve">19. </w:t>
      </w:r>
      <w:r w:rsidRPr="00EB618A">
        <w:rPr>
          <w:rFonts w:ascii="Calibri" w:hAnsi="Calibri" w:cs="Calibri"/>
          <w:noProof/>
          <w:szCs w:val="24"/>
          <w:lang w:val="en-GB"/>
        </w:rPr>
        <w:tab/>
        <w:t xml:space="preserve">Burgess S, Butterworth A, Thompson SG. Mendelian randomization analysis with multiple genetic variants using summarized data. </w:t>
      </w:r>
      <w:r w:rsidRPr="00EB618A">
        <w:rPr>
          <w:rFonts w:ascii="Calibri" w:hAnsi="Calibri" w:cs="Calibri"/>
          <w:i/>
          <w:iCs/>
          <w:noProof/>
          <w:szCs w:val="24"/>
          <w:lang w:val="en-GB"/>
        </w:rPr>
        <w:t>Genet. Epidemiol.</w:t>
      </w:r>
      <w:r w:rsidRPr="00EB618A">
        <w:rPr>
          <w:rFonts w:ascii="Calibri" w:hAnsi="Calibri" w:cs="Calibri"/>
          <w:noProof/>
          <w:szCs w:val="24"/>
          <w:lang w:val="en-GB"/>
        </w:rPr>
        <w:t xml:space="preserve"> 2013; 37: 658–665.</w:t>
      </w:r>
    </w:p>
    <w:p w14:paraId="4DA490F7"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20. </w:t>
      </w:r>
      <w:r w:rsidRPr="00EB618A">
        <w:rPr>
          <w:rFonts w:ascii="Calibri" w:hAnsi="Calibri" w:cs="Calibri"/>
          <w:noProof/>
          <w:szCs w:val="24"/>
          <w:lang w:val="en-GB"/>
        </w:rPr>
        <w:tab/>
        <w:t xml:space="preserve">Thompson JR, Minelli C, Del Greco M F. Mendelian Randomization using Public Data from Genetic Consortia. </w:t>
      </w:r>
      <w:r w:rsidRPr="00EB618A">
        <w:rPr>
          <w:rFonts w:ascii="Calibri" w:hAnsi="Calibri" w:cs="Calibri"/>
          <w:i/>
          <w:iCs/>
          <w:noProof/>
          <w:szCs w:val="24"/>
          <w:lang w:val="en-GB"/>
        </w:rPr>
        <w:t>Int. J. Biostat.</w:t>
      </w:r>
      <w:r w:rsidRPr="00EB618A">
        <w:rPr>
          <w:rFonts w:ascii="Calibri" w:hAnsi="Calibri" w:cs="Calibri"/>
          <w:noProof/>
          <w:szCs w:val="24"/>
          <w:lang w:val="en-GB"/>
        </w:rPr>
        <w:t xml:space="preserve"> 2016; 12.</w:t>
      </w:r>
    </w:p>
    <w:p w14:paraId="3D5A398F"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21. </w:t>
      </w:r>
      <w:r w:rsidRPr="00EB618A">
        <w:rPr>
          <w:rFonts w:ascii="Calibri" w:hAnsi="Calibri" w:cs="Calibri"/>
          <w:noProof/>
          <w:szCs w:val="24"/>
          <w:lang w:val="en-GB"/>
        </w:rPr>
        <w:tab/>
        <w:t xml:space="preserve">Yavorska OO, Burgess S. MendelianRandomization: An R package for performing Mendelian randomization analyses using summarized data. </w:t>
      </w:r>
      <w:r w:rsidRPr="00EB618A">
        <w:rPr>
          <w:rFonts w:ascii="Calibri" w:hAnsi="Calibri" w:cs="Calibri"/>
          <w:i/>
          <w:iCs/>
          <w:noProof/>
          <w:szCs w:val="24"/>
          <w:lang w:val="en-GB"/>
        </w:rPr>
        <w:t>Int. J. Epidemiol.</w:t>
      </w:r>
      <w:r w:rsidRPr="00EB618A">
        <w:rPr>
          <w:rFonts w:ascii="Calibri" w:hAnsi="Calibri" w:cs="Calibri"/>
          <w:noProof/>
          <w:szCs w:val="24"/>
          <w:lang w:val="en-GB"/>
        </w:rPr>
        <w:t xml:space="preserve"> 2017; 46: 1734–1739.</w:t>
      </w:r>
    </w:p>
    <w:p w14:paraId="495EF705"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22. </w:t>
      </w:r>
      <w:r w:rsidRPr="00EB618A">
        <w:rPr>
          <w:rFonts w:ascii="Calibri" w:hAnsi="Calibri" w:cs="Calibri"/>
          <w:noProof/>
          <w:szCs w:val="24"/>
          <w:lang w:val="en-GB"/>
        </w:rPr>
        <w:tab/>
        <w:t xml:space="preserve">Greco M F Del, Minelli C, Sheehan NA, Thompson JR. Detecting pleiotropy in Mendelian randomisation studies with summary data and a continuous outcome. </w:t>
      </w:r>
      <w:r w:rsidRPr="00EB618A">
        <w:rPr>
          <w:rFonts w:ascii="Calibri" w:hAnsi="Calibri" w:cs="Calibri"/>
          <w:i/>
          <w:iCs/>
          <w:noProof/>
          <w:szCs w:val="24"/>
          <w:lang w:val="en-GB"/>
        </w:rPr>
        <w:t>Stat. Med.</w:t>
      </w:r>
      <w:r w:rsidRPr="00EB618A">
        <w:rPr>
          <w:rFonts w:ascii="Calibri" w:hAnsi="Calibri" w:cs="Calibri"/>
          <w:noProof/>
          <w:szCs w:val="24"/>
          <w:lang w:val="en-GB"/>
        </w:rPr>
        <w:t xml:space="preserve"> 2015; 34: 2926–2940.</w:t>
      </w:r>
    </w:p>
    <w:p w14:paraId="5B374D03"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23. </w:t>
      </w:r>
      <w:r w:rsidRPr="00EB618A">
        <w:rPr>
          <w:rFonts w:ascii="Calibri" w:hAnsi="Calibri" w:cs="Calibri"/>
          <w:noProof/>
          <w:szCs w:val="24"/>
          <w:lang w:val="en-GB"/>
        </w:rPr>
        <w:tab/>
        <w:t xml:space="preserve">Bowden J, Davey Smith G, Haycock PC, Burgess S. Consistent Estimation in Mendelian Randomization with Some Invalid Instruments Using a Weighted Median Estimator. </w:t>
      </w:r>
      <w:r w:rsidRPr="00EB618A">
        <w:rPr>
          <w:rFonts w:ascii="Calibri" w:hAnsi="Calibri" w:cs="Calibri"/>
          <w:i/>
          <w:iCs/>
          <w:noProof/>
          <w:szCs w:val="24"/>
          <w:lang w:val="en-GB"/>
        </w:rPr>
        <w:t>Genet. Epidemiol.</w:t>
      </w:r>
      <w:r w:rsidRPr="00EB618A">
        <w:rPr>
          <w:rFonts w:ascii="Calibri" w:hAnsi="Calibri" w:cs="Calibri"/>
          <w:noProof/>
          <w:szCs w:val="24"/>
          <w:lang w:val="en-GB"/>
        </w:rPr>
        <w:t xml:space="preserve"> 2016; 40: 304–314.</w:t>
      </w:r>
    </w:p>
    <w:p w14:paraId="73924FE4"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24. </w:t>
      </w:r>
      <w:r w:rsidRPr="00EB618A">
        <w:rPr>
          <w:rFonts w:ascii="Calibri" w:hAnsi="Calibri" w:cs="Calibri"/>
          <w:noProof/>
          <w:szCs w:val="24"/>
          <w:lang w:val="en-GB"/>
        </w:rPr>
        <w:tab/>
        <w:t xml:space="preserve">Bowden J, Smith GD, Burgess S. Mendelian randomization with invalid instruments: Effect estimation and bias detection through Egger regression. </w:t>
      </w:r>
      <w:r w:rsidRPr="00EB618A">
        <w:rPr>
          <w:rFonts w:ascii="Calibri" w:hAnsi="Calibri" w:cs="Calibri"/>
          <w:i/>
          <w:iCs/>
          <w:noProof/>
          <w:szCs w:val="24"/>
          <w:lang w:val="en-GB"/>
        </w:rPr>
        <w:t>Int. J. Epidemiol.</w:t>
      </w:r>
      <w:r w:rsidRPr="00EB618A">
        <w:rPr>
          <w:rFonts w:ascii="Calibri" w:hAnsi="Calibri" w:cs="Calibri"/>
          <w:noProof/>
          <w:szCs w:val="24"/>
          <w:lang w:val="en-GB"/>
        </w:rPr>
        <w:t xml:space="preserve"> 2015; 44: 512–525.</w:t>
      </w:r>
    </w:p>
    <w:p w14:paraId="4F0FDBEF"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25. </w:t>
      </w:r>
      <w:r w:rsidRPr="00EB618A">
        <w:rPr>
          <w:rFonts w:ascii="Calibri" w:hAnsi="Calibri" w:cs="Calibri"/>
          <w:noProof/>
          <w:szCs w:val="24"/>
          <w:lang w:val="en-GB"/>
        </w:rPr>
        <w:tab/>
        <w:t xml:space="preserve">Verbanck M, Chen CY, Neale B, Do R. Detection of widespread horizontal pleiotropy in causal relationships inferred from Mendelian randomization between complex traits and diseases. </w:t>
      </w:r>
      <w:r w:rsidRPr="00EB618A">
        <w:rPr>
          <w:rFonts w:ascii="Calibri" w:hAnsi="Calibri" w:cs="Calibri"/>
          <w:i/>
          <w:iCs/>
          <w:noProof/>
          <w:szCs w:val="24"/>
          <w:lang w:val="en-GB"/>
        </w:rPr>
        <w:t>Nat. Genet.</w:t>
      </w:r>
      <w:r w:rsidRPr="00EB618A">
        <w:rPr>
          <w:rFonts w:ascii="Calibri" w:hAnsi="Calibri" w:cs="Calibri"/>
          <w:noProof/>
          <w:szCs w:val="24"/>
          <w:lang w:val="en-GB"/>
        </w:rPr>
        <w:t xml:space="preserve"> 2018; 50: 693–698.</w:t>
      </w:r>
    </w:p>
    <w:p w14:paraId="2E752E47"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26. </w:t>
      </w:r>
      <w:r w:rsidRPr="00EB618A">
        <w:rPr>
          <w:rFonts w:ascii="Calibri" w:hAnsi="Calibri" w:cs="Calibri"/>
          <w:noProof/>
          <w:szCs w:val="24"/>
          <w:lang w:val="en-GB"/>
        </w:rPr>
        <w:tab/>
        <w:t xml:space="preserve">Staley JR, Blackshaw J, Kamat MA, Ellis S, Surendran P, Sun BB, Paul DS, Freitag D, Burgess S, Danesh J, Young R, Butterworth AS. PhenoScanner: a database of human genotype–phenotype associations. </w:t>
      </w:r>
      <w:r w:rsidRPr="00EB618A">
        <w:rPr>
          <w:rFonts w:ascii="Calibri" w:hAnsi="Calibri" w:cs="Calibri"/>
          <w:i/>
          <w:iCs/>
          <w:noProof/>
          <w:szCs w:val="24"/>
          <w:lang w:val="en-GB"/>
        </w:rPr>
        <w:t>Bioinformatics</w:t>
      </w:r>
      <w:r w:rsidRPr="00EB618A">
        <w:rPr>
          <w:rFonts w:ascii="Calibri" w:hAnsi="Calibri" w:cs="Calibri"/>
          <w:noProof/>
          <w:szCs w:val="24"/>
          <w:lang w:val="en-GB"/>
        </w:rPr>
        <w:t xml:space="preserve"> 2016; 32: 3207–3209.</w:t>
      </w:r>
    </w:p>
    <w:p w14:paraId="607D1416"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27. </w:t>
      </w:r>
      <w:r w:rsidRPr="00EB618A">
        <w:rPr>
          <w:rFonts w:ascii="Calibri" w:hAnsi="Calibri" w:cs="Calibri"/>
          <w:noProof/>
          <w:szCs w:val="24"/>
          <w:lang w:val="en-GB"/>
        </w:rPr>
        <w:tab/>
        <w:t xml:space="preserve">Palmer TM, Sterne JAC, Harbord RM, Lawlor DA, Sheehan NA, Meng S, Granell R, Smith GD, Didelez V. Instrumental variable estimation of causal risk ratios and causal odds ratios in mendelian randomization analyses. </w:t>
      </w:r>
      <w:r w:rsidRPr="00EB618A">
        <w:rPr>
          <w:rFonts w:ascii="Calibri" w:hAnsi="Calibri" w:cs="Calibri"/>
          <w:i/>
          <w:iCs/>
          <w:noProof/>
          <w:szCs w:val="24"/>
          <w:lang w:val="en-GB"/>
        </w:rPr>
        <w:t>Am. J. Epidemiol.</w:t>
      </w:r>
      <w:r w:rsidRPr="00EB618A">
        <w:rPr>
          <w:rFonts w:ascii="Calibri" w:hAnsi="Calibri" w:cs="Calibri"/>
          <w:noProof/>
          <w:szCs w:val="24"/>
          <w:lang w:val="en-GB"/>
        </w:rPr>
        <w:t xml:space="preserve"> 2011; 173: 1392–1403.</w:t>
      </w:r>
    </w:p>
    <w:p w14:paraId="397875F8"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28. </w:t>
      </w:r>
      <w:r w:rsidRPr="00EB618A">
        <w:rPr>
          <w:rFonts w:ascii="Calibri" w:hAnsi="Calibri" w:cs="Calibri"/>
          <w:noProof/>
          <w:szCs w:val="24"/>
          <w:lang w:val="en-GB"/>
        </w:rPr>
        <w:tab/>
        <w:t xml:space="preserve">Amaral AFS, Strachan DP, Burney PGJ, Jarvis DL. Female smokers are at greater risk of airflow obstruction than male smokers UK Biobank. </w:t>
      </w:r>
      <w:r w:rsidRPr="00EB618A">
        <w:rPr>
          <w:rFonts w:ascii="Calibri" w:hAnsi="Calibri" w:cs="Calibri"/>
          <w:i/>
          <w:iCs/>
          <w:noProof/>
          <w:szCs w:val="24"/>
          <w:lang w:val="en-GB"/>
        </w:rPr>
        <w:t>Am. J. Respir. Crit. Care Med.</w:t>
      </w:r>
      <w:r w:rsidRPr="00EB618A">
        <w:rPr>
          <w:rFonts w:ascii="Calibri" w:hAnsi="Calibri" w:cs="Calibri"/>
          <w:noProof/>
          <w:szCs w:val="24"/>
          <w:lang w:val="en-GB"/>
        </w:rPr>
        <w:t xml:space="preserve"> 2017; 195: 1226–1235.</w:t>
      </w:r>
    </w:p>
    <w:p w14:paraId="5D528D19"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29. </w:t>
      </w:r>
      <w:r w:rsidRPr="00EB618A">
        <w:rPr>
          <w:rFonts w:ascii="Calibri" w:hAnsi="Calibri" w:cs="Calibri"/>
          <w:noProof/>
          <w:szCs w:val="24"/>
          <w:lang w:val="en-GB"/>
        </w:rPr>
        <w:tab/>
        <w:t xml:space="preserve">Tam A, Bates JHT, Churg A, Wright JL, Man SFP, Sin DD. Sex-related differences in pulmonary function following 6 months of cigarette exposure: Implications for sexual dimorphism in mild COPD. </w:t>
      </w:r>
      <w:r w:rsidRPr="00EB618A">
        <w:rPr>
          <w:rFonts w:ascii="Calibri" w:hAnsi="Calibri" w:cs="Calibri"/>
          <w:i/>
          <w:iCs/>
          <w:noProof/>
          <w:szCs w:val="24"/>
          <w:lang w:val="en-GB"/>
        </w:rPr>
        <w:t>PLoS One</w:t>
      </w:r>
      <w:r w:rsidRPr="00EB618A">
        <w:rPr>
          <w:rFonts w:ascii="Calibri" w:hAnsi="Calibri" w:cs="Calibri"/>
          <w:noProof/>
          <w:szCs w:val="24"/>
          <w:lang w:val="en-GB"/>
        </w:rPr>
        <w:t xml:space="preserve"> 2016; 11: e0164835.</w:t>
      </w:r>
    </w:p>
    <w:p w14:paraId="42FBE866"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30. </w:t>
      </w:r>
      <w:r w:rsidRPr="00EB618A">
        <w:rPr>
          <w:rFonts w:ascii="Calibri" w:hAnsi="Calibri" w:cs="Calibri"/>
          <w:noProof/>
          <w:szCs w:val="24"/>
          <w:lang w:val="en-GB"/>
        </w:rPr>
        <w:tab/>
        <w:t>Townsend P, Phillimore P, Beattie A. Health and deprivation : inequality and the North. Croom Helm; 1988.</w:t>
      </w:r>
    </w:p>
    <w:p w14:paraId="550F759C"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lastRenderedPageBreak/>
        <w:t xml:space="preserve">31. </w:t>
      </w:r>
      <w:r w:rsidRPr="00EB618A">
        <w:rPr>
          <w:rFonts w:ascii="Calibri" w:hAnsi="Calibri" w:cs="Calibri"/>
          <w:noProof/>
          <w:szCs w:val="24"/>
          <w:lang w:val="en-GB"/>
        </w:rPr>
        <w:tab/>
        <w:t xml:space="preserve">Real FG, Svanes C, Omenaas ER, Antò JM, Plana E, Jarvis D, Janson C, Neukirch F, Zemp E, Dratva J, Wjst M, Svanes K, Leynaert B, Sunyer J. Lung function, respiratory symptoms, and the menopausal transition. </w:t>
      </w:r>
      <w:r w:rsidRPr="00EB618A">
        <w:rPr>
          <w:rFonts w:ascii="Calibri" w:hAnsi="Calibri" w:cs="Calibri"/>
          <w:i/>
          <w:iCs/>
          <w:noProof/>
          <w:szCs w:val="24"/>
          <w:lang w:val="en-GB"/>
        </w:rPr>
        <w:t>J. Allergy Clin. Immunol.</w:t>
      </w:r>
      <w:r w:rsidRPr="00EB618A">
        <w:rPr>
          <w:rFonts w:ascii="Calibri" w:hAnsi="Calibri" w:cs="Calibri"/>
          <w:noProof/>
          <w:szCs w:val="24"/>
          <w:lang w:val="en-GB"/>
        </w:rPr>
        <w:t xml:space="preserve"> 2008; 121: 72-80.e3.</w:t>
      </w:r>
    </w:p>
    <w:p w14:paraId="4D1FB25F"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32. </w:t>
      </w:r>
      <w:r w:rsidRPr="00EB618A">
        <w:rPr>
          <w:rFonts w:ascii="Calibri" w:hAnsi="Calibri" w:cs="Calibri"/>
          <w:noProof/>
          <w:szCs w:val="24"/>
          <w:lang w:val="en-GB"/>
        </w:rPr>
        <w:tab/>
        <w:t xml:space="preserve">Jarvis D, Leynaert B. The association of asthma, atopy and lung function with hormone replacement therapy and surgical cessation of menstruation in a population-based sample of English women. </w:t>
      </w:r>
      <w:r w:rsidRPr="00EB618A">
        <w:rPr>
          <w:rFonts w:ascii="Calibri" w:hAnsi="Calibri" w:cs="Calibri"/>
          <w:i/>
          <w:iCs/>
          <w:noProof/>
          <w:szCs w:val="24"/>
          <w:lang w:val="en-GB"/>
        </w:rPr>
        <w:t>Allergy</w:t>
      </w:r>
      <w:r w:rsidRPr="00EB618A">
        <w:rPr>
          <w:rFonts w:ascii="Calibri" w:hAnsi="Calibri" w:cs="Calibri"/>
          <w:noProof/>
          <w:szCs w:val="24"/>
          <w:lang w:val="en-GB"/>
        </w:rPr>
        <w:t xml:space="preserve"> 2008; 63: 95–102.</w:t>
      </w:r>
    </w:p>
    <w:p w14:paraId="540AB20A"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33. </w:t>
      </w:r>
      <w:r w:rsidRPr="00EB618A">
        <w:rPr>
          <w:rFonts w:ascii="Calibri" w:hAnsi="Calibri" w:cs="Calibri"/>
          <w:noProof/>
          <w:szCs w:val="24"/>
          <w:lang w:val="en-GB"/>
        </w:rPr>
        <w:tab/>
        <w:t xml:space="preserve">Songür N, Aydin ZD, Oztürk O, Sahin U, Khayri U, Bircan A, Akkaya A. Respiratory symptoms, pulmonary function, and reproductive history: Isparta Menopause and Health Study. </w:t>
      </w:r>
      <w:r w:rsidRPr="00EB618A">
        <w:rPr>
          <w:rFonts w:ascii="Calibri" w:hAnsi="Calibri" w:cs="Calibri"/>
          <w:i/>
          <w:iCs/>
          <w:noProof/>
          <w:szCs w:val="24"/>
          <w:lang w:val="en-GB"/>
        </w:rPr>
        <w:t>J. Womens. Health (Larchmt).</w:t>
      </w:r>
      <w:r w:rsidRPr="00EB618A">
        <w:rPr>
          <w:rFonts w:ascii="Calibri" w:hAnsi="Calibri" w:cs="Calibri"/>
          <w:noProof/>
          <w:szCs w:val="24"/>
          <w:lang w:val="en-GB"/>
        </w:rPr>
        <w:t xml:space="preserve"> 2010; 19: 1145–1154.</w:t>
      </w:r>
    </w:p>
    <w:p w14:paraId="395D0712"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34. </w:t>
      </w:r>
      <w:r w:rsidRPr="00EB618A">
        <w:rPr>
          <w:rFonts w:ascii="Calibri" w:hAnsi="Calibri" w:cs="Calibri"/>
          <w:noProof/>
          <w:szCs w:val="24"/>
          <w:lang w:val="en-GB"/>
        </w:rPr>
        <w:tab/>
        <w:t xml:space="preserve">Hayatbakhsh MR, Najman JM, O’Callaghan MJ, Williams GM, Paydar A, Clavarino A. Association between smoking and respiratory function before and after menopause. </w:t>
      </w:r>
      <w:r w:rsidRPr="00EB618A">
        <w:rPr>
          <w:rFonts w:ascii="Calibri" w:hAnsi="Calibri" w:cs="Calibri"/>
          <w:i/>
          <w:iCs/>
          <w:noProof/>
          <w:szCs w:val="24"/>
          <w:lang w:val="en-GB"/>
        </w:rPr>
        <w:t>Lung</w:t>
      </w:r>
      <w:r w:rsidRPr="00EB618A">
        <w:rPr>
          <w:rFonts w:ascii="Calibri" w:hAnsi="Calibri" w:cs="Calibri"/>
          <w:noProof/>
          <w:szCs w:val="24"/>
          <w:lang w:val="en-GB"/>
        </w:rPr>
        <w:t xml:space="preserve"> 2011; 189: 65–71.</w:t>
      </w:r>
    </w:p>
    <w:p w14:paraId="40E5046C"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35. </w:t>
      </w:r>
      <w:r w:rsidRPr="00EB618A">
        <w:rPr>
          <w:rFonts w:ascii="Calibri" w:hAnsi="Calibri" w:cs="Calibri"/>
          <w:noProof/>
          <w:szCs w:val="24"/>
          <w:lang w:val="en-GB"/>
        </w:rPr>
        <w:tab/>
        <w:t xml:space="preserve">Triebner K, Matulonga B, Johannessen A, Suske S, Benediktsdóttir B, Demoly P, Dharmage SC, Franklin KA, Garcia-Aymerich J, Blanco JG, Heinrich J, Holm M, Jarvis D, Jõgi R, Lindberg E, Rovira JMM, Agirre NM, Pin I, Probst-Hensch N, Puggini L, Raherison C, Sánchez-Ramos J, Schlunssen V, Sunyer J, Svanes C, Hustad S, Leynaert B, Real FG. Menopause is associated with accelerated lung function decline. </w:t>
      </w:r>
      <w:r w:rsidRPr="00EB618A">
        <w:rPr>
          <w:rFonts w:ascii="Calibri" w:hAnsi="Calibri" w:cs="Calibri"/>
          <w:i/>
          <w:iCs/>
          <w:noProof/>
          <w:szCs w:val="24"/>
          <w:lang w:val="en-GB"/>
        </w:rPr>
        <w:t>Am. J. Respir. Crit. Care Med.</w:t>
      </w:r>
      <w:r w:rsidRPr="00EB618A">
        <w:rPr>
          <w:rFonts w:ascii="Calibri" w:hAnsi="Calibri" w:cs="Calibri"/>
          <w:noProof/>
          <w:szCs w:val="24"/>
          <w:lang w:val="en-GB"/>
        </w:rPr>
        <w:t xml:space="preserve"> 2017; 195: 1058–1065.</w:t>
      </w:r>
    </w:p>
    <w:p w14:paraId="2CE776A2"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36. </w:t>
      </w:r>
      <w:r w:rsidRPr="00EB618A">
        <w:rPr>
          <w:rFonts w:ascii="Calibri" w:hAnsi="Calibri" w:cs="Calibri"/>
          <w:noProof/>
          <w:szCs w:val="24"/>
          <w:lang w:val="en-GB"/>
        </w:rPr>
        <w:tab/>
        <w:t xml:space="preserve">Davies NM, Holmes M V., Davey Smith G. Reading Mendelian randomisation studies: A guide, glossary, and checklist for clinicians. </w:t>
      </w:r>
      <w:r w:rsidRPr="00EB618A">
        <w:rPr>
          <w:rFonts w:ascii="Calibri" w:hAnsi="Calibri" w:cs="Calibri"/>
          <w:i/>
          <w:iCs/>
          <w:noProof/>
          <w:szCs w:val="24"/>
          <w:lang w:val="en-GB"/>
        </w:rPr>
        <w:t>BMJ</w:t>
      </w:r>
      <w:r w:rsidRPr="00EB618A">
        <w:rPr>
          <w:rFonts w:ascii="Calibri" w:hAnsi="Calibri" w:cs="Calibri"/>
          <w:noProof/>
          <w:szCs w:val="24"/>
          <w:lang w:val="en-GB"/>
        </w:rPr>
        <w:t xml:space="preserve"> 2018; 362.</w:t>
      </w:r>
    </w:p>
    <w:p w14:paraId="46BEDEB2"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37. </w:t>
      </w:r>
      <w:r w:rsidRPr="00EB618A">
        <w:rPr>
          <w:rFonts w:ascii="Calibri" w:hAnsi="Calibri" w:cs="Calibri"/>
          <w:noProof/>
          <w:szCs w:val="24"/>
          <w:lang w:val="en-GB"/>
        </w:rPr>
        <w:tab/>
        <w:t xml:space="preserve">Palmer TM, Lawlor DA, Harbord RM, Sheehan NA, Tobias JH, Timpson NJ, Smith GD, Sterne JAC. Using multiple genetic variants as instrumental variables for modifiable risk factors. </w:t>
      </w:r>
      <w:r w:rsidRPr="00EB618A">
        <w:rPr>
          <w:rFonts w:ascii="Calibri" w:hAnsi="Calibri" w:cs="Calibri"/>
          <w:i/>
          <w:iCs/>
          <w:noProof/>
          <w:szCs w:val="24"/>
          <w:lang w:val="en-GB"/>
        </w:rPr>
        <w:t>Stat. Methods Med. Res.</w:t>
      </w:r>
      <w:r w:rsidRPr="00EB618A">
        <w:rPr>
          <w:rFonts w:ascii="Calibri" w:hAnsi="Calibri" w:cs="Calibri"/>
          <w:noProof/>
          <w:szCs w:val="24"/>
          <w:lang w:val="en-GB"/>
        </w:rPr>
        <w:t xml:space="preserve"> 2012. p. 223–242.</w:t>
      </w:r>
    </w:p>
    <w:p w14:paraId="23723532"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38. </w:t>
      </w:r>
      <w:r w:rsidRPr="00EB618A">
        <w:rPr>
          <w:rFonts w:ascii="Calibri" w:hAnsi="Calibri" w:cs="Calibri"/>
          <w:noProof/>
          <w:szCs w:val="24"/>
          <w:lang w:val="en-GB"/>
        </w:rPr>
        <w:tab/>
        <w:t xml:space="preserve">Brion M-JA, Shakhbazov K, Visscher PM. Calculating statistical power in Mendelian randomization studies. </w:t>
      </w:r>
      <w:r w:rsidRPr="00EB618A">
        <w:rPr>
          <w:rFonts w:ascii="Calibri" w:hAnsi="Calibri" w:cs="Calibri"/>
          <w:i/>
          <w:iCs/>
          <w:noProof/>
          <w:szCs w:val="24"/>
          <w:lang w:val="en-GB"/>
        </w:rPr>
        <w:t>Int. J. Epidemiol.</w:t>
      </w:r>
      <w:r w:rsidRPr="00EB618A">
        <w:rPr>
          <w:rFonts w:ascii="Calibri" w:hAnsi="Calibri" w:cs="Calibri"/>
          <w:noProof/>
          <w:szCs w:val="24"/>
          <w:lang w:val="en-GB"/>
        </w:rPr>
        <w:t xml:space="preserve"> Oxford University Press; 2013; 42: 1497–1501.</w:t>
      </w:r>
    </w:p>
    <w:p w14:paraId="6F6F9388"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39. </w:t>
      </w:r>
      <w:r w:rsidRPr="00EB618A">
        <w:rPr>
          <w:rFonts w:ascii="Calibri" w:hAnsi="Calibri" w:cs="Calibri"/>
          <w:noProof/>
          <w:szCs w:val="24"/>
          <w:lang w:val="en-GB"/>
        </w:rPr>
        <w:tab/>
        <w:t xml:space="preserve">Sathish V, Martin YN, Prakash YS. Sex steroid signaling: Implications for lung diseases. </w:t>
      </w:r>
      <w:r w:rsidRPr="00EB618A">
        <w:rPr>
          <w:rFonts w:ascii="Calibri" w:hAnsi="Calibri" w:cs="Calibri"/>
          <w:i/>
          <w:iCs/>
          <w:noProof/>
          <w:szCs w:val="24"/>
          <w:lang w:val="en-GB"/>
        </w:rPr>
        <w:t>Pharmacol. Ther.</w:t>
      </w:r>
      <w:r w:rsidRPr="00EB618A">
        <w:rPr>
          <w:rFonts w:ascii="Calibri" w:hAnsi="Calibri" w:cs="Calibri"/>
          <w:noProof/>
          <w:szCs w:val="24"/>
          <w:lang w:val="en-GB"/>
        </w:rPr>
        <w:t xml:space="preserve"> 2015; 150: 94–108.</w:t>
      </w:r>
    </w:p>
    <w:p w14:paraId="267BB67A"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40. </w:t>
      </w:r>
      <w:r w:rsidRPr="00EB618A">
        <w:rPr>
          <w:rFonts w:ascii="Calibri" w:hAnsi="Calibri" w:cs="Calibri"/>
          <w:noProof/>
          <w:szCs w:val="24"/>
          <w:lang w:val="en-GB"/>
        </w:rPr>
        <w:tab/>
        <w:t xml:space="preserve">Pata O, Atis S, Utku Oz A, Yazici G, Tok E, Pata C, Kilic F, Camdeviren H, Aban M. The effects of hormone replacement therapy type on pulmonary functions in postmenopausal women. </w:t>
      </w:r>
      <w:r w:rsidRPr="00EB618A">
        <w:rPr>
          <w:rFonts w:ascii="Calibri" w:hAnsi="Calibri" w:cs="Calibri"/>
          <w:i/>
          <w:iCs/>
          <w:noProof/>
          <w:szCs w:val="24"/>
          <w:lang w:val="en-GB"/>
        </w:rPr>
        <w:t>Maturitas</w:t>
      </w:r>
      <w:r w:rsidRPr="00EB618A">
        <w:rPr>
          <w:rFonts w:ascii="Calibri" w:hAnsi="Calibri" w:cs="Calibri"/>
          <w:noProof/>
          <w:szCs w:val="24"/>
          <w:lang w:val="en-GB"/>
        </w:rPr>
        <w:t xml:space="preserve"> Ireland; 2003; 46: 213–218.</w:t>
      </w:r>
    </w:p>
    <w:p w14:paraId="731439B6"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41. </w:t>
      </w:r>
      <w:r w:rsidRPr="00EB618A">
        <w:rPr>
          <w:rFonts w:ascii="Calibri" w:hAnsi="Calibri" w:cs="Calibri"/>
          <w:noProof/>
          <w:szCs w:val="24"/>
          <w:lang w:val="en-GB"/>
        </w:rPr>
        <w:tab/>
        <w:t xml:space="preserve">Hepburn MJ, Dooley DP, Morris MJ. The effects of estrogen replacement therapy on airway function in postmenopausal, asthmatic women. </w:t>
      </w:r>
      <w:r w:rsidRPr="00EB618A">
        <w:rPr>
          <w:rFonts w:ascii="Calibri" w:hAnsi="Calibri" w:cs="Calibri"/>
          <w:i/>
          <w:iCs/>
          <w:noProof/>
          <w:szCs w:val="24"/>
          <w:lang w:val="en-GB"/>
        </w:rPr>
        <w:t>Arch. Intern. Med.</w:t>
      </w:r>
      <w:r w:rsidRPr="00EB618A">
        <w:rPr>
          <w:rFonts w:ascii="Calibri" w:hAnsi="Calibri" w:cs="Calibri"/>
          <w:noProof/>
          <w:szCs w:val="24"/>
          <w:lang w:val="en-GB"/>
        </w:rPr>
        <w:t xml:space="preserve"> 2001; 161: 2717–2720.</w:t>
      </w:r>
    </w:p>
    <w:p w14:paraId="69F701B0"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lastRenderedPageBreak/>
        <w:t xml:space="preserve">42. </w:t>
      </w:r>
      <w:r w:rsidRPr="00EB618A">
        <w:rPr>
          <w:rFonts w:ascii="Calibri" w:hAnsi="Calibri" w:cs="Calibri"/>
          <w:noProof/>
          <w:szCs w:val="24"/>
          <w:lang w:val="en-GB"/>
        </w:rPr>
        <w:tab/>
        <w:t xml:space="preserve">Cevrioglu AS, Fidan F, Unlu M, Yilmazer M, Orman A, Fenkci IV, Serteser M. The effects of hormone therapy on pulmonary function tests in postmenopausal women. </w:t>
      </w:r>
      <w:r w:rsidRPr="00EB618A">
        <w:rPr>
          <w:rFonts w:ascii="Calibri" w:hAnsi="Calibri" w:cs="Calibri"/>
          <w:i/>
          <w:iCs/>
          <w:noProof/>
          <w:szCs w:val="24"/>
          <w:lang w:val="en-GB"/>
        </w:rPr>
        <w:t>Maturitas</w:t>
      </w:r>
      <w:r w:rsidRPr="00EB618A">
        <w:rPr>
          <w:rFonts w:ascii="Calibri" w:hAnsi="Calibri" w:cs="Calibri"/>
          <w:noProof/>
          <w:szCs w:val="24"/>
          <w:lang w:val="en-GB"/>
        </w:rPr>
        <w:t xml:space="preserve"> 2004; 49: 221–227.</w:t>
      </w:r>
    </w:p>
    <w:p w14:paraId="44089F78"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szCs w:val="24"/>
          <w:lang w:val="en-GB"/>
        </w:rPr>
      </w:pPr>
      <w:r w:rsidRPr="00EB618A">
        <w:rPr>
          <w:rFonts w:ascii="Calibri" w:hAnsi="Calibri" w:cs="Calibri"/>
          <w:noProof/>
          <w:szCs w:val="24"/>
          <w:lang w:val="en-GB"/>
        </w:rPr>
        <w:t xml:space="preserve">43. </w:t>
      </w:r>
      <w:r w:rsidRPr="00EB618A">
        <w:rPr>
          <w:rFonts w:ascii="Calibri" w:hAnsi="Calibri" w:cs="Calibri"/>
          <w:noProof/>
          <w:szCs w:val="24"/>
          <w:lang w:val="en-GB"/>
        </w:rPr>
        <w:tab/>
        <w:t xml:space="preserve">Stipic I, Polasek O, Vulic M, Punda H, Grandic L, Strinic T. Estrogen Replacement Therapy Improves Pulmonary Function in Postmenopausal Women with Genital Prolapse. </w:t>
      </w:r>
      <w:r w:rsidRPr="00EB618A">
        <w:rPr>
          <w:rFonts w:ascii="Calibri" w:hAnsi="Calibri" w:cs="Calibri"/>
          <w:i/>
          <w:iCs/>
          <w:noProof/>
          <w:szCs w:val="24"/>
          <w:lang w:val="en-GB"/>
        </w:rPr>
        <w:t>Rejuvenation Res.</w:t>
      </w:r>
      <w:r w:rsidRPr="00EB618A">
        <w:rPr>
          <w:rFonts w:ascii="Calibri" w:hAnsi="Calibri" w:cs="Calibri"/>
          <w:noProof/>
          <w:szCs w:val="24"/>
          <w:lang w:val="en-GB"/>
        </w:rPr>
        <w:t xml:space="preserve"> 2012; 15: 596–600.</w:t>
      </w:r>
    </w:p>
    <w:p w14:paraId="19DA92F7" w14:textId="77777777" w:rsidR="00DA41F8" w:rsidRPr="00EB618A" w:rsidRDefault="00DA41F8" w:rsidP="00DA41F8">
      <w:pPr>
        <w:widowControl w:val="0"/>
        <w:autoSpaceDE w:val="0"/>
        <w:autoSpaceDN w:val="0"/>
        <w:adjustRightInd w:val="0"/>
        <w:spacing w:after="120"/>
        <w:ind w:left="640" w:hanging="640"/>
        <w:rPr>
          <w:rFonts w:ascii="Calibri" w:hAnsi="Calibri" w:cs="Calibri"/>
          <w:noProof/>
          <w:lang w:val="en-GB"/>
        </w:rPr>
      </w:pPr>
      <w:r w:rsidRPr="00EB618A">
        <w:rPr>
          <w:rFonts w:ascii="Calibri" w:hAnsi="Calibri" w:cs="Calibri"/>
          <w:noProof/>
          <w:szCs w:val="24"/>
          <w:lang w:val="en-GB"/>
        </w:rPr>
        <w:t xml:space="preserve">44. </w:t>
      </w:r>
      <w:r w:rsidRPr="00EB618A">
        <w:rPr>
          <w:rFonts w:ascii="Calibri" w:hAnsi="Calibri" w:cs="Calibri"/>
          <w:noProof/>
          <w:szCs w:val="24"/>
          <w:lang w:val="en-GB"/>
        </w:rPr>
        <w:tab/>
        <w:t xml:space="preserve">Mahmoud O, Granell R, Tilling K, Minelli C, Garcia-Aymerich J, Holloway JW, Custovic A, Jarvis D, Sterne J, Henderson J. Association of Height Growth in Puberty with Lung Function: A Longitudinal Study. </w:t>
      </w:r>
      <w:r w:rsidRPr="00EB618A">
        <w:rPr>
          <w:rFonts w:ascii="Calibri" w:hAnsi="Calibri" w:cs="Calibri"/>
          <w:i/>
          <w:iCs/>
          <w:noProof/>
          <w:szCs w:val="24"/>
          <w:lang w:val="en-GB"/>
        </w:rPr>
        <w:t>Am. J. Respir. Crit. Care Med.</w:t>
      </w:r>
      <w:r w:rsidRPr="00EB618A">
        <w:rPr>
          <w:rFonts w:ascii="Calibri" w:hAnsi="Calibri" w:cs="Calibri"/>
          <w:noProof/>
          <w:szCs w:val="24"/>
          <w:lang w:val="en-GB"/>
        </w:rPr>
        <w:t xml:space="preserve"> United States; 2018; 198.</w:t>
      </w:r>
    </w:p>
    <w:p w14:paraId="7A88553B" w14:textId="1127CBFF" w:rsidR="005D6067" w:rsidRPr="00EA1726" w:rsidRDefault="0016491A" w:rsidP="00EA1726">
      <w:pPr>
        <w:widowControl w:val="0"/>
        <w:autoSpaceDE w:val="0"/>
        <w:autoSpaceDN w:val="0"/>
        <w:adjustRightInd w:val="0"/>
        <w:spacing w:after="120"/>
        <w:jc w:val="both"/>
        <w:rPr>
          <w:lang w:val="en-GB"/>
        </w:rPr>
      </w:pPr>
      <w:r>
        <w:rPr>
          <w:lang w:val="en-GB"/>
        </w:rPr>
        <w:fldChar w:fldCharType="end"/>
      </w:r>
      <w:r w:rsidR="005D6067" w:rsidRPr="00EA1726">
        <w:rPr>
          <w:lang w:val="en-GB"/>
        </w:rPr>
        <w:br w:type="page"/>
      </w:r>
    </w:p>
    <w:p w14:paraId="5B3AC05A" w14:textId="77777777" w:rsidR="00F7770B" w:rsidRPr="00293C29" w:rsidRDefault="00674594" w:rsidP="005D6067">
      <w:pPr>
        <w:widowControl w:val="0"/>
        <w:autoSpaceDE w:val="0"/>
        <w:autoSpaceDN w:val="0"/>
        <w:adjustRightInd w:val="0"/>
        <w:spacing w:after="120" w:line="240" w:lineRule="auto"/>
        <w:ind w:left="640" w:hanging="640"/>
        <w:rPr>
          <w:lang w:val="en-GB"/>
        </w:rPr>
      </w:pPr>
      <w:r w:rsidRPr="00293C29">
        <w:rPr>
          <w:b/>
          <w:lang w:val="en-GB"/>
        </w:rPr>
        <w:lastRenderedPageBreak/>
        <w:t xml:space="preserve">Table </w:t>
      </w:r>
      <w:r w:rsidRPr="00293C29">
        <w:rPr>
          <w:b/>
          <w:lang w:val="en-GB"/>
        </w:rPr>
        <w:fldChar w:fldCharType="begin"/>
      </w:r>
      <w:r w:rsidRPr="00293C29">
        <w:rPr>
          <w:b/>
          <w:lang w:val="en-GB"/>
        </w:rPr>
        <w:instrText xml:space="preserve"> SEQ Table \* ARABIC </w:instrText>
      </w:r>
      <w:r w:rsidRPr="00293C29">
        <w:rPr>
          <w:b/>
          <w:lang w:val="en-GB"/>
        </w:rPr>
        <w:fldChar w:fldCharType="separate"/>
      </w:r>
      <w:r w:rsidR="00B06A4A" w:rsidRPr="00293C29">
        <w:rPr>
          <w:b/>
          <w:noProof/>
          <w:lang w:val="en-GB"/>
        </w:rPr>
        <w:t>1</w:t>
      </w:r>
      <w:r w:rsidRPr="00293C29">
        <w:rPr>
          <w:b/>
          <w:lang w:val="en-GB"/>
        </w:rPr>
        <w:fldChar w:fldCharType="end"/>
      </w:r>
      <w:r w:rsidR="00F7770B" w:rsidRPr="00293C29">
        <w:rPr>
          <w:rFonts w:ascii="Calibri" w:eastAsia="Times New Roman" w:hAnsi="Calibri" w:cs="Times New Roman"/>
          <w:b/>
          <w:lang w:val="en-GB" w:eastAsia="en-GB"/>
        </w:rPr>
        <w:t xml:space="preserve">. </w:t>
      </w:r>
      <w:r w:rsidR="00F7770B" w:rsidRPr="00293C29">
        <w:rPr>
          <w:b/>
          <w:shd w:val="clear" w:color="auto" w:fill="FFFFFF"/>
          <w:lang w:val="en-GB"/>
        </w:rPr>
        <w:t>Characteristics of the study population.</w:t>
      </w:r>
    </w:p>
    <w:tbl>
      <w:tblPr>
        <w:tblStyle w:val="TableGrid"/>
        <w:tblW w:w="9581" w:type="dxa"/>
        <w:tblInd w:w="-284"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0"/>
        <w:gridCol w:w="1956"/>
        <w:gridCol w:w="1757"/>
        <w:gridCol w:w="1486"/>
        <w:gridCol w:w="1482"/>
      </w:tblGrid>
      <w:tr w:rsidR="00293C29" w:rsidRPr="00750E70" w14:paraId="47B67946" w14:textId="77777777" w:rsidTr="00D508F3">
        <w:tc>
          <w:tcPr>
            <w:tcW w:w="2900" w:type="dxa"/>
            <w:tcBorders>
              <w:top w:val="single" w:sz="4" w:space="0" w:color="auto"/>
              <w:bottom w:val="single" w:sz="4" w:space="0" w:color="auto"/>
            </w:tcBorders>
          </w:tcPr>
          <w:p w14:paraId="77F229B6" w14:textId="77777777" w:rsidR="00AD51E7" w:rsidRPr="00293C29" w:rsidRDefault="00AD51E7" w:rsidP="00805581">
            <w:pPr>
              <w:pStyle w:val="NoSpacing"/>
              <w:rPr>
                <w:shd w:val="clear" w:color="auto" w:fill="FFFFFF"/>
              </w:rPr>
            </w:pPr>
          </w:p>
        </w:tc>
        <w:tc>
          <w:tcPr>
            <w:tcW w:w="1956" w:type="dxa"/>
            <w:tcBorders>
              <w:top w:val="single" w:sz="4" w:space="0" w:color="auto"/>
              <w:bottom w:val="single" w:sz="4" w:space="0" w:color="auto"/>
            </w:tcBorders>
            <w:vAlign w:val="bottom"/>
          </w:tcPr>
          <w:p w14:paraId="20373656" w14:textId="77777777" w:rsidR="007A3043" w:rsidRPr="00293C29" w:rsidRDefault="00B54133" w:rsidP="00805581">
            <w:pPr>
              <w:pStyle w:val="NoSpacing"/>
              <w:jc w:val="center"/>
              <w:rPr>
                <w:b/>
                <w:shd w:val="clear" w:color="auto" w:fill="FFFFFF"/>
              </w:rPr>
            </w:pPr>
            <w:r w:rsidRPr="00293C29">
              <w:rPr>
                <w:b/>
                <w:shd w:val="clear" w:color="auto" w:fill="FFFFFF"/>
              </w:rPr>
              <w:t>W</w:t>
            </w:r>
            <w:r w:rsidR="00AD51E7" w:rsidRPr="00293C29">
              <w:rPr>
                <w:b/>
                <w:shd w:val="clear" w:color="auto" w:fill="FFFFFF"/>
              </w:rPr>
              <w:t>omen</w:t>
            </w:r>
            <w:r w:rsidRPr="00293C29">
              <w:rPr>
                <w:b/>
                <w:shd w:val="clear" w:color="auto" w:fill="FFFFFF"/>
              </w:rPr>
              <w:t xml:space="preserve"> included </w:t>
            </w:r>
          </w:p>
          <w:p w14:paraId="012C479B" w14:textId="77777777" w:rsidR="00AD51E7" w:rsidRPr="00293C29" w:rsidRDefault="00B54133" w:rsidP="00805581">
            <w:pPr>
              <w:pStyle w:val="NoSpacing"/>
              <w:jc w:val="center"/>
              <w:rPr>
                <w:b/>
                <w:shd w:val="clear" w:color="auto" w:fill="FFFFFF"/>
              </w:rPr>
            </w:pPr>
            <w:r w:rsidRPr="00293C29">
              <w:rPr>
                <w:b/>
                <w:shd w:val="clear" w:color="auto" w:fill="FFFFFF"/>
              </w:rPr>
              <w:t>in MR</w:t>
            </w:r>
          </w:p>
          <w:p w14:paraId="1AC3A7EE" w14:textId="77777777" w:rsidR="00AD51E7" w:rsidRPr="00293C29" w:rsidRDefault="00AD51E7" w:rsidP="00805581">
            <w:pPr>
              <w:pStyle w:val="NoSpacing"/>
              <w:jc w:val="center"/>
              <w:rPr>
                <w:b/>
                <w:shd w:val="clear" w:color="auto" w:fill="FFFFFF"/>
              </w:rPr>
            </w:pPr>
            <w:r w:rsidRPr="00293C29">
              <w:rPr>
                <w:b/>
                <w:shd w:val="clear" w:color="auto" w:fill="FFFFFF"/>
              </w:rPr>
              <w:t>(N=94,742)</w:t>
            </w:r>
          </w:p>
        </w:tc>
        <w:tc>
          <w:tcPr>
            <w:tcW w:w="1757" w:type="dxa"/>
            <w:tcBorders>
              <w:top w:val="single" w:sz="4" w:space="0" w:color="auto"/>
              <w:bottom w:val="single" w:sz="4" w:space="0" w:color="auto"/>
            </w:tcBorders>
            <w:vAlign w:val="bottom"/>
          </w:tcPr>
          <w:p w14:paraId="5F0E05CA" w14:textId="77777777" w:rsidR="00AD51E7" w:rsidRPr="00293C29" w:rsidRDefault="00AD51E7" w:rsidP="00532197">
            <w:pPr>
              <w:pStyle w:val="NoSpacing"/>
              <w:jc w:val="center"/>
              <w:rPr>
                <w:b/>
                <w:shd w:val="clear" w:color="auto" w:fill="FFFFFF"/>
              </w:rPr>
            </w:pPr>
            <w:r w:rsidRPr="00293C29">
              <w:rPr>
                <w:b/>
                <w:shd w:val="clear" w:color="auto" w:fill="FFFFFF"/>
              </w:rPr>
              <w:t>Women with</w:t>
            </w:r>
          </w:p>
          <w:p w14:paraId="380101CB" w14:textId="77777777" w:rsidR="00AD51E7" w:rsidRPr="00293C29" w:rsidRDefault="00AD51E7" w:rsidP="00532197">
            <w:pPr>
              <w:pStyle w:val="NoSpacing"/>
              <w:jc w:val="center"/>
              <w:rPr>
                <w:b/>
                <w:shd w:val="clear" w:color="auto" w:fill="FFFFFF"/>
              </w:rPr>
            </w:pPr>
            <w:r w:rsidRPr="00293C29">
              <w:rPr>
                <w:b/>
                <w:shd w:val="clear" w:color="auto" w:fill="FFFFFF"/>
              </w:rPr>
              <w:t>complete data</w:t>
            </w:r>
            <w:r w:rsidR="00863AA3" w:rsidRPr="00293C29">
              <w:rPr>
                <w:rFonts w:cstheme="minorHAnsi"/>
                <w:b/>
                <w:shd w:val="clear" w:color="auto" w:fill="FFFFFF"/>
              </w:rPr>
              <w:t>†</w:t>
            </w:r>
          </w:p>
          <w:p w14:paraId="19AE9E04" w14:textId="77777777" w:rsidR="00AD51E7" w:rsidRPr="00293C29" w:rsidRDefault="00AD51E7" w:rsidP="00C750FE">
            <w:pPr>
              <w:pStyle w:val="NoSpacing"/>
              <w:jc w:val="center"/>
              <w:rPr>
                <w:b/>
                <w:shd w:val="clear" w:color="auto" w:fill="FFFFFF"/>
              </w:rPr>
            </w:pPr>
            <w:r w:rsidRPr="00293C29">
              <w:rPr>
                <w:b/>
                <w:shd w:val="clear" w:color="auto" w:fill="FFFFFF"/>
              </w:rPr>
              <w:t>(N=84,844)</w:t>
            </w:r>
          </w:p>
        </w:tc>
        <w:tc>
          <w:tcPr>
            <w:tcW w:w="1486" w:type="dxa"/>
            <w:tcBorders>
              <w:top w:val="single" w:sz="4" w:space="0" w:color="auto"/>
              <w:bottom w:val="single" w:sz="4" w:space="0" w:color="auto"/>
            </w:tcBorders>
            <w:vAlign w:val="bottom"/>
          </w:tcPr>
          <w:p w14:paraId="5AF0CE0D" w14:textId="77777777" w:rsidR="00B54133" w:rsidRPr="00293C29" w:rsidRDefault="00B54133" w:rsidP="00B54133">
            <w:pPr>
              <w:pStyle w:val="NoSpacing"/>
              <w:jc w:val="center"/>
              <w:rPr>
                <w:b/>
                <w:shd w:val="clear" w:color="auto" w:fill="FFFFFF"/>
              </w:rPr>
            </w:pPr>
            <w:r w:rsidRPr="00293C29">
              <w:rPr>
                <w:b/>
                <w:shd w:val="clear" w:color="auto" w:fill="FFFFFF"/>
              </w:rPr>
              <w:t>Women with</w:t>
            </w:r>
          </w:p>
          <w:p w14:paraId="631DB751" w14:textId="77777777" w:rsidR="00AD51E7" w:rsidRPr="00293C29" w:rsidRDefault="00B54133" w:rsidP="00805581">
            <w:pPr>
              <w:pStyle w:val="NoSpacing"/>
              <w:jc w:val="center"/>
              <w:rPr>
                <w:b/>
                <w:shd w:val="clear" w:color="auto" w:fill="FFFFFF"/>
              </w:rPr>
            </w:pPr>
            <w:r w:rsidRPr="00293C29">
              <w:rPr>
                <w:b/>
                <w:shd w:val="clear" w:color="auto" w:fill="FFFFFF"/>
              </w:rPr>
              <w:t>e</w:t>
            </w:r>
            <w:r w:rsidR="00AD51E7" w:rsidRPr="00293C29">
              <w:rPr>
                <w:b/>
                <w:shd w:val="clear" w:color="auto" w:fill="FFFFFF"/>
              </w:rPr>
              <w:t>arly menopause</w:t>
            </w:r>
          </w:p>
          <w:p w14:paraId="060E7C2A" w14:textId="77777777" w:rsidR="00AD51E7" w:rsidRPr="00293C29" w:rsidRDefault="00AD51E7" w:rsidP="00805581">
            <w:pPr>
              <w:pStyle w:val="NoSpacing"/>
              <w:jc w:val="center"/>
              <w:rPr>
                <w:b/>
                <w:shd w:val="clear" w:color="auto" w:fill="FFFFFF"/>
              </w:rPr>
            </w:pPr>
            <w:r w:rsidRPr="00293C29">
              <w:rPr>
                <w:b/>
                <w:shd w:val="clear" w:color="auto" w:fill="FFFFFF"/>
              </w:rPr>
              <w:t>(N=7,206)</w:t>
            </w:r>
          </w:p>
        </w:tc>
        <w:tc>
          <w:tcPr>
            <w:tcW w:w="1482" w:type="dxa"/>
            <w:tcBorders>
              <w:top w:val="single" w:sz="4" w:space="0" w:color="auto"/>
              <w:bottom w:val="single" w:sz="4" w:space="0" w:color="auto"/>
            </w:tcBorders>
          </w:tcPr>
          <w:p w14:paraId="74BE13A6" w14:textId="77777777" w:rsidR="00B54133" w:rsidRPr="00293C29" w:rsidRDefault="00B54133" w:rsidP="00B54133">
            <w:pPr>
              <w:pStyle w:val="NoSpacing"/>
              <w:jc w:val="center"/>
              <w:rPr>
                <w:b/>
                <w:shd w:val="clear" w:color="auto" w:fill="FFFFFF"/>
              </w:rPr>
            </w:pPr>
            <w:r w:rsidRPr="00293C29">
              <w:rPr>
                <w:b/>
                <w:shd w:val="clear" w:color="auto" w:fill="FFFFFF"/>
              </w:rPr>
              <w:t>Women with</w:t>
            </w:r>
          </w:p>
          <w:p w14:paraId="3B04B094" w14:textId="77777777" w:rsidR="00AD51E7" w:rsidRPr="00293C29" w:rsidRDefault="00B54133" w:rsidP="00805581">
            <w:pPr>
              <w:pStyle w:val="NoSpacing"/>
              <w:jc w:val="center"/>
              <w:rPr>
                <w:b/>
                <w:shd w:val="clear" w:color="auto" w:fill="FFFFFF"/>
              </w:rPr>
            </w:pPr>
            <w:r w:rsidRPr="00293C29">
              <w:rPr>
                <w:b/>
                <w:shd w:val="clear" w:color="auto" w:fill="FFFFFF"/>
              </w:rPr>
              <w:t>l</w:t>
            </w:r>
            <w:r w:rsidR="00AD51E7" w:rsidRPr="00293C29">
              <w:rPr>
                <w:b/>
                <w:shd w:val="clear" w:color="auto" w:fill="FFFFFF"/>
              </w:rPr>
              <w:t>ate menopause</w:t>
            </w:r>
          </w:p>
          <w:p w14:paraId="3DF6FF8C" w14:textId="77777777" w:rsidR="00AD51E7" w:rsidRPr="00293C29" w:rsidRDefault="00AD51E7" w:rsidP="00805581">
            <w:pPr>
              <w:pStyle w:val="NoSpacing"/>
              <w:jc w:val="center"/>
              <w:rPr>
                <w:rFonts w:ascii="Lucida Console" w:hAnsi="Lucida Console"/>
              </w:rPr>
            </w:pPr>
            <w:r w:rsidRPr="00293C29">
              <w:rPr>
                <w:b/>
                <w:shd w:val="clear" w:color="auto" w:fill="FFFFFF"/>
              </w:rPr>
              <w:t>(N=8,468)</w:t>
            </w:r>
          </w:p>
        </w:tc>
      </w:tr>
      <w:tr w:rsidR="00293C29" w:rsidRPr="00293C29" w14:paraId="5A98EBF8" w14:textId="77777777" w:rsidTr="00D508F3">
        <w:tc>
          <w:tcPr>
            <w:tcW w:w="2900" w:type="dxa"/>
          </w:tcPr>
          <w:p w14:paraId="3E573CFC" w14:textId="77777777" w:rsidR="00AD51E7" w:rsidRPr="00293C29" w:rsidRDefault="00AD51E7" w:rsidP="00805581">
            <w:pPr>
              <w:pStyle w:val="NoSpacing"/>
              <w:rPr>
                <w:b/>
                <w:shd w:val="clear" w:color="auto" w:fill="FFFFFF"/>
              </w:rPr>
            </w:pPr>
            <w:r w:rsidRPr="00293C29">
              <w:rPr>
                <w:b/>
                <w:shd w:val="clear" w:color="auto" w:fill="FFFFFF"/>
              </w:rPr>
              <w:t>Age (years)</w:t>
            </w:r>
          </w:p>
        </w:tc>
        <w:tc>
          <w:tcPr>
            <w:tcW w:w="1956" w:type="dxa"/>
          </w:tcPr>
          <w:p w14:paraId="33CB5F1F" w14:textId="77777777" w:rsidR="00AD51E7" w:rsidRPr="00293C29" w:rsidRDefault="00AD51E7" w:rsidP="00805581">
            <w:pPr>
              <w:pStyle w:val="NoSpacing"/>
              <w:jc w:val="center"/>
              <w:rPr>
                <w:shd w:val="clear" w:color="auto" w:fill="FFFFFF"/>
              </w:rPr>
            </w:pPr>
            <w:r w:rsidRPr="00293C29">
              <w:rPr>
                <w:shd w:val="clear" w:color="auto" w:fill="FFFFFF"/>
              </w:rPr>
              <w:t>60 (5.3)</w:t>
            </w:r>
          </w:p>
        </w:tc>
        <w:tc>
          <w:tcPr>
            <w:tcW w:w="1757" w:type="dxa"/>
          </w:tcPr>
          <w:p w14:paraId="1C0CFE5B" w14:textId="77777777" w:rsidR="00AD51E7" w:rsidRPr="00293C29" w:rsidRDefault="00AD51E7" w:rsidP="00805581">
            <w:pPr>
              <w:pStyle w:val="NoSpacing"/>
              <w:jc w:val="center"/>
              <w:rPr>
                <w:shd w:val="clear" w:color="auto" w:fill="FFFFFF"/>
              </w:rPr>
            </w:pPr>
            <w:r w:rsidRPr="00293C29">
              <w:rPr>
                <w:shd w:val="clear" w:color="auto" w:fill="FFFFFF"/>
              </w:rPr>
              <w:t>60 (5.3)</w:t>
            </w:r>
          </w:p>
        </w:tc>
        <w:tc>
          <w:tcPr>
            <w:tcW w:w="1486" w:type="dxa"/>
          </w:tcPr>
          <w:p w14:paraId="3986B796" w14:textId="77777777" w:rsidR="00AD51E7" w:rsidRPr="00293C29" w:rsidRDefault="00AD51E7" w:rsidP="00805581">
            <w:pPr>
              <w:pStyle w:val="NoSpacing"/>
              <w:jc w:val="center"/>
              <w:rPr>
                <w:shd w:val="clear" w:color="auto" w:fill="FFFFFF"/>
              </w:rPr>
            </w:pPr>
            <w:r w:rsidRPr="00293C29">
              <w:rPr>
                <w:shd w:val="clear" w:color="auto" w:fill="FFFFFF"/>
              </w:rPr>
              <w:t>59 (6.8)</w:t>
            </w:r>
          </w:p>
        </w:tc>
        <w:tc>
          <w:tcPr>
            <w:tcW w:w="1482" w:type="dxa"/>
          </w:tcPr>
          <w:p w14:paraId="003DB6C2" w14:textId="77777777" w:rsidR="00AD51E7" w:rsidRPr="00293C29" w:rsidRDefault="00AD51E7" w:rsidP="00805581">
            <w:pPr>
              <w:pStyle w:val="NoSpacing"/>
              <w:jc w:val="center"/>
              <w:rPr>
                <w:shd w:val="clear" w:color="auto" w:fill="FFFFFF"/>
              </w:rPr>
            </w:pPr>
            <w:r w:rsidRPr="00293C29">
              <w:rPr>
                <w:shd w:val="clear" w:color="auto" w:fill="FFFFFF"/>
              </w:rPr>
              <w:t>62 (3.4)</w:t>
            </w:r>
          </w:p>
        </w:tc>
      </w:tr>
      <w:tr w:rsidR="00293C29" w:rsidRPr="00293C29" w14:paraId="06096287" w14:textId="77777777" w:rsidTr="00D508F3">
        <w:tc>
          <w:tcPr>
            <w:tcW w:w="2900" w:type="dxa"/>
          </w:tcPr>
          <w:p w14:paraId="37A16B7A" w14:textId="77777777" w:rsidR="00AD51E7" w:rsidRPr="00293C29" w:rsidRDefault="00AD51E7" w:rsidP="00805581">
            <w:pPr>
              <w:pStyle w:val="NoSpacing"/>
              <w:rPr>
                <w:b/>
                <w:shd w:val="clear" w:color="auto" w:fill="FFFFFF"/>
              </w:rPr>
            </w:pPr>
            <w:r w:rsidRPr="00293C29">
              <w:rPr>
                <w:b/>
                <w:shd w:val="clear" w:color="auto" w:fill="FFFFFF"/>
              </w:rPr>
              <w:t>Height (cm)</w:t>
            </w:r>
          </w:p>
        </w:tc>
        <w:tc>
          <w:tcPr>
            <w:tcW w:w="1956" w:type="dxa"/>
          </w:tcPr>
          <w:p w14:paraId="46A4FC24" w14:textId="77777777" w:rsidR="00AD51E7" w:rsidRPr="00293C29" w:rsidRDefault="00AD51E7" w:rsidP="00805581">
            <w:pPr>
              <w:pStyle w:val="NoSpacing"/>
              <w:jc w:val="center"/>
              <w:rPr>
                <w:shd w:val="clear" w:color="auto" w:fill="FFFFFF"/>
              </w:rPr>
            </w:pPr>
            <w:r w:rsidRPr="00293C29">
              <w:rPr>
                <w:shd w:val="clear" w:color="auto" w:fill="FFFFFF"/>
              </w:rPr>
              <w:t>162 (6.1)</w:t>
            </w:r>
          </w:p>
        </w:tc>
        <w:tc>
          <w:tcPr>
            <w:tcW w:w="1757" w:type="dxa"/>
          </w:tcPr>
          <w:p w14:paraId="4269BC3B" w14:textId="77777777" w:rsidR="00AD51E7" w:rsidRPr="00293C29" w:rsidRDefault="00AD51E7" w:rsidP="00805581">
            <w:pPr>
              <w:pStyle w:val="NoSpacing"/>
              <w:jc w:val="center"/>
              <w:rPr>
                <w:shd w:val="clear" w:color="auto" w:fill="FFFFFF"/>
              </w:rPr>
            </w:pPr>
            <w:r w:rsidRPr="00293C29">
              <w:rPr>
                <w:shd w:val="clear" w:color="auto" w:fill="FFFFFF"/>
              </w:rPr>
              <w:t>162 (6.1)</w:t>
            </w:r>
          </w:p>
        </w:tc>
        <w:tc>
          <w:tcPr>
            <w:tcW w:w="1486" w:type="dxa"/>
          </w:tcPr>
          <w:p w14:paraId="6D670463" w14:textId="77777777" w:rsidR="00AD51E7" w:rsidRPr="00293C29" w:rsidRDefault="00AD51E7" w:rsidP="00805581">
            <w:pPr>
              <w:pStyle w:val="NoSpacing"/>
              <w:jc w:val="center"/>
              <w:rPr>
                <w:shd w:val="clear" w:color="auto" w:fill="FFFFFF"/>
              </w:rPr>
            </w:pPr>
            <w:r w:rsidRPr="00293C29">
              <w:rPr>
                <w:shd w:val="clear" w:color="auto" w:fill="FFFFFF"/>
              </w:rPr>
              <w:t>162 (6.2)</w:t>
            </w:r>
          </w:p>
        </w:tc>
        <w:tc>
          <w:tcPr>
            <w:tcW w:w="1482" w:type="dxa"/>
          </w:tcPr>
          <w:p w14:paraId="24204BD1" w14:textId="77777777" w:rsidR="00AD51E7" w:rsidRPr="00293C29" w:rsidRDefault="00AD51E7" w:rsidP="00805581">
            <w:pPr>
              <w:pStyle w:val="NoSpacing"/>
              <w:jc w:val="center"/>
              <w:rPr>
                <w:shd w:val="clear" w:color="auto" w:fill="FFFFFF"/>
              </w:rPr>
            </w:pPr>
            <w:r w:rsidRPr="00293C29">
              <w:rPr>
                <w:shd w:val="clear" w:color="auto" w:fill="FFFFFF"/>
              </w:rPr>
              <w:t>162 (6.0)</w:t>
            </w:r>
          </w:p>
        </w:tc>
      </w:tr>
      <w:tr w:rsidR="00293C29" w:rsidRPr="00293C29" w14:paraId="2E672466" w14:textId="77777777" w:rsidTr="00D508F3">
        <w:tc>
          <w:tcPr>
            <w:tcW w:w="2900" w:type="dxa"/>
          </w:tcPr>
          <w:p w14:paraId="3115811A" w14:textId="77777777" w:rsidR="00AD51E7" w:rsidRPr="00293C29" w:rsidRDefault="00AD51E7" w:rsidP="00805581">
            <w:pPr>
              <w:pStyle w:val="NoSpacing"/>
              <w:rPr>
                <w:b/>
                <w:shd w:val="clear" w:color="auto" w:fill="FFFFFF"/>
              </w:rPr>
            </w:pPr>
            <w:r w:rsidRPr="00293C29">
              <w:rPr>
                <w:b/>
                <w:shd w:val="clear" w:color="auto" w:fill="FFFFFF"/>
              </w:rPr>
              <w:t>BMI (kg/m</w:t>
            </w:r>
            <w:r w:rsidRPr="00293C29">
              <w:rPr>
                <w:b/>
                <w:shd w:val="clear" w:color="auto" w:fill="FFFFFF"/>
                <w:vertAlign w:val="superscript"/>
              </w:rPr>
              <w:t>2</w:t>
            </w:r>
            <w:r w:rsidRPr="00293C29">
              <w:rPr>
                <w:b/>
                <w:shd w:val="clear" w:color="auto" w:fill="FFFFFF"/>
              </w:rPr>
              <w:t>)</w:t>
            </w:r>
          </w:p>
        </w:tc>
        <w:tc>
          <w:tcPr>
            <w:tcW w:w="1956" w:type="dxa"/>
          </w:tcPr>
          <w:p w14:paraId="210694CB" w14:textId="77777777" w:rsidR="00AD51E7" w:rsidRPr="00293C29" w:rsidRDefault="00AD51E7" w:rsidP="00805581">
            <w:pPr>
              <w:pStyle w:val="NoSpacing"/>
              <w:jc w:val="center"/>
              <w:rPr>
                <w:shd w:val="clear" w:color="auto" w:fill="FFFFFF"/>
              </w:rPr>
            </w:pPr>
            <w:r w:rsidRPr="00293C29">
              <w:rPr>
                <w:shd w:val="clear" w:color="auto" w:fill="FFFFFF"/>
              </w:rPr>
              <w:t>26.9 (4.9)</w:t>
            </w:r>
          </w:p>
        </w:tc>
        <w:tc>
          <w:tcPr>
            <w:tcW w:w="1757" w:type="dxa"/>
          </w:tcPr>
          <w:p w14:paraId="1486FB20" w14:textId="77777777" w:rsidR="00AD51E7" w:rsidRPr="00293C29" w:rsidRDefault="00AD51E7" w:rsidP="00805581">
            <w:pPr>
              <w:pStyle w:val="NoSpacing"/>
              <w:jc w:val="center"/>
              <w:rPr>
                <w:shd w:val="clear" w:color="auto" w:fill="FFFFFF"/>
              </w:rPr>
            </w:pPr>
            <w:r w:rsidRPr="00293C29">
              <w:rPr>
                <w:shd w:val="clear" w:color="auto" w:fill="FFFFFF"/>
              </w:rPr>
              <w:t>26.8 (4.8)</w:t>
            </w:r>
          </w:p>
        </w:tc>
        <w:tc>
          <w:tcPr>
            <w:tcW w:w="1486" w:type="dxa"/>
          </w:tcPr>
          <w:p w14:paraId="195CCA20" w14:textId="77777777" w:rsidR="00AD51E7" w:rsidRPr="00293C29" w:rsidRDefault="00AD51E7" w:rsidP="00805581">
            <w:pPr>
              <w:pStyle w:val="NoSpacing"/>
              <w:jc w:val="center"/>
              <w:rPr>
                <w:shd w:val="clear" w:color="auto" w:fill="FFFFFF"/>
              </w:rPr>
            </w:pPr>
            <w:r w:rsidRPr="00293C29">
              <w:rPr>
                <w:shd w:val="clear" w:color="auto" w:fill="FFFFFF"/>
              </w:rPr>
              <w:t>27.0 (5.0)</w:t>
            </w:r>
          </w:p>
        </w:tc>
        <w:tc>
          <w:tcPr>
            <w:tcW w:w="1482" w:type="dxa"/>
          </w:tcPr>
          <w:p w14:paraId="17C2FCC1" w14:textId="77777777" w:rsidR="00AD51E7" w:rsidRPr="00293C29" w:rsidRDefault="00AD51E7" w:rsidP="00805581">
            <w:pPr>
              <w:pStyle w:val="NoSpacing"/>
              <w:jc w:val="center"/>
              <w:rPr>
                <w:shd w:val="clear" w:color="auto" w:fill="FFFFFF"/>
              </w:rPr>
            </w:pPr>
            <w:r w:rsidRPr="00293C29">
              <w:rPr>
                <w:shd w:val="clear" w:color="auto" w:fill="FFFFFF"/>
              </w:rPr>
              <w:t>27.5 (5.0)</w:t>
            </w:r>
          </w:p>
        </w:tc>
      </w:tr>
      <w:tr w:rsidR="00293C29" w:rsidRPr="00293C29" w14:paraId="58FBEB50" w14:textId="77777777" w:rsidTr="00D508F3">
        <w:tc>
          <w:tcPr>
            <w:tcW w:w="2900" w:type="dxa"/>
          </w:tcPr>
          <w:p w14:paraId="45EC1DF1" w14:textId="77777777" w:rsidR="00AD51E7" w:rsidRPr="00293C29" w:rsidRDefault="00AD51E7" w:rsidP="00805581">
            <w:pPr>
              <w:pStyle w:val="NoSpacing"/>
              <w:rPr>
                <w:b/>
                <w:shd w:val="clear" w:color="auto" w:fill="FFFFFF"/>
              </w:rPr>
            </w:pPr>
            <w:r w:rsidRPr="00293C29">
              <w:rPr>
                <w:b/>
                <w:shd w:val="clear" w:color="auto" w:fill="FFFFFF"/>
              </w:rPr>
              <w:t>Age at menopause (years)</w:t>
            </w:r>
          </w:p>
        </w:tc>
        <w:tc>
          <w:tcPr>
            <w:tcW w:w="1956" w:type="dxa"/>
          </w:tcPr>
          <w:p w14:paraId="0E458BEF" w14:textId="77777777" w:rsidR="00AD51E7" w:rsidRPr="00293C29" w:rsidRDefault="00AD51E7" w:rsidP="00805581">
            <w:pPr>
              <w:pStyle w:val="NoSpacing"/>
              <w:jc w:val="center"/>
              <w:rPr>
                <w:shd w:val="clear" w:color="auto" w:fill="FFFFFF"/>
              </w:rPr>
            </w:pPr>
            <w:r w:rsidRPr="00293C29">
              <w:rPr>
                <w:shd w:val="clear" w:color="auto" w:fill="FFFFFF"/>
              </w:rPr>
              <w:t>51 (4.0)</w:t>
            </w:r>
          </w:p>
        </w:tc>
        <w:tc>
          <w:tcPr>
            <w:tcW w:w="1757" w:type="dxa"/>
          </w:tcPr>
          <w:p w14:paraId="1D15FA16" w14:textId="77777777" w:rsidR="00AD51E7" w:rsidRPr="00293C29" w:rsidRDefault="00AD51E7" w:rsidP="00805581">
            <w:pPr>
              <w:pStyle w:val="NoSpacing"/>
              <w:jc w:val="center"/>
              <w:rPr>
                <w:shd w:val="clear" w:color="auto" w:fill="FFFFFF"/>
              </w:rPr>
            </w:pPr>
            <w:r w:rsidRPr="00293C29">
              <w:rPr>
                <w:shd w:val="clear" w:color="auto" w:fill="FFFFFF"/>
              </w:rPr>
              <w:t>51 (4.0)</w:t>
            </w:r>
          </w:p>
        </w:tc>
        <w:tc>
          <w:tcPr>
            <w:tcW w:w="1486" w:type="dxa"/>
          </w:tcPr>
          <w:p w14:paraId="6F27E28D" w14:textId="77777777" w:rsidR="00AD51E7" w:rsidRPr="00293C29" w:rsidRDefault="00AD51E7" w:rsidP="00805581">
            <w:pPr>
              <w:pStyle w:val="NoSpacing"/>
              <w:jc w:val="center"/>
              <w:rPr>
                <w:shd w:val="clear" w:color="auto" w:fill="FFFFFF"/>
              </w:rPr>
            </w:pPr>
            <w:r w:rsidRPr="00293C29">
              <w:rPr>
                <w:shd w:val="clear" w:color="auto" w:fill="FFFFFF"/>
              </w:rPr>
              <w:t>42 (1.4)</w:t>
            </w:r>
          </w:p>
        </w:tc>
        <w:tc>
          <w:tcPr>
            <w:tcW w:w="1482" w:type="dxa"/>
          </w:tcPr>
          <w:p w14:paraId="682B1CC7" w14:textId="77777777" w:rsidR="00AD51E7" w:rsidRPr="00293C29" w:rsidRDefault="00AD51E7" w:rsidP="00805581">
            <w:pPr>
              <w:pStyle w:val="NoSpacing"/>
              <w:jc w:val="center"/>
              <w:rPr>
                <w:shd w:val="clear" w:color="auto" w:fill="FFFFFF"/>
              </w:rPr>
            </w:pPr>
            <w:r w:rsidRPr="00293C29">
              <w:rPr>
                <w:shd w:val="clear" w:color="auto" w:fill="FFFFFF"/>
              </w:rPr>
              <w:t>57 (1.2)</w:t>
            </w:r>
          </w:p>
        </w:tc>
      </w:tr>
      <w:tr w:rsidR="00293C29" w:rsidRPr="00293C29" w14:paraId="7270EB41" w14:textId="77777777" w:rsidTr="00D508F3">
        <w:tc>
          <w:tcPr>
            <w:tcW w:w="2900" w:type="dxa"/>
          </w:tcPr>
          <w:p w14:paraId="537F40EA" w14:textId="77777777" w:rsidR="00AD51E7" w:rsidRPr="00293C29" w:rsidRDefault="00AD51E7" w:rsidP="00805581">
            <w:pPr>
              <w:pStyle w:val="NoSpacing"/>
              <w:rPr>
                <w:shd w:val="clear" w:color="auto" w:fill="FFFFFF"/>
              </w:rPr>
            </w:pPr>
            <w:r w:rsidRPr="00293C29">
              <w:rPr>
                <w:shd w:val="clear" w:color="auto" w:fill="FFFFFF"/>
              </w:rPr>
              <w:t xml:space="preserve"> Early menopause (&lt;45 years) </w:t>
            </w:r>
          </w:p>
        </w:tc>
        <w:tc>
          <w:tcPr>
            <w:tcW w:w="1956" w:type="dxa"/>
          </w:tcPr>
          <w:p w14:paraId="53EA3D94" w14:textId="77777777" w:rsidR="00AD51E7" w:rsidRPr="00293C29" w:rsidRDefault="00AD51E7" w:rsidP="00805581">
            <w:pPr>
              <w:pStyle w:val="NoSpacing"/>
              <w:jc w:val="center"/>
              <w:rPr>
                <w:shd w:val="clear" w:color="auto" w:fill="FFFFFF"/>
              </w:rPr>
            </w:pPr>
            <w:r w:rsidRPr="00293C29">
              <w:rPr>
                <w:shd w:val="clear" w:color="auto" w:fill="FFFFFF"/>
              </w:rPr>
              <w:t>7,206 (7.6%)</w:t>
            </w:r>
          </w:p>
        </w:tc>
        <w:tc>
          <w:tcPr>
            <w:tcW w:w="1757" w:type="dxa"/>
          </w:tcPr>
          <w:p w14:paraId="5C49382C" w14:textId="77777777" w:rsidR="00AD51E7" w:rsidRPr="00293C29" w:rsidRDefault="00AD51E7" w:rsidP="00805581">
            <w:pPr>
              <w:pStyle w:val="NoSpacing"/>
              <w:jc w:val="center"/>
              <w:rPr>
                <w:shd w:val="clear" w:color="auto" w:fill="FFFFFF"/>
              </w:rPr>
            </w:pPr>
            <w:r w:rsidRPr="00293C29">
              <w:rPr>
                <w:shd w:val="clear" w:color="auto" w:fill="FFFFFF"/>
              </w:rPr>
              <w:t>6,369 (7.5%)</w:t>
            </w:r>
          </w:p>
        </w:tc>
        <w:tc>
          <w:tcPr>
            <w:tcW w:w="1486" w:type="dxa"/>
          </w:tcPr>
          <w:p w14:paraId="7FFCCEEA" w14:textId="77777777" w:rsidR="00AD51E7" w:rsidRPr="00293C29" w:rsidRDefault="00AD51E7" w:rsidP="00805581">
            <w:pPr>
              <w:pStyle w:val="NoSpacing"/>
              <w:jc w:val="center"/>
              <w:rPr>
                <w:shd w:val="clear" w:color="auto" w:fill="FFFFFF"/>
              </w:rPr>
            </w:pPr>
            <w:r w:rsidRPr="00293C29">
              <w:rPr>
                <w:shd w:val="clear" w:color="auto" w:fill="FFFFFF"/>
              </w:rPr>
              <w:t>7,206 (100%)</w:t>
            </w:r>
          </w:p>
        </w:tc>
        <w:tc>
          <w:tcPr>
            <w:tcW w:w="1482" w:type="dxa"/>
          </w:tcPr>
          <w:p w14:paraId="209AEC88" w14:textId="77777777" w:rsidR="00AD51E7" w:rsidRPr="00293C29" w:rsidRDefault="00AD51E7" w:rsidP="00805581">
            <w:pPr>
              <w:pStyle w:val="NoSpacing"/>
              <w:jc w:val="center"/>
              <w:rPr>
                <w:shd w:val="clear" w:color="auto" w:fill="FFFFFF"/>
              </w:rPr>
            </w:pPr>
            <w:r w:rsidRPr="00293C29">
              <w:rPr>
                <w:shd w:val="clear" w:color="auto" w:fill="FFFFFF"/>
              </w:rPr>
              <w:t>-</w:t>
            </w:r>
          </w:p>
        </w:tc>
      </w:tr>
      <w:tr w:rsidR="00293C29" w:rsidRPr="00293C29" w14:paraId="6D0F4F20" w14:textId="77777777" w:rsidTr="00D508F3">
        <w:tc>
          <w:tcPr>
            <w:tcW w:w="2900" w:type="dxa"/>
          </w:tcPr>
          <w:p w14:paraId="70FE1240" w14:textId="77777777" w:rsidR="00AD51E7" w:rsidRPr="00293C29" w:rsidRDefault="00AD51E7" w:rsidP="00805581">
            <w:pPr>
              <w:pStyle w:val="NoSpacing"/>
              <w:rPr>
                <w:shd w:val="clear" w:color="auto" w:fill="FFFFFF"/>
              </w:rPr>
            </w:pPr>
            <w:r w:rsidRPr="00293C29">
              <w:rPr>
                <w:shd w:val="clear" w:color="auto" w:fill="FFFFFF"/>
              </w:rPr>
              <w:t xml:space="preserve"> Late menopause (&gt;55 years)</w:t>
            </w:r>
          </w:p>
        </w:tc>
        <w:tc>
          <w:tcPr>
            <w:tcW w:w="1956" w:type="dxa"/>
          </w:tcPr>
          <w:p w14:paraId="5E0F01FB" w14:textId="77777777" w:rsidR="00AD51E7" w:rsidRPr="00293C29" w:rsidRDefault="00AD51E7" w:rsidP="00805581">
            <w:pPr>
              <w:pStyle w:val="NoSpacing"/>
              <w:jc w:val="center"/>
              <w:rPr>
                <w:shd w:val="clear" w:color="auto" w:fill="FFFFFF"/>
              </w:rPr>
            </w:pPr>
            <w:r w:rsidRPr="00293C29">
              <w:rPr>
                <w:shd w:val="clear" w:color="auto" w:fill="FFFFFF"/>
              </w:rPr>
              <w:t>8,468 (8.9%)</w:t>
            </w:r>
          </w:p>
        </w:tc>
        <w:tc>
          <w:tcPr>
            <w:tcW w:w="1757" w:type="dxa"/>
          </w:tcPr>
          <w:p w14:paraId="00CBE735" w14:textId="77777777" w:rsidR="00AD51E7" w:rsidRPr="00293C29" w:rsidRDefault="00AD51E7" w:rsidP="00805581">
            <w:pPr>
              <w:pStyle w:val="NoSpacing"/>
              <w:jc w:val="center"/>
              <w:rPr>
                <w:shd w:val="clear" w:color="auto" w:fill="FFFFFF"/>
              </w:rPr>
            </w:pPr>
            <w:r w:rsidRPr="00293C29">
              <w:rPr>
                <w:shd w:val="clear" w:color="auto" w:fill="FFFFFF"/>
              </w:rPr>
              <w:t>7,541 (8.9%)</w:t>
            </w:r>
          </w:p>
        </w:tc>
        <w:tc>
          <w:tcPr>
            <w:tcW w:w="1486" w:type="dxa"/>
          </w:tcPr>
          <w:p w14:paraId="29719ABF" w14:textId="77777777" w:rsidR="00AD51E7" w:rsidRPr="00293C29" w:rsidRDefault="00AD51E7" w:rsidP="00805581">
            <w:pPr>
              <w:pStyle w:val="NoSpacing"/>
              <w:jc w:val="center"/>
              <w:rPr>
                <w:shd w:val="clear" w:color="auto" w:fill="FFFFFF"/>
              </w:rPr>
            </w:pPr>
            <w:r w:rsidRPr="00293C29">
              <w:rPr>
                <w:shd w:val="clear" w:color="auto" w:fill="FFFFFF"/>
              </w:rPr>
              <w:t>-</w:t>
            </w:r>
          </w:p>
        </w:tc>
        <w:tc>
          <w:tcPr>
            <w:tcW w:w="1482" w:type="dxa"/>
          </w:tcPr>
          <w:p w14:paraId="064A5799" w14:textId="77777777" w:rsidR="00AD51E7" w:rsidRPr="00293C29" w:rsidRDefault="00AD51E7" w:rsidP="00805581">
            <w:pPr>
              <w:pStyle w:val="NoSpacing"/>
              <w:jc w:val="center"/>
              <w:rPr>
                <w:shd w:val="clear" w:color="auto" w:fill="FFFFFF"/>
              </w:rPr>
            </w:pPr>
            <w:r w:rsidRPr="00293C29">
              <w:rPr>
                <w:shd w:val="clear" w:color="auto" w:fill="FFFFFF"/>
              </w:rPr>
              <w:t>8,468 (100%)</w:t>
            </w:r>
          </w:p>
        </w:tc>
      </w:tr>
      <w:tr w:rsidR="00293C29" w:rsidRPr="00293C29" w14:paraId="328C1A2B" w14:textId="77777777" w:rsidTr="00D508F3">
        <w:tc>
          <w:tcPr>
            <w:tcW w:w="2900" w:type="dxa"/>
          </w:tcPr>
          <w:p w14:paraId="7F5B6C34" w14:textId="77777777" w:rsidR="00AD51E7" w:rsidRPr="00293C29" w:rsidRDefault="00AD51E7" w:rsidP="00805581">
            <w:pPr>
              <w:pStyle w:val="NoSpacing"/>
              <w:rPr>
                <w:b/>
                <w:shd w:val="clear" w:color="auto" w:fill="FFFFFF"/>
              </w:rPr>
            </w:pPr>
            <w:r w:rsidRPr="00293C29">
              <w:rPr>
                <w:b/>
                <w:shd w:val="clear" w:color="auto" w:fill="FFFFFF"/>
              </w:rPr>
              <w:t>Age at menarche (years)</w:t>
            </w:r>
          </w:p>
        </w:tc>
        <w:tc>
          <w:tcPr>
            <w:tcW w:w="1956" w:type="dxa"/>
          </w:tcPr>
          <w:p w14:paraId="71530CEF" w14:textId="77777777" w:rsidR="00AD51E7" w:rsidRPr="00293C29" w:rsidRDefault="00AD51E7" w:rsidP="00805581">
            <w:pPr>
              <w:pStyle w:val="NoSpacing"/>
              <w:jc w:val="center"/>
              <w:rPr>
                <w:shd w:val="clear" w:color="auto" w:fill="FFFFFF"/>
              </w:rPr>
            </w:pPr>
            <w:r w:rsidRPr="00293C29">
              <w:rPr>
                <w:shd w:val="clear" w:color="auto" w:fill="FFFFFF"/>
              </w:rPr>
              <w:t>13 (1.6)</w:t>
            </w:r>
          </w:p>
        </w:tc>
        <w:tc>
          <w:tcPr>
            <w:tcW w:w="1757" w:type="dxa"/>
          </w:tcPr>
          <w:p w14:paraId="1A242B61" w14:textId="77777777" w:rsidR="00AD51E7" w:rsidRPr="00293C29" w:rsidRDefault="00AD51E7" w:rsidP="00805581">
            <w:pPr>
              <w:pStyle w:val="NoSpacing"/>
              <w:jc w:val="center"/>
              <w:rPr>
                <w:shd w:val="clear" w:color="auto" w:fill="FFFFFF"/>
              </w:rPr>
            </w:pPr>
            <w:r w:rsidRPr="00293C29">
              <w:rPr>
                <w:shd w:val="clear" w:color="auto" w:fill="FFFFFF"/>
              </w:rPr>
              <w:t>13 (1.6)</w:t>
            </w:r>
          </w:p>
        </w:tc>
        <w:tc>
          <w:tcPr>
            <w:tcW w:w="1486" w:type="dxa"/>
          </w:tcPr>
          <w:p w14:paraId="78A0FA22" w14:textId="77777777" w:rsidR="00AD51E7" w:rsidRPr="00293C29" w:rsidRDefault="00AD51E7" w:rsidP="00805581">
            <w:pPr>
              <w:pStyle w:val="NoSpacing"/>
              <w:jc w:val="center"/>
              <w:rPr>
                <w:shd w:val="clear" w:color="auto" w:fill="FFFFFF"/>
              </w:rPr>
            </w:pPr>
            <w:r w:rsidRPr="00293C29">
              <w:rPr>
                <w:shd w:val="clear" w:color="auto" w:fill="FFFFFF"/>
              </w:rPr>
              <w:t>13 (2.9)</w:t>
            </w:r>
          </w:p>
        </w:tc>
        <w:tc>
          <w:tcPr>
            <w:tcW w:w="1482" w:type="dxa"/>
          </w:tcPr>
          <w:p w14:paraId="52A8D8A5" w14:textId="77777777" w:rsidR="00AD51E7" w:rsidRPr="00293C29" w:rsidRDefault="00AD51E7" w:rsidP="00805581">
            <w:pPr>
              <w:pStyle w:val="NoSpacing"/>
              <w:jc w:val="center"/>
              <w:rPr>
                <w:shd w:val="clear" w:color="auto" w:fill="FFFFFF"/>
              </w:rPr>
            </w:pPr>
            <w:r w:rsidRPr="00293C29">
              <w:rPr>
                <w:shd w:val="clear" w:color="auto" w:fill="FFFFFF"/>
              </w:rPr>
              <w:t>13 (2.4)</w:t>
            </w:r>
          </w:p>
        </w:tc>
      </w:tr>
      <w:tr w:rsidR="00293C29" w:rsidRPr="00293C29" w14:paraId="338ACC6F" w14:textId="77777777" w:rsidTr="00D508F3">
        <w:tc>
          <w:tcPr>
            <w:tcW w:w="2900" w:type="dxa"/>
          </w:tcPr>
          <w:p w14:paraId="43D4B07F" w14:textId="77777777" w:rsidR="00AD51E7" w:rsidRPr="00293C29" w:rsidRDefault="00AD51E7" w:rsidP="00805581">
            <w:pPr>
              <w:pStyle w:val="NoSpacing"/>
              <w:rPr>
                <w:b/>
                <w:shd w:val="clear" w:color="auto" w:fill="FFFFFF"/>
              </w:rPr>
            </w:pPr>
            <w:r w:rsidRPr="00293C29">
              <w:rPr>
                <w:b/>
                <w:shd w:val="clear" w:color="auto" w:fill="FFFFFF"/>
              </w:rPr>
              <w:t>Lung function</w:t>
            </w:r>
          </w:p>
        </w:tc>
        <w:tc>
          <w:tcPr>
            <w:tcW w:w="1956" w:type="dxa"/>
          </w:tcPr>
          <w:p w14:paraId="5183DFE9" w14:textId="77777777" w:rsidR="00AD51E7" w:rsidRPr="00293C29" w:rsidRDefault="00AD51E7" w:rsidP="00805581">
            <w:pPr>
              <w:pStyle w:val="NoSpacing"/>
              <w:jc w:val="center"/>
              <w:rPr>
                <w:shd w:val="clear" w:color="auto" w:fill="FFFFFF"/>
              </w:rPr>
            </w:pPr>
          </w:p>
        </w:tc>
        <w:tc>
          <w:tcPr>
            <w:tcW w:w="1757" w:type="dxa"/>
          </w:tcPr>
          <w:p w14:paraId="4B31DD70" w14:textId="77777777" w:rsidR="00AD51E7" w:rsidRPr="00293C29" w:rsidRDefault="00AD51E7" w:rsidP="00805581">
            <w:pPr>
              <w:pStyle w:val="NoSpacing"/>
              <w:jc w:val="center"/>
              <w:rPr>
                <w:shd w:val="clear" w:color="auto" w:fill="FFFFFF"/>
              </w:rPr>
            </w:pPr>
          </w:p>
        </w:tc>
        <w:tc>
          <w:tcPr>
            <w:tcW w:w="1486" w:type="dxa"/>
          </w:tcPr>
          <w:p w14:paraId="5308EBD3" w14:textId="77777777" w:rsidR="00AD51E7" w:rsidRPr="00293C29" w:rsidRDefault="00AD51E7" w:rsidP="00805581">
            <w:pPr>
              <w:pStyle w:val="NoSpacing"/>
              <w:jc w:val="center"/>
              <w:rPr>
                <w:shd w:val="clear" w:color="auto" w:fill="FFFFFF"/>
              </w:rPr>
            </w:pPr>
          </w:p>
        </w:tc>
        <w:tc>
          <w:tcPr>
            <w:tcW w:w="1482" w:type="dxa"/>
          </w:tcPr>
          <w:p w14:paraId="184BEB33" w14:textId="77777777" w:rsidR="00AD51E7" w:rsidRPr="00293C29" w:rsidRDefault="00AD51E7" w:rsidP="00805581">
            <w:pPr>
              <w:pStyle w:val="NoSpacing"/>
              <w:jc w:val="center"/>
              <w:rPr>
                <w:shd w:val="clear" w:color="auto" w:fill="FFFFFF"/>
              </w:rPr>
            </w:pPr>
          </w:p>
        </w:tc>
      </w:tr>
      <w:tr w:rsidR="00293C29" w:rsidRPr="00293C29" w14:paraId="3B561D9D" w14:textId="77777777" w:rsidTr="00D508F3">
        <w:tc>
          <w:tcPr>
            <w:tcW w:w="2900" w:type="dxa"/>
          </w:tcPr>
          <w:p w14:paraId="6ED18E0C" w14:textId="77777777" w:rsidR="00AD51E7" w:rsidRPr="00293C29" w:rsidRDefault="00AD51E7" w:rsidP="00805581">
            <w:pPr>
              <w:pStyle w:val="NoSpacing"/>
              <w:rPr>
                <w:shd w:val="clear" w:color="auto" w:fill="FFFFFF"/>
              </w:rPr>
            </w:pPr>
            <w:r w:rsidRPr="00293C29">
              <w:rPr>
                <w:shd w:val="clear" w:color="auto" w:fill="FFFFFF"/>
              </w:rPr>
              <w:t xml:space="preserve"> </w:t>
            </w:r>
            <w:proofErr w:type="spellStart"/>
            <w:r w:rsidRPr="00293C29">
              <w:rPr>
                <w:shd w:val="clear" w:color="auto" w:fill="FFFFFF"/>
              </w:rPr>
              <w:t>FVC%pred</w:t>
            </w:r>
            <w:proofErr w:type="spellEnd"/>
            <w:r w:rsidRPr="00293C29">
              <w:rPr>
                <w:shd w:val="clear" w:color="auto" w:fill="FFFFFF"/>
              </w:rPr>
              <w:t xml:space="preserve"> (%) </w:t>
            </w:r>
          </w:p>
        </w:tc>
        <w:tc>
          <w:tcPr>
            <w:tcW w:w="1956" w:type="dxa"/>
          </w:tcPr>
          <w:p w14:paraId="78434663" w14:textId="77777777" w:rsidR="00AD51E7" w:rsidRPr="00293C29" w:rsidRDefault="00AD51E7" w:rsidP="00805581">
            <w:pPr>
              <w:pStyle w:val="NoSpacing"/>
              <w:jc w:val="center"/>
              <w:rPr>
                <w:shd w:val="clear" w:color="auto" w:fill="FFFFFF"/>
              </w:rPr>
            </w:pPr>
            <w:r w:rsidRPr="00293C29">
              <w:rPr>
                <w:shd w:val="clear" w:color="auto" w:fill="FFFFFF"/>
              </w:rPr>
              <w:t>97.4 (15.7)</w:t>
            </w:r>
          </w:p>
        </w:tc>
        <w:tc>
          <w:tcPr>
            <w:tcW w:w="1757" w:type="dxa"/>
          </w:tcPr>
          <w:p w14:paraId="47F030B0" w14:textId="77777777" w:rsidR="00AD51E7" w:rsidRPr="00293C29" w:rsidRDefault="00AD51E7" w:rsidP="00805581">
            <w:pPr>
              <w:pStyle w:val="NoSpacing"/>
              <w:jc w:val="center"/>
              <w:rPr>
                <w:shd w:val="clear" w:color="auto" w:fill="FFFFFF"/>
              </w:rPr>
            </w:pPr>
            <w:r w:rsidRPr="00293C29">
              <w:rPr>
                <w:shd w:val="clear" w:color="auto" w:fill="FFFFFF"/>
              </w:rPr>
              <w:t>97.7 (15.6)</w:t>
            </w:r>
          </w:p>
        </w:tc>
        <w:tc>
          <w:tcPr>
            <w:tcW w:w="1486" w:type="dxa"/>
          </w:tcPr>
          <w:p w14:paraId="648898FE" w14:textId="77777777" w:rsidR="00AD51E7" w:rsidRPr="00293C29" w:rsidRDefault="00AD51E7" w:rsidP="00805581">
            <w:pPr>
              <w:pStyle w:val="NoSpacing"/>
              <w:jc w:val="center"/>
              <w:rPr>
                <w:shd w:val="clear" w:color="auto" w:fill="FFFFFF"/>
              </w:rPr>
            </w:pPr>
            <w:r w:rsidRPr="00293C29">
              <w:rPr>
                <w:shd w:val="clear" w:color="auto" w:fill="FFFFFF"/>
              </w:rPr>
              <w:t>95.7 (15.9)</w:t>
            </w:r>
          </w:p>
        </w:tc>
        <w:tc>
          <w:tcPr>
            <w:tcW w:w="1482" w:type="dxa"/>
          </w:tcPr>
          <w:p w14:paraId="676225EF" w14:textId="77777777" w:rsidR="00AD51E7" w:rsidRPr="00293C29" w:rsidRDefault="00AD51E7" w:rsidP="00805581">
            <w:pPr>
              <w:pStyle w:val="NoSpacing"/>
              <w:jc w:val="center"/>
              <w:rPr>
                <w:shd w:val="clear" w:color="auto" w:fill="FFFFFF"/>
              </w:rPr>
            </w:pPr>
            <w:r w:rsidRPr="00293C29">
              <w:rPr>
                <w:shd w:val="clear" w:color="auto" w:fill="FFFFFF"/>
              </w:rPr>
              <w:t>97.5 (15.6)</w:t>
            </w:r>
          </w:p>
        </w:tc>
      </w:tr>
      <w:tr w:rsidR="00293C29" w:rsidRPr="00293C29" w14:paraId="486FB011" w14:textId="77777777" w:rsidTr="00D508F3">
        <w:tc>
          <w:tcPr>
            <w:tcW w:w="2900" w:type="dxa"/>
          </w:tcPr>
          <w:p w14:paraId="71BAD711" w14:textId="77777777" w:rsidR="00AD51E7" w:rsidRPr="00293C29" w:rsidRDefault="00AD51E7" w:rsidP="00805581">
            <w:pPr>
              <w:pStyle w:val="NoSpacing"/>
              <w:rPr>
                <w:shd w:val="clear" w:color="auto" w:fill="FFFFFF"/>
              </w:rPr>
            </w:pPr>
            <w:r w:rsidRPr="00293C29">
              <w:rPr>
                <w:shd w:val="clear" w:color="auto" w:fill="FFFFFF"/>
              </w:rPr>
              <w:t xml:space="preserve"> FEV</w:t>
            </w:r>
            <w:r w:rsidRPr="00293C29">
              <w:rPr>
                <w:shd w:val="clear" w:color="auto" w:fill="FFFFFF"/>
                <w:vertAlign w:val="subscript"/>
              </w:rPr>
              <w:t>1</w:t>
            </w:r>
            <w:r w:rsidRPr="00293C29">
              <w:rPr>
                <w:shd w:val="clear" w:color="auto" w:fill="FFFFFF"/>
              </w:rPr>
              <w:t>%pred (%)</w:t>
            </w:r>
          </w:p>
        </w:tc>
        <w:tc>
          <w:tcPr>
            <w:tcW w:w="1956" w:type="dxa"/>
          </w:tcPr>
          <w:p w14:paraId="27D98882" w14:textId="77777777" w:rsidR="00AD51E7" w:rsidRPr="00293C29" w:rsidRDefault="00AD51E7" w:rsidP="00805581">
            <w:pPr>
              <w:pStyle w:val="NoSpacing"/>
              <w:jc w:val="center"/>
              <w:rPr>
                <w:shd w:val="clear" w:color="auto" w:fill="FFFFFF"/>
              </w:rPr>
            </w:pPr>
            <w:r w:rsidRPr="00293C29">
              <w:rPr>
                <w:shd w:val="clear" w:color="auto" w:fill="FFFFFF"/>
              </w:rPr>
              <w:t>93.1 (16.8)</w:t>
            </w:r>
          </w:p>
        </w:tc>
        <w:tc>
          <w:tcPr>
            <w:tcW w:w="1757" w:type="dxa"/>
          </w:tcPr>
          <w:p w14:paraId="5F56BB44" w14:textId="77777777" w:rsidR="00AD51E7" w:rsidRPr="00293C29" w:rsidRDefault="00AD51E7" w:rsidP="00805581">
            <w:pPr>
              <w:pStyle w:val="NoSpacing"/>
              <w:jc w:val="center"/>
              <w:rPr>
                <w:shd w:val="clear" w:color="auto" w:fill="FFFFFF"/>
              </w:rPr>
            </w:pPr>
            <w:r w:rsidRPr="00293C29">
              <w:rPr>
                <w:shd w:val="clear" w:color="auto" w:fill="FFFFFF"/>
              </w:rPr>
              <w:t>93.4 (16.7)</w:t>
            </w:r>
          </w:p>
        </w:tc>
        <w:tc>
          <w:tcPr>
            <w:tcW w:w="1486" w:type="dxa"/>
          </w:tcPr>
          <w:p w14:paraId="1D5B09F4" w14:textId="77777777" w:rsidR="00AD51E7" w:rsidRPr="00293C29" w:rsidRDefault="00AD51E7" w:rsidP="00805581">
            <w:pPr>
              <w:pStyle w:val="NoSpacing"/>
              <w:jc w:val="center"/>
              <w:rPr>
                <w:shd w:val="clear" w:color="auto" w:fill="FFFFFF"/>
              </w:rPr>
            </w:pPr>
            <w:r w:rsidRPr="00293C29">
              <w:rPr>
                <w:shd w:val="clear" w:color="auto" w:fill="FFFFFF"/>
              </w:rPr>
              <w:t>91.1 (17.3)</w:t>
            </w:r>
          </w:p>
        </w:tc>
        <w:tc>
          <w:tcPr>
            <w:tcW w:w="1482" w:type="dxa"/>
          </w:tcPr>
          <w:p w14:paraId="48999ED8" w14:textId="77777777" w:rsidR="00AD51E7" w:rsidRPr="00293C29" w:rsidRDefault="00AD51E7" w:rsidP="00805581">
            <w:pPr>
              <w:pStyle w:val="NoSpacing"/>
              <w:jc w:val="center"/>
              <w:rPr>
                <w:shd w:val="clear" w:color="auto" w:fill="FFFFFF"/>
              </w:rPr>
            </w:pPr>
            <w:r w:rsidRPr="00293C29">
              <w:rPr>
                <w:shd w:val="clear" w:color="auto" w:fill="FFFFFF"/>
              </w:rPr>
              <w:t>93.3 (16.8)</w:t>
            </w:r>
          </w:p>
        </w:tc>
      </w:tr>
      <w:tr w:rsidR="00293C29" w:rsidRPr="00293C29" w14:paraId="1B3332FA" w14:textId="77777777" w:rsidTr="00D508F3">
        <w:tc>
          <w:tcPr>
            <w:tcW w:w="2900" w:type="dxa"/>
          </w:tcPr>
          <w:p w14:paraId="7FC24FB8" w14:textId="77777777" w:rsidR="00AD51E7" w:rsidRPr="00293C29" w:rsidRDefault="00AD51E7" w:rsidP="00805581">
            <w:pPr>
              <w:pStyle w:val="NoSpacing"/>
              <w:rPr>
                <w:shd w:val="clear" w:color="auto" w:fill="FFFFFF"/>
              </w:rPr>
            </w:pPr>
            <w:r w:rsidRPr="00293C29">
              <w:rPr>
                <w:shd w:val="clear" w:color="auto" w:fill="FFFFFF"/>
              </w:rPr>
              <w:t xml:space="preserve"> FEV</w:t>
            </w:r>
            <w:r w:rsidRPr="00293C29">
              <w:rPr>
                <w:shd w:val="clear" w:color="auto" w:fill="FFFFFF"/>
                <w:vertAlign w:val="subscript"/>
              </w:rPr>
              <w:t>1</w:t>
            </w:r>
            <w:r w:rsidRPr="00293C29">
              <w:rPr>
                <w:shd w:val="clear" w:color="auto" w:fill="FFFFFF"/>
              </w:rPr>
              <w:t>/FVC (%)</w:t>
            </w:r>
          </w:p>
        </w:tc>
        <w:tc>
          <w:tcPr>
            <w:tcW w:w="1956" w:type="dxa"/>
          </w:tcPr>
          <w:p w14:paraId="5C7933FD" w14:textId="77777777" w:rsidR="00AD51E7" w:rsidRPr="00293C29" w:rsidRDefault="00AD51E7" w:rsidP="00805581">
            <w:pPr>
              <w:pStyle w:val="NoSpacing"/>
              <w:jc w:val="center"/>
              <w:rPr>
                <w:shd w:val="clear" w:color="auto" w:fill="FFFFFF"/>
              </w:rPr>
            </w:pPr>
            <w:r w:rsidRPr="00293C29">
              <w:rPr>
                <w:shd w:val="clear" w:color="auto" w:fill="FFFFFF"/>
              </w:rPr>
              <w:t>75.3 (6.3)</w:t>
            </w:r>
          </w:p>
        </w:tc>
        <w:tc>
          <w:tcPr>
            <w:tcW w:w="1757" w:type="dxa"/>
          </w:tcPr>
          <w:p w14:paraId="30CC4B5A" w14:textId="77777777" w:rsidR="00AD51E7" w:rsidRPr="00293C29" w:rsidRDefault="00AD51E7" w:rsidP="00805581">
            <w:pPr>
              <w:pStyle w:val="NoSpacing"/>
              <w:jc w:val="center"/>
              <w:rPr>
                <w:shd w:val="clear" w:color="auto" w:fill="FFFFFF"/>
              </w:rPr>
            </w:pPr>
            <w:r w:rsidRPr="00293C29">
              <w:rPr>
                <w:shd w:val="clear" w:color="auto" w:fill="FFFFFF"/>
              </w:rPr>
              <w:t>75.3 (6.3)</w:t>
            </w:r>
          </w:p>
        </w:tc>
        <w:tc>
          <w:tcPr>
            <w:tcW w:w="1486" w:type="dxa"/>
          </w:tcPr>
          <w:p w14:paraId="28737864" w14:textId="77777777" w:rsidR="00AD51E7" w:rsidRPr="00293C29" w:rsidRDefault="00AD51E7" w:rsidP="00805581">
            <w:pPr>
              <w:pStyle w:val="NoSpacing"/>
              <w:jc w:val="center"/>
              <w:rPr>
                <w:shd w:val="clear" w:color="auto" w:fill="FFFFFF"/>
              </w:rPr>
            </w:pPr>
            <w:r w:rsidRPr="00293C29">
              <w:rPr>
                <w:shd w:val="clear" w:color="auto" w:fill="FFFFFF"/>
              </w:rPr>
              <w:t>75.1 (6.7)</w:t>
            </w:r>
          </w:p>
        </w:tc>
        <w:tc>
          <w:tcPr>
            <w:tcW w:w="1482" w:type="dxa"/>
          </w:tcPr>
          <w:p w14:paraId="70DE4CBF" w14:textId="77777777" w:rsidR="00AD51E7" w:rsidRPr="00293C29" w:rsidRDefault="00AD51E7" w:rsidP="00805581">
            <w:pPr>
              <w:pStyle w:val="NoSpacing"/>
              <w:jc w:val="center"/>
              <w:rPr>
                <w:shd w:val="clear" w:color="auto" w:fill="FFFFFF"/>
              </w:rPr>
            </w:pPr>
            <w:r w:rsidRPr="00293C29">
              <w:rPr>
                <w:shd w:val="clear" w:color="auto" w:fill="FFFFFF"/>
              </w:rPr>
              <w:t>75.2 (6.3)</w:t>
            </w:r>
          </w:p>
        </w:tc>
      </w:tr>
      <w:tr w:rsidR="00293C29" w:rsidRPr="00293C29" w14:paraId="735F383A" w14:textId="77777777" w:rsidTr="00D508F3">
        <w:tc>
          <w:tcPr>
            <w:tcW w:w="2900" w:type="dxa"/>
          </w:tcPr>
          <w:p w14:paraId="16375067" w14:textId="77777777" w:rsidR="00AD51E7" w:rsidRPr="00293C29" w:rsidRDefault="00AD51E7" w:rsidP="00805581">
            <w:pPr>
              <w:pStyle w:val="NoSpacing"/>
              <w:rPr>
                <w:shd w:val="clear" w:color="auto" w:fill="FFFFFF"/>
              </w:rPr>
            </w:pPr>
            <w:r w:rsidRPr="00293C29">
              <w:rPr>
                <w:shd w:val="clear" w:color="auto" w:fill="FFFFFF"/>
              </w:rPr>
              <w:t xml:space="preserve"> FEV</w:t>
            </w:r>
            <w:r w:rsidRPr="00293C29">
              <w:rPr>
                <w:shd w:val="clear" w:color="auto" w:fill="FFFFFF"/>
                <w:vertAlign w:val="subscript"/>
              </w:rPr>
              <w:t>1</w:t>
            </w:r>
            <w:r w:rsidRPr="00293C29">
              <w:rPr>
                <w:shd w:val="clear" w:color="auto" w:fill="FFFFFF"/>
              </w:rPr>
              <w:t>/FVC &lt; LLN (N)</w:t>
            </w:r>
          </w:p>
        </w:tc>
        <w:tc>
          <w:tcPr>
            <w:tcW w:w="1956" w:type="dxa"/>
          </w:tcPr>
          <w:p w14:paraId="63144001" w14:textId="77777777" w:rsidR="00AD51E7" w:rsidRPr="00293C29" w:rsidRDefault="00AD51E7" w:rsidP="00805581">
            <w:pPr>
              <w:pStyle w:val="NoSpacing"/>
              <w:jc w:val="center"/>
              <w:rPr>
                <w:shd w:val="clear" w:color="auto" w:fill="FFFFFF"/>
              </w:rPr>
            </w:pPr>
            <w:r w:rsidRPr="00293C29">
              <w:rPr>
                <w:shd w:val="clear" w:color="auto" w:fill="FFFFFF"/>
              </w:rPr>
              <w:t>7,979 (8.4%)</w:t>
            </w:r>
          </w:p>
        </w:tc>
        <w:tc>
          <w:tcPr>
            <w:tcW w:w="1757" w:type="dxa"/>
          </w:tcPr>
          <w:p w14:paraId="1AE8563C" w14:textId="77777777" w:rsidR="00AD51E7" w:rsidRPr="00293C29" w:rsidRDefault="00AD51E7" w:rsidP="00805581">
            <w:pPr>
              <w:pStyle w:val="NoSpacing"/>
              <w:jc w:val="center"/>
              <w:rPr>
                <w:shd w:val="clear" w:color="auto" w:fill="FFFFFF"/>
              </w:rPr>
            </w:pPr>
            <w:r w:rsidRPr="00293C29">
              <w:rPr>
                <w:shd w:val="clear" w:color="auto" w:fill="FFFFFF"/>
              </w:rPr>
              <w:t>7,010 (8.3%)</w:t>
            </w:r>
          </w:p>
        </w:tc>
        <w:tc>
          <w:tcPr>
            <w:tcW w:w="1486" w:type="dxa"/>
          </w:tcPr>
          <w:p w14:paraId="5E40F68A" w14:textId="77777777" w:rsidR="00AD51E7" w:rsidRPr="00293C29" w:rsidRDefault="00AD51E7" w:rsidP="00805581">
            <w:pPr>
              <w:pStyle w:val="NoSpacing"/>
              <w:jc w:val="center"/>
              <w:rPr>
                <w:shd w:val="clear" w:color="auto" w:fill="FFFFFF"/>
              </w:rPr>
            </w:pPr>
            <w:r w:rsidRPr="00293C29">
              <w:rPr>
                <w:shd w:val="clear" w:color="auto" w:fill="FFFFFF"/>
              </w:rPr>
              <w:t>727 (10%)</w:t>
            </w:r>
          </w:p>
        </w:tc>
        <w:tc>
          <w:tcPr>
            <w:tcW w:w="1482" w:type="dxa"/>
          </w:tcPr>
          <w:p w14:paraId="7D3EF58E" w14:textId="77777777" w:rsidR="00AD51E7" w:rsidRPr="00293C29" w:rsidRDefault="00AD51E7" w:rsidP="00805581">
            <w:pPr>
              <w:pStyle w:val="NoSpacing"/>
              <w:jc w:val="center"/>
              <w:rPr>
                <w:shd w:val="clear" w:color="auto" w:fill="FFFFFF"/>
              </w:rPr>
            </w:pPr>
            <w:r w:rsidRPr="00293C29">
              <w:rPr>
                <w:shd w:val="clear" w:color="auto" w:fill="FFFFFF"/>
              </w:rPr>
              <w:t>637 (7.5%)</w:t>
            </w:r>
          </w:p>
        </w:tc>
      </w:tr>
      <w:tr w:rsidR="00293C29" w:rsidRPr="00293C29" w14:paraId="7ABAD605" w14:textId="77777777" w:rsidTr="00D508F3">
        <w:tc>
          <w:tcPr>
            <w:tcW w:w="2900" w:type="dxa"/>
          </w:tcPr>
          <w:p w14:paraId="26FCFBCA" w14:textId="77777777" w:rsidR="00AD51E7" w:rsidRPr="00293C29" w:rsidRDefault="00AD51E7" w:rsidP="00805581">
            <w:pPr>
              <w:pStyle w:val="NoSpacing"/>
              <w:rPr>
                <w:highlight w:val="yellow"/>
                <w:shd w:val="clear" w:color="auto" w:fill="FFFFFF"/>
              </w:rPr>
            </w:pPr>
            <w:r w:rsidRPr="00293C29">
              <w:rPr>
                <w:shd w:val="clear" w:color="auto" w:fill="FFFFFF"/>
              </w:rPr>
              <w:t xml:space="preserve"> FVC &lt; LLN (N)</w:t>
            </w:r>
          </w:p>
        </w:tc>
        <w:tc>
          <w:tcPr>
            <w:tcW w:w="1956" w:type="dxa"/>
          </w:tcPr>
          <w:p w14:paraId="52542B74" w14:textId="77777777" w:rsidR="00AD51E7" w:rsidRPr="00293C29" w:rsidRDefault="00AD51E7" w:rsidP="00805581">
            <w:pPr>
              <w:pStyle w:val="NoSpacing"/>
              <w:jc w:val="center"/>
              <w:rPr>
                <w:highlight w:val="yellow"/>
                <w:shd w:val="clear" w:color="auto" w:fill="FFFFFF"/>
              </w:rPr>
            </w:pPr>
            <w:r w:rsidRPr="00293C29">
              <w:rPr>
                <w:shd w:val="clear" w:color="auto" w:fill="FFFFFF"/>
              </w:rPr>
              <w:t>6,869 (7.3%)</w:t>
            </w:r>
          </w:p>
        </w:tc>
        <w:tc>
          <w:tcPr>
            <w:tcW w:w="1757" w:type="dxa"/>
          </w:tcPr>
          <w:p w14:paraId="0213EE64" w14:textId="77777777" w:rsidR="00AD51E7" w:rsidRPr="00293C29" w:rsidRDefault="00AD51E7" w:rsidP="00805581">
            <w:pPr>
              <w:pStyle w:val="NoSpacing"/>
              <w:jc w:val="center"/>
              <w:rPr>
                <w:shd w:val="clear" w:color="auto" w:fill="FFFFFF"/>
              </w:rPr>
            </w:pPr>
            <w:r w:rsidRPr="00293C29">
              <w:rPr>
                <w:shd w:val="clear" w:color="auto" w:fill="FFFFFF"/>
              </w:rPr>
              <w:t>5,892 (6.9%)</w:t>
            </w:r>
          </w:p>
        </w:tc>
        <w:tc>
          <w:tcPr>
            <w:tcW w:w="1486" w:type="dxa"/>
          </w:tcPr>
          <w:p w14:paraId="51AD1F5C" w14:textId="77777777" w:rsidR="00AD51E7" w:rsidRPr="00293C29" w:rsidRDefault="00AD51E7" w:rsidP="00805581">
            <w:pPr>
              <w:pStyle w:val="NoSpacing"/>
              <w:jc w:val="center"/>
              <w:rPr>
                <w:shd w:val="clear" w:color="auto" w:fill="FFFFFF"/>
              </w:rPr>
            </w:pPr>
            <w:r w:rsidRPr="00293C29">
              <w:rPr>
                <w:shd w:val="clear" w:color="auto" w:fill="FFFFFF"/>
              </w:rPr>
              <w:t>650 (9.0%)</w:t>
            </w:r>
          </w:p>
        </w:tc>
        <w:tc>
          <w:tcPr>
            <w:tcW w:w="1482" w:type="dxa"/>
          </w:tcPr>
          <w:p w14:paraId="7998ECA1" w14:textId="77777777" w:rsidR="00AD51E7" w:rsidRPr="00293C29" w:rsidRDefault="00AD51E7" w:rsidP="00805581">
            <w:pPr>
              <w:pStyle w:val="NoSpacing"/>
              <w:jc w:val="center"/>
              <w:rPr>
                <w:shd w:val="clear" w:color="auto" w:fill="FFFFFF"/>
              </w:rPr>
            </w:pPr>
            <w:r w:rsidRPr="00293C29">
              <w:rPr>
                <w:shd w:val="clear" w:color="auto" w:fill="FFFFFF"/>
              </w:rPr>
              <w:t>585 (6.9%)</w:t>
            </w:r>
          </w:p>
        </w:tc>
      </w:tr>
      <w:tr w:rsidR="00293C29" w:rsidRPr="00293C29" w14:paraId="6E20AF0F" w14:textId="77777777" w:rsidTr="00D508F3">
        <w:tc>
          <w:tcPr>
            <w:tcW w:w="2900" w:type="dxa"/>
          </w:tcPr>
          <w:p w14:paraId="6CB16FA1" w14:textId="77777777" w:rsidR="00BD0020" w:rsidRPr="00293C29" w:rsidRDefault="00B227E2" w:rsidP="00AA0EA1">
            <w:pPr>
              <w:pStyle w:val="NoSpacing"/>
              <w:rPr>
                <w:b/>
                <w:shd w:val="clear" w:color="auto" w:fill="FFFFFF"/>
              </w:rPr>
            </w:pPr>
            <w:r w:rsidRPr="00293C29">
              <w:rPr>
                <w:b/>
                <w:shd w:val="clear" w:color="auto" w:fill="FFFFFF"/>
              </w:rPr>
              <w:t>Asthma</w:t>
            </w:r>
            <w:r w:rsidR="00863AA3" w:rsidRPr="00293C29">
              <w:rPr>
                <w:b/>
                <w:shd w:val="clear" w:color="auto" w:fill="FFFFFF"/>
              </w:rPr>
              <w:t>*</w:t>
            </w:r>
          </w:p>
        </w:tc>
        <w:tc>
          <w:tcPr>
            <w:tcW w:w="1956" w:type="dxa"/>
          </w:tcPr>
          <w:p w14:paraId="6E147064" w14:textId="77777777" w:rsidR="00BD0020" w:rsidRPr="00293C29" w:rsidRDefault="00780935" w:rsidP="00805581">
            <w:pPr>
              <w:pStyle w:val="NoSpacing"/>
              <w:jc w:val="center"/>
              <w:rPr>
                <w:shd w:val="clear" w:color="auto" w:fill="FFFFFF"/>
              </w:rPr>
            </w:pPr>
            <w:r w:rsidRPr="00293C29">
              <w:rPr>
                <w:shd w:val="clear" w:color="auto" w:fill="FFFFFF"/>
              </w:rPr>
              <w:t>10,900 (12%)</w:t>
            </w:r>
          </w:p>
        </w:tc>
        <w:tc>
          <w:tcPr>
            <w:tcW w:w="1757" w:type="dxa"/>
          </w:tcPr>
          <w:p w14:paraId="2128A4BD" w14:textId="77777777" w:rsidR="00BD0020" w:rsidRPr="00293C29" w:rsidRDefault="00780935" w:rsidP="00805581">
            <w:pPr>
              <w:pStyle w:val="NoSpacing"/>
              <w:jc w:val="center"/>
              <w:rPr>
                <w:shd w:val="clear" w:color="auto" w:fill="FFFFFF"/>
              </w:rPr>
            </w:pPr>
            <w:r w:rsidRPr="00293C29">
              <w:rPr>
                <w:shd w:val="clear" w:color="auto" w:fill="FFFFFF"/>
              </w:rPr>
              <w:t>9,726 (11%)</w:t>
            </w:r>
          </w:p>
        </w:tc>
        <w:tc>
          <w:tcPr>
            <w:tcW w:w="1486" w:type="dxa"/>
          </w:tcPr>
          <w:p w14:paraId="2F44BC9B" w14:textId="77777777" w:rsidR="00BD0020" w:rsidRPr="00293C29" w:rsidRDefault="00780935" w:rsidP="00805581">
            <w:pPr>
              <w:pStyle w:val="NoSpacing"/>
              <w:jc w:val="center"/>
              <w:rPr>
                <w:shd w:val="clear" w:color="auto" w:fill="FFFFFF"/>
              </w:rPr>
            </w:pPr>
            <w:r w:rsidRPr="00293C29">
              <w:rPr>
                <w:shd w:val="clear" w:color="auto" w:fill="FFFFFF"/>
              </w:rPr>
              <w:t>926 (13%)</w:t>
            </w:r>
          </w:p>
        </w:tc>
        <w:tc>
          <w:tcPr>
            <w:tcW w:w="1482" w:type="dxa"/>
          </w:tcPr>
          <w:p w14:paraId="7B0446E5" w14:textId="77777777" w:rsidR="00BD0020" w:rsidRPr="00293C29" w:rsidRDefault="00780935" w:rsidP="00805581">
            <w:pPr>
              <w:pStyle w:val="NoSpacing"/>
              <w:jc w:val="center"/>
              <w:rPr>
                <w:shd w:val="clear" w:color="auto" w:fill="FFFFFF"/>
              </w:rPr>
            </w:pPr>
            <w:r w:rsidRPr="00293C29">
              <w:rPr>
                <w:shd w:val="clear" w:color="auto" w:fill="FFFFFF"/>
              </w:rPr>
              <w:t>993 (12%)</w:t>
            </w:r>
          </w:p>
        </w:tc>
      </w:tr>
      <w:tr w:rsidR="00293C29" w:rsidRPr="00293C29" w14:paraId="76A891EA" w14:textId="77777777" w:rsidTr="00D508F3">
        <w:tc>
          <w:tcPr>
            <w:tcW w:w="2900" w:type="dxa"/>
          </w:tcPr>
          <w:p w14:paraId="76E8B3A1" w14:textId="77777777" w:rsidR="00AD51E7" w:rsidRPr="00293C29" w:rsidRDefault="00AD51E7" w:rsidP="00805581">
            <w:pPr>
              <w:pStyle w:val="NoSpacing"/>
              <w:rPr>
                <w:b/>
                <w:shd w:val="clear" w:color="auto" w:fill="FFFFFF"/>
              </w:rPr>
            </w:pPr>
            <w:r w:rsidRPr="00293C29">
              <w:rPr>
                <w:b/>
                <w:shd w:val="clear" w:color="auto" w:fill="FFFFFF"/>
              </w:rPr>
              <w:t xml:space="preserve">Smoking status </w:t>
            </w:r>
          </w:p>
        </w:tc>
        <w:tc>
          <w:tcPr>
            <w:tcW w:w="1956" w:type="dxa"/>
          </w:tcPr>
          <w:p w14:paraId="584017F4" w14:textId="77777777" w:rsidR="00AD51E7" w:rsidRPr="00293C29" w:rsidRDefault="00AD51E7" w:rsidP="00805581">
            <w:pPr>
              <w:pStyle w:val="NoSpacing"/>
              <w:jc w:val="center"/>
              <w:rPr>
                <w:shd w:val="clear" w:color="auto" w:fill="FFFFFF"/>
              </w:rPr>
            </w:pPr>
          </w:p>
        </w:tc>
        <w:tc>
          <w:tcPr>
            <w:tcW w:w="1757" w:type="dxa"/>
          </w:tcPr>
          <w:p w14:paraId="2DE3DE35" w14:textId="77777777" w:rsidR="00AD51E7" w:rsidRPr="00293C29" w:rsidRDefault="00AD51E7" w:rsidP="00805581">
            <w:pPr>
              <w:pStyle w:val="NoSpacing"/>
              <w:jc w:val="center"/>
              <w:rPr>
                <w:shd w:val="clear" w:color="auto" w:fill="FFFFFF"/>
              </w:rPr>
            </w:pPr>
          </w:p>
        </w:tc>
        <w:tc>
          <w:tcPr>
            <w:tcW w:w="1486" w:type="dxa"/>
          </w:tcPr>
          <w:p w14:paraId="19D066AE" w14:textId="77777777" w:rsidR="00AD51E7" w:rsidRPr="00293C29" w:rsidRDefault="00AD51E7" w:rsidP="00805581">
            <w:pPr>
              <w:pStyle w:val="NoSpacing"/>
              <w:jc w:val="center"/>
              <w:rPr>
                <w:shd w:val="clear" w:color="auto" w:fill="FFFFFF"/>
              </w:rPr>
            </w:pPr>
          </w:p>
        </w:tc>
        <w:tc>
          <w:tcPr>
            <w:tcW w:w="1482" w:type="dxa"/>
          </w:tcPr>
          <w:p w14:paraId="6AFFE95D" w14:textId="77777777" w:rsidR="00AD51E7" w:rsidRPr="00293C29" w:rsidRDefault="00AD51E7" w:rsidP="00805581">
            <w:pPr>
              <w:pStyle w:val="NoSpacing"/>
              <w:jc w:val="center"/>
              <w:rPr>
                <w:shd w:val="clear" w:color="auto" w:fill="FFFFFF"/>
              </w:rPr>
            </w:pPr>
          </w:p>
        </w:tc>
      </w:tr>
      <w:tr w:rsidR="00293C29" w:rsidRPr="00293C29" w14:paraId="1FE2BBCE" w14:textId="77777777" w:rsidTr="00D508F3">
        <w:tc>
          <w:tcPr>
            <w:tcW w:w="2900" w:type="dxa"/>
          </w:tcPr>
          <w:p w14:paraId="3BF2A509" w14:textId="77777777" w:rsidR="00AD51E7" w:rsidRPr="00293C29" w:rsidRDefault="00AD51E7" w:rsidP="00805581">
            <w:pPr>
              <w:pStyle w:val="NoSpacing"/>
              <w:rPr>
                <w:shd w:val="clear" w:color="auto" w:fill="FFFFFF"/>
              </w:rPr>
            </w:pPr>
            <w:r w:rsidRPr="00293C29">
              <w:rPr>
                <w:shd w:val="clear" w:color="auto" w:fill="FFFFFF"/>
              </w:rPr>
              <w:t xml:space="preserve"> Never-smoker </w:t>
            </w:r>
          </w:p>
        </w:tc>
        <w:tc>
          <w:tcPr>
            <w:tcW w:w="1956" w:type="dxa"/>
          </w:tcPr>
          <w:p w14:paraId="66B21AD1" w14:textId="77777777" w:rsidR="00AD51E7" w:rsidRPr="00293C29" w:rsidRDefault="00AD51E7" w:rsidP="00805581">
            <w:pPr>
              <w:pStyle w:val="NoSpacing"/>
              <w:jc w:val="center"/>
              <w:rPr>
                <w:shd w:val="clear" w:color="auto" w:fill="FFFFFF"/>
              </w:rPr>
            </w:pPr>
            <w:r w:rsidRPr="00293C29">
              <w:rPr>
                <w:shd w:val="clear" w:color="auto" w:fill="FFFFFF"/>
              </w:rPr>
              <w:t>53,831 (57%)</w:t>
            </w:r>
          </w:p>
        </w:tc>
        <w:tc>
          <w:tcPr>
            <w:tcW w:w="1757" w:type="dxa"/>
          </w:tcPr>
          <w:p w14:paraId="59BBA7E1" w14:textId="77777777" w:rsidR="00AD51E7" w:rsidRPr="00293C29" w:rsidRDefault="00AD51E7" w:rsidP="00805581">
            <w:pPr>
              <w:pStyle w:val="NoSpacing"/>
              <w:jc w:val="center"/>
              <w:rPr>
                <w:shd w:val="clear" w:color="auto" w:fill="FFFFFF"/>
              </w:rPr>
            </w:pPr>
            <w:r w:rsidRPr="00293C29">
              <w:rPr>
                <w:shd w:val="clear" w:color="auto" w:fill="FFFFFF"/>
              </w:rPr>
              <w:t>48,393 (57%)</w:t>
            </w:r>
          </w:p>
        </w:tc>
        <w:tc>
          <w:tcPr>
            <w:tcW w:w="1486" w:type="dxa"/>
          </w:tcPr>
          <w:p w14:paraId="0F24486B" w14:textId="77777777" w:rsidR="00AD51E7" w:rsidRPr="00293C29" w:rsidRDefault="00AD51E7" w:rsidP="00805581">
            <w:pPr>
              <w:pStyle w:val="NoSpacing"/>
              <w:jc w:val="center"/>
              <w:rPr>
                <w:shd w:val="clear" w:color="auto" w:fill="FFFFFF"/>
              </w:rPr>
            </w:pPr>
            <w:r w:rsidRPr="00293C29">
              <w:rPr>
                <w:shd w:val="clear" w:color="auto" w:fill="FFFFFF"/>
              </w:rPr>
              <w:t>3,633 (50%)</w:t>
            </w:r>
          </w:p>
        </w:tc>
        <w:tc>
          <w:tcPr>
            <w:tcW w:w="1482" w:type="dxa"/>
          </w:tcPr>
          <w:p w14:paraId="7DFAF700" w14:textId="77777777" w:rsidR="00AD51E7" w:rsidRPr="00293C29" w:rsidRDefault="00AD51E7" w:rsidP="00805581">
            <w:pPr>
              <w:pStyle w:val="NoSpacing"/>
              <w:jc w:val="center"/>
              <w:rPr>
                <w:shd w:val="clear" w:color="auto" w:fill="FFFFFF"/>
              </w:rPr>
            </w:pPr>
            <w:r w:rsidRPr="00293C29">
              <w:rPr>
                <w:shd w:val="clear" w:color="auto" w:fill="FFFFFF"/>
              </w:rPr>
              <w:t>4,995 (59%)</w:t>
            </w:r>
          </w:p>
        </w:tc>
      </w:tr>
      <w:tr w:rsidR="00293C29" w:rsidRPr="00293C29" w14:paraId="5421D48A" w14:textId="77777777" w:rsidTr="00D508F3">
        <w:tc>
          <w:tcPr>
            <w:tcW w:w="2900" w:type="dxa"/>
          </w:tcPr>
          <w:p w14:paraId="584B8A9A" w14:textId="77777777" w:rsidR="00AD51E7" w:rsidRPr="00293C29" w:rsidRDefault="00AD51E7" w:rsidP="00805581">
            <w:pPr>
              <w:pStyle w:val="NoSpacing"/>
              <w:rPr>
                <w:shd w:val="clear" w:color="auto" w:fill="FFFFFF"/>
              </w:rPr>
            </w:pPr>
            <w:r w:rsidRPr="00293C29">
              <w:rPr>
                <w:shd w:val="clear" w:color="auto" w:fill="FFFFFF"/>
              </w:rPr>
              <w:t xml:space="preserve"> Ex-smoker </w:t>
            </w:r>
          </w:p>
        </w:tc>
        <w:tc>
          <w:tcPr>
            <w:tcW w:w="1956" w:type="dxa"/>
          </w:tcPr>
          <w:p w14:paraId="65111BB2" w14:textId="77777777" w:rsidR="00AD51E7" w:rsidRPr="00293C29" w:rsidRDefault="00AD51E7" w:rsidP="00805581">
            <w:pPr>
              <w:pStyle w:val="NoSpacing"/>
              <w:jc w:val="center"/>
              <w:rPr>
                <w:shd w:val="clear" w:color="auto" w:fill="FFFFFF"/>
              </w:rPr>
            </w:pPr>
            <w:r w:rsidRPr="00293C29">
              <w:rPr>
                <w:shd w:val="clear" w:color="auto" w:fill="FFFFFF"/>
              </w:rPr>
              <w:t>33,518 (35%)</w:t>
            </w:r>
          </w:p>
        </w:tc>
        <w:tc>
          <w:tcPr>
            <w:tcW w:w="1757" w:type="dxa"/>
          </w:tcPr>
          <w:p w14:paraId="5C606F21" w14:textId="77777777" w:rsidR="00AD51E7" w:rsidRPr="00293C29" w:rsidRDefault="00AD51E7" w:rsidP="00805581">
            <w:pPr>
              <w:pStyle w:val="NoSpacing"/>
              <w:jc w:val="center"/>
              <w:rPr>
                <w:shd w:val="clear" w:color="auto" w:fill="FFFFFF"/>
              </w:rPr>
            </w:pPr>
            <w:r w:rsidRPr="00293C29">
              <w:rPr>
                <w:shd w:val="clear" w:color="auto" w:fill="FFFFFF"/>
              </w:rPr>
              <w:t>30,194 (36%)</w:t>
            </w:r>
          </w:p>
        </w:tc>
        <w:tc>
          <w:tcPr>
            <w:tcW w:w="1486" w:type="dxa"/>
          </w:tcPr>
          <w:p w14:paraId="7A941B4D" w14:textId="77777777" w:rsidR="00AD51E7" w:rsidRPr="00293C29" w:rsidRDefault="00AD51E7" w:rsidP="00805581">
            <w:pPr>
              <w:pStyle w:val="NoSpacing"/>
              <w:jc w:val="center"/>
              <w:rPr>
                <w:shd w:val="clear" w:color="auto" w:fill="FFFFFF"/>
              </w:rPr>
            </w:pPr>
            <w:r w:rsidRPr="00293C29">
              <w:rPr>
                <w:shd w:val="clear" w:color="auto" w:fill="FFFFFF"/>
              </w:rPr>
              <w:t>2,685 (37%)</w:t>
            </w:r>
          </w:p>
        </w:tc>
        <w:tc>
          <w:tcPr>
            <w:tcW w:w="1482" w:type="dxa"/>
          </w:tcPr>
          <w:p w14:paraId="1EE862C5" w14:textId="77777777" w:rsidR="00AD51E7" w:rsidRPr="00293C29" w:rsidRDefault="00AD51E7" w:rsidP="00805581">
            <w:pPr>
              <w:pStyle w:val="NoSpacing"/>
              <w:jc w:val="center"/>
              <w:rPr>
                <w:shd w:val="clear" w:color="auto" w:fill="FFFFFF"/>
              </w:rPr>
            </w:pPr>
            <w:r w:rsidRPr="00293C29">
              <w:rPr>
                <w:shd w:val="clear" w:color="auto" w:fill="FFFFFF"/>
              </w:rPr>
              <w:t>3,016 (36%)</w:t>
            </w:r>
          </w:p>
        </w:tc>
      </w:tr>
      <w:tr w:rsidR="00293C29" w:rsidRPr="00293C29" w14:paraId="64EF9768" w14:textId="77777777" w:rsidTr="00D508F3">
        <w:tc>
          <w:tcPr>
            <w:tcW w:w="2900" w:type="dxa"/>
          </w:tcPr>
          <w:p w14:paraId="30E39C15" w14:textId="77777777" w:rsidR="00AD51E7" w:rsidRPr="00293C29" w:rsidRDefault="00AD51E7" w:rsidP="00805581">
            <w:pPr>
              <w:pStyle w:val="NoSpacing"/>
              <w:rPr>
                <w:shd w:val="clear" w:color="auto" w:fill="FFFFFF"/>
              </w:rPr>
            </w:pPr>
            <w:r w:rsidRPr="00293C29">
              <w:rPr>
                <w:shd w:val="clear" w:color="auto" w:fill="FFFFFF"/>
              </w:rPr>
              <w:t xml:space="preserve"> Current-smoker </w:t>
            </w:r>
          </w:p>
        </w:tc>
        <w:tc>
          <w:tcPr>
            <w:tcW w:w="1956" w:type="dxa"/>
          </w:tcPr>
          <w:p w14:paraId="26E7A553" w14:textId="77777777" w:rsidR="00AD51E7" w:rsidRPr="00293C29" w:rsidRDefault="00AD51E7" w:rsidP="00805581">
            <w:pPr>
              <w:pStyle w:val="NoSpacing"/>
              <w:jc w:val="center"/>
              <w:rPr>
                <w:shd w:val="clear" w:color="auto" w:fill="FFFFFF"/>
              </w:rPr>
            </w:pPr>
            <w:r w:rsidRPr="00293C29">
              <w:rPr>
                <w:shd w:val="clear" w:color="auto" w:fill="FFFFFF"/>
              </w:rPr>
              <w:t>7,370 (8%)</w:t>
            </w:r>
          </w:p>
        </w:tc>
        <w:tc>
          <w:tcPr>
            <w:tcW w:w="1757" w:type="dxa"/>
          </w:tcPr>
          <w:p w14:paraId="1FBE36DF" w14:textId="77777777" w:rsidR="00AD51E7" w:rsidRPr="00293C29" w:rsidRDefault="00AD51E7" w:rsidP="00805581">
            <w:pPr>
              <w:pStyle w:val="NoSpacing"/>
              <w:jc w:val="center"/>
              <w:rPr>
                <w:shd w:val="clear" w:color="auto" w:fill="FFFFFF"/>
              </w:rPr>
            </w:pPr>
            <w:r w:rsidRPr="00293C29">
              <w:rPr>
                <w:shd w:val="clear" w:color="auto" w:fill="FFFFFF"/>
              </w:rPr>
              <w:t>6,257 (7%)</w:t>
            </w:r>
          </w:p>
        </w:tc>
        <w:tc>
          <w:tcPr>
            <w:tcW w:w="1486" w:type="dxa"/>
          </w:tcPr>
          <w:p w14:paraId="5F4BDB0E" w14:textId="77777777" w:rsidR="00AD51E7" w:rsidRPr="00293C29" w:rsidRDefault="00AD51E7" w:rsidP="00805581">
            <w:pPr>
              <w:pStyle w:val="NoSpacing"/>
              <w:jc w:val="center"/>
              <w:rPr>
                <w:shd w:val="clear" w:color="auto" w:fill="FFFFFF"/>
              </w:rPr>
            </w:pPr>
            <w:r w:rsidRPr="00293C29">
              <w:rPr>
                <w:shd w:val="clear" w:color="auto" w:fill="FFFFFF"/>
              </w:rPr>
              <w:t>884 (12%)</w:t>
            </w:r>
          </w:p>
        </w:tc>
        <w:tc>
          <w:tcPr>
            <w:tcW w:w="1482" w:type="dxa"/>
          </w:tcPr>
          <w:p w14:paraId="7C1FA450" w14:textId="77777777" w:rsidR="00AD51E7" w:rsidRPr="00293C29" w:rsidRDefault="00AD51E7" w:rsidP="00805581">
            <w:pPr>
              <w:pStyle w:val="NoSpacing"/>
              <w:jc w:val="center"/>
              <w:rPr>
                <w:shd w:val="clear" w:color="auto" w:fill="FFFFFF"/>
              </w:rPr>
            </w:pPr>
            <w:r w:rsidRPr="00293C29">
              <w:rPr>
                <w:shd w:val="clear" w:color="auto" w:fill="FFFFFF"/>
              </w:rPr>
              <w:t>455 (5%)</w:t>
            </w:r>
          </w:p>
        </w:tc>
      </w:tr>
      <w:tr w:rsidR="00293C29" w:rsidRPr="00293C29" w14:paraId="78E5B158" w14:textId="77777777" w:rsidTr="00D508F3">
        <w:tc>
          <w:tcPr>
            <w:tcW w:w="2900" w:type="dxa"/>
          </w:tcPr>
          <w:p w14:paraId="569064D8" w14:textId="77777777" w:rsidR="00AD51E7" w:rsidRPr="00293C29" w:rsidRDefault="00AD51E7" w:rsidP="00532197">
            <w:pPr>
              <w:pStyle w:val="NoSpacing"/>
              <w:rPr>
                <w:shd w:val="clear" w:color="auto" w:fill="FFFFFF"/>
              </w:rPr>
            </w:pPr>
            <w:r w:rsidRPr="00293C29">
              <w:rPr>
                <w:shd w:val="clear" w:color="auto" w:fill="FFFFFF"/>
              </w:rPr>
              <w:t xml:space="preserve"> Pack-years </w:t>
            </w:r>
            <w:r w:rsidR="00570EFA" w:rsidRPr="00293C29">
              <w:rPr>
                <w:shd w:val="clear" w:color="auto" w:fill="FFFFFF"/>
              </w:rPr>
              <w:t>in smokers</w:t>
            </w:r>
          </w:p>
        </w:tc>
        <w:tc>
          <w:tcPr>
            <w:tcW w:w="1956" w:type="dxa"/>
          </w:tcPr>
          <w:p w14:paraId="7C799A2B" w14:textId="77777777" w:rsidR="00AD51E7" w:rsidRPr="00293C29" w:rsidRDefault="00AD51E7" w:rsidP="00805581">
            <w:pPr>
              <w:pStyle w:val="NoSpacing"/>
              <w:jc w:val="center"/>
              <w:rPr>
                <w:shd w:val="clear" w:color="auto" w:fill="FFFFFF"/>
              </w:rPr>
            </w:pPr>
            <w:r w:rsidRPr="00293C29">
              <w:rPr>
                <w:shd w:val="clear" w:color="auto" w:fill="FFFFFF"/>
              </w:rPr>
              <w:t>21 (16)</w:t>
            </w:r>
          </w:p>
        </w:tc>
        <w:tc>
          <w:tcPr>
            <w:tcW w:w="1757" w:type="dxa"/>
          </w:tcPr>
          <w:p w14:paraId="601C4C72" w14:textId="77777777" w:rsidR="00AD51E7" w:rsidRPr="00293C29" w:rsidRDefault="00AD51E7" w:rsidP="00805581">
            <w:pPr>
              <w:pStyle w:val="NoSpacing"/>
              <w:jc w:val="center"/>
              <w:rPr>
                <w:shd w:val="clear" w:color="auto" w:fill="FFFFFF"/>
              </w:rPr>
            </w:pPr>
            <w:r w:rsidRPr="00293C29">
              <w:rPr>
                <w:shd w:val="clear" w:color="auto" w:fill="FFFFFF"/>
              </w:rPr>
              <w:t>20 (15)</w:t>
            </w:r>
          </w:p>
        </w:tc>
        <w:tc>
          <w:tcPr>
            <w:tcW w:w="1486" w:type="dxa"/>
          </w:tcPr>
          <w:p w14:paraId="38AD8FC0" w14:textId="77777777" w:rsidR="00AD51E7" w:rsidRPr="00293C29" w:rsidRDefault="00AD51E7" w:rsidP="00805581">
            <w:pPr>
              <w:pStyle w:val="NoSpacing"/>
              <w:jc w:val="center"/>
              <w:rPr>
                <w:shd w:val="clear" w:color="auto" w:fill="FFFFFF"/>
              </w:rPr>
            </w:pPr>
            <w:r w:rsidRPr="00293C29">
              <w:rPr>
                <w:shd w:val="clear" w:color="auto" w:fill="FFFFFF"/>
              </w:rPr>
              <w:t>24 (16)</w:t>
            </w:r>
          </w:p>
        </w:tc>
        <w:tc>
          <w:tcPr>
            <w:tcW w:w="1482" w:type="dxa"/>
          </w:tcPr>
          <w:p w14:paraId="75708686" w14:textId="77777777" w:rsidR="00AD51E7" w:rsidRPr="00293C29" w:rsidRDefault="00AD51E7" w:rsidP="00805581">
            <w:pPr>
              <w:pStyle w:val="NoSpacing"/>
              <w:jc w:val="center"/>
              <w:rPr>
                <w:shd w:val="clear" w:color="auto" w:fill="FFFFFF"/>
              </w:rPr>
            </w:pPr>
            <w:r w:rsidRPr="00293C29">
              <w:rPr>
                <w:shd w:val="clear" w:color="auto" w:fill="FFFFFF"/>
              </w:rPr>
              <w:t>20 (16)</w:t>
            </w:r>
          </w:p>
        </w:tc>
      </w:tr>
      <w:tr w:rsidR="00293C29" w:rsidRPr="00293C29" w14:paraId="393F57B2" w14:textId="77777777" w:rsidTr="00D508F3">
        <w:tc>
          <w:tcPr>
            <w:tcW w:w="4856" w:type="dxa"/>
            <w:gridSpan w:val="2"/>
          </w:tcPr>
          <w:p w14:paraId="1ED1881D" w14:textId="77777777" w:rsidR="00AD51E7" w:rsidRPr="00293C29" w:rsidRDefault="00F9246D" w:rsidP="00805581">
            <w:pPr>
              <w:pStyle w:val="NoSpacing"/>
              <w:rPr>
                <w:shd w:val="clear" w:color="auto" w:fill="FFFFFF"/>
              </w:rPr>
            </w:pPr>
            <w:r w:rsidRPr="00293C29">
              <w:rPr>
                <w:b/>
                <w:shd w:val="clear" w:color="auto" w:fill="FFFFFF"/>
              </w:rPr>
              <w:t xml:space="preserve">Menopausal Hormone Therapy </w:t>
            </w:r>
            <w:r w:rsidR="00AD51E7" w:rsidRPr="00293C29">
              <w:rPr>
                <w:b/>
                <w:shd w:val="clear" w:color="auto" w:fill="FFFFFF"/>
              </w:rPr>
              <w:t>(</w:t>
            </w:r>
            <w:r w:rsidRPr="00293C29">
              <w:rPr>
                <w:b/>
                <w:shd w:val="clear" w:color="auto" w:fill="FFFFFF"/>
              </w:rPr>
              <w:t>MHT</w:t>
            </w:r>
            <w:r w:rsidR="00AD51E7" w:rsidRPr="00293C29">
              <w:rPr>
                <w:b/>
                <w:shd w:val="clear" w:color="auto" w:fill="FFFFFF"/>
              </w:rPr>
              <w:t>)</w:t>
            </w:r>
          </w:p>
        </w:tc>
        <w:tc>
          <w:tcPr>
            <w:tcW w:w="1757" w:type="dxa"/>
          </w:tcPr>
          <w:p w14:paraId="675F7FD9" w14:textId="77777777" w:rsidR="00AD51E7" w:rsidRPr="00293C29" w:rsidRDefault="00AD51E7" w:rsidP="00805581">
            <w:pPr>
              <w:pStyle w:val="NoSpacing"/>
              <w:jc w:val="center"/>
              <w:rPr>
                <w:shd w:val="clear" w:color="auto" w:fill="FFFFFF"/>
              </w:rPr>
            </w:pPr>
          </w:p>
        </w:tc>
        <w:tc>
          <w:tcPr>
            <w:tcW w:w="1486" w:type="dxa"/>
          </w:tcPr>
          <w:p w14:paraId="55B89454" w14:textId="77777777" w:rsidR="00AD51E7" w:rsidRPr="00293C29" w:rsidRDefault="00AD51E7" w:rsidP="00805581">
            <w:pPr>
              <w:pStyle w:val="NoSpacing"/>
              <w:jc w:val="center"/>
              <w:rPr>
                <w:shd w:val="clear" w:color="auto" w:fill="FFFFFF"/>
              </w:rPr>
            </w:pPr>
          </w:p>
        </w:tc>
        <w:tc>
          <w:tcPr>
            <w:tcW w:w="1482" w:type="dxa"/>
          </w:tcPr>
          <w:p w14:paraId="251F34F5" w14:textId="77777777" w:rsidR="00AD51E7" w:rsidRPr="00293C29" w:rsidRDefault="00AD51E7" w:rsidP="00805581">
            <w:pPr>
              <w:pStyle w:val="NoSpacing"/>
              <w:jc w:val="center"/>
              <w:rPr>
                <w:shd w:val="clear" w:color="auto" w:fill="FFFFFF"/>
              </w:rPr>
            </w:pPr>
          </w:p>
        </w:tc>
      </w:tr>
      <w:tr w:rsidR="00293C29" w:rsidRPr="00293C29" w14:paraId="0DEE3F05" w14:textId="77777777" w:rsidTr="00D508F3">
        <w:tc>
          <w:tcPr>
            <w:tcW w:w="2900" w:type="dxa"/>
          </w:tcPr>
          <w:p w14:paraId="4E142673" w14:textId="77777777" w:rsidR="00AD51E7" w:rsidRPr="00293C29" w:rsidRDefault="00AD51E7" w:rsidP="00805581">
            <w:pPr>
              <w:pStyle w:val="NoSpacing"/>
              <w:rPr>
                <w:shd w:val="clear" w:color="auto" w:fill="FFFFFF"/>
              </w:rPr>
            </w:pPr>
            <w:r w:rsidRPr="00293C29">
              <w:rPr>
                <w:shd w:val="clear" w:color="auto" w:fill="FFFFFF"/>
              </w:rPr>
              <w:t xml:space="preserve"> Never used </w:t>
            </w:r>
          </w:p>
        </w:tc>
        <w:tc>
          <w:tcPr>
            <w:tcW w:w="1956" w:type="dxa"/>
          </w:tcPr>
          <w:p w14:paraId="7613DAFF" w14:textId="77777777" w:rsidR="00AD51E7" w:rsidRPr="00293C29" w:rsidRDefault="00AD51E7" w:rsidP="00805581">
            <w:pPr>
              <w:pStyle w:val="NoSpacing"/>
              <w:jc w:val="center"/>
              <w:rPr>
                <w:shd w:val="clear" w:color="auto" w:fill="FFFFFF"/>
              </w:rPr>
            </w:pPr>
            <w:r w:rsidRPr="00293C29">
              <w:rPr>
                <w:shd w:val="clear" w:color="auto" w:fill="FFFFFF"/>
              </w:rPr>
              <w:t>53,946 (57%)</w:t>
            </w:r>
          </w:p>
        </w:tc>
        <w:tc>
          <w:tcPr>
            <w:tcW w:w="1757" w:type="dxa"/>
          </w:tcPr>
          <w:p w14:paraId="72C564F1" w14:textId="77777777" w:rsidR="00AD51E7" w:rsidRPr="00293C29" w:rsidRDefault="00AD51E7" w:rsidP="00805581">
            <w:pPr>
              <w:pStyle w:val="NoSpacing"/>
              <w:jc w:val="center"/>
              <w:rPr>
                <w:shd w:val="clear" w:color="auto" w:fill="FFFFFF"/>
              </w:rPr>
            </w:pPr>
            <w:r w:rsidRPr="00293C29">
              <w:rPr>
                <w:shd w:val="clear" w:color="auto" w:fill="FFFFFF"/>
              </w:rPr>
              <w:t>48,395 (57%)</w:t>
            </w:r>
          </w:p>
        </w:tc>
        <w:tc>
          <w:tcPr>
            <w:tcW w:w="1486" w:type="dxa"/>
          </w:tcPr>
          <w:p w14:paraId="19BE5894" w14:textId="77777777" w:rsidR="00AD51E7" w:rsidRPr="00293C29" w:rsidRDefault="00AD51E7" w:rsidP="00805581">
            <w:pPr>
              <w:pStyle w:val="NoSpacing"/>
              <w:jc w:val="center"/>
              <w:rPr>
                <w:shd w:val="clear" w:color="auto" w:fill="FFFFFF"/>
              </w:rPr>
            </w:pPr>
            <w:r w:rsidRPr="00293C29">
              <w:rPr>
                <w:shd w:val="clear" w:color="auto" w:fill="FFFFFF"/>
              </w:rPr>
              <w:t>3,201 (45%)</w:t>
            </w:r>
          </w:p>
        </w:tc>
        <w:tc>
          <w:tcPr>
            <w:tcW w:w="1482" w:type="dxa"/>
          </w:tcPr>
          <w:p w14:paraId="3658F651" w14:textId="77777777" w:rsidR="00AD51E7" w:rsidRPr="00293C29" w:rsidRDefault="00AD51E7" w:rsidP="00805581">
            <w:pPr>
              <w:pStyle w:val="NoSpacing"/>
              <w:jc w:val="center"/>
              <w:rPr>
                <w:shd w:val="clear" w:color="auto" w:fill="FFFFFF"/>
              </w:rPr>
            </w:pPr>
            <w:r w:rsidRPr="00293C29">
              <w:rPr>
                <w:shd w:val="clear" w:color="auto" w:fill="FFFFFF"/>
              </w:rPr>
              <w:t>4,390 (52%)</w:t>
            </w:r>
          </w:p>
        </w:tc>
      </w:tr>
      <w:tr w:rsidR="00293C29" w:rsidRPr="00293C29" w14:paraId="0B0637A9" w14:textId="77777777" w:rsidTr="00D508F3">
        <w:trPr>
          <w:trHeight w:val="80"/>
        </w:trPr>
        <w:tc>
          <w:tcPr>
            <w:tcW w:w="2900" w:type="dxa"/>
          </w:tcPr>
          <w:p w14:paraId="07F46222" w14:textId="77777777" w:rsidR="00AD51E7" w:rsidRPr="00293C29" w:rsidRDefault="00AD51E7" w:rsidP="00805581">
            <w:pPr>
              <w:pStyle w:val="NoSpacing"/>
              <w:rPr>
                <w:shd w:val="clear" w:color="auto" w:fill="FFFFFF"/>
              </w:rPr>
            </w:pPr>
            <w:r w:rsidRPr="00293C29">
              <w:rPr>
                <w:shd w:val="clear" w:color="auto" w:fill="FFFFFF"/>
              </w:rPr>
              <w:t xml:space="preserve"> Ex-user </w:t>
            </w:r>
          </w:p>
        </w:tc>
        <w:tc>
          <w:tcPr>
            <w:tcW w:w="1956" w:type="dxa"/>
          </w:tcPr>
          <w:p w14:paraId="4565787C" w14:textId="77777777" w:rsidR="00AD51E7" w:rsidRPr="00293C29" w:rsidRDefault="00AD51E7" w:rsidP="00805581">
            <w:pPr>
              <w:pStyle w:val="NoSpacing"/>
              <w:jc w:val="center"/>
              <w:rPr>
                <w:shd w:val="clear" w:color="auto" w:fill="FFFFFF"/>
              </w:rPr>
            </w:pPr>
            <w:r w:rsidRPr="00293C29">
              <w:rPr>
                <w:shd w:val="clear" w:color="auto" w:fill="FFFFFF"/>
              </w:rPr>
              <w:t>36,261 (38%)</w:t>
            </w:r>
          </w:p>
        </w:tc>
        <w:tc>
          <w:tcPr>
            <w:tcW w:w="1757" w:type="dxa"/>
          </w:tcPr>
          <w:p w14:paraId="60CC077C" w14:textId="77777777" w:rsidR="00AD51E7" w:rsidRPr="00293C29" w:rsidRDefault="00AD51E7" w:rsidP="00805581">
            <w:pPr>
              <w:pStyle w:val="NoSpacing"/>
              <w:jc w:val="center"/>
              <w:rPr>
                <w:shd w:val="clear" w:color="auto" w:fill="FFFFFF"/>
              </w:rPr>
            </w:pPr>
            <w:r w:rsidRPr="00293C29">
              <w:rPr>
                <w:shd w:val="clear" w:color="auto" w:fill="FFFFFF"/>
              </w:rPr>
              <w:t>32,407 (38%)</w:t>
            </w:r>
          </w:p>
        </w:tc>
        <w:tc>
          <w:tcPr>
            <w:tcW w:w="1486" w:type="dxa"/>
          </w:tcPr>
          <w:p w14:paraId="0E48031B" w14:textId="77777777" w:rsidR="00AD51E7" w:rsidRPr="00293C29" w:rsidRDefault="00AD51E7" w:rsidP="00805581">
            <w:pPr>
              <w:pStyle w:val="NoSpacing"/>
              <w:jc w:val="center"/>
              <w:rPr>
                <w:shd w:val="clear" w:color="auto" w:fill="FFFFFF"/>
              </w:rPr>
            </w:pPr>
            <w:r w:rsidRPr="00293C29">
              <w:rPr>
                <w:shd w:val="clear" w:color="auto" w:fill="FFFFFF"/>
              </w:rPr>
              <w:t>3,459 (48%)</w:t>
            </w:r>
          </w:p>
        </w:tc>
        <w:tc>
          <w:tcPr>
            <w:tcW w:w="1482" w:type="dxa"/>
          </w:tcPr>
          <w:p w14:paraId="7BABDB3A" w14:textId="77777777" w:rsidR="00AD51E7" w:rsidRPr="00293C29" w:rsidRDefault="00AD51E7" w:rsidP="00805581">
            <w:pPr>
              <w:pStyle w:val="NoSpacing"/>
              <w:jc w:val="center"/>
              <w:rPr>
                <w:shd w:val="clear" w:color="auto" w:fill="FFFFFF"/>
              </w:rPr>
            </w:pPr>
            <w:r w:rsidRPr="00293C29">
              <w:rPr>
                <w:shd w:val="clear" w:color="auto" w:fill="FFFFFF"/>
              </w:rPr>
              <w:t>3,739 (44%)</w:t>
            </w:r>
          </w:p>
        </w:tc>
      </w:tr>
      <w:tr w:rsidR="00293C29" w:rsidRPr="00293C29" w14:paraId="35B3DD52" w14:textId="77777777" w:rsidTr="00D508F3">
        <w:tc>
          <w:tcPr>
            <w:tcW w:w="2900" w:type="dxa"/>
          </w:tcPr>
          <w:p w14:paraId="0891FDFA" w14:textId="77777777" w:rsidR="00AD51E7" w:rsidRPr="00293C29" w:rsidRDefault="00AD51E7" w:rsidP="00805581">
            <w:pPr>
              <w:pStyle w:val="NoSpacing"/>
              <w:rPr>
                <w:shd w:val="clear" w:color="auto" w:fill="FFFFFF"/>
              </w:rPr>
            </w:pPr>
            <w:r w:rsidRPr="00293C29">
              <w:rPr>
                <w:shd w:val="clear" w:color="auto" w:fill="FFFFFF"/>
              </w:rPr>
              <w:t xml:space="preserve"> Current user </w:t>
            </w:r>
          </w:p>
        </w:tc>
        <w:tc>
          <w:tcPr>
            <w:tcW w:w="1956" w:type="dxa"/>
          </w:tcPr>
          <w:p w14:paraId="63C92068" w14:textId="77777777" w:rsidR="00AD51E7" w:rsidRPr="00293C29" w:rsidRDefault="00AD51E7" w:rsidP="00805581">
            <w:pPr>
              <w:pStyle w:val="NoSpacing"/>
              <w:jc w:val="center"/>
              <w:rPr>
                <w:shd w:val="clear" w:color="auto" w:fill="FFFFFF"/>
              </w:rPr>
            </w:pPr>
            <w:r w:rsidRPr="00293C29">
              <w:rPr>
                <w:shd w:val="clear" w:color="auto" w:fill="FFFFFF"/>
              </w:rPr>
              <w:t>4,375 (5%)</w:t>
            </w:r>
          </w:p>
        </w:tc>
        <w:tc>
          <w:tcPr>
            <w:tcW w:w="1757" w:type="dxa"/>
          </w:tcPr>
          <w:p w14:paraId="35ED25A6" w14:textId="77777777" w:rsidR="00AD51E7" w:rsidRPr="00293C29" w:rsidRDefault="00AD51E7" w:rsidP="00805581">
            <w:pPr>
              <w:pStyle w:val="NoSpacing"/>
              <w:jc w:val="center"/>
              <w:rPr>
                <w:shd w:val="clear" w:color="auto" w:fill="FFFFFF"/>
              </w:rPr>
            </w:pPr>
            <w:r w:rsidRPr="00293C29">
              <w:rPr>
                <w:shd w:val="clear" w:color="auto" w:fill="FFFFFF"/>
              </w:rPr>
              <w:t>4,042 (5%)</w:t>
            </w:r>
          </w:p>
        </w:tc>
        <w:tc>
          <w:tcPr>
            <w:tcW w:w="1486" w:type="dxa"/>
          </w:tcPr>
          <w:p w14:paraId="65CA3269" w14:textId="77777777" w:rsidR="00AD51E7" w:rsidRPr="00293C29" w:rsidRDefault="00AD51E7" w:rsidP="00805581">
            <w:pPr>
              <w:pStyle w:val="NoSpacing"/>
              <w:jc w:val="center"/>
              <w:rPr>
                <w:shd w:val="clear" w:color="auto" w:fill="FFFFFF"/>
              </w:rPr>
            </w:pPr>
            <w:r w:rsidRPr="00293C29">
              <w:rPr>
                <w:shd w:val="clear" w:color="auto" w:fill="FFFFFF"/>
              </w:rPr>
              <w:t>532 (7%)</w:t>
            </w:r>
          </w:p>
        </w:tc>
        <w:tc>
          <w:tcPr>
            <w:tcW w:w="1482" w:type="dxa"/>
          </w:tcPr>
          <w:p w14:paraId="18FCCF92" w14:textId="77777777" w:rsidR="00AD51E7" w:rsidRPr="00293C29" w:rsidRDefault="00AD51E7" w:rsidP="00805581">
            <w:pPr>
              <w:pStyle w:val="NoSpacing"/>
              <w:jc w:val="center"/>
              <w:rPr>
                <w:shd w:val="clear" w:color="auto" w:fill="FFFFFF"/>
              </w:rPr>
            </w:pPr>
            <w:r w:rsidRPr="00293C29">
              <w:rPr>
                <w:shd w:val="clear" w:color="auto" w:fill="FFFFFF"/>
              </w:rPr>
              <w:t>328 (4%)</w:t>
            </w:r>
          </w:p>
        </w:tc>
      </w:tr>
    </w:tbl>
    <w:p w14:paraId="503E5EFE" w14:textId="77777777" w:rsidR="004B4CD8" w:rsidRPr="00293C29" w:rsidRDefault="00F7770B" w:rsidP="00A23019">
      <w:pPr>
        <w:spacing w:after="0" w:line="240" w:lineRule="auto"/>
        <w:jc w:val="both"/>
        <w:rPr>
          <w:i/>
          <w:sz w:val="20"/>
          <w:szCs w:val="20"/>
          <w:shd w:val="clear" w:color="auto" w:fill="FFFFFF"/>
          <w:lang w:val="en-GB"/>
        </w:rPr>
      </w:pPr>
      <w:r w:rsidRPr="00293C29">
        <w:rPr>
          <w:i/>
          <w:sz w:val="20"/>
          <w:szCs w:val="20"/>
          <w:shd w:val="clear" w:color="auto" w:fill="FFFFFF"/>
          <w:lang w:val="en-GB"/>
        </w:rPr>
        <w:t>Values reported are mean (standard deviation) or N (%)</w:t>
      </w:r>
      <w:r w:rsidR="004B4CD8" w:rsidRPr="00293C29">
        <w:rPr>
          <w:i/>
          <w:sz w:val="20"/>
          <w:szCs w:val="20"/>
          <w:shd w:val="clear" w:color="auto" w:fill="FFFFFF"/>
          <w:lang w:val="en-GB"/>
        </w:rPr>
        <w:t xml:space="preserve">. </w:t>
      </w:r>
    </w:p>
    <w:p w14:paraId="03CF05B4" w14:textId="77777777" w:rsidR="00863AA3" w:rsidRPr="00293C29" w:rsidRDefault="00F7770B" w:rsidP="00A23019">
      <w:pPr>
        <w:spacing w:after="0" w:line="240" w:lineRule="auto"/>
        <w:jc w:val="both"/>
        <w:rPr>
          <w:i/>
          <w:sz w:val="20"/>
          <w:szCs w:val="20"/>
          <w:shd w:val="clear" w:color="auto" w:fill="FFFFFF"/>
          <w:lang w:val="en-GB"/>
        </w:rPr>
      </w:pPr>
      <w:r w:rsidRPr="00293C29">
        <w:rPr>
          <w:i/>
          <w:sz w:val="20"/>
          <w:szCs w:val="20"/>
          <w:shd w:val="clear" w:color="auto" w:fill="FFFFFF"/>
          <w:lang w:val="en-GB"/>
        </w:rPr>
        <w:t xml:space="preserve">See </w:t>
      </w:r>
      <w:r w:rsidR="00C750FE" w:rsidRPr="00293C29">
        <w:rPr>
          <w:i/>
          <w:sz w:val="20"/>
          <w:szCs w:val="20"/>
          <w:shd w:val="clear" w:color="auto" w:fill="FFFFFF"/>
          <w:lang w:val="en-GB"/>
        </w:rPr>
        <w:t>Supplementary table</w:t>
      </w:r>
      <w:r w:rsidR="00C750FE" w:rsidRPr="00293C29" w:rsidDel="00C750FE">
        <w:rPr>
          <w:i/>
          <w:sz w:val="20"/>
          <w:szCs w:val="20"/>
          <w:shd w:val="clear" w:color="auto" w:fill="FFFFFF"/>
          <w:lang w:val="en-GB"/>
        </w:rPr>
        <w:t xml:space="preserve"> </w:t>
      </w:r>
      <w:r w:rsidR="00863AA3" w:rsidRPr="00293C29">
        <w:rPr>
          <w:i/>
          <w:sz w:val="20"/>
          <w:szCs w:val="20"/>
          <w:shd w:val="clear" w:color="auto" w:fill="FFFFFF"/>
          <w:lang w:val="en-GB"/>
        </w:rPr>
        <w:t>S</w:t>
      </w:r>
      <w:r w:rsidRPr="00293C29">
        <w:rPr>
          <w:i/>
          <w:sz w:val="20"/>
          <w:szCs w:val="20"/>
          <w:shd w:val="clear" w:color="auto" w:fill="FFFFFF"/>
          <w:lang w:val="en-GB"/>
        </w:rPr>
        <w:t>1 for more variables and subgroups.</w:t>
      </w:r>
      <w:r w:rsidR="00863AA3" w:rsidRPr="00293C29">
        <w:rPr>
          <w:i/>
          <w:sz w:val="20"/>
          <w:szCs w:val="20"/>
          <w:shd w:val="clear" w:color="auto" w:fill="FFFFFF"/>
          <w:lang w:val="en-GB"/>
        </w:rPr>
        <w:t xml:space="preserve"> </w:t>
      </w:r>
    </w:p>
    <w:p w14:paraId="381A6C2F" w14:textId="77777777" w:rsidR="00863AA3" w:rsidRPr="00293C29" w:rsidRDefault="00863AA3" w:rsidP="00A23019">
      <w:pPr>
        <w:spacing w:after="0" w:line="240" w:lineRule="auto"/>
        <w:jc w:val="both"/>
        <w:rPr>
          <w:i/>
          <w:sz w:val="20"/>
          <w:szCs w:val="20"/>
          <w:shd w:val="clear" w:color="auto" w:fill="FFFFFF"/>
          <w:lang w:val="en-GB"/>
        </w:rPr>
      </w:pPr>
      <w:r w:rsidRPr="00293C29">
        <w:rPr>
          <w:rFonts w:cstheme="minorHAnsi"/>
          <w:shd w:val="clear" w:color="auto" w:fill="FFFFFF"/>
          <w:lang w:val="en-GB"/>
        </w:rPr>
        <w:t>*</w:t>
      </w:r>
      <w:r w:rsidR="008D3E4C" w:rsidRPr="00293C29">
        <w:rPr>
          <w:i/>
          <w:sz w:val="20"/>
          <w:szCs w:val="20"/>
          <w:shd w:val="clear" w:color="auto" w:fill="FFFFFF"/>
          <w:lang w:val="en-GB"/>
        </w:rPr>
        <w:t>Self-reported</w:t>
      </w:r>
      <w:r w:rsidRPr="00293C29">
        <w:rPr>
          <w:i/>
          <w:sz w:val="20"/>
          <w:szCs w:val="20"/>
          <w:shd w:val="clear" w:color="auto" w:fill="FFFFFF"/>
          <w:lang w:val="en-GB"/>
        </w:rPr>
        <w:t xml:space="preserve"> doctor diagnosed asthma ever. </w:t>
      </w:r>
    </w:p>
    <w:p w14:paraId="68B51DD7" w14:textId="77777777" w:rsidR="000A671F" w:rsidRPr="00293C29" w:rsidRDefault="00863AA3" w:rsidP="00A23019">
      <w:pPr>
        <w:spacing w:after="0" w:line="240" w:lineRule="auto"/>
        <w:jc w:val="both"/>
        <w:rPr>
          <w:i/>
          <w:sz w:val="20"/>
          <w:szCs w:val="20"/>
          <w:shd w:val="clear" w:color="auto" w:fill="FFFFFF"/>
          <w:lang w:val="en-GB"/>
        </w:rPr>
      </w:pPr>
      <w:r w:rsidRPr="00293C29">
        <w:rPr>
          <w:rFonts w:cstheme="minorHAnsi"/>
          <w:shd w:val="clear" w:color="auto" w:fill="FFFFFF"/>
          <w:lang w:val="en-GB"/>
        </w:rPr>
        <w:t>†</w:t>
      </w:r>
      <w:r w:rsidR="00B54133" w:rsidRPr="00293C29">
        <w:rPr>
          <w:i/>
          <w:sz w:val="20"/>
          <w:szCs w:val="20"/>
          <w:shd w:val="clear" w:color="auto" w:fill="FFFFFF"/>
          <w:lang w:val="en-GB"/>
        </w:rPr>
        <w:t xml:space="preserve">Women with complete data on all variables included in the </w:t>
      </w:r>
      <w:r w:rsidR="00F92AFC" w:rsidRPr="00293C29">
        <w:rPr>
          <w:i/>
          <w:sz w:val="20"/>
          <w:szCs w:val="20"/>
          <w:shd w:val="clear" w:color="auto" w:fill="FFFFFF"/>
          <w:lang w:val="en-GB"/>
        </w:rPr>
        <w:t xml:space="preserve">observational </w:t>
      </w:r>
      <w:r w:rsidR="00B54133" w:rsidRPr="00293C29">
        <w:rPr>
          <w:i/>
          <w:sz w:val="20"/>
          <w:szCs w:val="20"/>
          <w:shd w:val="clear" w:color="auto" w:fill="FFFFFF"/>
          <w:lang w:val="en-GB"/>
        </w:rPr>
        <w:t xml:space="preserve">analyses. </w:t>
      </w:r>
    </w:p>
    <w:p w14:paraId="0746A7FC" w14:textId="77777777" w:rsidR="00AA0EA1" w:rsidRPr="00293C29" w:rsidRDefault="00AA0EA1">
      <w:pPr>
        <w:spacing w:line="276" w:lineRule="auto"/>
        <w:rPr>
          <w:i/>
          <w:sz w:val="20"/>
          <w:szCs w:val="20"/>
          <w:shd w:val="clear" w:color="auto" w:fill="FFFFFF"/>
          <w:lang w:val="en-GB"/>
        </w:rPr>
        <w:sectPr w:rsidR="00AA0EA1" w:rsidRPr="00293C29" w:rsidSect="00A568EB">
          <w:footerReference w:type="default" r:id="rId8"/>
          <w:type w:val="continuous"/>
          <w:pgSz w:w="11906" w:h="16838"/>
          <w:pgMar w:top="1417" w:right="1417" w:bottom="1417" w:left="1417" w:header="708" w:footer="708" w:gutter="0"/>
          <w:lnNumType w:countBy="1" w:restart="continuous"/>
          <w:pgNumType w:start="1"/>
          <w:cols w:space="708"/>
          <w:docGrid w:linePitch="360"/>
        </w:sectPr>
      </w:pPr>
    </w:p>
    <w:p w14:paraId="3CA73115" w14:textId="77777777" w:rsidR="00FE188A" w:rsidRPr="00293C29" w:rsidRDefault="00FE188A" w:rsidP="00FE188A">
      <w:pPr>
        <w:widowControl w:val="0"/>
        <w:autoSpaceDE w:val="0"/>
        <w:autoSpaceDN w:val="0"/>
        <w:adjustRightInd w:val="0"/>
        <w:spacing w:after="120" w:line="240" w:lineRule="auto"/>
        <w:ind w:left="640" w:hanging="640"/>
        <w:rPr>
          <w:b/>
          <w:lang w:val="en-GB"/>
        </w:rPr>
      </w:pPr>
      <w:r w:rsidRPr="00293C29">
        <w:rPr>
          <w:b/>
          <w:lang w:val="en-GB"/>
        </w:rPr>
        <w:lastRenderedPageBreak/>
        <w:t xml:space="preserve">Table </w:t>
      </w:r>
      <w:r w:rsidRPr="00293C29">
        <w:rPr>
          <w:b/>
          <w:lang w:val="en-GB"/>
        </w:rPr>
        <w:fldChar w:fldCharType="begin"/>
      </w:r>
      <w:r w:rsidRPr="00293C29">
        <w:rPr>
          <w:b/>
          <w:lang w:val="en-GB"/>
        </w:rPr>
        <w:instrText xml:space="preserve"> SEQ Table \* ARABIC </w:instrText>
      </w:r>
      <w:r w:rsidRPr="00293C29">
        <w:rPr>
          <w:b/>
          <w:lang w:val="en-GB"/>
        </w:rPr>
        <w:fldChar w:fldCharType="separate"/>
      </w:r>
      <w:r w:rsidR="00B06A4A" w:rsidRPr="00293C29">
        <w:rPr>
          <w:b/>
          <w:noProof/>
          <w:lang w:val="en-GB"/>
        </w:rPr>
        <w:t>2</w:t>
      </w:r>
      <w:r w:rsidRPr="00293C29">
        <w:rPr>
          <w:b/>
          <w:lang w:val="en-GB"/>
        </w:rPr>
        <w:fldChar w:fldCharType="end"/>
      </w:r>
      <w:r w:rsidRPr="00293C29">
        <w:rPr>
          <w:b/>
          <w:lang w:val="en-GB"/>
        </w:rPr>
        <w:t xml:space="preserve">. Association of early menopause with airflow obstruction in observational and MR analyses. </w:t>
      </w:r>
    </w:p>
    <w:tbl>
      <w:tblPr>
        <w:tblStyle w:val="TableGrid"/>
        <w:tblW w:w="0" w:type="auto"/>
        <w:tblInd w:w="-142"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8"/>
        <w:gridCol w:w="829"/>
        <w:gridCol w:w="670"/>
        <w:gridCol w:w="674"/>
        <w:gridCol w:w="1420"/>
        <w:gridCol w:w="1119"/>
        <w:gridCol w:w="1138"/>
        <w:gridCol w:w="222"/>
        <w:gridCol w:w="607"/>
        <w:gridCol w:w="1286"/>
        <w:gridCol w:w="1119"/>
        <w:gridCol w:w="1026"/>
      </w:tblGrid>
      <w:tr w:rsidR="00293C29" w:rsidRPr="00293C29" w14:paraId="6377EE8C" w14:textId="77777777" w:rsidTr="00DE0217">
        <w:trPr>
          <w:trHeight w:val="283"/>
        </w:trPr>
        <w:tc>
          <w:tcPr>
            <w:tcW w:w="0" w:type="auto"/>
          </w:tcPr>
          <w:p w14:paraId="7512D7DB" w14:textId="77777777" w:rsidR="00FE188A" w:rsidRPr="00293C29" w:rsidRDefault="00FE188A" w:rsidP="00DE0217">
            <w:pPr>
              <w:pStyle w:val="NoSpacing"/>
            </w:pPr>
          </w:p>
        </w:tc>
        <w:tc>
          <w:tcPr>
            <w:tcW w:w="0" w:type="auto"/>
          </w:tcPr>
          <w:p w14:paraId="6EEFD59B" w14:textId="77777777" w:rsidR="00FE188A" w:rsidRPr="00293C29" w:rsidRDefault="00FE188A" w:rsidP="00DE0217">
            <w:pPr>
              <w:pStyle w:val="NoSpacing"/>
              <w:jc w:val="center"/>
              <w:rPr>
                <w:b/>
              </w:rPr>
            </w:pPr>
          </w:p>
        </w:tc>
        <w:tc>
          <w:tcPr>
            <w:tcW w:w="0" w:type="auto"/>
          </w:tcPr>
          <w:p w14:paraId="01E28EA1" w14:textId="77777777" w:rsidR="00FE188A" w:rsidRPr="00293C29" w:rsidRDefault="00FE188A" w:rsidP="00DE0217">
            <w:pPr>
              <w:pStyle w:val="NoSpacing"/>
              <w:jc w:val="center"/>
              <w:rPr>
                <w:b/>
              </w:rPr>
            </w:pPr>
            <w:r w:rsidRPr="00293C29">
              <w:rPr>
                <w:b/>
              </w:rPr>
              <w:t>N</w:t>
            </w:r>
          </w:p>
        </w:tc>
        <w:tc>
          <w:tcPr>
            <w:tcW w:w="0" w:type="auto"/>
            <w:gridSpan w:val="4"/>
            <w:tcBorders>
              <w:top w:val="single" w:sz="4" w:space="0" w:color="auto"/>
              <w:bottom w:val="single" w:sz="4" w:space="0" w:color="auto"/>
            </w:tcBorders>
          </w:tcPr>
          <w:p w14:paraId="6B865894" w14:textId="77777777" w:rsidR="00FE188A" w:rsidRPr="00293C29" w:rsidRDefault="00FE188A" w:rsidP="00DE0217">
            <w:pPr>
              <w:pStyle w:val="NoSpacing"/>
              <w:jc w:val="center"/>
              <w:rPr>
                <w:b/>
                <w:i/>
              </w:rPr>
            </w:pPr>
            <w:r w:rsidRPr="00293C29">
              <w:rPr>
                <w:b/>
                <w:i/>
              </w:rPr>
              <w:t>FEV</w:t>
            </w:r>
            <w:r w:rsidRPr="00293C29">
              <w:rPr>
                <w:b/>
                <w:i/>
                <w:vertAlign w:val="subscript"/>
              </w:rPr>
              <w:t>1</w:t>
            </w:r>
            <w:r w:rsidRPr="00293C29">
              <w:rPr>
                <w:b/>
                <w:i/>
              </w:rPr>
              <w:t>/FVC (%)</w:t>
            </w:r>
          </w:p>
        </w:tc>
        <w:tc>
          <w:tcPr>
            <w:tcW w:w="0" w:type="auto"/>
          </w:tcPr>
          <w:p w14:paraId="1C011869" w14:textId="77777777" w:rsidR="00FE188A" w:rsidRPr="00293C29" w:rsidRDefault="00FE188A" w:rsidP="00DE0217">
            <w:pPr>
              <w:pStyle w:val="NoSpacing"/>
              <w:jc w:val="center"/>
              <w:rPr>
                <w:b/>
                <w:i/>
              </w:rPr>
            </w:pPr>
          </w:p>
        </w:tc>
        <w:tc>
          <w:tcPr>
            <w:tcW w:w="0" w:type="auto"/>
            <w:gridSpan w:val="4"/>
            <w:tcBorders>
              <w:top w:val="single" w:sz="4" w:space="0" w:color="auto"/>
              <w:bottom w:val="single" w:sz="4" w:space="0" w:color="auto"/>
            </w:tcBorders>
          </w:tcPr>
          <w:p w14:paraId="71123B40" w14:textId="77777777" w:rsidR="00FE188A" w:rsidRPr="00293C29" w:rsidRDefault="00FE188A" w:rsidP="00DE0217">
            <w:pPr>
              <w:pStyle w:val="NoSpacing"/>
              <w:jc w:val="center"/>
              <w:rPr>
                <w:b/>
                <w:i/>
              </w:rPr>
            </w:pPr>
            <w:r w:rsidRPr="00293C29">
              <w:rPr>
                <w:b/>
                <w:i/>
              </w:rPr>
              <w:t>FEV</w:t>
            </w:r>
            <w:r w:rsidRPr="00293C29">
              <w:rPr>
                <w:b/>
                <w:i/>
                <w:vertAlign w:val="subscript"/>
              </w:rPr>
              <w:t>1</w:t>
            </w:r>
            <w:r w:rsidRPr="00293C29">
              <w:rPr>
                <w:b/>
                <w:i/>
              </w:rPr>
              <w:t>/FVC &lt; LLN</w:t>
            </w:r>
          </w:p>
        </w:tc>
      </w:tr>
      <w:tr w:rsidR="00697321" w:rsidRPr="00293C29" w14:paraId="690F155C" w14:textId="77777777" w:rsidTr="00DE0217">
        <w:trPr>
          <w:trHeight w:val="283"/>
        </w:trPr>
        <w:tc>
          <w:tcPr>
            <w:tcW w:w="0" w:type="auto"/>
            <w:tcBorders>
              <w:bottom w:val="single" w:sz="4" w:space="0" w:color="auto"/>
            </w:tcBorders>
          </w:tcPr>
          <w:p w14:paraId="0B076B12" w14:textId="77777777" w:rsidR="00FE188A" w:rsidRPr="00293C29" w:rsidRDefault="00FE188A" w:rsidP="00DE0217">
            <w:pPr>
              <w:pStyle w:val="NoSpacing"/>
              <w:rPr>
                <w:rFonts w:ascii="Calibri" w:eastAsia="Times New Roman" w:hAnsi="Calibri" w:cs="Times New Roman"/>
                <w:b/>
                <w:lang w:eastAsia="en-GB"/>
              </w:rPr>
            </w:pPr>
          </w:p>
        </w:tc>
        <w:tc>
          <w:tcPr>
            <w:tcW w:w="0" w:type="auto"/>
            <w:tcBorders>
              <w:bottom w:val="single" w:sz="4" w:space="0" w:color="auto"/>
            </w:tcBorders>
          </w:tcPr>
          <w:p w14:paraId="36A34ED5" w14:textId="77777777" w:rsidR="00FE188A" w:rsidRPr="00293C29" w:rsidRDefault="00FE188A" w:rsidP="00DE0217">
            <w:pPr>
              <w:pStyle w:val="NoSpacing"/>
              <w:jc w:val="center"/>
              <w:rPr>
                <w:rFonts w:ascii="Calibri" w:eastAsia="Times New Roman" w:hAnsi="Calibri" w:cs="Times New Roman"/>
                <w:b/>
                <w:lang w:eastAsia="en-GB"/>
              </w:rPr>
            </w:pPr>
            <w:r w:rsidRPr="00293C29">
              <w:rPr>
                <w:rFonts w:ascii="Calibri" w:eastAsia="Times New Roman" w:hAnsi="Calibri" w:cs="Times New Roman"/>
                <w:b/>
                <w:lang w:eastAsia="en-GB"/>
              </w:rPr>
              <w:t>N</w:t>
            </w:r>
          </w:p>
        </w:tc>
        <w:tc>
          <w:tcPr>
            <w:tcW w:w="0" w:type="auto"/>
            <w:tcBorders>
              <w:bottom w:val="single" w:sz="4" w:space="0" w:color="auto"/>
            </w:tcBorders>
          </w:tcPr>
          <w:p w14:paraId="32140B2F" w14:textId="77777777" w:rsidR="00FE188A" w:rsidRPr="00293C29" w:rsidRDefault="00FE188A" w:rsidP="00DE0217">
            <w:pPr>
              <w:pStyle w:val="NoSpacing"/>
              <w:jc w:val="center"/>
              <w:rPr>
                <w:rFonts w:ascii="Calibri" w:eastAsia="Times New Roman" w:hAnsi="Calibri" w:cs="Times New Roman"/>
                <w:b/>
                <w:lang w:eastAsia="en-GB"/>
              </w:rPr>
            </w:pPr>
            <w:r w:rsidRPr="00293C29">
              <w:rPr>
                <w:rFonts w:ascii="Calibri" w:eastAsia="Times New Roman" w:hAnsi="Calibri" w:cs="Times New Roman"/>
                <w:b/>
                <w:lang w:eastAsia="en-GB"/>
              </w:rPr>
              <w:t>SNPs</w:t>
            </w:r>
          </w:p>
        </w:tc>
        <w:tc>
          <w:tcPr>
            <w:tcW w:w="0" w:type="auto"/>
            <w:tcBorders>
              <w:top w:val="single" w:sz="4" w:space="0" w:color="auto"/>
              <w:bottom w:val="single" w:sz="4" w:space="0" w:color="auto"/>
            </w:tcBorders>
          </w:tcPr>
          <w:p w14:paraId="45FDE0B1" w14:textId="77777777" w:rsidR="00FE188A" w:rsidRPr="00293C29" w:rsidRDefault="00FE188A" w:rsidP="00DE0217">
            <w:pPr>
              <w:pStyle w:val="NoSpacing"/>
              <w:jc w:val="center"/>
              <w:rPr>
                <w:rFonts w:ascii="Calibri" w:eastAsia="Times New Roman" w:hAnsi="Calibri" w:cs="Times New Roman"/>
                <w:b/>
                <w:lang w:eastAsia="en-GB"/>
              </w:rPr>
            </w:pPr>
            <w:r w:rsidRPr="00293C29">
              <w:rPr>
                <w:rFonts w:ascii="Calibri" w:eastAsia="Times New Roman" w:hAnsi="Calibri" w:cs="Times New Roman"/>
                <w:b/>
                <w:lang w:eastAsia="en-GB"/>
              </w:rPr>
              <w:t>B</w:t>
            </w:r>
          </w:p>
        </w:tc>
        <w:tc>
          <w:tcPr>
            <w:tcW w:w="0" w:type="auto"/>
            <w:tcBorders>
              <w:top w:val="single" w:sz="4" w:space="0" w:color="auto"/>
              <w:bottom w:val="single" w:sz="4" w:space="0" w:color="auto"/>
            </w:tcBorders>
          </w:tcPr>
          <w:p w14:paraId="37A1BF3E" w14:textId="77777777" w:rsidR="00FE188A" w:rsidRPr="00293C29" w:rsidRDefault="00FE188A" w:rsidP="00DE0217">
            <w:pPr>
              <w:pStyle w:val="NoSpacing"/>
              <w:jc w:val="center"/>
              <w:rPr>
                <w:rFonts w:ascii="Calibri" w:eastAsia="Times New Roman" w:hAnsi="Calibri" w:cs="Times New Roman"/>
                <w:b/>
                <w:lang w:eastAsia="en-GB"/>
              </w:rPr>
            </w:pPr>
            <w:r w:rsidRPr="00293C29">
              <w:rPr>
                <w:rFonts w:ascii="Calibri" w:eastAsia="Times New Roman" w:hAnsi="Calibri" w:cs="Times New Roman"/>
                <w:b/>
                <w:lang w:eastAsia="en-GB"/>
              </w:rPr>
              <w:t>95%CI</w:t>
            </w:r>
          </w:p>
        </w:tc>
        <w:tc>
          <w:tcPr>
            <w:tcW w:w="0" w:type="auto"/>
            <w:tcBorders>
              <w:top w:val="single" w:sz="4" w:space="0" w:color="auto"/>
              <w:bottom w:val="single" w:sz="4" w:space="0" w:color="auto"/>
            </w:tcBorders>
          </w:tcPr>
          <w:p w14:paraId="5332784D" w14:textId="77777777" w:rsidR="00FE188A" w:rsidRPr="00293C29" w:rsidRDefault="00FE188A" w:rsidP="00DE0217">
            <w:pPr>
              <w:pStyle w:val="NoSpacing"/>
              <w:jc w:val="center"/>
              <w:rPr>
                <w:rFonts w:ascii="Calibri" w:eastAsia="Times New Roman" w:hAnsi="Calibri" w:cs="Times New Roman"/>
                <w:b/>
                <w:lang w:eastAsia="en-GB"/>
              </w:rPr>
            </w:pPr>
            <w:r w:rsidRPr="00293C29">
              <w:rPr>
                <w:rFonts w:ascii="Calibri" w:eastAsia="Times New Roman" w:hAnsi="Calibri" w:cs="Times New Roman"/>
                <w:b/>
                <w:lang w:eastAsia="en-GB"/>
              </w:rPr>
              <w:t>P</w:t>
            </w:r>
          </w:p>
        </w:tc>
        <w:tc>
          <w:tcPr>
            <w:tcW w:w="0" w:type="auto"/>
            <w:tcBorders>
              <w:top w:val="single" w:sz="4" w:space="0" w:color="auto"/>
              <w:bottom w:val="single" w:sz="4" w:space="0" w:color="auto"/>
            </w:tcBorders>
          </w:tcPr>
          <w:p w14:paraId="523E0673" w14:textId="77777777" w:rsidR="00FE188A" w:rsidRPr="00293C29" w:rsidRDefault="00FE188A" w:rsidP="00DE0217">
            <w:pPr>
              <w:pStyle w:val="NoSpacing"/>
              <w:jc w:val="center"/>
              <w:rPr>
                <w:rFonts w:ascii="Calibri" w:eastAsia="Times New Roman" w:hAnsi="Calibri" w:cs="Times New Roman"/>
                <w:b/>
                <w:lang w:eastAsia="en-GB"/>
              </w:rPr>
            </w:pPr>
            <w:r w:rsidRPr="00293C29">
              <w:rPr>
                <w:rFonts w:ascii="Calibri" w:eastAsia="Times New Roman" w:hAnsi="Calibri" w:cs="Times New Roman"/>
                <w:b/>
                <w:lang w:eastAsia="en-GB"/>
              </w:rPr>
              <w:t>I</w:t>
            </w:r>
            <w:r w:rsidRPr="00293C29">
              <w:rPr>
                <w:rFonts w:ascii="Calibri" w:eastAsia="Times New Roman" w:hAnsi="Calibri" w:cs="Times New Roman"/>
                <w:b/>
                <w:vertAlign w:val="superscript"/>
                <w:lang w:eastAsia="en-GB"/>
              </w:rPr>
              <w:t>2</w:t>
            </w:r>
          </w:p>
        </w:tc>
        <w:tc>
          <w:tcPr>
            <w:tcW w:w="0" w:type="auto"/>
            <w:tcBorders>
              <w:bottom w:val="single" w:sz="4" w:space="0" w:color="auto"/>
            </w:tcBorders>
          </w:tcPr>
          <w:p w14:paraId="308A59DF" w14:textId="77777777" w:rsidR="00FE188A" w:rsidRPr="00293C29" w:rsidRDefault="00FE188A" w:rsidP="00DE0217">
            <w:pPr>
              <w:pStyle w:val="NoSpacing"/>
              <w:jc w:val="center"/>
              <w:rPr>
                <w:rFonts w:ascii="Calibri" w:eastAsia="Times New Roman" w:hAnsi="Calibri" w:cs="Times New Roman"/>
                <w:b/>
                <w:lang w:eastAsia="en-GB"/>
              </w:rPr>
            </w:pPr>
          </w:p>
        </w:tc>
        <w:tc>
          <w:tcPr>
            <w:tcW w:w="0" w:type="auto"/>
            <w:tcBorders>
              <w:top w:val="single" w:sz="4" w:space="0" w:color="auto"/>
              <w:bottom w:val="single" w:sz="4" w:space="0" w:color="auto"/>
            </w:tcBorders>
          </w:tcPr>
          <w:p w14:paraId="46A68FA9" w14:textId="77777777" w:rsidR="00FE188A" w:rsidRPr="00293C29" w:rsidRDefault="00FE188A" w:rsidP="00DE0217">
            <w:pPr>
              <w:pStyle w:val="NoSpacing"/>
              <w:jc w:val="center"/>
              <w:rPr>
                <w:rFonts w:ascii="Calibri" w:eastAsia="Times New Roman" w:hAnsi="Calibri" w:cs="Times New Roman"/>
                <w:b/>
                <w:lang w:eastAsia="en-GB"/>
              </w:rPr>
            </w:pPr>
            <w:r w:rsidRPr="00293C29">
              <w:rPr>
                <w:rFonts w:ascii="Calibri" w:eastAsia="Times New Roman" w:hAnsi="Calibri" w:cs="Times New Roman"/>
                <w:b/>
                <w:lang w:eastAsia="en-GB"/>
              </w:rPr>
              <w:t>OR</w:t>
            </w:r>
          </w:p>
        </w:tc>
        <w:tc>
          <w:tcPr>
            <w:tcW w:w="0" w:type="auto"/>
            <w:tcBorders>
              <w:top w:val="single" w:sz="4" w:space="0" w:color="auto"/>
              <w:bottom w:val="single" w:sz="4" w:space="0" w:color="auto"/>
            </w:tcBorders>
          </w:tcPr>
          <w:p w14:paraId="7EE22374" w14:textId="77777777" w:rsidR="00FE188A" w:rsidRPr="00293C29" w:rsidRDefault="00FE188A" w:rsidP="00DE0217">
            <w:pPr>
              <w:pStyle w:val="NoSpacing"/>
              <w:jc w:val="center"/>
              <w:rPr>
                <w:rFonts w:ascii="Calibri" w:eastAsia="Times New Roman" w:hAnsi="Calibri" w:cs="Times New Roman"/>
                <w:b/>
                <w:lang w:eastAsia="en-GB"/>
              </w:rPr>
            </w:pPr>
            <w:r w:rsidRPr="00293C29">
              <w:rPr>
                <w:rFonts w:ascii="Calibri" w:eastAsia="Times New Roman" w:hAnsi="Calibri" w:cs="Times New Roman"/>
                <w:b/>
                <w:lang w:eastAsia="en-GB"/>
              </w:rPr>
              <w:t>95%CI</w:t>
            </w:r>
          </w:p>
        </w:tc>
        <w:tc>
          <w:tcPr>
            <w:tcW w:w="0" w:type="auto"/>
            <w:tcBorders>
              <w:top w:val="single" w:sz="4" w:space="0" w:color="auto"/>
              <w:bottom w:val="single" w:sz="4" w:space="0" w:color="auto"/>
            </w:tcBorders>
          </w:tcPr>
          <w:p w14:paraId="447709E8" w14:textId="77777777" w:rsidR="00FE188A" w:rsidRPr="00293C29" w:rsidRDefault="00FE188A" w:rsidP="00DE0217">
            <w:pPr>
              <w:pStyle w:val="NoSpacing"/>
              <w:jc w:val="center"/>
              <w:rPr>
                <w:rFonts w:ascii="Calibri" w:eastAsia="Times New Roman" w:hAnsi="Calibri" w:cs="Times New Roman"/>
                <w:b/>
                <w:lang w:eastAsia="en-GB"/>
              </w:rPr>
            </w:pPr>
            <w:r w:rsidRPr="00293C29">
              <w:rPr>
                <w:rFonts w:ascii="Calibri" w:eastAsia="Times New Roman" w:hAnsi="Calibri" w:cs="Times New Roman"/>
                <w:b/>
                <w:lang w:eastAsia="en-GB"/>
              </w:rPr>
              <w:t>P</w:t>
            </w:r>
          </w:p>
        </w:tc>
        <w:tc>
          <w:tcPr>
            <w:tcW w:w="0" w:type="auto"/>
            <w:tcBorders>
              <w:top w:val="single" w:sz="4" w:space="0" w:color="auto"/>
              <w:bottom w:val="single" w:sz="4" w:space="0" w:color="auto"/>
            </w:tcBorders>
          </w:tcPr>
          <w:p w14:paraId="25C3F15C" w14:textId="77777777" w:rsidR="00FE188A" w:rsidRPr="00293C29" w:rsidRDefault="00FE188A" w:rsidP="00DE0217">
            <w:pPr>
              <w:pStyle w:val="NoSpacing"/>
              <w:jc w:val="center"/>
              <w:rPr>
                <w:rFonts w:ascii="Calibri" w:eastAsia="Times New Roman" w:hAnsi="Calibri" w:cs="Times New Roman"/>
                <w:b/>
                <w:lang w:eastAsia="en-GB"/>
              </w:rPr>
            </w:pPr>
            <w:r w:rsidRPr="00293C29">
              <w:rPr>
                <w:rFonts w:ascii="Calibri" w:eastAsia="Times New Roman" w:hAnsi="Calibri" w:cs="Times New Roman"/>
                <w:b/>
                <w:lang w:eastAsia="en-GB"/>
              </w:rPr>
              <w:t>I</w:t>
            </w:r>
            <w:r w:rsidRPr="00293C29">
              <w:rPr>
                <w:rFonts w:ascii="Calibri" w:eastAsia="Times New Roman" w:hAnsi="Calibri" w:cs="Times New Roman"/>
                <w:b/>
                <w:vertAlign w:val="superscript"/>
                <w:lang w:eastAsia="en-GB"/>
              </w:rPr>
              <w:t>2</w:t>
            </w:r>
          </w:p>
        </w:tc>
      </w:tr>
      <w:tr w:rsidR="00697321" w:rsidRPr="00293C29" w14:paraId="63C61B01" w14:textId="77777777" w:rsidTr="00DE0217">
        <w:trPr>
          <w:trHeight w:val="283"/>
        </w:trPr>
        <w:tc>
          <w:tcPr>
            <w:tcW w:w="0" w:type="auto"/>
            <w:tcBorders>
              <w:top w:val="single" w:sz="4" w:space="0" w:color="auto"/>
              <w:bottom w:val="nil"/>
            </w:tcBorders>
          </w:tcPr>
          <w:p w14:paraId="02B35A72" w14:textId="77777777" w:rsidR="00FE188A" w:rsidRPr="00293C29" w:rsidRDefault="00FE188A" w:rsidP="00DE0217">
            <w:pPr>
              <w:pStyle w:val="NoSpacing"/>
              <w:rPr>
                <w:b/>
              </w:rPr>
            </w:pPr>
            <w:r w:rsidRPr="00293C29">
              <w:rPr>
                <w:b/>
              </w:rPr>
              <w:t>Observational analysis</w:t>
            </w:r>
          </w:p>
        </w:tc>
        <w:tc>
          <w:tcPr>
            <w:tcW w:w="0" w:type="auto"/>
            <w:tcBorders>
              <w:top w:val="single" w:sz="4" w:space="0" w:color="auto"/>
              <w:bottom w:val="nil"/>
            </w:tcBorders>
            <w:vAlign w:val="center"/>
          </w:tcPr>
          <w:p w14:paraId="35A169BB" w14:textId="77777777" w:rsidR="00FE188A" w:rsidRPr="00293C29" w:rsidRDefault="00FE188A" w:rsidP="00DE0217">
            <w:pPr>
              <w:pStyle w:val="NoSpacing"/>
              <w:jc w:val="center"/>
            </w:pPr>
            <w:r w:rsidRPr="00293C29">
              <w:t>77,303</w:t>
            </w:r>
          </w:p>
        </w:tc>
        <w:tc>
          <w:tcPr>
            <w:tcW w:w="0" w:type="auto"/>
            <w:tcBorders>
              <w:top w:val="single" w:sz="4" w:space="0" w:color="auto"/>
              <w:bottom w:val="nil"/>
            </w:tcBorders>
            <w:vAlign w:val="center"/>
          </w:tcPr>
          <w:p w14:paraId="0C620C1F" w14:textId="77777777" w:rsidR="00FE188A" w:rsidRPr="00293C29" w:rsidRDefault="00FE188A" w:rsidP="00DE0217">
            <w:pPr>
              <w:pStyle w:val="NoSpacing"/>
              <w:jc w:val="center"/>
              <w:rPr>
                <w:rFonts w:ascii="Calibri" w:hAnsi="Calibri"/>
              </w:rPr>
            </w:pPr>
            <w:r w:rsidRPr="00293C29">
              <w:rPr>
                <w:rFonts w:ascii="Calibri" w:hAnsi="Calibri"/>
              </w:rPr>
              <w:t>-</w:t>
            </w:r>
          </w:p>
        </w:tc>
        <w:tc>
          <w:tcPr>
            <w:tcW w:w="0" w:type="auto"/>
            <w:tcBorders>
              <w:top w:val="single" w:sz="4" w:space="0" w:color="auto"/>
              <w:bottom w:val="nil"/>
            </w:tcBorders>
            <w:vAlign w:val="center"/>
          </w:tcPr>
          <w:p w14:paraId="2877BBEF" w14:textId="730E0457" w:rsidR="00FE188A" w:rsidRPr="00293C29" w:rsidRDefault="00FE188A" w:rsidP="00DE0217">
            <w:pPr>
              <w:pStyle w:val="NoSpacing"/>
              <w:jc w:val="center"/>
              <w:rPr>
                <w:rFonts w:ascii="Calibri" w:hAnsi="Calibri"/>
              </w:rPr>
            </w:pPr>
            <w:r w:rsidRPr="00293C29">
              <w:rPr>
                <w:rFonts w:ascii="Calibri" w:hAnsi="Calibri"/>
              </w:rPr>
              <w:t>-0.</w:t>
            </w:r>
            <w:r w:rsidR="003B20A8" w:rsidRPr="00293C29">
              <w:rPr>
                <w:rFonts w:ascii="Calibri" w:hAnsi="Calibri"/>
              </w:rPr>
              <w:t>1</w:t>
            </w:r>
            <w:r w:rsidR="003B20A8">
              <w:rPr>
                <w:rFonts w:ascii="Calibri" w:hAnsi="Calibri"/>
              </w:rPr>
              <w:t>9</w:t>
            </w:r>
          </w:p>
        </w:tc>
        <w:tc>
          <w:tcPr>
            <w:tcW w:w="0" w:type="auto"/>
            <w:tcBorders>
              <w:top w:val="single" w:sz="4" w:space="0" w:color="auto"/>
              <w:bottom w:val="nil"/>
            </w:tcBorders>
            <w:vAlign w:val="center"/>
          </w:tcPr>
          <w:p w14:paraId="14717BEB" w14:textId="77777777" w:rsidR="00FE188A" w:rsidRPr="00293C29" w:rsidRDefault="00FE188A" w:rsidP="00DE0217">
            <w:pPr>
              <w:pStyle w:val="NoSpacing"/>
              <w:jc w:val="center"/>
              <w:rPr>
                <w:rFonts w:ascii="Calibri" w:hAnsi="Calibri"/>
              </w:rPr>
            </w:pPr>
            <w:r w:rsidRPr="00293C29">
              <w:rPr>
                <w:rFonts w:ascii="Calibri" w:hAnsi="Calibri"/>
              </w:rPr>
              <w:t>-0.34 to -0.03</w:t>
            </w:r>
          </w:p>
        </w:tc>
        <w:tc>
          <w:tcPr>
            <w:tcW w:w="0" w:type="auto"/>
            <w:tcBorders>
              <w:top w:val="single" w:sz="4" w:space="0" w:color="auto"/>
              <w:bottom w:val="nil"/>
            </w:tcBorders>
            <w:vAlign w:val="center"/>
          </w:tcPr>
          <w:p w14:paraId="60ABB3C5" w14:textId="7BC97AF5" w:rsidR="00FE188A" w:rsidRPr="00293C29" w:rsidRDefault="00FE188A" w:rsidP="00DE0217">
            <w:pPr>
              <w:pStyle w:val="NoSpacing"/>
              <w:jc w:val="center"/>
              <w:rPr>
                <w:rFonts w:ascii="Calibri" w:hAnsi="Calibri"/>
                <w:b/>
                <w:bCs/>
              </w:rPr>
            </w:pPr>
            <w:r w:rsidRPr="00293C29">
              <w:rPr>
                <w:rFonts w:ascii="Calibri" w:hAnsi="Calibri"/>
                <w:b/>
                <w:bCs/>
              </w:rPr>
              <w:t>0.</w:t>
            </w:r>
            <w:r w:rsidR="003B20A8" w:rsidRPr="00293C29">
              <w:rPr>
                <w:rFonts w:ascii="Calibri" w:hAnsi="Calibri"/>
                <w:b/>
                <w:bCs/>
              </w:rPr>
              <w:t>0</w:t>
            </w:r>
            <w:r w:rsidR="003B20A8">
              <w:rPr>
                <w:rFonts w:ascii="Calibri" w:hAnsi="Calibri"/>
                <w:b/>
                <w:bCs/>
              </w:rPr>
              <w:t>19</w:t>
            </w:r>
          </w:p>
        </w:tc>
        <w:tc>
          <w:tcPr>
            <w:tcW w:w="0" w:type="auto"/>
            <w:tcBorders>
              <w:top w:val="single" w:sz="4" w:space="0" w:color="auto"/>
              <w:bottom w:val="nil"/>
            </w:tcBorders>
            <w:vAlign w:val="center"/>
          </w:tcPr>
          <w:p w14:paraId="361C7EC2" w14:textId="77777777" w:rsidR="00FE188A" w:rsidRPr="00293C29" w:rsidRDefault="00FE188A" w:rsidP="00DE0217">
            <w:pPr>
              <w:pStyle w:val="NoSpacing"/>
              <w:jc w:val="center"/>
              <w:rPr>
                <w:lang w:eastAsia="fr-FR"/>
              </w:rPr>
            </w:pPr>
            <w:r w:rsidRPr="00293C29">
              <w:rPr>
                <w:lang w:eastAsia="fr-FR"/>
              </w:rPr>
              <w:t>NA</w:t>
            </w:r>
          </w:p>
        </w:tc>
        <w:tc>
          <w:tcPr>
            <w:tcW w:w="0" w:type="auto"/>
            <w:tcBorders>
              <w:top w:val="single" w:sz="4" w:space="0" w:color="auto"/>
              <w:bottom w:val="nil"/>
            </w:tcBorders>
            <w:vAlign w:val="center"/>
          </w:tcPr>
          <w:p w14:paraId="7E37AB6B" w14:textId="77777777" w:rsidR="00FE188A" w:rsidRPr="00293C29" w:rsidRDefault="00FE188A" w:rsidP="00DE0217">
            <w:pPr>
              <w:pStyle w:val="NoSpacing"/>
              <w:jc w:val="center"/>
              <w:rPr>
                <w:rFonts w:ascii="Calibri" w:hAnsi="Calibri"/>
                <w:b/>
                <w:bCs/>
              </w:rPr>
            </w:pPr>
          </w:p>
        </w:tc>
        <w:tc>
          <w:tcPr>
            <w:tcW w:w="0" w:type="auto"/>
            <w:tcBorders>
              <w:top w:val="single" w:sz="4" w:space="0" w:color="auto"/>
              <w:bottom w:val="nil"/>
            </w:tcBorders>
            <w:vAlign w:val="center"/>
          </w:tcPr>
          <w:p w14:paraId="38B82AFF" w14:textId="7B7F04DB" w:rsidR="00FE188A" w:rsidRPr="00293C29" w:rsidRDefault="00FE188A" w:rsidP="00DE0217">
            <w:pPr>
              <w:pStyle w:val="NoSpacing"/>
              <w:jc w:val="center"/>
              <w:rPr>
                <w:rFonts w:ascii="Calibri" w:hAnsi="Calibri"/>
                <w:bCs/>
              </w:rPr>
            </w:pPr>
            <w:r w:rsidRPr="00293C29">
              <w:rPr>
                <w:rFonts w:ascii="Calibri" w:hAnsi="Calibri"/>
                <w:bCs/>
              </w:rPr>
              <w:t>1.0</w:t>
            </w:r>
            <w:r w:rsidR="003B20A8">
              <w:rPr>
                <w:rFonts w:ascii="Calibri" w:hAnsi="Calibri"/>
                <w:bCs/>
              </w:rPr>
              <w:t>9</w:t>
            </w:r>
          </w:p>
        </w:tc>
        <w:tc>
          <w:tcPr>
            <w:tcW w:w="0" w:type="auto"/>
            <w:tcBorders>
              <w:top w:val="single" w:sz="4" w:space="0" w:color="auto"/>
              <w:bottom w:val="nil"/>
            </w:tcBorders>
            <w:vAlign w:val="center"/>
          </w:tcPr>
          <w:p w14:paraId="0C564DAF" w14:textId="52EA4F80" w:rsidR="00FE188A" w:rsidRPr="00293C29" w:rsidRDefault="003B20A8" w:rsidP="00DE0217">
            <w:pPr>
              <w:pStyle w:val="NoSpacing"/>
              <w:jc w:val="center"/>
              <w:rPr>
                <w:rFonts w:ascii="Calibri" w:hAnsi="Calibri"/>
                <w:bCs/>
              </w:rPr>
            </w:pPr>
            <w:r>
              <w:rPr>
                <w:rFonts w:ascii="Calibri" w:hAnsi="Calibri"/>
                <w:bCs/>
              </w:rPr>
              <w:t>1.00</w:t>
            </w:r>
            <w:r w:rsidR="00FE188A" w:rsidRPr="00293C29">
              <w:rPr>
                <w:rFonts w:ascii="Calibri" w:hAnsi="Calibri"/>
                <w:bCs/>
              </w:rPr>
              <w:t xml:space="preserve"> to 1.19</w:t>
            </w:r>
          </w:p>
        </w:tc>
        <w:tc>
          <w:tcPr>
            <w:tcW w:w="0" w:type="auto"/>
            <w:tcBorders>
              <w:top w:val="single" w:sz="4" w:space="0" w:color="auto"/>
              <w:bottom w:val="nil"/>
            </w:tcBorders>
            <w:vAlign w:val="center"/>
          </w:tcPr>
          <w:p w14:paraId="65EEEC44" w14:textId="01F8CAC7" w:rsidR="00FE188A" w:rsidRPr="00293C29" w:rsidRDefault="00FE188A" w:rsidP="00DE0217">
            <w:pPr>
              <w:pStyle w:val="NoSpacing"/>
              <w:jc w:val="center"/>
              <w:rPr>
                <w:rFonts w:ascii="Calibri" w:hAnsi="Calibri"/>
                <w:bCs/>
              </w:rPr>
            </w:pPr>
            <w:r w:rsidRPr="00293C29">
              <w:rPr>
                <w:rFonts w:ascii="Calibri" w:hAnsi="Calibri"/>
                <w:bCs/>
              </w:rPr>
              <w:t>0.</w:t>
            </w:r>
            <w:r w:rsidR="003B20A8" w:rsidRPr="00293C29">
              <w:rPr>
                <w:rFonts w:ascii="Calibri" w:hAnsi="Calibri"/>
                <w:bCs/>
              </w:rPr>
              <w:t>0</w:t>
            </w:r>
            <w:r w:rsidR="003B20A8">
              <w:rPr>
                <w:rFonts w:ascii="Calibri" w:hAnsi="Calibri"/>
                <w:bCs/>
              </w:rPr>
              <w:t>63</w:t>
            </w:r>
          </w:p>
        </w:tc>
        <w:tc>
          <w:tcPr>
            <w:tcW w:w="0" w:type="auto"/>
            <w:tcBorders>
              <w:top w:val="single" w:sz="4" w:space="0" w:color="auto"/>
              <w:bottom w:val="nil"/>
            </w:tcBorders>
            <w:vAlign w:val="center"/>
          </w:tcPr>
          <w:p w14:paraId="19EAE7AA" w14:textId="77777777" w:rsidR="00FE188A" w:rsidRPr="00293C29" w:rsidRDefault="00FE188A" w:rsidP="00DE0217">
            <w:pPr>
              <w:pStyle w:val="NoSpacing"/>
              <w:jc w:val="center"/>
              <w:rPr>
                <w:lang w:eastAsia="fr-FR"/>
              </w:rPr>
            </w:pPr>
            <w:r w:rsidRPr="00293C29">
              <w:rPr>
                <w:lang w:eastAsia="fr-FR"/>
              </w:rPr>
              <w:t>NA</w:t>
            </w:r>
          </w:p>
        </w:tc>
      </w:tr>
      <w:tr w:rsidR="00697321" w:rsidRPr="00293C29" w14:paraId="2B2B9AE5" w14:textId="77777777" w:rsidTr="00DE0217">
        <w:trPr>
          <w:trHeight w:val="283"/>
        </w:trPr>
        <w:tc>
          <w:tcPr>
            <w:tcW w:w="0" w:type="auto"/>
            <w:tcBorders>
              <w:top w:val="nil"/>
              <w:bottom w:val="nil"/>
            </w:tcBorders>
          </w:tcPr>
          <w:p w14:paraId="4206E2AF" w14:textId="77777777" w:rsidR="00FE188A" w:rsidRPr="00293C29" w:rsidRDefault="00FE188A" w:rsidP="00DE0217">
            <w:pPr>
              <w:pStyle w:val="NoSpacing"/>
            </w:pPr>
            <w:r w:rsidRPr="00293C29">
              <w:rPr>
                <w:b/>
              </w:rPr>
              <w:t>Main MR analysis</w:t>
            </w:r>
            <w:r w:rsidRPr="00293C29">
              <w:t xml:space="preserve"> (All SNPs)</w:t>
            </w:r>
          </w:p>
        </w:tc>
        <w:tc>
          <w:tcPr>
            <w:tcW w:w="0" w:type="auto"/>
            <w:tcBorders>
              <w:top w:val="nil"/>
              <w:bottom w:val="nil"/>
            </w:tcBorders>
            <w:vAlign w:val="center"/>
          </w:tcPr>
          <w:p w14:paraId="1D332DF1" w14:textId="77777777" w:rsidR="00FE188A" w:rsidRPr="00293C29" w:rsidRDefault="00FE188A" w:rsidP="00DE0217">
            <w:pPr>
              <w:pStyle w:val="NoSpacing"/>
              <w:jc w:val="center"/>
            </w:pPr>
            <w:r w:rsidRPr="00293C29">
              <w:t>86,274</w:t>
            </w:r>
          </w:p>
        </w:tc>
        <w:tc>
          <w:tcPr>
            <w:tcW w:w="0" w:type="auto"/>
            <w:tcBorders>
              <w:top w:val="nil"/>
              <w:bottom w:val="nil"/>
            </w:tcBorders>
            <w:vAlign w:val="center"/>
          </w:tcPr>
          <w:p w14:paraId="4F762C46" w14:textId="77777777" w:rsidR="00FE188A" w:rsidRPr="00293C29" w:rsidRDefault="00FE188A" w:rsidP="00DE0217">
            <w:pPr>
              <w:pStyle w:val="NoSpacing"/>
              <w:jc w:val="center"/>
              <w:rPr>
                <w:rFonts w:ascii="Calibri" w:hAnsi="Calibri"/>
              </w:rPr>
            </w:pPr>
            <w:r w:rsidRPr="00293C29">
              <w:rPr>
                <w:rFonts w:ascii="Calibri" w:hAnsi="Calibri"/>
              </w:rPr>
              <w:t>39</w:t>
            </w:r>
          </w:p>
        </w:tc>
        <w:tc>
          <w:tcPr>
            <w:tcW w:w="0" w:type="auto"/>
            <w:tcBorders>
              <w:top w:val="nil"/>
              <w:bottom w:val="nil"/>
            </w:tcBorders>
            <w:vAlign w:val="center"/>
          </w:tcPr>
          <w:p w14:paraId="038D5C57" w14:textId="77777777" w:rsidR="00FE188A" w:rsidRPr="00293C29" w:rsidRDefault="00FE188A" w:rsidP="00DE0217">
            <w:pPr>
              <w:pStyle w:val="NoSpacing"/>
              <w:jc w:val="center"/>
              <w:rPr>
                <w:rFonts w:ascii="Calibri" w:hAnsi="Calibri"/>
              </w:rPr>
            </w:pPr>
            <w:r w:rsidRPr="00293C29">
              <w:rPr>
                <w:rFonts w:ascii="Calibri" w:hAnsi="Calibri"/>
              </w:rPr>
              <w:t>0.29</w:t>
            </w:r>
          </w:p>
        </w:tc>
        <w:tc>
          <w:tcPr>
            <w:tcW w:w="0" w:type="auto"/>
            <w:tcBorders>
              <w:top w:val="nil"/>
              <w:bottom w:val="nil"/>
            </w:tcBorders>
            <w:vAlign w:val="center"/>
          </w:tcPr>
          <w:p w14:paraId="611C2017" w14:textId="77777777" w:rsidR="00FE188A" w:rsidRPr="00293C29" w:rsidRDefault="00FE188A" w:rsidP="00DE0217">
            <w:pPr>
              <w:pStyle w:val="NoSpacing"/>
              <w:jc w:val="center"/>
              <w:rPr>
                <w:rFonts w:ascii="Calibri" w:hAnsi="Calibri"/>
              </w:rPr>
            </w:pPr>
            <w:r w:rsidRPr="00293C29">
              <w:rPr>
                <w:rFonts w:ascii="Calibri" w:hAnsi="Calibri"/>
              </w:rPr>
              <w:t>0.22 to 0.36</w:t>
            </w:r>
          </w:p>
        </w:tc>
        <w:tc>
          <w:tcPr>
            <w:tcW w:w="0" w:type="auto"/>
            <w:tcBorders>
              <w:top w:val="nil"/>
              <w:bottom w:val="nil"/>
            </w:tcBorders>
            <w:vAlign w:val="center"/>
          </w:tcPr>
          <w:p w14:paraId="0F07EBD3" w14:textId="77777777" w:rsidR="00FE188A" w:rsidRPr="00293C29" w:rsidRDefault="00FE188A" w:rsidP="00DE0217">
            <w:pPr>
              <w:pStyle w:val="NoSpacing"/>
              <w:jc w:val="center"/>
              <w:rPr>
                <w:rFonts w:ascii="Calibri" w:hAnsi="Calibri"/>
                <w:b/>
                <w:bCs/>
              </w:rPr>
            </w:pPr>
            <w:r w:rsidRPr="00293C29">
              <w:rPr>
                <w:rFonts w:ascii="Calibri" w:hAnsi="Calibri"/>
                <w:b/>
                <w:bCs/>
              </w:rPr>
              <w:t>1.48x10</w:t>
            </w:r>
            <w:r w:rsidRPr="00293C29">
              <w:rPr>
                <w:rFonts w:ascii="Calibri" w:hAnsi="Calibri"/>
                <w:b/>
                <w:bCs/>
                <w:vertAlign w:val="superscript"/>
              </w:rPr>
              <w:t>-16</w:t>
            </w:r>
          </w:p>
        </w:tc>
        <w:tc>
          <w:tcPr>
            <w:tcW w:w="0" w:type="auto"/>
            <w:tcBorders>
              <w:top w:val="nil"/>
              <w:bottom w:val="nil"/>
            </w:tcBorders>
            <w:vAlign w:val="center"/>
          </w:tcPr>
          <w:p w14:paraId="3DEEAC7C" w14:textId="77777777" w:rsidR="00FE188A" w:rsidRPr="00293C29" w:rsidRDefault="00FE188A" w:rsidP="00DE0217">
            <w:pPr>
              <w:pStyle w:val="NoSpacing"/>
              <w:jc w:val="center"/>
              <w:rPr>
                <w:lang w:eastAsia="fr-FR"/>
              </w:rPr>
            </w:pPr>
            <w:r w:rsidRPr="00293C29">
              <w:rPr>
                <w:lang w:eastAsia="fr-FR"/>
              </w:rPr>
              <w:t>48 [34-83]</w:t>
            </w:r>
          </w:p>
        </w:tc>
        <w:tc>
          <w:tcPr>
            <w:tcW w:w="0" w:type="auto"/>
            <w:tcBorders>
              <w:top w:val="nil"/>
              <w:bottom w:val="nil"/>
            </w:tcBorders>
            <w:vAlign w:val="center"/>
          </w:tcPr>
          <w:p w14:paraId="085BD8AF" w14:textId="77777777" w:rsidR="00FE188A" w:rsidRPr="00293C29" w:rsidRDefault="00FE188A" w:rsidP="00DE0217">
            <w:pPr>
              <w:pStyle w:val="NoSpacing"/>
              <w:jc w:val="center"/>
              <w:rPr>
                <w:rFonts w:ascii="Calibri" w:hAnsi="Calibri"/>
                <w:b/>
                <w:bCs/>
              </w:rPr>
            </w:pPr>
          </w:p>
        </w:tc>
        <w:tc>
          <w:tcPr>
            <w:tcW w:w="0" w:type="auto"/>
            <w:tcBorders>
              <w:top w:val="nil"/>
              <w:bottom w:val="nil"/>
            </w:tcBorders>
            <w:vAlign w:val="center"/>
          </w:tcPr>
          <w:p w14:paraId="46945790" w14:textId="77777777" w:rsidR="00FE188A" w:rsidRPr="00293C29" w:rsidRDefault="00FE188A" w:rsidP="00DE0217">
            <w:pPr>
              <w:pStyle w:val="NoSpacing"/>
              <w:jc w:val="center"/>
              <w:rPr>
                <w:rFonts w:ascii="Calibri" w:hAnsi="Calibri"/>
                <w:bCs/>
              </w:rPr>
            </w:pPr>
            <w:r w:rsidRPr="00293C29">
              <w:rPr>
                <w:rFonts w:ascii="Calibri" w:hAnsi="Calibri"/>
                <w:bCs/>
              </w:rPr>
              <w:t>0.85</w:t>
            </w:r>
          </w:p>
        </w:tc>
        <w:tc>
          <w:tcPr>
            <w:tcW w:w="0" w:type="auto"/>
            <w:tcBorders>
              <w:top w:val="nil"/>
              <w:bottom w:val="nil"/>
            </w:tcBorders>
            <w:vAlign w:val="center"/>
          </w:tcPr>
          <w:p w14:paraId="43F00CAC" w14:textId="77777777" w:rsidR="00FE188A" w:rsidRPr="00293C29" w:rsidRDefault="00FE188A" w:rsidP="00DE0217">
            <w:pPr>
              <w:pStyle w:val="NoSpacing"/>
              <w:jc w:val="center"/>
              <w:rPr>
                <w:rFonts w:ascii="Calibri" w:hAnsi="Calibri"/>
                <w:bCs/>
              </w:rPr>
            </w:pPr>
            <w:r w:rsidRPr="00293C29">
              <w:rPr>
                <w:rFonts w:ascii="Calibri" w:hAnsi="Calibri"/>
                <w:bCs/>
              </w:rPr>
              <w:t>0.82 to 0.89</w:t>
            </w:r>
          </w:p>
        </w:tc>
        <w:tc>
          <w:tcPr>
            <w:tcW w:w="0" w:type="auto"/>
            <w:tcBorders>
              <w:top w:val="nil"/>
              <w:bottom w:val="nil"/>
            </w:tcBorders>
            <w:vAlign w:val="center"/>
          </w:tcPr>
          <w:p w14:paraId="6B2308C2" w14:textId="77777777" w:rsidR="00FE188A" w:rsidRPr="00293C29" w:rsidRDefault="00FE188A" w:rsidP="00DE0217">
            <w:pPr>
              <w:pStyle w:val="NoSpacing"/>
              <w:jc w:val="center"/>
              <w:rPr>
                <w:rFonts w:ascii="Calibri" w:hAnsi="Calibri"/>
                <w:b/>
                <w:bCs/>
              </w:rPr>
            </w:pPr>
            <w:r w:rsidRPr="00293C29">
              <w:rPr>
                <w:rFonts w:ascii="Calibri" w:hAnsi="Calibri"/>
                <w:b/>
                <w:bCs/>
              </w:rPr>
              <w:t>5.88x10</w:t>
            </w:r>
            <w:r w:rsidRPr="00293C29">
              <w:rPr>
                <w:rFonts w:ascii="Calibri" w:hAnsi="Calibri"/>
                <w:b/>
                <w:bCs/>
                <w:vertAlign w:val="superscript"/>
              </w:rPr>
              <w:t>-14</w:t>
            </w:r>
          </w:p>
        </w:tc>
        <w:tc>
          <w:tcPr>
            <w:tcW w:w="0" w:type="auto"/>
            <w:tcBorders>
              <w:top w:val="nil"/>
              <w:bottom w:val="nil"/>
            </w:tcBorders>
            <w:vAlign w:val="center"/>
          </w:tcPr>
          <w:p w14:paraId="3A13F85B" w14:textId="77777777" w:rsidR="00FE188A" w:rsidRPr="00293C29" w:rsidRDefault="00FE188A" w:rsidP="00DE0217">
            <w:pPr>
              <w:pStyle w:val="NoSpacing"/>
              <w:jc w:val="center"/>
              <w:rPr>
                <w:lang w:eastAsia="fr-FR"/>
              </w:rPr>
            </w:pPr>
            <w:r w:rsidRPr="00293C29">
              <w:rPr>
                <w:lang w:eastAsia="fr-FR"/>
              </w:rPr>
              <w:t>16 [0-60]</w:t>
            </w:r>
          </w:p>
        </w:tc>
      </w:tr>
      <w:tr w:rsidR="00697321" w:rsidRPr="00293C29" w14:paraId="29C480F4" w14:textId="77777777" w:rsidTr="00B51EC8">
        <w:trPr>
          <w:trHeight w:val="283"/>
        </w:trPr>
        <w:tc>
          <w:tcPr>
            <w:tcW w:w="0" w:type="auto"/>
            <w:gridSpan w:val="2"/>
            <w:tcBorders>
              <w:top w:val="nil"/>
              <w:bottom w:val="nil"/>
            </w:tcBorders>
          </w:tcPr>
          <w:p w14:paraId="6D3C95C7" w14:textId="5B96B55F" w:rsidR="00697321" w:rsidRPr="00293C29" w:rsidRDefault="00697321" w:rsidP="004500D0">
            <w:pPr>
              <w:pStyle w:val="NoSpacing"/>
            </w:pPr>
            <w:r w:rsidRPr="00293C29">
              <w:rPr>
                <w:rFonts w:ascii="Calibri" w:hAnsi="Calibri"/>
                <w:b/>
              </w:rPr>
              <w:t>Exclusion of pleiotropic SNPs</w:t>
            </w:r>
          </w:p>
        </w:tc>
        <w:tc>
          <w:tcPr>
            <w:tcW w:w="0" w:type="auto"/>
            <w:tcBorders>
              <w:top w:val="nil"/>
              <w:bottom w:val="nil"/>
            </w:tcBorders>
            <w:vAlign w:val="center"/>
          </w:tcPr>
          <w:p w14:paraId="484AD8D2" w14:textId="77777777" w:rsidR="00697321" w:rsidRPr="00293C29" w:rsidRDefault="00697321" w:rsidP="00DE0217">
            <w:pPr>
              <w:pStyle w:val="NoSpacing"/>
              <w:jc w:val="center"/>
              <w:rPr>
                <w:rFonts w:ascii="Calibri" w:hAnsi="Calibri"/>
              </w:rPr>
            </w:pPr>
          </w:p>
        </w:tc>
        <w:tc>
          <w:tcPr>
            <w:tcW w:w="0" w:type="auto"/>
            <w:tcBorders>
              <w:top w:val="nil"/>
              <w:bottom w:val="nil"/>
            </w:tcBorders>
            <w:vAlign w:val="center"/>
          </w:tcPr>
          <w:p w14:paraId="7A6CCEEC" w14:textId="77777777" w:rsidR="00697321" w:rsidRPr="00293C29" w:rsidRDefault="00697321" w:rsidP="00DE0217">
            <w:pPr>
              <w:pStyle w:val="NoSpacing"/>
              <w:jc w:val="center"/>
              <w:rPr>
                <w:rFonts w:ascii="Calibri" w:hAnsi="Calibri"/>
              </w:rPr>
            </w:pPr>
          </w:p>
        </w:tc>
        <w:tc>
          <w:tcPr>
            <w:tcW w:w="0" w:type="auto"/>
            <w:tcBorders>
              <w:top w:val="nil"/>
              <w:bottom w:val="nil"/>
            </w:tcBorders>
            <w:vAlign w:val="center"/>
          </w:tcPr>
          <w:p w14:paraId="3B4B1D62" w14:textId="77777777" w:rsidR="00697321" w:rsidRPr="00293C29" w:rsidRDefault="00697321" w:rsidP="00DE0217">
            <w:pPr>
              <w:pStyle w:val="NoSpacing"/>
              <w:jc w:val="center"/>
              <w:rPr>
                <w:rFonts w:ascii="Calibri" w:hAnsi="Calibri"/>
              </w:rPr>
            </w:pPr>
          </w:p>
        </w:tc>
        <w:tc>
          <w:tcPr>
            <w:tcW w:w="0" w:type="auto"/>
            <w:tcBorders>
              <w:top w:val="nil"/>
              <w:bottom w:val="nil"/>
            </w:tcBorders>
            <w:vAlign w:val="center"/>
          </w:tcPr>
          <w:p w14:paraId="4BB316F0" w14:textId="77777777" w:rsidR="00697321" w:rsidRPr="00293C29" w:rsidRDefault="00697321" w:rsidP="00DE0217">
            <w:pPr>
              <w:pStyle w:val="NoSpacing"/>
              <w:jc w:val="center"/>
              <w:rPr>
                <w:rFonts w:ascii="Calibri" w:hAnsi="Calibri"/>
                <w:b/>
                <w:bCs/>
              </w:rPr>
            </w:pPr>
          </w:p>
        </w:tc>
        <w:tc>
          <w:tcPr>
            <w:tcW w:w="0" w:type="auto"/>
            <w:tcBorders>
              <w:top w:val="nil"/>
              <w:bottom w:val="nil"/>
            </w:tcBorders>
            <w:vAlign w:val="center"/>
          </w:tcPr>
          <w:p w14:paraId="3083C2F7" w14:textId="77777777" w:rsidR="00697321" w:rsidRPr="00293C29" w:rsidRDefault="00697321" w:rsidP="00DE0217">
            <w:pPr>
              <w:pStyle w:val="NoSpacing"/>
              <w:jc w:val="center"/>
              <w:rPr>
                <w:lang w:eastAsia="fr-FR"/>
              </w:rPr>
            </w:pPr>
          </w:p>
        </w:tc>
        <w:tc>
          <w:tcPr>
            <w:tcW w:w="0" w:type="auto"/>
            <w:tcBorders>
              <w:top w:val="nil"/>
              <w:bottom w:val="nil"/>
            </w:tcBorders>
            <w:vAlign w:val="center"/>
          </w:tcPr>
          <w:p w14:paraId="49DB4609" w14:textId="77777777" w:rsidR="00697321" w:rsidRPr="00293C29" w:rsidRDefault="00697321" w:rsidP="00DE0217">
            <w:pPr>
              <w:pStyle w:val="NoSpacing"/>
              <w:jc w:val="center"/>
              <w:rPr>
                <w:rFonts w:ascii="Calibri" w:hAnsi="Calibri"/>
                <w:b/>
                <w:bCs/>
              </w:rPr>
            </w:pPr>
          </w:p>
        </w:tc>
        <w:tc>
          <w:tcPr>
            <w:tcW w:w="0" w:type="auto"/>
            <w:tcBorders>
              <w:top w:val="nil"/>
              <w:bottom w:val="nil"/>
            </w:tcBorders>
            <w:vAlign w:val="center"/>
          </w:tcPr>
          <w:p w14:paraId="7C1AABF8" w14:textId="77777777" w:rsidR="00697321" w:rsidRPr="00293C29" w:rsidRDefault="00697321" w:rsidP="00DE0217">
            <w:pPr>
              <w:pStyle w:val="NoSpacing"/>
              <w:jc w:val="center"/>
              <w:rPr>
                <w:rFonts w:ascii="Calibri" w:hAnsi="Calibri"/>
                <w:bCs/>
              </w:rPr>
            </w:pPr>
          </w:p>
        </w:tc>
        <w:tc>
          <w:tcPr>
            <w:tcW w:w="0" w:type="auto"/>
            <w:tcBorders>
              <w:top w:val="nil"/>
              <w:bottom w:val="nil"/>
            </w:tcBorders>
            <w:vAlign w:val="center"/>
          </w:tcPr>
          <w:p w14:paraId="26444E18" w14:textId="77777777" w:rsidR="00697321" w:rsidRPr="00293C29" w:rsidRDefault="00697321" w:rsidP="00DE0217">
            <w:pPr>
              <w:pStyle w:val="NoSpacing"/>
              <w:jc w:val="center"/>
              <w:rPr>
                <w:rFonts w:ascii="Calibri" w:hAnsi="Calibri"/>
                <w:bCs/>
              </w:rPr>
            </w:pPr>
          </w:p>
        </w:tc>
        <w:tc>
          <w:tcPr>
            <w:tcW w:w="0" w:type="auto"/>
            <w:tcBorders>
              <w:top w:val="nil"/>
              <w:bottom w:val="nil"/>
            </w:tcBorders>
            <w:vAlign w:val="center"/>
          </w:tcPr>
          <w:p w14:paraId="2574B215" w14:textId="77777777" w:rsidR="00697321" w:rsidRPr="00293C29" w:rsidRDefault="00697321" w:rsidP="00DE0217">
            <w:pPr>
              <w:pStyle w:val="NoSpacing"/>
              <w:jc w:val="center"/>
              <w:rPr>
                <w:rFonts w:ascii="Calibri" w:hAnsi="Calibri"/>
                <w:b/>
                <w:bCs/>
              </w:rPr>
            </w:pPr>
          </w:p>
        </w:tc>
        <w:tc>
          <w:tcPr>
            <w:tcW w:w="0" w:type="auto"/>
            <w:tcBorders>
              <w:top w:val="nil"/>
              <w:bottom w:val="nil"/>
            </w:tcBorders>
            <w:vAlign w:val="center"/>
          </w:tcPr>
          <w:p w14:paraId="08E08E6C" w14:textId="77777777" w:rsidR="00697321" w:rsidRPr="00293C29" w:rsidRDefault="00697321" w:rsidP="00DE0217">
            <w:pPr>
              <w:pStyle w:val="NoSpacing"/>
              <w:jc w:val="center"/>
              <w:rPr>
                <w:lang w:eastAsia="fr-FR"/>
              </w:rPr>
            </w:pPr>
          </w:p>
        </w:tc>
      </w:tr>
      <w:tr w:rsidR="00697321" w:rsidRPr="00293C29" w14:paraId="362C48BB" w14:textId="77777777" w:rsidTr="00DE0217">
        <w:trPr>
          <w:trHeight w:val="283"/>
        </w:trPr>
        <w:tc>
          <w:tcPr>
            <w:tcW w:w="0" w:type="auto"/>
            <w:tcBorders>
              <w:top w:val="nil"/>
              <w:bottom w:val="nil"/>
            </w:tcBorders>
          </w:tcPr>
          <w:p w14:paraId="5EE34B84" w14:textId="3C417850" w:rsidR="00697321" w:rsidRPr="00293C29" w:rsidRDefault="00697321" w:rsidP="00697321">
            <w:pPr>
              <w:pStyle w:val="NoSpacing"/>
              <w:rPr>
                <w:b/>
              </w:rPr>
            </w:pPr>
            <w:r w:rsidRPr="00293C29">
              <w:t xml:space="preserve"> Height SNPs excluded</w:t>
            </w:r>
          </w:p>
        </w:tc>
        <w:tc>
          <w:tcPr>
            <w:tcW w:w="0" w:type="auto"/>
            <w:tcBorders>
              <w:top w:val="nil"/>
              <w:bottom w:val="nil"/>
            </w:tcBorders>
            <w:vAlign w:val="center"/>
          </w:tcPr>
          <w:p w14:paraId="50D4E55D" w14:textId="6D9AB974" w:rsidR="00697321" w:rsidRPr="00293C29" w:rsidRDefault="00697321" w:rsidP="00697321">
            <w:pPr>
              <w:pStyle w:val="NoSpacing"/>
              <w:jc w:val="center"/>
            </w:pPr>
            <w:r w:rsidRPr="00293C29">
              <w:t>86,274</w:t>
            </w:r>
          </w:p>
        </w:tc>
        <w:tc>
          <w:tcPr>
            <w:tcW w:w="0" w:type="auto"/>
            <w:tcBorders>
              <w:top w:val="nil"/>
              <w:bottom w:val="nil"/>
            </w:tcBorders>
            <w:vAlign w:val="center"/>
          </w:tcPr>
          <w:p w14:paraId="126FF588" w14:textId="63C98DAD" w:rsidR="00697321" w:rsidRPr="00293C29" w:rsidRDefault="00697321" w:rsidP="00697321">
            <w:pPr>
              <w:pStyle w:val="NoSpacing"/>
              <w:jc w:val="center"/>
              <w:rPr>
                <w:rFonts w:ascii="Calibri" w:hAnsi="Calibri"/>
              </w:rPr>
            </w:pPr>
            <w:r w:rsidRPr="00293C29">
              <w:rPr>
                <w:rFonts w:ascii="Calibri" w:hAnsi="Calibri"/>
              </w:rPr>
              <w:t>30</w:t>
            </w:r>
          </w:p>
        </w:tc>
        <w:tc>
          <w:tcPr>
            <w:tcW w:w="0" w:type="auto"/>
            <w:tcBorders>
              <w:top w:val="nil"/>
              <w:bottom w:val="nil"/>
            </w:tcBorders>
            <w:vAlign w:val="center"/>
          </w:tcPr>
          <w:p w14:paraId="6C2B2697" w14:textId="375F6BAC" w:rsidR="00697321" w:rsidRPr="00293C29" w:rsidRDefault="00697321" w:rsidP="00697321">
            <w:pPr>
              <w:pStyle w:val="NoSpacing"/>
              <w:jc w:val="center"/>
              <w:rPr>
                <w:rFonts w:ascii="Calibri" w:hAnsi="Calibri"/>
              </w:rPr>
            </w:pPr>
            <w:r w:rsidRPr="00293C29">
              <w:rPr>
                <w:rFonts w:ascii="Calibri" w:hAnsi="Calibri"/>
              </w:rPr>
              <w:t>0.28</w:t>
            </w:r>
          </w:p>
        </w:tc>
        <w:tc>
          <w:tcPr>
            <w:tcW w:w="0" w:type="auto"/>
            <w:tcBorders>
              <w:top w:val="nil"/>
              <w:bottom w:val="nil"/>
            </w:tcBorders>
            <w:vAlign w:val="center"/>
          </w:tcPr>
          <w:p w14:paraId="4E7453EF" w14:textId="62B26FBD" w:rsidR="00697321" w:rsidRPr="00293C29" w:rsidRDefault="00697321" w:rsidP="00697321">
            <w:pPr>
              <w:pStyle w:val="NoSpacing"/>
              <w:jc w:val="center"/>
              <w:rPr>
                <w:rFonts w:ascii="Calibri" w:hAnsi="Calibri"/>
              </w:rPr>
            </w:pPr>
            <w:r w:rsidRPr="00293C29">
              <w:rPr>
                <w:rFonts w:ascii="Calibri" w:hAnsi="Calibri"/>
              </w:rPr>
              <w:t>0.21 to 0.36</w:t>
            </w:r>
          </w:p>
        </w:tc>
        <w:tc>
          <w:tcPr>
            <w:tcW w:w="0" w:type="auto"/>
            <w:tcBorders>
              <w:top w:val="nil"/>
              <w:bottom w:val="nil"/>
            </w:tcBorders>
            <w:vAlign w:val="center"/>
          </w:tcPr>
          <w:p w14:paraId="5FC4D303" w14:textId="72757FB9" w:rsidR="00697321" w:rsidRPr="00293C29" w:rsidRDefault="00697321" w:rsidP="00697321">
            <w:pPr>
              <w:pStyle w:val="NoSpacing"/>
              <w:jc w:val="center"/>
              <w:rPr>
                <w:rFonts w:ascii="Calibri" w:hAnsi="Calibri"/>
                <w:b/>
                <w:bCs/>
              </w:rPr>
            </w:pPr>
            <w:r w:rsidRPr="00293C29">
              <w:rPr>
                <w:rFonts w:ascii="Calibri" w:hAnsi="Calibri"/>
                <w:b/>
                <w:bCs/>
              </w:rPr>
              <w:t>2.29x10</w:t>
            </w:r>
            <w:r w:rsidRPr="00293C29">
              <w:rPr>
                <w:rFonts w:ascii="Calibri" w:hAnsi="Calibri"/>
                <w:b/>
                <w:bCs/>
                <w:vertAlign w:val="superscript"/>
              </w:rPr>
              <w:t>-13</w:t>
            </w:r>
          </w:p>
        </w:tc>
        <w:tc>
          <w:tcPr>
            <w:tcW w:w="0" w:type="auto"/>
            <w:tcBorders>
              <w:top w:val="nil"/>
              <w:bottom w:val="nil"/>
            </w:tcBorders>
            <w:vAlign w:val="center"/>
          </w:tcPr>
          <w:p w14:paraId="1CDFF61B" w14:textId="20B1C2C9" w:rsidR="00697321" w:rsidRPr="00293C29" w:rsidRDefault="00697321" w:rsidP="00697321">
            <w:pPr>
              <w:pStyle w:val="NoSpacing"/>
              <w:jc w:val="center"/>
              <w:rPr>
                <w:lang w:eastAsia="fr-FR"/>
              </w:rPr>
            </w:pPr>
            <w:r w:rsidRPr="00293C29">
              <w:rPr>
                <w:rFonts w:ascii="Calibri" w:hAnsi="Calibri"/>
                <w:bCs/>
              </w:rPr>
              <w:t>56 [47-88]</w:t>
            </w:r>
          </w:p>
        </w:tc>
        <w:tc>
          <w:tcPr>
            <w:tcW w:w="0" w:type="auto"/>
            <w:tcBorders>
              <w:top w:val="nil"/>
              <w:bottom w:val="nil"/>
            </w:tcBorders>
            <w:vAlign w:val="center"/>
          </w:tcPr>
          <w:p w14:paraId="56F11F62" w14:textId="77777777" w:rsidR="00697321" w:rsidRPr="00293C29" w:rsidRDefault="00697321" w:rsidP="00697321">
            <w:pPr>
              <w:pStyle w:val="NoSpacing"/>
              <w:jc w:val="center"/>
              <w:rPr>
                <w:rFonts w:ascii="Calibri" w:hAnsi="Calibri"/>
                <w:b/>
                <w:bCs/>
              </w:rPr>
            </w:pPr>
          </w:p>
        </w:tc>
        <w:tc>
          <w:tcPr>
            <w:tcW w:w="0" w:type="auto"/>
            <w:tcBorders>
              <w:top w:val="nil"/>
              <w:bottom w:val="nil"/>
            </w:tcBorders>
            <w:vAlign w:val="center"/>
          </w:tcPr>
          <w:p w14:paraId="7B4DC791" w14:textId="7E0C2F95" w:rsidR="00697321" w:rsidRPr="00293C29" w:rsidRDefault="00697321" w:rsidP="00697321">
            <w:pPr>
              <w:pStyle w:val="NoSpacing"/>
              <w:jc w:val="center"/>
              <w:rPr>
                <w:rFonts w:ascii="Calibri" w:hAnsi="Calibri"/>
                <w:bCs/>
              </w:rPr>
            </w:pPr>
            <w:r w:rsidRPr="00293C29">
              <w:rPr>
                <w:rFonts w:ascii="Calibri" w:hAnsi="Calibri"/>
              </w:rPr>
              <w:t>0.84</w:t>
            </w:r>
          </w:p>
        </w:tc>
        <w:tc>
          <w:tcPr>
            <w:tcW w:w="0" w:type="auto"/>
            <w:tcBorders>
              <w:top w:val="nil"/>
              <w:bottom w:val="nil"/>
            </w:tcBorders>
            <w:vAlign w:val="center"/>
          </w:tcPr>
          <w:p w14:paraId="71EE0520" w14:textId="348A5EA4" w:rsidR="00697321" w:rsidRPr="00293C29" w:rsidRDefault="00697321" w:rsidP="00697321">
            <w:pPr>
              <w:pStyle w:val="NoSpacing"/>
              <w:jc w:val="center"/>
              <w:rPr>
                <w:rFonts w:ascii="Calibri" w:hAnsi="Calibri"/>
                <w:bCs/>
              </w:rPr>
            </w:pPr>
            <w:r w:rsidRPr="00293C29">
              <w:rPr>
                <w:rFonts w:ascii="Calibri" w:hAnsi="Calibri"/>
              </w:rPr>
              <w:t>0.81 to 0.88</w:t>
            </w:r>
          </w:p>
        </w:tc>
        <w:tc>
          <w:tcPr>
            <w:tcW w:w="0" w:type="auto"/>
            <w:tcBorders>
              <w:top w:val="nil"/>
              <w:bottom w:val="nil"/>
            </w:tcBorders>
            <w:vAlign w:val="center"/>
          </w:tcPr>
          <w:p w14:paraId="53479BC7" w14:textId="3B5D88A1" w:rsidR="00697321" w:rsidRPr="00293C29" w:rsidRDefault="00697321" w:rsidP="00697321">
            <w:pPr>
              <w:pStyle w:val="NoSpacing"/>
              <w:jc w:val="center"/>
              <w:rPr>
                <w:rFonts w:ascii="Calibri" w:hAnsi="Calibri"/>
                <w:b/>
                <w:bCs/>
              </w:rPr>
            </w:pPr>
            <w:r w:rsidRPr="00293C29">
              <w:rPr>
                <w:rFonts w:ascii="Calibri" w:hAnsi="Calibri"/>
                <w:b/>
              </w:rPr>
              <w:t>1.44</w:t>
            </w:r>
            <w:r w:rsidRPr="00293C29">
              <w:rPr>
                <w:rFonts w:ascii="Calibri" w:hAnsi="Calibri"/>
                <w:b/>
                <w:bCs/>
              </w:rPr>
              <w:t>x10</w:t>
            </w:r>
            <w:r w:rsidRPr="00293C29">
              <w:rPr>
                <w:rFonts w:ascii="Calibri" w:hAnsi="Calibri"/>
                <w:b/>
                <w:bCs/>
                <w:vertAlign w:val="superscript"/>
              </w:rPr>
              <w:t>-13</w:t>
            </w:r>
          </w:p>
        </w:tc>
        <w:tc>
          <w:tcPr>
            <w:tcW w:w="0" w:type="auto"/>
            <w:tcBorders>
              <w:top w:val="nil"/>
              <w:bottom w:val="nil"/>
            </w:tcBorders>
            <w:vAlign w:val="center"/>
          </w:tcPr>
          <w:p w14:paraId="7D300492" w14:textId="0E4F542B" w:rsidR="00697321" w:rsidRPr="00293C29" w:rsidRDefault="00697321" w:rsidP="00697321">
            <w:pPr>
              <w:pStyle w:val="NoSpacing"/>
              <w:jc w:val="center"/>
              <w:rPr>
                <w:lang w:eastAsia="fr-FR"/>
              </w:rPr>
            </w:pPr>
            <w:r w:rsidRPr="00293C29">
              <w:rPr>
                <w:rFonts w:ascii="Calibri" w:hAnsi="Calibri"/>
                <w:bCs/>
              </w:rPr>
              <w:t>26 [0-70]</w:t>
            </w:r>
          </w:p>
        </w:tc>
      </w:tr>
      <w:tr w:rsidR="00697321" w:rsidRPr="00293C29" w14:paraId="6787637E" w14:textId="77777777" w:rsidTr="00DE0217">
        <w:trPr>
          <w:trHeight w:val="283"/>
        </w:trPr>
        <w:tc>
          <w:tcPr>
            <w:tcW w:w="0" w:type="auto"/>
            <w:tcBorders>
              <w:top w:val="nil"/>
              <w:bottom w:val="nil"/>
            </w:tcBorders>
          </w:tcPr>
          <w:p w14:paraId="0CAECB46" w14:textId="36B159D9" w:rsidR="00697321" w:rsidRPr="00293C29" w:rsidRDefault="00697321" w:rsidP="00697321">
            <w:pPr>
              <w:pStyle w:val="NoSpacing"/>
              <w:rPr>
                <w:b/>
              </w:rPr>
            </w:pPr>
            <w:r w:rsidRPr="00293C29">
              <w:t xml:space="preserve"> BMI SNPs excluded</w:t>
            </w:r>
          </w:p>
        </w:tc>
        <w:tc>
          <w:tcPr>
            <w:tcW w:w="0" w:type="auto"/>
            <w:tcBorders>
              <w:top w:val="nil"/>
              <w:bottom w:val="nil"/>
            </w:tcBorders>
            <w:vAlign w:val="center"/>
          </w:tcPr>
          <w:p w14:paraId="28B8FD2B" w14:textId="464D1BB6" w:rsidR="00697321" w:rsidRPr="00293C29" w:rsidRDefault="00697321" w:rsidP="00697321">
            <w:pPr>
              <w:pStyle w:val="NoSpacing"/>
              <w:jc w:val="center"/>
            </w:pPr>
            <w:r w:rsidRPr="00293C29">
              <w:t>86,274</w:t>
            </w:r>
          </w:p>
        </w:tc>
        <w:tc>
          <w:tcPr>
            <w:tcW w:w="0" w:type="auto"/>
            <w:tcBorders>
              <w:top w:val="nil"/>
              <w:bottom w:val="nil"/>
            </w:tcBorders>
            <w:vAlign w:val="center"/>
          </w:tcPr>
          <w:p w14:paraId="5BD53210" w14:textId="172CE43F" w:rsidR="00697321" w:rsidRPr="00293C29" w:rsidRDefault="00697321" w:rsidP="00697321">
            <w:pPr>
              <w:pStyle w:val="NoSpacing"/>
              <w:jc w:val="center"/>
              <w:rPr>
                <w:rFonts w:ascii="Calibri" w:hAnsi="Calibri"/>
              </w:rPr>
            </w:pPr>
            <w:r w:rsidRPr="00293C29">
              <w:rPr>
                <w:rFonts w:ascii="Calibri" w:hAnsi="Calibri"/>
              </w:rPr>
              <w:t>36</w:t>
            </w:r>
          </w:p>
        </w:tc>
        <w:tc>
          <w:tcPr>
            <w:tcW w:w="0" w:type="auto"/>
            <w:tcBorders>
              <w:top w:val="nil"/>
              <w:bottom w:val="nil"/>
            </w:tcBorders>
            <w:vAlign w:val="center"/>
          </w:tcPr>
          <w:p w14:paraId="1CEE68AE" w14:textId="5E8A661F" w:rsidR="00697321" w:rsidRPr="00293C29" w:rsidRDefault="00697321" w:rsidP="00697321">
            <w:pPr>
              <w:pStyle w:val="NoSpacing"/>
              <w:jc w:val="center"/>
              <w:rPr>
                <w:rFonts w:ascii="Calibri" w:hAnsi="Calibri"/>
              </w:rPr>
            </w:pPr>
            <w:r w:rsidRPr="00293C29">
              <w:rPr>
                <w:rFonts w:ascii="Calibri" w:hAnsi="Calibri"/>
              </w:rPr>
              <w:t>0.29</w:t>
            </w:r>
          </w:p>
        </w:tc>
        <w:tc>
          <w:tcPr>
            <w:tcW w:w="0" w:type="auto"/>
            <w:tcBorders>
              <w:top w:val="nil"/>
              <w:bottom w:val="nil"/>
            </w:tcBorders>
            <w:vAlign w:val="center"/>
          </w:tcPr>
          <w:p w14:paraId="01329F06" w14:textId="7E7C8993" w:rsidR="00697321" w:rsidRPr="00293C29" w:rsidRDefault="00697321" w:rsidP="00697321">
            <w:pPr>
              <w:pStyle w:val="NoSpacing"/>
              <w:jc w:val="center"/>
              <w:rPr>
                <w:rFonts w:ascii="Calibri" w:hAnsi="Calibri"/>
              </w:rPr>
            </w:pPr>
            <w:r w:rsidRPr="00293C29">
              <w:rPr>
                <w:rFonts w:ascii="Calibri" w:hAnsi="Calibri"/>
              </w:rPr>
              <w:t>0.22 to 0.36</w:t>
            </w:r>
          </w:p>
        </w:tc>
        <w:tc>
          <w:tcPr>
            <w:tcW w:w="0" w:type="auto"/>
            <w:tcBorders>
              <w:top w:val="nil"/>
              <w:bottom w:val="nil"/>
            </w:tcBorders>
            <w:vAlign w:val="center"/>
          </w:tcPr>
          <w:p w14:paraId="0E0B6B6B" w14:textId="0AB6D633" w:rsidR="00697321" w:rsidRPr="00293C29" w:rsidRDefault="00697321" w:rsidP="00697321">
            <w:pPr>
              <w:pStyle w:val="NoSpacing"/>
              <w:jc w:val="center"/>
              <w:rPr>
                <w:rFonts w:ascii="Calibri" w:hAnsi="Calibri"/>
                <w:b/>
                <w:bCs/>
              </w:rPr>
            </w:pPr>
            <w:r w:rsidRPr="00293C29">
              <w:rPr>
                <w:rFonts w:ascii="Calibri" w:hAnsi="Calibri"/>
                <w:b/>
                <w:bCs/>
              </w:rPr>
              <w:t>1.93x10</w:t>
            </w:r>
            <w:r w:rsidRPr="00293C29">
              <w:rPr>
                <w:rFonts w:ascii="Calibri" w:hAnsi="Calibri"/>
                <w:b/>
                <w:bCs/>
                <w:vertAlign w:val="superscript"/>
              </w:rPr>
              <w:t>-16</w:t>
            </w:r>
          </w:p>
        </w:tc>
        <w:tc>
          <w:tcPr>
            <w:tcW w:w="0" w:type="auto"/>
            <w:tcBorders>
              <w:top w:val="nil"/>
              <w:bottom w:val="nil"/>
            </w:tcBorders>
            <w:vAlign w:val="center"/>
          </w:tcPr>
          <w:p w14:paraId="6724B13A" w14:textId="23441781" w:rsidR="00697321" w:rsidRPr="00293C29" w:rsidRDefault="00697321" w:rsidP="00697321">
            <w:pPr>
              <w:pStyle w:val="NoSpacing"/>
              <w:jc w:val="center"/>
              <w:rPr>
                <w:lang w:eastAsia="fr-FR"/>
              </w:rPr>
            </w:pPr>
            <w:r w:rsidRPr="00293C29">
              <w:rPr>
                <w:rFonts w:ascii="Calibri" w:hAnsi="Calibri"/>
                <w:bCs/>
              </w:rPr>
              <w:t>55 [39-85]</w:t>
            </w:r>
          </w:p>
        </w:tc>
        <w:tc>
          <w:tcPr>
            <w:tcW w:w="0" w:type="auto"/>
            <w:tcBorders>
              <w:top w:val="nil"/>
              <w:bottom w:val="nil"/>
            </w:tcBorders>
            <w:vAlign w:val="center"/>
          </w:tcPr>
          <w:p w14:paraId="05AFDCBF" w14:textId="77777777" w:rsidR="00697321" w:rsidRPr="00293C29" w:rsidRDefault="00697321" w:rsidP="00697321">
            <w:pPr>
              <w:pStyle w:val="NoSpacing"/>
              <w:jc w:val="center"/>
              <w:rPr>
                <w:rFonts w:ascii="Calibri" w:hAnsi="Calibri"/>
                <w:b/>
                <w:bCs/>
              </w:rPr>
            </w:pPr>
          </w:p>
        </w:tc>
        <w:tc>
          <w:tcPr>
            <w:tcW w:w="0" w:type="auto"/>
            <w:tcBorders>
              <w:top w:val="nil"/>
              <w:bottom w:val="nil"/>
            </w:tcBorders>
            <w:vAlign w:val="center"/>
          </w:tcPr>
          <w:p w14:paraId="46B43EF0" w14:textId="145CBAA2" w:rsidR="00697321" w:rsidRPr="00293C29" w:rsidRDefault="00697321" w:rsidP="00697321">
            <w:pPr>
              <w:pStyle w:val="NoSpacing"/>
              <w:jc w:val="center"/>
              <w:rPr>
                <w:rFonts w:ascii="Calibri" w:hAnsi="Calibri"/>
                <w:bCs/>
              </w:rPr>
            </w:pPr>
            <w:r w:rsidRPr="00293C29">
              <w:rPr>
                <w:rFonts w:ascii="Calibri" w:hAnsi="Calibri"/>
              </w:rPr>
              <w:t>0.85</w:t>
            </w:r>
          </w:p>
        </w:tc>
        <w:tc>
          <w:tcPr>
            <w:tcW w:w="0" w:type="auto"/>
            <w:tcBorders>
              <w:top w:val="nil"/>
              <w:bottom w:val="nil"/>
            </w:tcBorders>
            <w:vAlign w:val="center"/>
          </w:tcPr>
          <w:p w14:paraId="0BDF55D5" w14:textId="4470977E" w:rsidR="00697321" w:rsidRPr="00293C29" w:rsidRDefault="00697321" w:rsidP="00697321">
            <w:pPr>
              <w:pStyle w:val="NoSpacing"/>
              <w:jc w:val="center"/>
              <w:rPr>
                <w:rFonts w:ascii="Calibri" w:hAnsi="Calibri"/>
                <w:bCs/>
              </w:rPr>
            </w:pPr>
            <w:r w:rsidRPr="00293C29">
              <w:rPr>
                <w:rFonts w:ascii="Calibri" w:hAnsi="Calibri"/>
              </w:rPr>
              <w:t>0.82 to 0.89</w:t>
            </w:r>
          </w:p>
        </w:tc>
        <w:tc>
          <w:tcPr>
            <w:tcW w:w="0" w:type="auto"/>
            <w:tcBorders>
              <w:top w:val="nil"/>
              <w:bottom w:val="nil"/>
            </w:tcBorders>
            <w:vAlign w:val="center"/>
          </w:tcPr>
          <w:p w14:paraId="11EC7B4A" w14:textId="2E7090EB" w:rsidR="00697321" w:rsidRPr="00293C29" w:rsidRDefault="00697321" w:rsidP="00697321">
            <w:pPr>
              <w:pStyle w:val="NoSpacing"/>
              <w:jc w:val="center"/>
              <w:rPr>
                <w:rFonts w:ascii="Calibri" w:hAnsi="Calibri"/>
                <w:b/>
                <w:bCs/>
              </w:rPr>
            </w:pPr>
            <w:r w:rsidRPr="00293C29">
              <w:rPr>
                <w:rFonts w:ascii="Calibri" w:hAnsi="Calibri"/>
                <w:b/>
              </w:rPr>
              <w:t>7.60</w:t>
            </w:r>
            <w:r w:rsidRPr="00293C29">
              <w:rPr>
                <w:rFonts w:ascii="Calibri" w:hAnsi="Calibri"/>
                <w:b/>
                <w:bCs/>
              </w:rPr>
              <w:t>x10</w:t>
            </w:r>
            <w:r w:rsidRPr="00293C29">
              <w:rPr>
                <w:rFonts w:ascii="Calibri" w:hAnsi="Calibri"/>
                <w:b/>
                <w:bCs/>
                <w:vertAlign w:val="superscript"/>
              </w:rPr>
              <w:t>-14</w:t>
            </w:r>
          </w:p>
        </w:tc>
        <w:tc>
          <w:tcPr>
            <w:tcW w:w="0" w:type="auto"/>
            <w:tcBorders>
              <w:top w:val="nil"/>
              <w:bottom w:val="nil"/>
            </w:tcBorders>
            <w:vAlign w:val="center"/>
          </w:tcPr>
          <w:p w14:paraId="38426E1F" w14:textId="2F746089" w:rsidR="00697321" w:rsidRPr="00293C29" w:rsidRDefault="00697321" w:rsidP="00697321">
            <w:pPr>
              <w:pStyle w:val="NoSpacing"/>
              <w:jc w:val="center"/>
              <w:rPr>
                <w:lang w:eastAsia="fr-FR"/>
              </w:rPr>
            </w:pPr>
            <w:r w:rsidRPr="00293C29">
              <w:rPr>
                <w:rFonts w:ascii="Calibri" w:hAnsi="Calibri"/>
                <w:bCs/>
              </w:rPr>
              <w:t>19 [0-64]</w:t>
            </w:r>
          </w:p>
        </w:tc>
      </w:tr>
      <w:tr w:rsidR="00697321" w:rsidRPr="00293C29" w14:paraId="5425A0C7" w14:textId="77777777" w:rsidTr="00DE0217">
        <w:trPr>
          <w:trHeight w:val="283"/>
        </w:trPr>
        <w:tc>
          <w:tcPr>
            <w:tcW w:w="0" w:type="auto"/>
            <w:tcBorders>
              <w:top w:val="nil"/>
              <w:bottom w:val="nil"/>
            </w:tcBorders>
          </w:tcPr>
          <w:p w14:paraId="685BC922" w14:textId="4CD0A9EE" w:rsidR="00697321" w:rsidRPr="00293C29" w:rsidRDefault="00697321" w:rsidP="00697321">
            <w:pPr>
              <w:pStyle w:val="NoSpacing"/>
              <w:rPr>
                <w:b/>
              </w:rPr>
            </w:pPr>
            <w:r w:rsidRPr="00293C29">
              <w:rPr>
                <w:rFonts w:ascii="Calibri" w:eastAsia="Times New Roman" w:hAnsi="Calibri" w:cs="Times New Roman"/>
                <w:lang w:eastAsia="en-GB"/>
              </w:rPr>
              <w:t xml:space="preserve"> Menarche SNPs excluded</w:t>
            </w:r>
          </w:p>
        </w:tc>
        <w:tc>
          <w:tcPr>
            <w:tcW w:w="0" w:type="auto"/>
            <w:tcBorders>
              <w:top w:val="nil"/>
              <w:bottom w:val="nil"/>
            </w:tcBorders>
            <w:vAlign w:val="center"/>
          </w:tcPr>
          <w:p w14:paraId="24400222" w14:textId="303CF12C" w:rsidR="00697321" w:rsidRPr="00293C29" w:rsidRDefault="00697321" w:rsidP="00697321">
            <w:pPr>
              <w:pStyle w:val="NoSpacing"/>
              <w:jc w:val="center"/>
            </w:pPr>
            <w:r w:rsidRPr="00293C29">
              <w:t>86,274</w:t>
            </w:r>
          </w:p>
        </w:tc>
        <w:tc>
          <w:tcPr>
            <w:tcW w:w="0" w:type="auto"/>
            <w:tcBorders>
              <w:top w:val="nil"/>
              <w:bottom w:val="nil"/>
            </w:tcBorders>
            <w:vAlign w:val="center"/>
          </w:tcPr>
          <w:p w14:paraId="469E9197" w14:textId="2CFCE5E0" w:rsidR="00697321" w:rsidRPr="00293C29" w:rsidRDefault="00697321" w:rsidP="00697321">
            <w:pPr>
              <w:pStyle w:val="NoSpacing"/>
              <w:jc w:val="center"/>
              <w:rPr>
                <w:rFonts w:ascii="Calibri" w:hAnsi="Calibri"/>
              </w:rPr>
            </w:pPr>
            <w:r w:rsidRPr="00293C29">
              <w:rPr>
                <w:rFonts w:ascii="Calibri" w:hAnsi="Calibri"/>
              </w:rPr>
              <w:t>36</w:t>
            </w:r>
          </w:p>
        </w:tc>
        <w:tc>
          <w:tcPr>
            <w:tcW w:w="0" w:type="auto"/>
            <w:tcBorders>
              <w:top w:val="nil"/>
              <w:bottom w:val="nil"/>
            </w:tcBorders>
            <w:vAlign w:val="center"/>
          </w:tcPr>
          <w:p w14:paraId="4C443362" w14:textId="06467374" w:rsidR="00697321" w:rsidRPr="00293C29" w:rsidRDefault="00697321" w:rsidP="00697321">
            <w:pPr>
              <w:pStyle w:val="NoSpacing"/>
              <w:jc w:val="center"/>
              <w:rPr>
                <w:rFonts w:ascii="Calibri" w:hAnsi="Calibri"/>
              </w:rPr>
            </w:pPr>
            <w:r w:rsidRPr="00293C29">
              <w:rPr>
                <w:rFonts w:ascii="Calibri" w:hAnsi="Calibri"/>
              </w:rPr>
              <w:t>0.29</w:t>
            </w:r>
          </w:p>
        </w:tc>
        <w:tc>
          <w:tcPr>
            <w:tcW w:w="0" w:type="auto"/>
            <w:tcBorders>
              <w:top w:val="nil"/>
              <w:bottom w:val="nil"/>
            </w:tcBorders>
            <w:vAlign w:val="center"/>
          </w:tcPr>
          <w:p w14:paraId="6F741529" w14:textId="57C7D679" w:rsidR="00697321" w:rsidRPr="00293C29" w:rsidRDefault="00697321" w:rsidP="00697321">
            <w:pPr>
              <w:pStyle w:val="NoSpacing"/>
              <w:jc w:val="center"/>
              <w:rPr>
                <w:rFonts w:ascii="Calibri" w:hAnsi="Calibri"/>
              </w:rPr>
            </w:pPr>
            <w:r w:rsidRPr="00293C29">
              <w:rPr>
                <w:rFonts w:ascii="Calibri" w:hAnsi="Calibri"/>
              </w:rPr>
              <w:t>0.22 to 0.36</w:t>
            </w:r>
          </w:p>
        </w:tc>
        <w:tc>
          <w:tcPr>
            <w:tcW w:w="0" w:type="auto"/>
            <w:tcBorders>
              <w:top w:val="nil"/>
              <w:bottom w:val="nil"/>
            </w:tcBorders>
            <w:vAlign w:val="center"/>
          </w:tcPr>
          <w:p w14:paraId="535CA893" w14:textId="287BB5AD" w:rsidR="00697321" w:rsidRPr="00293C29" w:rsidRDefault="00697321" w:rsidP="00697321">
            <w:pPr>
              <w:pStyle w:val="NoSpacing"/>
              <w:jc w:val="center"/>
              <w:rPr>
                <w:rFonts w:ascii="Calibri" w:hAnsi="Calibri"/>
                <w:b/>
                <w:bCs/>
              </w:rPr>
            </w:pPr>
            <w:r w:rsidRPr="00293C29">
              <w:rPr>
                <w:rFonts w:ascii="Calibri" w:hAnsi="Calibri"/>
                <w:b/>
                <w:bCs/>
              </w:rPr>
              <w:t>1.02x10</w:t>
            </w:r>
            <w:r w:rsidRPr="00293C29">
              <w:rPr>
                <w:rFonts w:ascii="Calibri" w:hAnsi="Calibri"/>
                <w:b/>
                <w:bCs/>
                <w:vertAlign w:val="superscript"/>
              </w:rPr>
              <w:t>-14</w:t>
            </w:r>
          </w:p>
        </w:tc>
        <w:tc>
          <w:tcPr>
            <w:tcW w:w="0" w:type="auto"/>
            <w:tcBorders>
              <w:top w:val="nil"/>
              <w:bottom w:val="nil"/>
            </w:tcBorders>
            <w:vAlign w:val="center"/>
          </w:tcPr>
          <w:p w14:paraId="24BBF1C9" w14:textId="2CF57FE5" w:rsidR="00697321" w:rsidRPr="00293C29" w:rsidRDefault="00697321" w:rsidP="00697321">
            <w:pPr>
              <w:pStyle w:val="NoSpacing"/>
              <w:jc w:val="center"/>
              <w:rPr>
                <w:lang w:eastAsia="fr-FR"/>
              </w:rPr>
            </w:pPr>
            <w:r w:rsidRPr="00293C29">
              <w:rPr>
                <w:rFonts w:ascii="Calibri" w:hAnsi="Calibri"/>
                <w:bCs/>
              </w:rPr>
              <w:t>49 [34-84]</w:t>
            </w:r>
          </w:p>
        </w:tc>
        <w:tc>
          <w:tcPr>
            <w:tcW w:w="0" w:type="auto"/>
            <w:tcBorders>
              <w:top w:val="nil"/>
              <w:bottom w:val="nil"/>
            </w:tcBorders>
            <w:vAlign w:val="center"/>
          </w:tcPr>
          <w:p w14:paraId="59377273" w14:textId="77777777" w:rsidR="00697321" w:rsidRPr="00293C29" w:rsidRDefault="00697321" w:rsidP="00697321">
            <w:pPr>
              <w:pStyle w:val="NoSpacing"/>
              <w:jc w:val="center"/>
              <w:rPr>
                <w:rFonts w:ascii="Calibri" w:hAnsi="Calibri"/>
                <w:b/>
                <w:bCs/>
              </w:rPr>
            </w:pPr>
          </w:p>
        </w:tc>
        <w:tc>
          <w:tcPr>
            <w:tcW w:w="0" w:type="auto"/>
            <w:tcBorders>
              <w:top w:val="nil"/>
              <w:bottom w:val="nil"/>
            </w:tcBorders>
            <w:vAlign w:val="center"/>
          </w:tcPr>
          <w:p w14:paraId="3F2E9C17" w14:textId="1EA84775" w:rsidR="00697321" w:rsidRPr="00293C29" w:rsidRDefault="00697321" w:rsidP="00697321">
            <w:pPr>
              <w:pStyle w:val="NoSpacing"/>
              <w:jc w:val="center"/>
              <w:rPr>
                <w:rFonts w:ascii="Calibri" w:hAnsi="Calibri"/>
                <w:bCs/>
              </w:rPr>
            </w:pPr>
            <w:r w:rsidRPr="00293C29">
              <w:rPr>
                <w:rFonts w:ascii="Calibri" w:hAnsi="Calibri"/>
              </w:rPr>
              <w:t>0.84</w:t>
            </w:r>
          </w:p>
        </w:tc>
        <w:tc>
          <w:tcPr>
            <w:tcW w:w="0" w:type="auto"/>
            <w:tcBorders>
              <w:top w:val="nil"/>
              <w:bottom w:val="nil"/>
            </w:tcBorders>
            <w:vAlign w:val="center"/>
          </w:tcPr>
          <w:p w14:paraId="7A26F0EC" w14:textId="38CA0542" w:rsidR="00697321" w:rsidRPr="00293C29" w:rsidRDefault="00697321" w:rsidP="00697321">
            <w:pPr>
              <w:pStyle w:val="NoSpacing"/>
              <w:jc w:val="center"/>
              <w:rPr>
                <w:rFonts w:ascii="Calibri" w:hAnsi="Calibri"/>
                <w:bCs/>
              </w:rPr>
            </w:pPr>
            <w:r w:rsidRPr="00293C29">
              <w:rPr>
                <w:rFonts w:ascii="Calibri" w:hAnsi="Calibri"/>
              </w:rPr>
              <w:t>0.81 to 0.88</w:t>
            </w:r>
          </w:p>
        </w:tc>
        <w:tc>
          <w:tcPr>
            <w:tcW w:w="0" w:type="auto"/>
            <w:tcBorders>
              <w:top w:val="nil"/>
              <w:bottom w:val="nil"/>
            </w:tcBorders>
            <w:vAlign w:val="center"/>
          </w:tcPr>
          <w:p w14:paraId="42F59461" w14:textId="39387FD5" w:rsidR="00697321" w:rsidRPr="00293C29" w:rsidRDefault="00697321" w:rsidP="00697321">
            <w:pPr>
              <w:pStyle w:val="NoSpacing"/>
              <w:jc w:val="center"/>
              <w:rPr>
                <w:rFonts w:ascii="Calibri" w:hAnsi="Calibri"/>
                <w:b/>
                <w:bCs/>
              </w:rPr>
            </w:pPr>
            <w:r w:rsidRPr="00293C29">
              <w:rPr>
                <w:rFonts w:ascii="Calibri" w:hAnsi="Calibri"/>
                <w:b/>
              </w:rPr>
              <w:t>2.85</w:t>
            </w:r>
            <w:r w:rsidRPr="00293C29">
              <w:rPr>
                <w:rFonts w:ascii="Calibri" w:hAnsi="Calibri"/>
                <w:b/>
                <w:bCs/>
              </w:rPr>
              <w:t>x10</w:t>
            </w:r>
            <w:r w:rsidRPr="00293C29">
              <w:rPr>
                <w:rFonts w:ascii="Calibri" w:hAnsi="Calibri"/>
                <w:b/>
                <w:bCs/>
                <w:vertAlign w:val="superscript"/>
              </w:rPr>
              <w:t>-14</w:t>
            </w:r>
          </w:p>
        </w:tc>
        <w:tc>
          <w:tcPr>
            <w:tcW w:w="0" w:type="auto"/>
            <w:tcBorders>
              <w:top w:val="nil"/>
              <w:bottom w:val="nil"/>
            </w:tcBorders>
            <w:vAlign w:val="center"/>
          </w:tcPr>
          <w:p w14:paraId="624A36CF" w14:textId="478CD376" w:rsidR="00697321" w:rsidRPr="00293C29" w:rsidRDefault="00697321" w:rsidP="00697321">
            <w:pPr>
              <w:pStyle w:val="NoSpacing"/>
              <w:jc w:val="center"/>
              <w:rPr>
                <w:lang w:eastAsia="fr-FR"/>
              </w:rPr>
            </w:pPr>
            <w:r w:rsidRPr="00293C29">
              <w:rPr>
                <w:rFonts w:ascii="Calibri" w:hAnsi="Calibri"/>
                <w:bCs/>
              </w:rPr>
              <w:t>19 [0-63]</w:t>
            </w:r>
          </w:p>
        </w:tc>
      </w:tr>
      <w:tr w:rsidR="00697321" w:rsidRPr="00293C29" w14:paraId="448707BE" w14:textId="77777777" w:rsidTr="00DE0217">
        <w:trPr>
          <w:trHeight w:val="283"/>
        </w:trPr>
        <w:tc>
          <w:tcPr>
            <w:tcW w:w="0" w:type="auto"/>
            <w:tcBorders>
              <w:top w:val="nil"/>
              <w:bottom w:val="nil"/>
            </w:tcBorders>
          </w:tcPr>
          <w:p w14:paraId="2D3BB2B6" w14:textId="7C13EFF7" w:rsidR="00697321" w:rsidRPr="00293C29" w:rsidRDefault="00697321" w:rsidP="00697321">
            <w:pPr>
              <w:pStyle w:val="NoSpacing"/>
              <w:rPr>
                <w:b/>
              </w:rPr>
            </w:pPr>
            <w:r w:rsidRPr="00293C29">
              <w:rPr>
                <w:rFonts w:ascii="Calibri" w:eastAsia="Times New Roman" w:hAnsi="Calibri" w:cs="Times New Roman"/>
                <w:lang w:eastAsia="en-GB"/>
              </w:rPr>
              <w:t xml:space="preserve"> All pleiotropic SNPs excluded*</w:t>
            </w:r>
          </w:p>
        </w:tc>
        <w:tc>
          <w:tcPr>
            <w:tcW w:w="0" w:type="auto"/>
            <w:tcBorders>
              <w:top w:val="nil"/>
              <w:bottom w:val="nil"/>
            </w:tcBorders>
            <w:vAlign w:val="center"/>
          </w:tcPr>
          <w:p w14:paraId="6643B8F2" w14:textId="7D0B8163" w:rsidR="00697321" w:rsidRPr="00293C29" w:rsidRDefault="00697321" w:rsidP="00697321">
            <w:pPr>
              <w:pStyle w:val="NoSpacing"/>
              <w:jc w:val="center"/>
            </w:pPr>
            <w:r w:rsidRPr="00293C29">
              <w:t>86,274</w:t>
            </w:r>
          </w:p>
        </w:tc>
        <w:tc>
          <w:tcPr>
            <w:tcW w:w="0" w:type="auto"/>
            <w:tcBorders>
              <w:top w:val="nil"/>
              <w:bottom w:val="nil"/>
            </w:tcBorders>
            <w:vAlign w:val="center"/>
          </w:tcPr>
          <w:p w14:paraId="4F1B0B08" w14:textId="3D6FA9F4" w:rsidR="00697321" w:rsidRPr="00293C29" w:rsidRDefault="00697321" w:rsidP="00697321">
            <w:pPr>
              <w:pStyle w:val="NoSpacing"/>
              <w:jc w:val="center"/>
              <w:rPr>
                <w:rFonts w:ascii="Calibri" w:hAnsi="Calibri"/>
              </w:rPr>
            </w:pPr>
            <w:r w:rsidRPr="00293C29">
              <w:rPr>
                <w:rFonts w:ascii="Calibri" w:hAnsi="Calibri"/>
              </w:rPr>
              <w:t>28</w:t>
            </w:r>
          </w:p>
        </w:tc>
        <w:tc>
          <w:tcPr>
            <w:tcW w:w="0" w:type="auto"/>
            <w:tcBorders>
              <w:top w:val="nil"/>
              <w:bottom w:val="nil"/>
            </w:tcBorders>
            <w:vAlign w:val="center"/>
          </w:tcPr>
          <w:p w14:paraId="5B831A0E" w14:textId="61384A0F" w:rsidR="00697321" w:rsidRPr="00293C29" w:rsidRDefault="00697321" w:rsidP="00697321">
            <w:pPr>
              <w:pStyle w:val="NoSpacing"/>
              <w:jc w:val="center"/>
              <w:rPr>
                <w:rFonts w:ascii="Calibri" w:hAnsi="Calibri"/>
              </w:rPr>
            </w:pPr>
            <w:r w:rsidRPr="00293C29">
              <w:rPr>
                <w:rFonts w:ascii="Calibri" w:hAnsi="Calibri"/>
              </w:rPr>
              <w:t>0.29</w:t>
            </w:r>
          </w:p>
        </w:tc>
        <w:tc>
          <w:tcPr>
            <w:tcW w:w="0" w:type="auto"/>
            <w:tcBorders>
              <w:top w:val="nil"/>
              <w:bottom w:val="nil"/>
            </w:tcBorders>
            <w:vAlign w:val="center"/>
          </w:tcPr>
          <w:p w14:paraId="4F8B775B" w14:textId="477E016F" w:rsidR="00697321" w:rsidRPr="00293C29" w:rsidRDefault="00697321" w:rsidP="00697321">
            <w:pPr>
              <w:pStyle w:val="NoSpacing"/>
              <w:jc w:val="center"/>
              <w:rPr>
                <w:rFonts w:ascii="Calibri" w:hAnsi="Calibri"/>
              </w:rPr>
            </w:pPr>
            <w:r w:rsidRPr="00293C29">
              <w:rPr>
                <w:rFonts w:ascii="Calibri" w:hAnsi="Calibri"/>
              </w:rPr>
              <w:t>0.22 to 0.37</w:t>
            </w:r>
          </w:p>
        </w:tc>
        <w:tc>
          <w:tcPr>
            <w:tcW w:w="0" w:type="auto"/>
            <w:tcBorders>
              <w:top w:val="nil"/>
              <w:bottom w:val="nil"/>
            </w:tcBorders>
            <w:vAlign w:val="center"/>
          </w:tcPr>
          <w:p w14:paraId="346EC9F5" w14:textId="4809CCF3" w:rsidR="00697321" w:rsidRPr="00293C29" w:rsidRDefault="00697321" w:rsidP="00697321">
            <w:pPr>
              <w:pStyle w:val="NoSpacing"/>
              <w:jc w:val="center"/>
              <w:rPr>
                <w:rFonts w:ascii="Calibri" w:hAnsi="Calibri"/>
                <w:b/>
                <w:bCs/>
              </w:rPr>
            </w:pPr>
            <w:r w:rsidRPr="00293C29">
              <w:rPr>
                <w:rFonts w:ascii="Calibri" w:hAnsi="Calibri"/>
                <w:b/>
                <w:bCs/>
              </w:rPr>
              <w:t>7.13x10</w:t>
            </w:r>
            <w:r w:rsidRPr="00293C29">
              <w:rPr>
                <w:rFonts w:ascii="Calibri" w:hAnsi="Calibri"/>
                <w:b/>
                <w:bCs/>
                <w:vertAlign w:val="superscript"/>
              </w:rPr>
              <w:t>-14</w:t>
            </w:r>
          </w:p>
        </w:tc>
        <w:tc>
          <w:tcPr>
            <w:tcW w:w="0" w:type="auto"/>
            <w:tcBorders>
              <w:top w:val="nil"/>
              <w:bottom w:val="nil"/>
            </w:tcBorders>
            <w:vAlign w:val="center"/>
          </w:tcPr>
          <w:p w14:paraId="19468510" w14:textId="3B086703" w:rsidR="00697321" w:rsidRPr="00293C29" w:rsidRDefault="00697321" w:rsidP="00697321">
            <w:pPr>
              <w:pStyle w:val="NoSpacing"/>
              <w:jc w:val="center"/>
              <w:rPr>
                <w:lang w:eastAsia="fr-FR"/>
              </w:rPr>
            </w:pPr>
            <w:r w:rsidRPr="00293C29">
              <w:rPr>
                <w:rFonts w:ascii="Calibri" w:hAnsi="Calibri"/>
                <w:bCs/>
              </w:rPr>
              <w:t>57 [49-89]</w:t>
            </w:r>
          </w:p>
        </w:tc>
        <w:tc>
          <w:tcPr>
            <w:tcW w:w="0" w:type="auto"/>
            <w:tcBorders>
              <w:top w:val="nil"/>
              <w:bottom w:val="nil"/>
            </w:tcBorders>
            <w:vAlign w:val="center"/>
          </w:tcPr>
          <w:p w14:paraId="416B6E1C" w14:textId="77777777" w:rsidR="00697321" w:rsidRPr="00293C29" w:rsidRDefault="00697321" w:rsidP="00697321">
            <w:pPr>
              <w:pStyle w:val="NoSpacing"/>
              <w:jc w:val="center"/>
              <w:rPr>
                <w:rFonts w:ascii="Calibri" w:hAnsi="Calibri"/>
                <w:b/>
                <w:bCs/>
              </w:rPr>
            </w:pPr>
          </w:p>
        </w:tc>
        <w:tc>
          <w:tcPr>
            <w:tcW w:w="0" w:type="auto"/>
            <w:tcBorders>
              <w:top w:val="nil"/>
              <w:bottom w:val="nil"/>
            </w:tcBorders>
            <w:vAlign w:val="center"/>
          </w:tcPr>
          <w:p w14:paraId="516C03F5" w14:textId="009941D8" w:rsidR="00697321" w:rsidRPr="00293C29" w:rsidRDefault="00697321" w:rsidP="00697321">
            <w:pPr>
              <w:pStyle w:val="NoSpacing"/>
              <w:jc w:val="center"/>
              <w:rPr>
                <w:rFonts w:ascii="Calibri" w:hAnsi="Calibri"/>
                <w:bCs/>
              </w:rPr>
            </w:pPr>
            <w:r w:rsidRPr="00293C29">
              <w:rPr>
                <w:rFonts w:ascii="Calibri" w:hAnsi="Calibri"/>
              </w:rPr>
              <w:t>0.84</w:t>
            </w:r>
          </w:p>
        </w:tc>
        <w:tc>
          <w:tcPr>
            <w:tcW w:w="0" w:type="auto"/>
            <w:tcBorders>
              <w:top w:val="nil"/>
              <w:bottom w:val="nil"/>
            </w:tcBorders>
            <w:vAlign w:val="center"/>
          </w:tcPr>
          <w:p w14:paraId="37E0BB66" w14:textId="127FA522" w:rsidR="00697321" w:rsidRPr="00293C29" w:rsidRDefault="00697321" w:rsidP="00697321">
            <w:pPr>
              <w:pStyle w:val="NoSpacing"/>
              <w:jc w:val="center"/>
              <w:rPr>
                <w:rFonts w:ascii="Calibri" w:hAnsi="Calibri"/>
                <w:bCs/>
              </w:rPr>
            </w:pPr>
            <w:r w:rsidRPr="00293C29">
              <w:rPr>
                <w:rFonts w:ascii="Calibri" w:hAnsi="Calibri"/>
              </w:rPr>
              <w:t>0.80 to 0.88</w:t>
            </w:r>
          </w:p>
        </w:tc>
        <w:tc>
          <w:tcPr>
            <w:tcW w:w="0" w:type="auto"/>
            <w:tcBorders>
              <w:top w:val="nil"/>
              <w:bottom w:val="nil"/>
            </w:tcBorders>
            <w:vAlign w:val="center"/>
          </w:tcPr>
          <w:p w14:paraId="43821963" w14:textId="45EEBC87" w:rsidR="00697321" w:rsidRPr="00293C29" w:rsidRDefault="00697321" w:rsidP="00697321">
            <w:pPr>
              <w:pStyle w:val="NoSpacing"/>
              <w:jc w:val="center"/>
              <w:rPr>
                <w:rFonts w:ascii="Calibri" w:hAnsi="Calibri"/>
                <w:b/>
                <w:bCs/>
              </w:rPr>
            </w:pPr>
            <w:r w:rsidRPr="00293C29">
              <w:rPr>
                <w:rFonts w:ascii="Calibri" w:hAnsi="Calibri"/>
                <w:b/>
              </w:rPr>
              <w:t>1.19</w:t>
            </w:r>
            <w:r w:rsidRPr="00293C29">
              <w:rPr>
                <w:rFonts w:ascii="Calibri" w:hAnsi="Calibri"/>
                <w:b/>
                <w:bCs/>
              </w:rPr>
              <w:t>x10</w:t>
            </w:r>
            <w:r w:rsidRPr="00293C29">
              <w:rPr>
                <w:rFonts w:ascii="Calibri" w:hAnsi="Calibri"/>
                <w:b/>
                <w:bCs/>
                <w:vertAlign w:val="superscript"/>
              </w:rPr>
              <w:t>-13</w:t>
            </w:r>
          </w:p>
        </w:tc>
        <w:tc>
          <w:tcPr>
            <w:tcW w:w="0" w:type="auto"/>
            <w:tcBorders>
              <w:top w:val="nil"/>
              <w:bottom w:val="nil"/>
            </w:tcBorders>
            <w:vAlign w:val="center"/>
          </w:tcPr>
          <w:p w14:paraId="7114C2EE" w14:textId="72C36EB4" w:rsidR="00697321" w:rsidRPr="00293C29" w:rsidRDefault="00697321" w:rsidP="00697321">
            <w:pPr>
              <w:pStyle w:val="NoSpacing"/>
              <w:jc w:val="center"/>
              <w:rPr>
                <w:lang w:eastAsia="fr-FR"/>
              </w:rPr>
            </w:pPr>
            <w:r w:rsidRPr="00293C29">
              <w:rPr>
                <w:rFonts w:ascii="Calibri" w:hAnsi="Calibri"/>
                <w:bCs/>
              </w:rPr>
              <w:t>30 [0-74]</w:t>
            </w:r>
          </w:p>
        </w:tc>
      </w:tr>
      <w:tr w:rsidR="00697321" w:rsidRPr="00293C29" w14:paraId="3FAE3CD5" w14:textId="77777777" w:rsidTr="00170F6C">
        <w:trPr>
          <w:trHeight w:val="283"/>
        </w:trPr>
        <w:tc>
          <w:tcPr>
            <w:tcW w:w="0" w:type="auto"/>
            <w:tcBorders>
              <w:top w:val="nil"/>
              <w:bottom w:val="nil"/>
            </w:tcBorders>
          </w:tcPr>
          <w:p w14:paraId="42E202E1" w14:textId="77777777" w:rsidR="00D42A55" w:rsidRPr="00293C29" w:rsidRDefault="00D42A55" w:rsidP="00D42A55">
            <w:pPr>
              <w:pStyle w:val="NoSpacing"/>
              <w:rPr>
                <w:b/>
              </w:rPr>
            </w:pPr>
            <w:r w:rsidRPr="00293C29">
              <w:rPr>
                <w:rFonts w:ascii="Calibri" w:eastAsia="Times New Roman" w:hAnsi="Calibri" w:cs="Times New Roman"/>
                <w:b/>
                <w:lang w:eastAsia="en-GB"/>
              </w:rPr>
              <w:t xml:space="preserve">Sensitivity </w:t>
            </w:r>
            <w:r w:rsidR="00C02B97" w:rsidRPr="00293C29">
              <w:rPr>
                <w:rFonts w:ascii="Calibri" w:eastAsia="Times New Roman" w:hAnsi="Calibri" w:cs="Times New Roman"/>
                <w:b/>
                <w:lang w:eastAsia="en-GB"/>
              </w:rPr>
              <w:t xml:space="preserve">MR </w:t>
            </w:r>
            <w:r w:rsidRPr="00293C29">
              <w:rPr>
                <w:rFonts w:ascii="Calibri" w:eastAsia="Times New Roman" w:hAnsi="Calibri" w:cs="Times New Roman"/>
                <w:b/>
                <w:lang w:eastAsia="en-GB"/>
              </w:rPr>
              <w:t>analyses</w:t>
            </w:r>
          </w:p>
        </w:tc>
        <w:tc>
          <w:tcPr>
            <w:tcW w:w="0" w:type="auto"/>
            <w:tcBorders>
              <w:top w:val="nil"/>
              <w:bottom w:val="nil"/>
            </w:tcBorders>
          </w:tcPr>
          <w:p w14:paraId="73955AB6" w14:textId="77777777" w:rsidR="00D42A55" w:rsidRPr="00293C29" w:rsidRDefault="00D42A55" w:rsidP="00D42A55">
            <w:pPr>
              <w:pStyle w:val="NoSpacing"/>
              <w:jc w:val="center"/>
            </w:pPr>
          </w:p>
        </w:tc>
        <w:tc>
          <w:tcPr>
            <w:tcW w:w="0" w:type="auto"/>
            <w:tcBorders>
              <w:top w:val="nil"/>
              <w:bottom w:val="nil"/>
            </w:tcBorders>
            <w:vAlign w:val="center"/>
          </w:tcPr>
          <w:p w14:paraId="43C5E450" w14:textId="77777777" w:rsidR="00D42A55" w:rsidRPr="00293C29" w:rsidRDefault="00D42A55" w:rsidP="00D42A55">
            <w:pPr>
              <w:pStyle w:val="NoSpacing"/>
              <w:jc w:val="center"/>
              <w:rPr>
                <w:rFonts w:ascii="Calibri" w:hAnsi="Calibri"/>
              </w:rPr>
            </w:pPr>
          </w:p>
        </w:tc>
        <w:tc>
          <w:tcPr>
            <w:tcW w:w="0" w:type="auto"/>
            <w:tcBorders>
              <w:top w:val="nil"/>
              <w:bottom w:val="nil"/>
            </w:tcBorders>
            <w:vAlign w:val="center"/>
          </w:tcPr>
          <w:p w14:paraId="19D4B5FE" w14:textId="77777777" w:rsidR="00D42A55" w:rsidRPr="00293C29" w:rsidRDefault="00D42A55" w:rsidP="00D42A55">
            <w:pPr>
              <w:pStyle w:val="NoSpacing"/>
              <w:jc w:val="center"/>
              <w:rPr>
                <w:rFonts w:ascii="Calibri" w:hAnsi="Calibri"/>
              </w:rPr>
            </w:pPr>
          </w:p>
        </w:tc>
        <w:tc>
          <w:tcPr>
            <w:tcW w:w="0" w:type="auto"/>
            <w:tcBorders>
              <w:top w:val="nil"/>
              <w:bottom w:val="nil"/>
            </w:tcBorders>
            <w:vAlign w:val="center"/>
          </w:tcPr>
          <w:p w14:paraId="10569E74" w14:textId="77777777" w:rsidR="00D42A55" w:rsidRPr="00293C29" w:rsidRDefault="00D42A55" w:rsidP="00D42A55">
            <w:pPr>
              <w:pStyle w:val="NoSpacing"/>
              <w:jc w:val="center"/>
              <w:rPr>
                <w:rFonts w:ascii="Calibri" w:hAnsi="Calibri"/>
              </w:rPr>
            </w:pPr>
          </w:p>
        </w:tc>
        <w:tc>
          <w:tcPr>
            <w:tcW w:w="0" w:type="auto"/>
            <w:tcBorders>
              <w:top w:val="nil"/>
              <w:bottom w:val="nil"/>
            </w:tcBorders>
            <w:vAlign w:val="center"/>
          </w:tcPr>
          <w:p w14:paraId="66097F10" w14:textId="77777777" w:rsidR="00D42A55" w:rsidRPr="00293C29" w:rsidRDefault="00D42A55" w:rsidP="00D42A55">
            <w:pPr>
              <w:pStyle w:val="NoSpacing"/>
              <w:jc w:val="center"/>
              <w:rPr>
                <w:rFonts w:ascii="Calibri" w:hAnsi="Calibri"/>
                <w:b/>
                <w:bCs/>
              </w:rPr>
            </w:pPr>
          </w:p>
        </w:tc>
        <w:tc>
          <w:tcPr>
            <w:tcW w:w="0" w:type="auto"/>
            <w:tcBorders>
              <w:top w:val="nil"/>
              <w:bottom w:val="nil"/>
            </w:tcBorders>
            <w:vAlign w:val="center"/>
          </w:tcPr>
          <w:p w14:paraId="155C6820" w14:textId="77777777" w:rsidR="00D42A55" w:rsidRPr="00293C29" w:rsidRDefault="00D42A55" w:rsidP="00D42A55">
            <w:pPr>
              <w:pStyle w:val="NoSpacing"/>
              <w:jc w:val="center"/>
              <w:rPr>
                <w:lang w:eastAsia="fr-FR"/>
              </w:rPr>
            </w:pPr>
          </w:p>
        </w:tc>
        <w:tc>
          <w:tcPr>
            <w:tcW w:w="0" w:type="auto"/>
            <w:tcBorders>
              <w:top w:val="nil"/>
              <w:bottom w:val="nil"/>
            </w:tcBorders>
            <w:vAlign w:val="center"/>
          </w:tcPr>
          <w:p w14:paraId="151348E7" w14:textId="77777777" w:rsidR="00D42A55" w:rsidRPr="00293C29" w:rsidRDefault="00D42A55" w:rsidP="00D42A55">
            <w:pPr>
              <w:pStyle w:val="NoSpacing"/>
              <w:jc w:val="center"/>
              <w:rPr>
                <w:rFonts w:ascii="Calibri" w:hAnsi="Calibri"/>
                <w:b/>
                <w:bCs/>
              </w:rPr>
            </w:pPr>
          </w:p>
        </w:tc>
        <w:tc>
          <w:tcPr>
            <w:tcW w:w="0" w:type="auto"/>
            <w:tcBorders>
              <w:top w:val="nil"/>
              <w:bottom w:val="nil"/>
            </w:tcBorders>
            <w:vAlign w:val="center"/>
          </w:tcPr>
          <w:p w14:paraId="1FE07F04" w14:textId="77777777" w:rsidR="00D42A55" w:rsidRPr="00293C29" w:rsidRDefault="00D42A55" w:rsidP="00D42A55">
            <w:pPr>
              <w:pStyle w:val="NoSpacing"/>
              <w:jc w:val="center"/>
              <w:rPr>
                <w:rFonts w:ascii="Calibri" w:hAnsi="Calibri"/>
                <w:bCs/>
              </w:rPr>
            </w:pPr>
          </w:p>
        </w:tc>
        <w:tc>
          <w:tcPr>
            <w:tcW w:w="0" w:type="auto"/>
            <w:tcBorders>
              <w:top w:val="nil"/>
              <w:bottom w:val="nil"/>
            </w:tcBorders>
            <w:vAlign w:val="center"/>
          </w:tcPr>
          <w:p w14:paraId="02757FAB" w14:textId="77777777" w:rsidR="00D42A55" w:rsidRPr="00293C29" w:rsidRDefault="00D42A55" w:rsidP="00D42A55">
            <w:pPr>
              <w:pStyle w:val="NoSpacing"/>
              <w:jc w:val="center"/>
              <w:rPr>
                <w:rFonts w:ascii="Calibri" w:hAnsi="Calibri"/>
                <w:bCs/>
              </w:rPr>
            </w:pPr>
          </w:p>
        </w:tc>
        <w:tc>
          <w:tcPr>
            <w:tcW w:w="0" w:type="auto"/>
            <w:tcBorders>
              <w:top w:val="nil"/>
              <w:bottom w:val="nil"/>
            </w:tcBorders>
            <w:vAlign w:val="center"/>
          </w:tcPr>
          <w:p w14:paraId="70AF73F9" w14:textId="77777777" w:rsidR="00D42A55" w:rsidRPr="00293C29" w:rsidRDefault="00D42A55" w:rsidP="00D42A55">
            <w:pPr>
              <w:pStyle w:val="NoSpacing"/>
              <w:jc w:val="center"/>
              <w:rPr>
                <w:rFonts w:ascii="Calibri" w:hAnsi="Calibri"/>
                <w:b/>
                <w:bCs/>
              </w:rPr>
            </w:pPr>
          </w:p>
        </w:tc>
        <w:tc>
          <w:tcPr>
            <w:tcW w:w="0" w:type="auto"/>
            <w:tcBorders>
              <w:top w:val="nil"/>
              <w:bottom w:val="nil"/>
            </w:tcBorders>
            <w:vAlign w:val="center"/>
          </w:tcPr>
          <w:p w14:paraId="160101C9" w14:textId="77777777" w:rsidR="00D42A55" w:rsidRPr="00293C29" w:rsidRDefault="00D42A55" w:rsidP="00D42A55">
            <w:pPr>
              <w:pStyle w:val="NoSpacing"/>
              <w:jc w:val="center"/>
              <w:rPr>
                <w:lang w:eastAsia="fr-FR"/>
              </w:rPr>
            </w:pPr>
          </w:p>
        </w:tc>
      </w:tr>
      <w:tr w:rsidR="00697321" w:rsidRPr="00293C29" w14:paraId="3BC72D17" w14:textId="77777777" w:rsidTr="00DE0217">
        <w:trPr>
          <w:trHeight w:val="283"/>
        </w:trPr>
        <w:tc>
          <w:tcPr>
            <w:tcW w:w="0" w:type="auto"/>
            <w:tcBorders>
              <w:top w:val="nil"/>
              <w:bottom w:val="nil"/>
            </w:tcBorders>
          </w:tcPr>
          <w:p w14:paraId="1A6095CB" w14:textId="77777777" w:rsidR="00D42A55" w:rsidRPr="00293C29" w:rsidRDefault="00D42A55" w:rsidP="00D42A55">
            <w:pPr>
              <w:pStyle w:val="NoSpacing"/>
              <w:rPr>
                <w:b/>
              </w:rPr>
            </w:pPr>
            <w:r w:rsidRPr="00293C29">
              <w:rPr>
                <w:rFonts w:ascii="Calibri" w:eastAsia="Times New Roman" w:hAnsi="Calibri" w:cs="Times New Roman"/>
                <w:lang w:eastAsia="en-GB"/>
              </w:rPr>
              <w:t xml:space="preserve"> Women with complete data</w:t>
            </w:r>
            <w:r w:rsidRPr="00293C29">
              <w:rPr>
                <w:rFonts w:ascii="Calibri" w:eastAsia="Times New Roman" w:hAnsi="Calibri" w:cs="Calibri"/>
                <w:lang w:eastAsia="en-GB"/>
              </w:rPr>
              <w:t>†</w:t>
            </w:r>
          </w:p>
        </w:tc>
        <w:tc>
          <w:tcPr>
            <w:tcW w:w="0" w:type="auto"/>
            <w:tcBorders>
              <w:top w:val="nil"/>
              <w:bottom w:val="nil"/>
            </w:tcBorders>
            <w:vAlign w:val="center"/>
          </w:tcPr>
          <w:p w14:paraId="065F3B21" w14:textId="77777777" w:rsidR="00D42A55" w:rsidRPr="00293C29" w:rsidRDefault="00D42A55" w:rsidP="00D42A55">
            <w:pPr>
              <w:pStyle w:val="NoSpacing"/>
              <w:jc w:val="center"/>
            </w:pPr>
            <w:r w:rsidRPr="00293C29">
              <w:t>77,303</w:t>
            </w:r>
          </w:p>
        </w:tc>
        <w:tc>
          <w:tcPr>
            <w:tcW w:w="0" w:type="auto"/>
            <w:tcBorders>
              <w:top w:val="nil"/>
              <w:bottom w:val="nil"/>
            </w:tcBorders>
            <w:vAlign w:val="center"/>
          </w:tcPr>
          <w:p w14:paraId="0E6C252D" w14:textId="77777777" w:rsidR="00D42A55" w:rsidRPr="00293C29" w:rsidRDefault="00D42A55" w:rsidP="00D42A55">
            <w:pPr>
              <w:pStyle w:val="NoSpacing"/>
              <w:jc w:val="center"/>
              <w:rPr>
                <w:rFonts w:ascii="Calibri" w:hAnsi="Calibri"/>
              </w:rPr>
            </w:pPr>
            <w:r w:rsidRPr="00293C29">
              <w:rPr>
                <w:rFonts w:ascii="Calibri" w:hAnsi="Calibri"/>
              </w:rPr>
              <w:t>39</w:t>
            </w:r>
          </w:p>
        </w:tc>
        <w:tc>
          <w:tcPr>
            <w:tcW w:w="0" w:type="auto"/>
            <w:tcBorders>
              <w:top w:val="nil"/>
              <w:bottom w:val="nil"/>
            </w:tcBorders>
            <w:vAlign w:val="center"/>
          </w:tcPr>
          <w:p w14:paraId="65DAEE10" w14:textId="77777777" w:rsidR="00D42A55" w:rsidRPr="00293C29" w:rsidRDefault="00D42A55" w:rsidP="00D42A55">
            <w:pPr>
              <w:pStyle w:val="NoSpacing"/>
              <w:jc w:val="center"/>
              <w:rPr>
                <w:rFonts w:ascii="Calibri" w:hAnsi="Calibri"/>
              </w:rPr>
            </w:pPr>
            <w:r w:rsidRPr="00293C29">
              <w:rPr>
                <w:rFonts w:ascii="Calibri" w:hAnsi="Calibri"/>
              </w:rPr>
              <w:t>0.28</w:t>
            </w:r>
          </w:p>
        </w:tc>
        <w:tc>
          <w:tcPr>
            <w:tcW w:w="0" w:type="auto"/>
            <w:tcBorders>
              <w:top w:val="nil"/>
              <w:bottom w:val="nil"/>
            </w:tcBorders>
            <w:vAlign w:val="center"/>
          </w:tcPr>
          <w:p w14:paraId="1AEBB6EE" w14:textId="77777777" w:rsidR="00D42A55" w:rsidRPr="00293C29" w:rsidRDefault="00D42A55" w:rsidP="00D42A55">
            <w:pPr>
              <w:pStyle w:val="NoSpacing"/>
              <w:jc w:val="center"/>
              <w:rPr>
                <w:rFonts w:ascii="Calibri" w:hAnsi="Calibri"/>
              </w:rPr>
            </w:pPr>
            <w:r w:rsidRPr="00293C29">
              <w:rPr>
                <w:rFonts w:ascii="Calibri" w:hAnsi="Calibri"/>
              </w:rPr>
              <w:t>0.21 to 0.35</w:t>
            </w:r>
          </w:p>
        </w:tc>
        <w:tc>
          <w:tcPr>
            <w:tcW w:w="0" w:type="auto"/>
            <w:tcBorders>
              <w:top w:val="nil"/>
              <w:bottom w:val="nil"/>
            </w:tcBorders>
            <w:vAlign w:val="center"/>
          </w:tcPr>
          <w:p w14:paraId="5FD57724" w14:textId="77777777" w:rsidR="00D42A55" w:rsidRPr="00293C29" w:rsidRDefault="00D42A55" w:rsidP="00D42A55">
            <w:pPr>
              <w:pStyle w:val="NoSpacing"/>
              <w:jc w:val="center"/>
              <w:rPr>
                <w:rFonts w:ascii="Calibri" w:hAnsi="Calibri"/>
                <w:b/>
                <w:bCs/>
              </w:rPr>
            </w:pPr>
            <w:r w:rsidRPr="00293C29">
              <w:rPr>
                <w:rFonts w:ascii="Calibri" w:hAnsi="Calibri"/>
                <w:b/>
                <w:bCs/>
              </w:rPr>
              <w:t>1.86x10</w:t>
            </w:r>
            <w:r w:rsidRPr="00293C29">
              <w:rPr>
                <w:rFonts w:ascii="Calibri" w:hAnsi="Calibri"/>
                <w:b/>
                <w:bCs/>
                <w:vertAlign w:val="superscript"/>
              </w:rPr>
              <w:t>-14</w:t>
            </w:r>
          </w:p>
        </w:tc>
        <w:tc>
          <w:tcPr>
            <w:tcW w:w="0" w:type="auto"/>
            <w:tcBorders>
              <w:top w:val="nil"/>
              <w:bottom w:val="nil"/>
            </w:tcBorders>
            <w:vAlign w:val="center"/>
          </w:tcPr>
          <w:p w14:paraId="1B488024" w14:textId="77777777" w:rsidR="00D42A55" w:rsidRPr="00293C29" w:rsidRDefault="00D42A55" w:rsidP="00D42A55">
            <w:pPr>
              <w:pStyle w:val="NoSpacing"/>
              <w:jc w:val="center"/>
              <w:rPr>
                <w:lang w:eastAsia="fr-FR"/>
              </w:rPr>
            </w:pPr>
            <w:r w:rsidRPr="00293C29">
              <w:rPr>
                <w:rFonts w:ascii="Calibri" w:hAnsi="Calibri"/>
                <w:bCs/>
              </w:rPr>
              <w:t>45 [25-80]</w:t>
            </w:r>
          </w:p>
        </w:tc>
        <w:tc>
          <w:tcPr>
            <w:tcW w:w="0" w:type="auto"/>
            <w:tcBorders>
              <w:top w:val="nil"/>
              <w:bottom w:val="nil"/>
            </w:tcBorders>
            <w:vAlign w:val="center"/>
          </w:tcPr>
          <w:p w14:paraId="4768934F" w14:textId="77777777" w:rsidR="00D42A55" w:rsidRPr="00293C29" w:rsidRDefault="00D42A55" w:rsidP="00D42A55">
            <w:pPr>
              <w:pStyle w:val="NoSpacing"/>
              <w:jc w:val="center"/>
              <w:rPr>
                <w:rFonts w:ascii="Calibri" w:hAnsi="Calibri"/>
                <w:b/>
                <w:bCs/>
              </w:rPr>
            </w:pPr>
          </w:p>
        </w:tc>
        <w:tc>
          <w:tcPr>
            <w:tcW w:w="0" w:type="auto"/>
            <w:tcBorders>
              <w:top w:val="nil"/>
              <w:bottom w:val="nil"/>
            </w:tcBorders>
            <w:vAlign w:val="center"/>
          </w:tcPr>
          <w:p w14:paraId="11E81A50" w14:textId="77777777" w:rsidR="00D42A55" w:rsidRPr="00293C29" w:rsidRDefault="00D42A55" w:rsidP="00D42A55">
            <w:pPr>
              <w:pStyle w:val="NoSpacing"/>
              <w:jc w:val="center"/>
              <w:rPr>
                <w:rFonts w:ascii="Calibri" w:hAnsi="Calibri"/>
                <w:bCs/>
              </w:rPr>
            </w:pPr>
            <w:r w:rsidRPr="00293C29">
              <w:rPr>
                <w:rFonts w:ascii="Calibri" w:hAnsi="Calibri"/>
                <w:bCs/>
              </w:rPr>
              <w:t>0.87</w:t>
            </w:r>
          </w:p>
        </w:tc>
        <w:tc>
          <w:tcPr>
            <w:tcW w:w="0" w:type="auto"/>
            <w:tcBorders>
              <w:top w:val="nil"/>
              <w:bottom w:val="nil"/>
            </w:tcBorders>
            <w:vAlign w:val="center"/>
          </w:tcPr>
          <w:p w14:paraId="10463606" w14:textId="77777777" w:rsidR="00D42A55" w:rsidRPr="00293C29" w:rsidRDefault="00D42A55" w:rsidP="00D42A55">
            <w:pPr>
              <w:pStyle w:val="NoSpacing"/>
              <w:jc w:val="center"/>
              <w:rPr>
                <w:rFonts w:ascii="Calibri" w:hAnsi="Calibri"/>
                <w:bCs/>
              </w:rPr>
            </w:pPr>
            <w:r w:rsidRPr="00293C29">
              <w:rPr>
                <w:rFonts w:ascii="Calibri" w:hAnsi="Calibri"/>
                <w:bCs/>
              </w:rPr>
              <w:t>0.84 to 0.91</w:t>
            </w:r>
          </w:p>
        </w:tc>
        <w:tc>
          <w:tcPr>
            <w:tcW w:w="0" w:type="auto"/>
            <w:tcBorders>
              <w:top w:val="nil"/>
              <w:bottom w:val="nil"/>
            </w:tcBorders>
            <w:vAlign w:val="center"/>
          </w:tcPr>
          <w:p w14:paraId="7093382D" w14:textId="77777777" w:rsidR="00D42A55" w:rsidRPr="00293C29" w:rsidRDefault="00D42A55" w:rsidP="00D42A55">
            <w:pPr>
              <w:pStyle w:val="NoSpacing"/>
              <w:jc w:val="center"/>
              <w:rPr>
                <w:rFonts w:ascii="Calibri" w:hAnsi="Calibri"/>
                <w:b/>
                <w:bCs/>
              </w:rPr>
            </w:pPr>
            <w:r w:rsidRPr="00293C29">
              <w:rPr>
                <w:rFonts w:ascii="Calibri" w:hAnsi="Calibri"/>
                <w:b/>
                <w:bCs/>
              </w:rPr>
              <w:t>7.14x10</w:t>
            </w:r>
            <w:r w:rsidRPr="00293C29">
              <w:rPr>
                <w:rFonts w:ascii="Calibri" w:hAnsi="Calibri"/>
                <w:b/>
                <w:bCs/>
                <w:vertAlign w:val="superscript"/>
              </w:rPr>
              <w:t>-10</w:t>
            </w:r>
          </w:p>
        </w:tc>
        <w:tc>
          <w:tcPr>
            <w:tcW w:w="0" w:type="auto"/>
            <w:tcBorders>
              <w:top w:val="nil"/>
              <w:bottom w:val="nil"/>
            </w:tcBorders>
            <w:vAlign w:val="center"/>
          </w:tcPr>
          <w:p w14:paraId="5ADF18CC" w14:textId="77777777" w:rsidR="00D42A55" w:rsidRPr="00293C29" w:rsidRDefault="00D42A55" w:rsidP="00D42A55">
            <w:pPr>
              <w:pStyle w:val="NoSpacing"/>
              <w:jc w:val="center"/>
              <w:rPr>
                <w:lang w:eastAsia="fr-FR"/>
              </w:rPr>
            </w:pPr>
            <w:r w:rsidRPr="00293C29">
              <w:rPr>
                <w:rFonts w:ascii="Calibri" w:hAnsi="Calibri"/>
                <w:bCs/>
              </w:rPr>
              <w:t>14 [0-58]</w:t>
            </w:r>
          </w:p>
        </w:tc>
      </w:tr>
      <w:tr w:rsidR="00697321" w:rsidRPr="00293C29" w14:paraId="33DEA3D0" w14:textId="77777777" w:rsidTr="00DE0217">
        <w:trPr>
          <w:trHeight w:val="283"/>
        </w:trPr>
        <w:tc>
          <w:tcPr>
            <w:tcW w:w="0" w:type="auto"/>
            <w:tcBorders>
              <w:top w:val="nil"/>
              <w:bottom w:val="nil"/>
            </w:tcBorders>
          </w:tcPr>
          <w:p w14:paraId="6319A32B" w14:textId="77777777" w:rsidR="00D42A55" w:rsidRPr="00293C29" w:rsidRDefault="00D42A55" w:rsidP="00D42A55">
            <w:pPr>
              <w:pStyle w:val="NoSpacing"/>
              <w:rPr>
                <w:b/>
              </w:rPr>
            </w:pPr>
            <w:r w:rsidRPr="00293C29">
              <w:rPr>
                <w:rFonts w:ascii="Calibri" w:eastAsia="Times New Roman" w:hAnsi="Calibri" w:cs="Times New Roman"/>
                <w:lang w:eastAsia="en-GB"/>
              </w:rPr>
              <w:t xml:space="preserve"> Non-asthmatic women</w:t>
            </w:r>
          </w:p>
        </w:tc>
        <w:tc>
          <w:tcPr>
            <w:tcW w:w="0" w:type="auto"/>
            <w:tcBorders>
              <w:top w:val="nil"/>
              <w:bottom w:val="nil"/>
            </w:tcBorders>
            <w:vAlign w:val="center"/>
          </w:tcPr>
          <w:p w14:paraId="6995A453" w14:textId="77777777" w:rsidR="00D42A55" w:rsidRPr="00293C29" w:rsidRDefault="00D42A55" w:rsidP="00D42A55">
            <w:pPr>
              <w:pStyle w:val="NoSpacing"/>
              <w:jc w:val="center"/>
            </w:pPr>
            <w:r w:rsidRPr="00293C29">
              <w:t>76,367</w:t>
            </w:r>
          </w:p>
        </w:tc>
        <w:tc>
          <w:tcPr>
            <w:tcW w:w="0" w:type="auto"/>
            <w:tcBorders>
              <w:top w:val="nil"/>
              <w:bottom w:val="nil"/>
            </w:tcBorders>
            <w:vAlign w:val="center"/>
          </w:tcPr>
          <w:p w14:paraId="2CCE0016" w14:textId="77777777" w:rsidR="00D42A55" w:rsidRPr="00293C29" w:rsidRDefault="00D42A55" w:rsidP="00D42A55">
            <w:pPr>
              <w:pStyle w:val="NoSpacing"/>
              <w:jc w:val="center"/>
              <w:rPr>
                <w:rFonts w:ascii="Calibri" w:hAnsi="Calibri"/>
              </w:rPr>
            </w:pPr>
            <w:r w:rsidRPr="00293C29">
              <w:rPr>
                <w:rFonts w:ascii="Calibri" w:hAnsi="Calibri"/>
              </w:rPr>
              <w:t>39</w:t>
            </w:r>
          </w:p>
        </w:tc>
        <w:tc>
          <w:tcPr>
            <w:tcW w:w="0" w:type="auto"/>
            <w:tcBorders>
              <w:top w:val="nil"/>
              <w:bottom w:val="nil"/>
            </w:tcBorders>
            <w:vAlign w:val="center"/>
          </w:tcPr>
          <w:p w14:paraId="75E61019" w14:textId="77777777" w:rsidR="00D42A55" w:rsidRPr="00293C29" w:rsidRDefault="00D42A55" w:rsidP="00D42A55">
            <w:pPr>
              <w:pStyle w:val="NoSpacing"/>
              <w:jc w:val="center"/>
              <w:rPr>
                <w:rFonts w:ascii="Calibri" w:hAnsi="Calibri"/>
              </w:rPr>
            </w:pPr>
            <w:r w:rsidRPr="00293C29">
              <w:rPr>
                <w:rFonts w:ascii="Calibri" w:hAnsi="Calibri"/>
              </w:rPr>
              <w:t>0.31</w:t>
            </w:r>
          </w:p>
        </w:tc>
        <w:tc>
          <w:tcPr>
            <w:tcW w:w="0" w:type="auto"/>
            <w:tcBorders>
              <w:top w:val="nil"/>
              <w:bottom w:val="nil"/>
            </w:tcBorders>
            <w:vAlign w:val="center"/>
          </w:tcPr>
          <w:p w14:paraId="1604938F" w14:textId="77777777" w:rsidR="00D42A55" w:rsidRPr="00293C29" w:rsidRDefault="00D42A55" w:rsidP="00D42A55">
            <w:pPr>
              <w:pStyle w:val="NoSpacing"/>
              <w:jc w:val="center"/>
              <w:rPr>
                <w:rFonts w:ascii="Calibri" w:hAnsi="Calibri"/>
              </w:rPr>
            </w:pPr>
            <w:r w:rsidRPr="00293C29">
              <w:rPr>
                <w:rFonts w:ascii="Calibri" w:hAnsi="Calibri"/>
              </w:rPr>
              <w:t>0.24 to 0.38</w:t>
            </w:r>
          </w:p>
        </w:tc>
        <w:tc>
          <w:tcPr>
            <w:tcW w:w="0" w:type="auto"/>
            <w:tcBorders>
              <w:top w:val="nil"/>
              <w:bottom w:val="nil"/>
            </w:tcBorders>
            <w:vAlign w:val="center"/>
          </w:tcPr>
          <w:p w14:paraId="489D8DD2" w14:textId="77777777" w:rsidR="00D42A55" w:rsidRPr="00293C29" w:rsidRDefault="00D42A55" w:rsidP="00D42A55">
            <w:pPr>
              <w:pStyle w:val="NoSpacing"/>
              <w:jc w:val="center"/>
              <w:rPr>
                <w:rFonts w:ascii="Calibri" w:hAnsi="Calibri"/>
                <w:b/>
                <w:bCs/>
              </w:rPr>
            </w:pPr>
            <w:r w:rsidRPr="00293C29">
              <w:rPr>
                <w:rFonts w:ascii="Calibri" w:hAnsi="Calibri"/>
                <w:b/>
                <w:bCs/>
              </w:rPr>
              <w:t>7.47x10</w:t>
            </w:r>
            <w:r w:rsidRPr="00293C29">
              <w:rPr>
                <w:rFonts w:ascii="Calibri" w:hAnsi="Calibri"/>
                <w:b/>
                <w:bCs/>
                <w:vertAlign w:val="superscript"/>
              </w:rPr>
              <w:t>-18</w:t>
            </w:r>
          </w:p>
        </w:tc>
        <w:tc>
          <w:tcPr>
            <w:tcW w:w="0" w:type="auto"/>
            <w:tcBorders>
              <w:top w:val="nil"/>
              <w:bottom w:val="nil"/>
            </w:tcBorders>
            <w:vAlign w:val="center"/>
          </w:tcPr>
          <w:p w14:paraId="5F5685F5" w14:textId="77777777" w:rsidR="00D42A55" w:rsidRPr="00293C29" w:rsidRDefault="00D42A55" w:rsidP="00D42A55">
            <w:pPr>
              <w:pStyle w:val="NoSpacing"/>
              <w:jc w:val="center"/>
              <w:rPr>
                <w:lang w:eastAsia="fr-FR"/>
              </w:rPr>
            </w:pPr>
            <w:r w:rsidRPr="00293C29">
              <w:rPr>
                <w:rFonts w:ascii="Calibri" w:hAnsi="Calibri"/>
                <w:bCs/>
              </w:rPr>
              <w:t>42 [19-80]</w:t>
            </w:r>
          </w:p>
        </w:tc>
        <w:tc>
          <w:tcPr>
            <w:tcW w:w="0" w:type="auto"/>
            <w:tcBorders>
              <w:top w:val="nil"/>
              <w:bottom w:val="nil"/>
            </w:tcBorders>
            <w:vAlign w:val="center"/>
          </w:tcPr>
          <w:p w14:paraId="155DEB96" w14:textId="77777777" w:rsidR="00D42A55" w:rsidRPr="00293C29" w:rsidRDefault="00D42A55" w:rsidP="00D42A55">
            <w:pPr>
              <w:pStyle w:val="NoSpacing"/>
              <w:jc w:val="center"/>
              <w:rPr>
                <w:rFonts w:ascii="Calibri" w:hAnsi="Calibri"/>
                <w:b/>
                <w:bCs/>
              </w:rPr>
            </w:pPr>
          </w:p>
        </w:tc>
        <w:tc>
          <w:tcPr>
            <w:tcW w:w="0" w:type="auto"/>
            <w:tcBorders>
              <w:top w:val="nil"/>
              <w:bottom w:val="nil"/>
            </w:tcBorders>
            <w:vAlign w:val="center"/>
          </w:tcPr>
          <w:p w14:paraId="4F239C54" w14:textId="77777777" w:rsidR="00D42A55" w:rsidRPr="00293C29" w:rsidRDefault="00D42A55" w:rsidP="00D42A55">
            <w:pPr>
              <w:pStyle w:val="NoSpacing"/>
              <w:jc w:val="center"/>
              <w:rPr>
                <w:rFonts w:ascii="Calibri" w:hAnsi="Calibri"/>
                <w:bCs/>
              </w:rPr>
            </w:pPr>
            <w:r w:rsidRPr="00293C29">
              <w:rPr>
                <w:rFonts w:ascii="Calibri" w:hAnsi="Calibri"/>
                <w:bCs/>
              </w:rPr>
              <w:t>0.84</w:t>
            </w:r>
          </w:p>
        </w:tc>
        <w:tc>
          <w:tcPr>
            <w:tcW w:w="0" w:type="auto"/>
            <w:tcBorders>
              <w:top w:val="nil"/>
              <w:bottom w:val="nil"/>
            </w:tcBorders>
            <w:vAlign w:val="center"/>
          </w:tcPr>
          <w:p w14:paraId="24311D41" w14:textId="77777777" w:rsidR="00D42A55" w:rsidRPr="00293C29" w:rsidRDefault="00D42A55" w:rsidP="00D42A55">
            <w:pPr>
              <w:pStyle w:val="NoSpacing"/>
              <w:jc w:val="center"/>
              <w:rPr>
                <w:rFonts w:ascii="Calibri" w:hAnsi="Calibri"/>
                <w:bCs/>
              </w:rPr>
            </w:pPr>
            <w:r w:rsidRPr="00293C29">
              <w:rPr>
                <w:rFonts w:ascii="Calibri" w:hAnsi="Calibri"/>
                <w:bCs/>
              </w:rPr>
              <w:t>0.80 to 0.88</w:t>
            </w:r>
          </w:p>
        </w:tc>
        <w:tc>
          <w:tcPr>
            <w:tcW w:w="0" w:type="auto"/>
            <w:tcBorders>
              <w:top w:val="nil"/>
              <w:bottom w:val="nil"/>
            </w:tcBorders>
            <w:vAlign w:val="center"/>
          </w:tcPr>
          <w:p w14:paraId="0B3C1F2F" w14:textId="77777777" w:rsidR="00D42A55" w:rsidRPr="00293C29" w:rsidRDefault="00D42A55" w:rsidP="00D42A55">
            <w:pPr>
              <w:pStyle w:val="NoSpacing"/>
              <w:jc w:val="center"/>
              <w:rPr>
                <w:rFonts w:ascii="Calibri" w:hAnsi="Calibri"/>
                <w:b/>
                <w:bCs/>
              </w:rPr>
            </w:pPr>
            <w:r w:rsidRPr="00293C29">
              <w:rPr>
                <w:rFonts w:ascii="Calibri" w:hAnsi="Calibri"/>
                <w:b/>
                <w:bCs/>
              </w:rPr>
              <w:t>2.07x10</w:t>
            </w:r>
            <w:r w:rsidRPr="00293C29">
              <w:rPr>
                <w:rFonts w:ascii="Calibri" w:hAnsi="Calibri"/>
                <w:b/>
                <w:bCs/>
                <w:vertAlign w:val="superscript"/>
              </w:rPr>
              <w:t>-12</w:t>
            </w:r>
          </w:p>
        </w:tc>
        <w:tc>
          <w:tcPr>
            <w:tcW w:w="0" w:type="auto"/>
            <w:tcBorders>
              <w:top w:val="nil"/>
              <w:bottom w:val="nil"/>
            </w:tcBorders>
            <w:vAlign w:val="center"/>
          </w:tcPr>
          <w:p w14:paraId="1C84F603" w14:textId="77777777" w:rsidR="00D42A55" w:rsidRPr="00293C29" w:rsidRDefault="00D42A55" w:rsidP="00D42A55">
            <w:pPr>
              <w:pStyle w:val="NoSpacing"/>
              <w:jc w:val="center"/>
              <w:rPr>
                <w:lang w:eastAsia="fr-FR"/>
              </w:rPr>
            </w:pPr>
            <w:r w:rsidRPr="00293C29">
              <w:rPr>
                <w:rFonts w:ascii="Calibri" w:hAnsi="Calibri"/>
                <w:bCs/>
              </w:rPr>
              <w:t>7 [0-48]</w:t>
            </w:r>
          </w:p>
        </w:tc>
      </w:tr>
      <w:tr w:rsidR="00697321" w:rsidRPr="00293C29" w14:paraId="5B001D10" w14:textId="77777777" w:rsidTr="004500D0">
        <w:trPr>
          <w:trHeight w:val="283"/>
        </w:trPr>
        <w:tc>
          <w:tcPr>
            <w:tcW w:w="0" w:type="auto"/>
            <w:tcBorders>
              <w:top w:val="nil"/>
              <w:bottom w:val="single" w:sz="4" w:space="0" w:color="auto"/>
            </w:tcBorders>
          </w:tcPr>
          <w:p w14:paraId="6C002386" w14:textId="748D366A" w:rsidR="00EB5AFC" w:rsidRPr="00293C29" w:rsidRDefault="00EB5AFC" w:rsidP="00D42A55">
            <w:pPr>
              <w:pStyle w:val="NoSpacing"/>
              <w:rPr>
                <w:rFonts w:ascii="Calibri" w:eastAsia="Times New Roman" w:hAnsi="Calibri" w:cs="Times New Roman"/>
                <w:lang w:eastAsia="en-GB"/>
              </w:rPr>
            </w:pPr>
            <w:r>
              <w:rPr>
                <w:rFonts w:ascii="Calibri" w:eastAsia="Times New Roman" w:hAnsi="Calibri" w:cs="Times New Roman"/>
                <w:lang w:eastAsia="en-GB"/>
              </w:rPr>
              <w:t xml:space="preserve"> Limiting to Day </w:t>
            </w:r>
            <w:r w:rsidRPr="004500D0">
              <w:rPr>
                <w:rFonts w:ascii="Calibri" w:eastAsia="Times New Roman" w:hAnsi="Calibri" w:cs="Times New Roman"/>
                <w:i/>
                <w:lang w:eastAsia="en-GB"/>
              </w:rPr>
              <w:t>et al</w:t>
            </w:r>
            <w:r>
              <w:rPr>
                <w:rFonts w:ascii="Calibri" w:eastAsia="Times New Roman" w:hAnsi="Calibri" w:cs="Times New Roman"/>
                <w:i/>
                <w:lang w:eastAsia="en-GB"/>
              </w:rPr>
              <w:t>.</w:t>
            </w:r>
            <w:r>
              <w:rPr>
                <w:rFonts w:ascii="Calibri" w:eastAsia="Times New Roman" w:hAnsi="Calibri" w:cs="Times New Roman"/>
                <w:lang w:eastAsia="en-GB"/>
              </w:rPr>
              <w:t xml:space="preserve"> SNPs</w:t>
            </w:r>
          </w:p>
        </w:tc>
        <w:tc>
          <w:tcPr>
            <w:tcW w:w="0" w:type="auto"/>
            <w:tcBorders>
              <w:top w:val="nil"/>
              <w:bottom w:val="single" w:sz="4" w:space="0" w:color="auto"/>
            </w:tcBorders>
            <w:vAlign w:val="center"/>
          </w:tcPr>
          <w:p w14:paraId="5C5FB22E" w14:textId="7F0BEA3E" w:rsidR="00EB5AFC" w:rsidRPr="00293C29" w:rsidRDefault="00697321" w:rsidP="00D42A55">
            <w:pPr>
              <w:pStyle w:val="NoSpacing"/>
              <w:jc w:val="center"/>
            </w:pPr>
            <w:r w:rsidRPr="00293C29">
              <w:t>86,274</w:t>
            </w:r>
          </w:p>
        </w:tc>
        <w:tc>
          <w:tcPr>
            <w:tcW w:w="0" w:type="auto"/>
            <w:tcBorders>
              <w:top w:val="nil"/>
              <w:bottom w:val="single" w:sz="4" w:space="0" w:color="auto"/>
            </w:tcBorders>
            <w:vAlign w:val="center"/>
          </w:tcPr>
          <w:p w14:paraId="5E437B21" w14:textId="4CD13858" w:rsidR="00EB5AFC" w:rsidRPr="00293C29" w:rsidRDefault="00697321" w:rsidP="00D42A55">
            <w:pPr>
              <w:pStyle w:val="NoSpacing"/>
              <w:jc w:val="center"/>
              <w:rPr>
                <w:rFonts w:ascii="Calibri" w:hAnsi="Calibri"/>
              </w:rPr>
            </w:pPr>
            <w:r>
              <w:rPr>
                <w:rFonts w:ascii="Calibri" w:hAnsi="Calibri"/>
              </w:rPr>
              <w:t>33</w:t>
            </w:r>
          </w:p>
        </w:tc>
        <w:tc>
          <w:tcPr>
            <w:tcW w:w="0" w:type="auto"/>
            <w:tcBorders>
              <w:top w:val="nil"/>
              <w:bottom w:val="single" w:sz="4" w:space="0" w:color="auto"/>
            </w:tcBorders>
            <w:vAlign w:val="center"/>
          </w:tcPr>
          <w:p w14:paraId="5DD79AD2" w14:textId="3559B478" w:rsidR="00EB5AFC" w:rsidRPr="00293C29" w:rsidRDefault="00697321" w:rsidP="00D42A55">
            <w:pPr>
              <w:pStyle w:val="NoSpacing"/>
              <w:jc w:val="center"/>
              <w:rPr>
                <w:rFonts w:ascii="Calibri" w:hAnsi="Calibri"/>
              </w:rPr>
            </w:pPr>
            <w:r>
              <w:rPr>
                <w:rFonts w:ascii="Calibri" w:hAnsi="Calibri"/>
              </w:rPr>
              <w:t>0.29</w:t>
            </w:r>
          </w:p>
        </w:tc>
        <w:tc>
          <w:tcPr>
            <w:tcW w:w="0" w:type="auto"/>
            <w:tcBorders>
              <w:top w:val="nil"/>
              <w:bottom w:val="single" w:sz="4" w:space="0" w:color="auto"/>
            </w:tcBorders>
            <w:vAlign w:val="center"/>
          </w:tcPr>
          <w:p w14:paraId="335B5177" w14:textId="20B6301E" w:rsidR="00EB5AFC" w:rsidRPr="00293C29" w:rsidRDefault="00697321" w:rsidP="00D42A55">
            <w:pPr>
              <w:pStyle w:val="NoSpacing"/>
              <w:jc w:val="center"/>
              <w:rPr>
                <w:rFonts w:ascii="Calibri" w:hAnsi="Calibri"/>
              </w:rPr>
            </w:pPr>
            <w:r>
              <w:rPr>
                <w:rFonts w:ascii="Calibri" w:hAnsi="Calibri"/>
              </w:rPr>
              <w:t>0.18 to 0.39</w:t>
            </w:r>
          </w:p>
        </w:tc>
        <w:tc>
          <w:tcPr>
            <w:tcW w:w="0" w:type="auto"/>
            <w:tcBorders>
              <w:top w:val="nil"/>
              <w:bottom w:val="single" w:sz="4" w:space="0" w:color="auto"/>
            </w:tcBorders>
            <w:vAlign w:val="center"/>
          </w:tcPr>
          <w:p w14:paraId="515120A4" w14:textId="1F34EE5B" w:rsidR="00EB5AFC" w:rsidRPr="00293C29" w:rsidRDefault="00697321" w:rsidP="00D42A55">
            <w:pPr>
              <w:pStyle w:val="NoSpacing"/>
              <w:jc w:val="center"/>
              <w:rPr>
                <w:rFonts w:ascii="Calibri" w:hAnsi="Calibri"/>
                <w:b/>
                <w:bCs/>
              </w:rPr>
            </w:pPr>
            <w:r>
              <w:rPr>
                <w:rFonts w:ascii="Calibri" w:hAnsi="Calibri"/>
                <w:b/>
                <w:bCs/>
              </w:rPr>
              <w:t>3.75</w:t>
            </w:r>
            <w:r w:rsidRPr="00293C29">
              <w:rPr>
                <w:rFonts w:ascii="Calibri" w:hAnsi="Calibri"/>
                <w:b/>
                <w:bCs/>
              </w:rPr>
              <w:t>x10</w:t>
            </w:r>
            <w:r w:rsidRPr="00293C29">
              <w:rPr>
                <w:rFonts w:ascii="Calibri" w:hAnsi="Calibri"/>
                <w:b/>
                <w:bCs/>
                <w:vertAlign w:val="superscript"/>
              </w:rPr>
              <w:t>-8</w:t>
            </w:r>
          </w:p>
        </w:tc>
        <w:tc>
          <w:tcPr>
            <w:tcW w:w="0" w:type="auto"/>
            <w:tcBorders>
              <w:top w:val="nil"/>
              <w:bottom w:val="single" w:sz="4" w:space="0" w:color="auto"/>
            </w:tcBorders>
            <w:vAlign w:val="center"/>
          </w:tcPr>
          <w:p w14:paraId="305E0853" w14:textId="7238B060" w:rsidR="00EB5AFC" w:rsidRPr="00293C29" w:rsidRDefault="00697321" w:rsidP="00D42A55">
            <w:pPr>
              <w:pStyle w:val="NoSpacing"/>
              <w:jc w:val="center"/>
              <w:rPr>
                <w:rFonts w:ascii="Calibri" w:hAnsi="Calibri"/>
                <w:bCs/>
              </w:rPr>
            </w:pPr>
            <w:r>
              <w:rPr>
                <w:rFonts w:ascii="Calibri" w:hAnsi="Calibri"/>
                <w:bCs/>
              </w:rPr>
              <w:t>38 [5-77]</w:t>
            </w:r>
          </w:p>
        </w:tc>
        <w:tc>
          <w:tcPr>
            <w:tcW w:w="0" w:type="auto"/>
            <w:tcBorders>
              <w:top w:val="nil"/>
              <w:bottom w:val="single" w:sz="4" w:space="0" w:color="auto"/>
            </w:tcBorders>
            <w:vAlign w:val="center"/>
          </w:tcPr>
          <w:p w14:paraId="22721C57" w14:textId="77777777" w:rsidR="00EB5AFC" w:rsidRPr="00293C29" w:rsidRDefault="00EB5AFC" w:rsidP="00D42A55">
            <w:pPr>
              <w:pStyle w:val="NoSpacing"/>
              <w:jc w:val="center"/>
              <w:rPr>
                <w:rFonts w:ascii="Calibri" w:hAnsi="Calibri"/>
                <w:b/>
                <w:bCs/>
              </w:rPr>
            </w:pPr>
          </w:p>
        </w:tc>
        <w:tc>
          <w:tcPr>
            <w:tcW w:w="0" w:type="auto"/>
            <w:tcBorders>
              <w:top w:val="nil"/>
              <w:bottom w:val="single" w:sz="4" w:space="0" w:color="auto"/>
            </w:tcBorders>
            <w:vAlign w:val="center"/>
          </w:tcPr>
          <w:p w14:paraId="0EB5F453" w14:textId="75BED194" w:rsidR="00EB5AFC" w:rsidRPr="00293C29" w:rsidRDefault="00697321" w:rsidP="00D42A55">
            <w:pPr>
              <w:pStyle w:val="NoSpacing"/>
              <w:jc w:val="center"/>
              <w:rPr>
                <w:rFonts w:ascii="Calibri" w:hAnsi="Calibri"/>
                <w:bCs/>
              </w:rPr>
            </w:pPr>
            <w:r>
              <w:rPr>
                <w:rFonts w:ascii="Calibri" w:hAnsi="Calibri"/>
                <w:bCs/>
              </w:rPr>
              <w:t>0.89</w:t>
            </w:r>
          </w:p>
        </w:tc>
        <w:tc>
          <w:tcPr>
            <w:tcW w:w="0" w:type="auto"/>
            <w:tcBorders>
              <w:top w:val="nil"/>
              <w:bottom w:val="single" w:sz="4" w:space="0" w:color="auto"/>
            </w:tcBorders>
            <w:vAlign w:val="center"/>
          </w:tcPr>
          <w:p w14:paraId="756AC8E6" w14:textId="3459DA39" w:rsidR="00EB5AFC" w:rsidRPr="00293C29" w:rsidRDefault="00697321" w:rsidP="00D42A55">
            <w:pPr>
              <w:pStyle w:val="NoSpacing"/>
              <w:jc w:val="center"/>
              <w:rPr>
                <w:rFonts w:ascii="Calibri" w:hAnsi="Calibri"/>
                <w:bCs/>
              </w:rPr>
            </w:pPr>
            <w:r>
              <w:rPr>
                <w:rFonts w:ascii="Calibri" w:hAnsi="Calibri"/>
                <w:bCs/>
              </w:rPr>
              <w:t>0.84 to 0.95</w:t>
            </w:r>
          </w:p>
        </w:tc>
        <w:tc>
          <w:tcPr>
            <w:tcW w:w="0" w:type="auto"/>
            <w:tcBorders>
              <w:top w:val="nil"/>
              <w:bottom w:val="single" w:sz="4" w:space="0" w:color="auto"/>
            </w:tcBorders>
            <w:vAlign w:val="center"/>
          </w:tcPr>
          <w:p w14:paraId="1CAA1AF7" w14:textId="3B7B0478" w:rsidR="00EB5AFC" w:rsidRPr="00293C29" w:rsidRDefault="00697321" w:rsidP="00D42A55">
            <w:pPr>
              <w:pStyle w:val="NoSpacing"/>
              <w:jc w:val="center"/>
              <w:rPr>
                <w:rFonts w:ascii="Calibri" w:hAnsi="Calibri"/>
                <w:b/>
                <w:bCs/>
              </w:rPr>
            </w:pPr>
            <w:r>
              <w:rPr>
                <w:rFonts w:ascii="Calibri" w:hAnsi="Calibri"/>
                <w:b/>
                <w:bCs/>
              </w:rPr>
              <w:t>2.20</w:t>
            </w:r>
            <w:r w:rsidRPr="00293C29">
              <w:rPr>
                <w:rFonts w:ascii="Calibri" w:hAnsi="Calibri"/>
                <w:b/>
                <w:bCs/>
              </w:rPr>
              <w:t>x10</w:t>
            </w:r>
            <w:r w:rsidRPr="00293C29">
              <w:rPr>
                <w:rFonts w:ascii="Calibri" w:hAnsi="Calibri"/>
                <w:b/>
                <w:bCs/>
                <w:vertAlign w:val="superscript"/>
              </w:rPr>
              <w:t>-4</w:t>
            </w:r>
          </w:p>
        </w:tc>
        <w:tc>
          <w:tcPr>
            <w:tcW w:w="0" w:type="auto"/>
            <w:tcBorders>
              <w:top w:val="nil"/>
              <w:bottom w:val="single" w:sz="4" w:space="0" w:color="auto"/>
            </w:tcBorders>
            <w:vAlign w:val="center"/>
          </w:tcPr>
          <w:p w14:paraId="44D92F80" w14:textId="3FBD1007" w:rsidR="00EB5AFC" w:rsidRPr="00293C29" w:rsidRDefault="00697321" w:rsidP="00D42A55">
            <w:pPr>
              <w:pStyle w:val="NoSpacing"/>
              <w:jc w:val="center"/>
              <w:rPr>
                <w:rFonts w:ascii="Calibri" w:hAnsi="Calibri"/>
                <w:bCs/>
              </w:rPr>
            </w:pPr>
            <w:r>
              <w:rPr>
                <w:rFonts w:ascii="Calibri" w:hAnsi="Calibri"/>
                <w:bCs/>
              </w:rPr>
              <w:t>4 [0-54]</w:t>
            </w:r>
          </w:p>
        </w:tc>
      </w:tr>
    </w:tbl>
    <w:p w14:paraId="779A7458" w14:textId="77777777" w:rsidR="00FE188A" w:rsidRPr="00293C29" w:rsidRDefault="00FE188A" w:rsidP="00FE188A">
      <w:pPr>
        <w:pStyle w:val="NoSpacing"/>
        <w:ind w:right="1104"/>
        <w:rPr>
          <w:i/>
          <w:sz w:val="20"/>
          <w:szCs w:val="20"/>
          <w:lang w:val="en-GB" w:eastAsia="en-GB"/>
        </w:rPr>
      </w:pPr>
      <w:r w:rsidRPr="00293C29">
        <w:rPr>
          <w:i/>
          <w:sz w:val="20"/>
          <w:szCs w:val="20"/>
          <w:lang w:val="en-GB" w:eastAsia="en-GB"/>
        </w:rPr>
        <w:t xml:space="preserve">* All pleiotropic SNPs include all SNPs associated with height, BMI and menarche. SNPs associated with the traits were selected based on the results from the </w:t>
      </w:r>
      <w:proofErr w:type="spellStart"/>
      <w:r w:rsidRPr="00293C29">
        <w:rPr>
          <w:i/>
          <w:sz w:val="20"/>
          <w:szCs w:val="20"/>
          <w:lang w:val="en-GB" w:eastAsia="en-GB"/>
        </w:rPr>
        <w:t>Phenoscanner</w:t>
      </w:r>
      <w:proofErr w:type="spellEnd"/>
      <w:r w:rsidRPr="00293C29">
        <w:rPr>
          <w:i/>
          <w:sz w:val="20"/>
          <w:szCs w:val="20"/>
          <w:lang w:val="en-GB" w:eastAsia="en-GB"/>
        </w:rPr>
        <w:t xml:space="preserve"> with a p&lt;7.94x10</w:t>
      </w:r>
      <w:r w:rsidRPr="00293C29">
        <w:rPr>
          <w:i/>
          <w:sz w:val="20"/>
          <w:szCs w:val="20"/>
          <w:vertAlign w:val="superscript"/>
          <w:lang w:val="en-GB" w:eastAsia="en-GB"/>
        </w:rPr>
        <w:t>-4</w:t>
      </w:r>
      <w:r w:rsidRPr="00293C29">
        <w:rPr>
          <w:i/>
          <w:sz w:val="20"/>
          <w:szCs w:val="20"/>
          <w:lang w:val="en-GB" w:eastAsia="en-GB"/>
        </w:rPr>
        <w:t xml:space="preserve"> (0.05/63). </w:t>
      </w:r>
    </w:p>
    <w:p w14:paraId="7B6E4A5A" w14:textId="77777777" w:rsidR="00FE188A" w:rsidRPr="00293C29" w:rsidRDefault="00FE188A" w:rsidP="00FE188A">
      <w:pPr>
        <w:pStyle w:val="NoSpacing"/>
        <w:ind w:right="1104"/>
        <w:rPr>
          <w:i/>
          <w:sz w:val="20"/>
          <w:szCs w:val="20"/>
          <w:lang w:val="en-GB" w:eastAsia="en-GB"/>
        </w:rPr>
      </w:pPr>
      <w:r w:rsidRPr="00293C29">
        <w:rPr>
          <w:i/>
          <w:sz w:val="20"/>
          <w:szCs w:val="20"/>
          <w:lang w:val="en-GB" w:eastAsia="en-GB"/>
        </w:rPr>
        <w:t xml:space="preserve">†Women with complete data on all variables included in the observational analyses. </w:t>
      </w:r>
    </w:p>
    <w:p w14:paraId="315115C5" w14:textId="3BACF4BA" w:rsidR="00FE188A" w:rsidRPr="00BE273D" w:rsidRDefault="00FE188A" w:rsidP="00BE273D">
      <w:pPr>
        <w:pStyle w:val="NoSpacing"/>
        <w:ind w:right="1104"/>
        <w:rPr>
          <w:i/>
          <w:sz w:val="20"/>
          <w:szCs w:val="20"/>
          <w:lang w:val="en-GB"/>
        </w:rPr>
      </w:pPr>
      <w:r w:rsidRPr="00293C29">
        <w:rPr>
          <w:i/>
          <w:sz w:val="20"/>
          <w:szCs w:val="20"/>
          <w:lang w:val="en-GB"/>
        </w:rPr>
        <w:t>LLN = Lower Limit of Normal, N = number of subjects included in analysis, N SNPs = number SNPs included in analysis, B = beta, 95%CI = 95% Confidence Interval, P = P-value, I</w:t>
      </w:r>
      <w:r w:rsidRPr="00293C29">
        <w:rPr>
          <w:i/>
          <w:sz w:val="20"/>
          <w:szCs w:val="20"/>
          <w:vertAlign w:val="superscript"/>
          <w:lang w:val="en-GB"/>
        </w:rPr>
        <w:t>2</w:t>
      </w:r>
      <w:r w:rsidRPr="00293C29">
        <w:rPr>
          <w:i/>
          <w:sz w:val="20"/>
          <w:szCs w:val="20"/>
          <w:lang w:val="en-GB"/>
        </w:rPr>
        <w:t xml:space="preserve"> = between-instrument heterogeneity indicator, OR = Odds Ratio, and NA = Not applicable. Significant results are show in bold.</w:t>
      </w:r>
      <w:r w:rsidRPr="00293C29">
        <w:rPr>
          <w:b/>
          <w:lang w:val="en-GB"/>
        </w:rPr>
        <w:br w:type="page"/>
      </w:r>
    </w:p>
    <w:p w14:paraId="0EBCEF53" w14:textId="77777777" w:rsidR="00FE188A" w:rsidRPr="00293C29" w:rsidRDefault="00FE188A" w:rsidP="00FE188A">
      <w:pPr>
        <w:widowControl w:val="0"/>
        <w:autoSpaceDE w:val="0"/>
        <w:autoSpaceDN w:val="0"/>
        <w:adjustRightInd w:val="0"/>
        <w:spacing w:after="120" w:line="240" w:lineRule="auto"/>
        <w:ind w:left="640" w:hanging="640"/>
        <w:rPr>
          <w:b/>
          <w:lang w:val="en-GB"/>
        </w:rPr>
      </w:pPr>
      <w:r w:rsidRPr="00293C29">
        <w:rPr>
          <w:b/>
          <w:lang w:val="en-GB"/>
        </w:rPr>
        <w:lastRenderedPageBreak/>
        <w:t>Table 3. Association of late menopause with airflow obstruction in observational and MR analyses</w:t>
      </w:r>
    </w:p>
    <w:tbl>
      <w:tblPr>
        <w:tblStyle w:val="TableGrid"/>
        <w:tblW w:w="0" w:type="auto"/>
        <w:tblInd w:w="-142"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8"/>
        <w:gridCol w:w="829"/>
        <w:gridCol w:w="670"/>
        <w:gridCol w:w="674"/>
        <w:gridCol w:w="1420"/>
        <w:gridCol w:w="1048"/>
        <w:gridCol w:w="1138"/>
        <w:gridCol w:w="222"/>
        <w:gridCol w:w="607"/>
        <w:gridCol w:w="1286"/>
        <w:gridCol w:w="1048"/>
        <w:gridCol w:w="1026"/>
      </w:tblGrid>
      <w:tr w:rsidR="00293C29" w:rsidRPr="00293C29" w14:paraId="1EDBF2A9" w14:textId="77777777" w:rsidTr="00DE0217">
        <w:trPr>
          <w:trHeight w:val="283"/>
        </w:trPr>
        <w:tc>
          <w:tcPr>
            <w:tcW w:w="0" w:type="auto"/>
          </w:tcPr>
          <w:p w14:paraId="013604F2" w14:textId="77777777" w:rsidR="00FE188A" w:rsidRPr="00293C29" w:rsidRDefault="00FE188A" w:rsidP="00DE0217">
            <w:pPr>
              <w:pStyle w:val="NoSpacing"/>
            </w:pPr>
          </w:p>
        </w:tc>
        <w:tc>
          <w:tcPr>
            <w:tcW w:w="0" w:type="auto"/>
          </w:tcPr>
          <w:p w14:paraId="10685776" w14:textId="77777777" w:rsidR="00FE188A" w:rsidRPr="00293C29" w:rsidRDefault="00FE188A" w:rsidP="00DE0217">
            <w:pPr>
              <w:pStyle w:val="NoSpacing"/>
              <w:jc w:val="center"/>
              <w:rPr>
                <w:b/>
              </w:rPr>
            </w:pPr>
          </w:p>
        </w:tc>
        <w:tc>
          <w:tcPr>
            <w:tcW w:w="0" w:type="auto"/>
          </w:tcPr>
          <w:p w14:paraId="0DF00F68" w14:textId="77777777" w:rsidR="00FE188A" w:rsidRPr="00293C29" w:rsidRDefault="00FE188A" w:rsidP="00DE0217">
            <w:pPr>
              <w:pStyle w:val="NoSpacing"/>
              <w:jc w:val="center"/>
              <w:rPr>
                <w:b/>
              </w:rPr>
            </w:pPr>
            <w:r w:rsidRPr="00293C29">
              <w:rPr>
                <w:b/>
              </w:rPr>
              <w:t>N</w:t>
            </w:r>
          </w:p>
        </w:tc>
        <w:tc>
          <w:tcPr>
            <w:tcW w:w="0" w:type="auto"/>
            <w:gridSpan w:val="4"/>
            <w:tcBorders>
              <w:top w:val="single" w:sz="4" w:space="0" w:color="auto"/>
              <w:bottom w:val="single" w:sz="4" w:space="0" w:color="auto"/>
            </w:tcBorders>
          </w:tcPr>
          <w:p w14:paraId="4D8BB6F9" w14:textId="77777777" w:rsidR="00FE188A" w:rsidRPr="00293C29" w:rsidRDefault="00FE188A" w:rsidP="00DE0217">
            <w:pPr>
              <w:pStyle w:val="NoSpacing"/>
              <w:jc w:val="center"/>
              <w:rPr>
                <w:b/>
                <w:i/>
              </w:rPr>
            </w:pPr>
            <w:r w:rsidRPr="00293C29">
              <w:rPr>
                <w:b/>
                <w:i/>
              </w:rPr>
              <w:t>FEV</w:t>
            </w:r>
            <w:r w:rsidRPr="00293C29">
              <w:rPr>
                <w:b/>
                <w:i/>
                <w:vertAlign w:val="subscript"/>
              </w:rPr>
              <w:t>1</w:t>
            </w:r>
            <w:r w:rsidRPr="00293C29">
              <w:rPr>
                <w:b/>
                <w:i/>
              </w:rPr>
              <w:t>/FVC (%)</w:t>
            </w:r>
          </w:p>
        </w:tc>
        <w:tc>
          <w:tcPr>
            <w:tcW w:w="0" w:type="auto"/>
          </w:tcPr>
          <w:p w14:paraId="03F75AC5" w14:textId="77777777" w:rsidR="00FE188A" w:rsidRPr="00293C29" w:rsidRDefault="00FE188A" w:rsidP="00DE0217">
            <w:pPr>
              <w:pStyle w:val="NoSpacing"/>
              <w:jc w:val="center"/>
              <w:rPr>
                <w:b/>
                <w:i/>
              </w:rPr>
            </w:pPr>
          </w:p>
        </w:tc>
        <w:tc>
          <w:tcPr>
            <w:tcW w:w="0" w:type="auto"/>
            <w:gridSpan w:val="4"/>
            <w:tcBorders>
              <w:top w:val="single" w:sz="4" w:space="0" w:color="auto"/>
              <w:bottom w:val="single" w:sz="4" w:space="0" w:color="auto"/>
            </w:tcBorders>
          </w:tcPr>
          <w:p w14:paraId="4361ED5D" w14:textId="77777777" w:rsidR="00FE188A" w:rsidRPr="00293C29" w:rsidRDefault="00FE188A" w:rsidP="00DE0217">
            <w:pPr>
              <w:pStyle w:val="NoSpacing"/>
              <w:jc w:val="center"/>
              <w:rPr>
                <w:b/>
                <w:i/>
              </w:rPr>
            </w:pPr>
            <w:r w:rsidRPr="00293C29">
              <w:rPr>
                <w:b/>
                <w:i/>
              </w:rPr>
              <w:t>FEV</w:t>
            </w:r>
            <w:r w:rsidRPr="00293C29">
              <w:rPr>
                <w:b/>
                <w:i/>
                <w:vertAlign w:val="subscript"/>
              </w:rPr>
              <w:t>1</w:t>
            </w:r>
            <w:r w:rsidRPr="00293C29">
              <w:rPr>
                <w:b/>
                <w:i/>
              </w:rPr>
              <w:t>/FVC &lt; LLN</w:t>
            </w:r>
          </w:p>
        </w:tc>
      </w:tr>
      <w:tr w:rsidR="00293C29" w:rsidRPr="00293C29" w14:paraId="42B8C768" w14:textId="77777777" w:rsidTr="00DE0217">
        <w:trPr>
          <w:trHeight w:val="283"/>
        </w:trPr>
        <w:tc>
          <w:tcPr>
            <w:tcW w:w="0" w:type="auto"/>
            <w:tcBorders>
              <w:bottom w:val="single" w:sz="4" w:space="0" w:color="auto"/>
            </w:tcBorders>
          </w:tcPr>
          <w:p w14:paraId="76F90A1E" w14:textId="77777777" w:rsidR="00FE188A" w:rsidRPr="00293C29" w:rsidRDefault="00FE188A" w:rsidP="00DE0217">
            <w:pPr>
              <w:pStyle w:val="NoSpacing"/>
              <w:rPr>
                <w:rFonts w:ascii="Calibri" w:eastAsia="Times New Roman" w:hAnsi="Calibri" w:cs="Times New Roman"/>
                <w:b/>
                <w:lang w:eastAsia="en-GB"/>
              </w:rPr>
            </w:pPr>
          </w:p>
        </w:tc>
        <w:tc>
          <w:tcPr>
            <w:tcW w:w="0" w:type="auto"/>
            <w:tcBorders>
              <w:bottom w:val="single" w:sz="4" w:space="0" w:color="auto"/>
            </w:tcBorders>
          </w:tcPr>
          <w:p w14:paraId="4B06211A" w14:textId="77777777" w:rsidR="00FE188A" w:rsidRPr="00293C29" w:rsidRDefault="00FE188A" w:rsidP="00DE0217">
            <w:pPr>
              <w:pStyle w:val="NoSpacing"/>
              <w:jc w:val="center"/>
              <w:rPr>
                <w:rFonts w:ascii="Calibri" w:eastAsia="Times New Roman" w:hAnsi="Calibri" w:cs="Times New Roman"/>
                <w:b/>
                <w:lang w:eastAsia="en-GB"/>
              </w:rPr>
            </w:pPr>
            <w:r w:rsidRPr="00293C29">
              <w:rPr>
                <w:rFonts w:ascii="Calibri" w:eastAsia="Times New Roman" w:hAnsi="Calibri" w:cs="Times New Roman"/>
                <w:b/>
                <w:lang w:eastAsia="en-GB"/>
              </w:rPr>
              <w:t>N</w:t>
            </w:r>
          </w:p>
        </w:tc>
        <w:tc>
          <w:tcPr>
            <w:tcW w:w="0" w:type="auto"/>
            <w:tcBorders>
              <w:bottom w:val="single" w:sz="4" w:space="0" w:color="auto"/>
            </w:tcBorders>
          </w:tcPr>
          <w:p w14:paraId="4530B431" w14:textId="77777777" w:rsidR="00FE188A" w:rsidRPr="00293C29" w:rsidRDefault="00FE188A" w:rsidP="00DE0217">
            <w:pPr>
              <w:pStyle w:val="NoSpacing"/>
              <w:jc w:val="center"/>
              <w:rPr>
                <w:rFonts w:ascii="Calibri" w:eastAsia="Times New Roman" w:hAnsi="Calibri" w:cs="Times New Roman"/>
                <w:b/>
                <w:lang w:eastAsia="en-GB"/>
              </w:rPr>
            </w:pPr>
            <w:r w:rsidRPr="00293C29">
              <w:rPr>
                <w:rFonts w:ascii="Calibri" w:eastAsia="Times New Roman" w:hAnsi="Calibri" w:cs="Times New Roman"/>
                <w:b/>
                <w:lang w:eastAsia="en-GB"/>
              </w:rPr>
              <w:t>SNPs</w:t>
            </w:r>
          </w:p>
        </w:tc>
        <w:tc>
          <w:tcPr>
            <w:tcW w:w="0" w:type="auto"/>
            <w:tcBorders>
              <w:top w:val="single" w:sz="4" w:space="0" w:color="auto"/>
              <w:bottom w:val="single" w:sz="4" w:space="0" w:color="auto"/>
            </w:tcBorders>
          </w:tcPr>
          <w:p w14:paraId="787D9C28" w14:textId="77777777" w:rsidR="00FE188A" w:rsidRPr="00293C29" w:rsidRDefault="00FE188A" w:rsidP="00DE0217">
            <w:pPr>
              <w:pStyle w:val="NoSpacing"/>
              <w:jc w:val="center"/>
              <w:rPr>
                <w:rFonts w:ascii="Calibri" w:eastAsia="Times New Roman" w:hAnsi="Calibri" w:cs="Times New Roman"/>
                <w:b/>
                <w:lang w:eastAsia="en-GB"/>
              </w:rPr>
            </w:pPr>
            <w:r w:rsidRPr="00293C29">
              <w:rPr>
                <w:rFonts w:ascii="Calibri" w:eastAsia="Times New Roman" w:hAnsi="Calibri" w:cs="Times New Roman"/>
                <w:b/>
                <w:lang w:eastAsia="en-GB"/>
              </w:rPr>
              <w:t>B</w:t>
            </w:r>
          </w:p>
        </w:tc>
        <w:tc>
          <w:tcPr>
            <w:tcW w:w="0" w:type="auto"/>
            <w:tcBorders>
              <w:top w:val="single" w:sz="4" w:space="0" w:color="auto"/>
              <w:bottom w:val="single" w:sz="4" w:space="0" w:color="auto"/>
            </w:tcBorders>
          </w:tcPr>
          <w:p w14:paraId="05DC9B01" w14:textId="77777777" w:rsidR="00FE188A" w:rsidRPr="00293C29" w:rsidRDefault="00FE188A" w:rsidP="00DE0217">
            <w:pPr>
              <w:pStyle w:val="NoSpacing"/>
              <w:jc w:val="center"/>
              <w:rPr>
                <w:rFonts w:ascii="Calibri" w:eastAsia="Times New Roman" w:hAnsi="Calibri" w:cs="Times New Roman"/>
                <w:b/>
                <w:lang w:eastAsia="en-GB"/>
              </w:rPr>
            </w:pPr>
            <w:r w:rsidRPr="00293C29">
              <w:rPr>
                <w:rFonts w:ascii="Calibri" w:eastAsia="Times New Roman" w:hAnsi="Calibri" w:cs="Times New Roman"/>
                <w:b/>
                <w:lang w:eastAsia="en-GB"/>
              </w:rPr>
              <w:t>95%CI</w:t>
            </w:r>
          </w:p>
        </w:tc>
        <w:tc>
          <w:tcPr>
            <w:tcW w:w="0" w:type="auto"/>
            <w:tcBorders>
              <w:top w:val="single" w:sz="4" w:space="0" w:color="auto"/>
              <w:bottom w:val="single" w:sz="4" w:space="0" w:color="auto"/>
            </w:tcBorders>
          </w:tcPr>
          <w:p w14:paraId="7B331B33" w14:textId="77777777" w:rsidR="00FE188A" w:rsidRPr="00293C29" w:rsidRDefault="00FE188A" w:rsidP="00DE0217">
            <w:pPr>
              <w:pStyle w:val="NoSpacing"/>
              <w:jc w:val="center"/>
              <w:rPr>
                <w:rFonts w:ascii="Calibri" w:eastAsia="Times New Roman" w:hAnsi="Calibri" w:cs="Times New Roman"/>
                <w:b/>
                <w:lang w:eastAsia="en-GB"/>
              </w:rPr>
            </w:pPr>
            <w:r w:rsidRPr="00293C29">
              <w:rPr>
                <w:rFonts w:ascii="Calibri" w:eastAsia="Times New Roman" w:hAnsi="Calibri" w:cs="Times New Roman"/>
                <w:b/>
                <w:lang w:eastAsia="en-GB"/>
              </w:rPr>
              <w:t>P</w:t>
            </w:r>
          </w:p>
        </w:tc>
        <w:tc>
          <w:tcPr>
            <w:tcW w:w="0" w:type="auto"/>
            <w:tcBorders>
              <w:top w:val="single" w:sz="4" w:space="0" w:color="auto"/>
              <w:bottom w:val="single" w:sz="4" w:space="0" w:color="auto"/>
            </w:tcBorders>
          </w:tcPr>
          <w:p w14:paraId="72A76950" w14:textId="77777777" w:rsidR="00FE188A" w:rsidRPr="00293C29" w:rsidRDefault="00FE188A" w:rsidP="00DE0217">
            <w:pPr>
              <w:pStyle w:val="NoSpacing"/>
              <w:jc w:val="center"/>
              <w:rPr>
                <w:rFonts w:ascii="Calibri" w:eastAsia="Times New Roman" w:hAnsi="Calibri" w:cs="Times New Roman"/>
                <w:b/>
                <w:lang w:eastAsia="en-GB"/>
              </w:rPr>
            </w:pPr>
            <w:r w:rsidRPr="00293C29">
              <w:rPr>
                <w:rFonts w:ascii="Calibri" w:eastAsia="Times New Roman" w:hAnsi="Calibri" w:cs="Times New Roman"/>
                <w:b/>
                <w:lang w:eastAsia="en-GB"/>
              </w:rPr>
              <w:t>I</w:t>
            </w:r>
            <w:r w:rsidRPr="00293C29">
              <w:rPr>
                <w:rFonts w:ascii="Calibri" w:eastAsia="Times New Roman" w:hAnsi="Calibri" w:cs="Times New Roman"/>
                <w:b/>
                <w:vertAlign w:val="superscript"/>
                <w:lang w:eastAsia="en-GB"/>
              </w:rPr>
              <w:t>2</w:t>
            </w:r>
          </w:p>
        </w:tc>
        <w:tc>
          <w:tcPr>
            <w:tcW w:w="0" w:type="auto"/>
            <w:tcBorders>
              <w:bottom w:val="single" w:sz="4" w:space="0" w:color="auto"/>
            </w:tcBorders>
          </w:tcPr>
          <w:p w14:paraId="1B801096" w14:textId="77777777" w:rsidR="00FE188A" w:rsidRPr="00293C29" w:rsidRDefault="00FE188A" w:rsidP="00DE0217">
            <w:pPr>
              <w:pStyle w:val="NoSpacing"/>
              <w:jc w:val="center"/>
              <w:rPr>
                <w:rFonts w:ascii="Calibri" w:eastAsia="Times New Roman" w:hAnsi="Calibri" w:cs="Times New Roman"/>
                <w:b/>
                <w:lang w:eastAsia="en-GB"/>
              </w:rPr>
            </w:pPr>
          </w:p>
        </w:tc>
        <w:tc>
          <w:tcPr>
            <w:tcW w:w="0" w:type="auto"/>
            <w:tcBorders>
              <w:top w:val="single" w:sz="4" w:space="0" w:color="auto"/>
              <w:bottom w:val="single" w:sz="4" w:space="0" w:color="auto"/>
            </w:tcBorders>
          </w:tcPr>
          <w:p w14:paraId="1B08FAF9" w14:textId="77777777" w:rsidR="00FE188A" w:rsidRPr="00293C29" w:rsidRDefault="00FE188A" w:rsidP="00DE0217">
            <w:pPr>
              <w:pStyle w:val="NoSpacing"/>
              <w:jc w:val="center"/>
              <w:rPr>
                <w:rFonts w:ascii="Calibri" w:eastAsia="Times New Roman" w:hAnsi="Calibri" w:cs="Times New Roman"/>
                <w:b/>
                <w:lang w:eastAsia="en-GB"/>
              </w:rPr>
            </w:pPr>
            <w:r w:rsidRPr="00293C29">
              <w:rPr>
                <w:rFonts w:ascii="Calibri" w:eastAsia="Times New Roman" w:hAnsi="Calibri" w:cs="Times New Roman"/>
                <w:b/>
                <w:lang w:eastAsia="en-GB"/>
              </w:rPr>
              <w:t>OR</w:t>
            </w:r>
          </w:p>
        </w:tc>
        <w:tc>
          <w:tcPr>
            <w:tcW w:w="0" w:type="auto"/>
            <w:tcBorders>
              <w:top w:val="single" w:sz="4" w:space="0" w:color="auto"/>
              <w:bottom w:val="single" w:sz="4" w:space="0" w:color="auto"/>
            </w:tcBorders>
          </w:tcPr>
          <w:p w14:paraId="4290E9F0" w14:textId="77777777" w:rsidR="00FE188A" w:rsidRPr="00293C29" w:rsidRDefault="00FE188A" w:rsidP="00DE0217">
            <w:pPr>
              <w:pStyle w:val="NoSpacing"/>
              <w:jc w:val="center"/>
              <w:rPr>
                <w:rFonts w:ascii="Calibri" w:eastAsia="Times New Roman" w:hAnsi="Calibri" w:cs="Times New Roman"/>
                <w:b/>
                <w:lang w:eastAsia="en-GB"/>
              </w:rPr>
            </w:pPr>
            <w:r w:rsidRPr="00293C29">
              <w:rPr>
                <w:rFonts w:ascii="Calibri" w:eastAsia="Times New Roman" w:hAnsi="Calibri" w:cs="Times New Roman"/>
                <w:b/>
                <w:lang w:eastAsia="en-GB"/>
              </w:rPr>
              <w:t>95%CI</w:t>
            </w:r>
          </w:p>
        </w:tc>
        <w:tc>
          <w:tcPr>
            <w:tcW w:w="0" w:type="auto"/>
            <w:tcBorders>
              <w:top w:val="single" w:sz="4" w:space="0" w:color="auto"/>
              <w:bottom w:val="single" w:sz="4" w:space="0" w:color="auto"/>
            </w:tcBorders>
          </w:tcPr>
          <w:p w14:paraId="4C6B80F7" w14:textId="77777777" w:rsidR="00FE188A" w:rsidRPr="00293C29" w:rsidRDefault="00FE188A" w:rsidP="00DE0217">
            <w:pPr>
              <w:pStyle w:val="NoSpacing"/>
              <w:jc w:val="center"/>
              <w:rPr>
                <w:rFonts w:ascii="Calibri" w:eastAsia="Times New Roman" w:hAnsi="Calibri" w:cs="Times New Roman"/>
                <w:b/>
                <w:lang w:eastAsia="en-GB"/>
              </w:rPr>
            </w:pPr>
            <w:r w:rsidRPr="00293C29">
              <w:rPr>
                <w:rFonts w:ascii="Calibri" w:eastAsia="Times New Roman" w:hAnsi="Calibri" w:cs="Times New Roman"/>
                <w:b/>
                <w:lang w:eastAsia="en-GB"/>
              </w:rPr>
              <w:t>P</w:t>
            </w:r>
          </w:p>
        </w:tc>
        <w:tc>
          <w:tcPr>
            <w:tcW w:w="0" w:type="auto"/>
            <w:tcBorders>
              <w:top w:val="single" w:sz="4" w:space="0" w:color="auto"/>
              <w:bottom w:val="single" w:sz="4" w:space="0" w:color="auto"/>
            </w:tcBorders>
          </w:tcPr>
          <w:p w14:paraId="533F6955" w14:textId="77777777" w:rsidR="00FE188A" w:rsidRPr="00293C29" w:rsidRDefault="00FE188A" w:rsidP="00DE0217">
            <w:pPr>
              <w:pStyle w:val="NoSpacing"/>
              <w:jc w:val="center"/>
              <w:rPr>
                <w:rFonts w:ascii="Calibri" w:eastAsia="Times New Roman" w:hAnsi="Calibri" w:cs="Times New Roman"/>
                <w:b/>
                <w:lang w:eastAsia="en-GB"/>
              </w:rPr>
            </w:pPr>
            <w:r w:rsidRPr="00293C29">
              <w:rPr>
                <w:rFonts w:ascii="Calibri" w:eastAsia="Times New Roman" w:hAnsi="Calibri" w:cs="Times New Roman"/>
                <w:b/>
                <w:lang w:eastAsia="en-GB"/>
              </w:rPr>
              <w:t>I</w:t>
            </w:r>
            <w:r w:rsidRPr="00293C29">
              <w:rPr>
                <w:rFonts w:ascii="Calibri" w:eastAsia="Times New Roman" w:hAnsi="Calibri" w:cs="Times New Roman"/>
                <w:b/>
                <w:vertAlign w:val="superscript"/>
                <w:lang w:eastAsia="en-GB"/>
              </w:rPr>
              <w:t>2</w:t>
            </w:r>
          </w:p>
        </w:tc>
      </w:tr>
      <w:tr w:rsidR="00293C29" w:rsidRPr="00293C29" w14:paraId="06E05345" w14:textId="77777777" w:rsidTr="00DE0217">
        <w:trPr>
          <w:trHeight w:val="283"/>
        </w:trPr>
        <w:tc>
          <w:tcPr>
            <w:tcW w:w="0" w:type="auto"/>
            <w:tcBorders>
              <w:top w:val="single" w:sz="4" w:space="0" w:color="auto"/>
              <w:bottom w:val="nil"/>
            </w:tcBorders>
          </w:tcPr>
          <w:p w14:paraId="45C6BF57" w14:textId="77777777" w:rsidR="00FE188A" w:rsidRPr="00293C29" w:rsidRDefault="00FE188A" w:rsidP="00DE0217">
            <w:pPr>
              <w:pStyle w:val="NoSpacing"/>
              <w:rPr>
                <w:b/>
              </w:rPr>
            </w:pPr>
            <w:r w:rsidRPr="00293C29">
              <w:rPr>
                <w:b/>
              </w:rPr>
              <w:t>Observational analysis</w:t>
            </w:r>
          </w:p>
        </w:tc>
        <w:tc>
          <w:tcPr>
            <w:tcW w:w="0" w:type="auto"/>
            <w:tcBorders>
              <w:top w:val="single" w:sz="4" w:space="0" w:color="auto"/>
              <w:bottom w:val="nil"/>
            </w:tcBorders>
            <w:vAlign w:val="center"/>
          </w:tcPr>
          <w:p w14:paraId="74A74F48" w14:textId="77777777" w:rsidR="00FE188A" w:rsidRPr="00293C29" w:rsidRDefault="00FE188A" w:rsidP="00DE0217">
            <w:pPr>
              <w:pStyle w:val="NoSpacing"/>
              <w:jc w:val="center"/>
            </w:pPr>
            <w:r w:rsidRPr="00293C29">
              <w:t>78,475</w:t>
            </w:r>
          </w:p>
        </w:tc>
        <w:tc>
          <w:tcPr>
            <w:tcW w:w="0" w:type="auto"/>
            <w:tcBorders>
              <w:top w:val="single" w:sz="4" w:space="0" w:color="auto"/>
              <w:bottom w:val="nil"/>
            </w:tcBorders>
            <w:vAlign w:val="center"/>
          </w:tcPr>
          <w:p w14:paraId="519985D3" w14:textId="77777777" w:rsidR="00FE188A" w:rsidRPr="00293C29" w:rsidRDefault="00FE188A" w:rsidP="00DE0217">
            <w:pPr>
              <w:pStyle w:val="NoSpacing"/>
              <w:jc w:val="center"/>
              <w:rPr>
                <w:rFonts w:ascii="Calibri" w:hAnsi="Calibri"/>
              </w:rPr>
            </w:pPr>
            <w:r w:rsidRPr="00293C29">
              <w:rPr>
                <w:rFonts w:ascii="Calibri" w:hAnsi="Calibri"/>
              </w:rPr>
              <w:t>-</w:t>
            </w:r>
          </w:p>
        </w:tc>
        <w:tc>
          <w:tcPr>
            <w:tcW w:w="0" w:type="auto"/>
            <w:tcBorders>
              <w:top w:val="single" w:sz="4" w:space="0" w:color="auto"/>
              <w:bottom w:val="nil"/>
            </w:tcBorders>
            <w:vAlign w:val="center"/>
          </w:tcPr>
          <w:p w14:paraId="09AFD57C" w14:textId="77777777" w:rsidR="00FE188A" w:rsidRPr="00293C29" w:rsidRDefault="00FE188A" w:rsidP="00DE0217">
            <w:pPr>
              <w:pStyle w:val="NoSpacing"/>
              <w:jc w:val="center"/>
              <w:rPr>
                <w:rFonts w:ascii="Calibri" w:hAnsi="Calibri"/>
              </w:rPr>
            </w:pPr>
            <w:r w:rsidRPr="00293C29">
              <w:rPr>
                <w:rFonts w:ascii="Calibri" w:hAnsi="Calibri"/>
              </w:rPr>
              <w:t>0.11</w:t>
            </w:r>
          </w:p>
        </w:tc>
        <w:tc>
          <w:tcPr>
            <w:tcW w:w="0" w:type="auto"/>
            <w:tcBorders>
              <w:top w:val="single" w:sz="4" w:space="0" w:color="auto"/>
              <w:bottom w:val="nil"/>
            </w:tcBorders>
            <w:vAlign w:val="center"/>
          </w:tcPr>
          <w:p w14:paraId="399DA3C1" w14:textId="77777777" w:rsidR="00FE188A" w:rsidRPr="00293C29" w:rsidRDefault="00FE188A" w:rsidP="00DE0217">
            <w:pPr>
              <w:pStyle w:val="NoSpacing"/>
              <w:jc w:val="center"/>
              <w:rPr>
                <w:rFonts w:ascii="Calibri" w:hAnsi="Calibri"/>
              </w:rPr>
            </w:pPr>
            <w:r w:rsidRPr="00293C29">
              <w:rPr>
                <w:rFonts w:ascii="Calibri" w:hAnsi="Calibri"/>
              </w:rPr>
              <w:t>-0.04 to 0.25</w:t>
            </w:r>
          </w:p>
        </w:tc>
        <w:tc>
          <w:tcPr>
            <w:tcW w:w="0" w:type="auto"/>
            <w:tcBorders>
              <w:top w:val="single" w:sz="4" w:space="0" w:color="auto"/>
              <w:bottom w:val="nil"/>
            </w:tcBorders>
            <w:vAlign w:val="center"/>
          </w:tcPr>
          <w:p w14:paraId="6F9FF54F" w14:textId="77777777" w:rsidR="00FE188A" w:rsidRPr="00293C29" w:rsidRDefault="00FE188A" w:rsidP="00DE0217">
            <w:pPr>
              <w:pStyle w:val="NoSpacing"/>
              <w:jc w:val="center"/>
              <w:rPr>
                <w:rFonts w:ascii="Calibri" w:hAnsi="Calibri"/>
                <w:bCs/>
              </w:rPr>
            </w:pPr>
            <w:r w:rsidRPr="00293C29">
              <w:rPr>
                <w:rFonts w:ascii="Calibri" w:hAnsi="Calibri"/>
                <w:bCs/>
              </w:rPr>
              <w:t>0.139</w:t>
            </w:r>
          </w:p>
        </w:tc>
        <w:tc>
          <w:tcPr>
            <w:tcW w:w="0" w:type="auto"/>
            <w:tcBorders>
              <w:top w:val="single" w:sz="4" w:space="0" w:color="auto"/>
              <w:bottom w:val="nil"/>
            </w:tcBorders>
            <w:vAlign w:val="center"/>
          </w:tcPr>
          <w:p w14:paraId="6692BB80" w14:textId="77777777" w:rsidR="00FE188A" w:rsidRPr="00293C29" w:rsidRDefault="00FE188A" w:rsidP="00DE0217">
            <w:pPr>
              <w:pStyle w:val="NoSpacing"/>
              <w:jc w:val="center"/>
              <w:rPr>
                <w:lang w:eastAsia="fr-FR"/>
              </w:rPr>
            </w:pPr>
            <w:r w:rsidRPr="00293C29">
              <w:rPr>
                <w:lang w:eastAsia="fr-FR"/>
              </w:rPr>
              <w:t>NA</w:t>
            </w:r>
          </w:p>
        </w:tc>
        <w:tc>
          <w:tcPr>
            <w:tcW w:w="0" w:type="auto"/>
            <w:tcBorders>
              <w:top w:val="single" w:sz="4" w:space="0" w:color="auto"/>
              <w:bottom w:val="nil"/>
            </w:tcBorders>
            <w:vAlign w:val="center"/>
          </w:tcPr>
          <w:p w14:paraId="26301B9B" w14:textId="77777777" w:rsidR="00FE188A" w:rsidRPr="00293C29" w:rsidRDefault="00FE188A" w:rsidP="00DE0217">
            <w:pPr>
              <w:pStyle w:val="NoSpacing"/>
              <w:jc w:val="center"/>
              <w:rPr>
                <w:rFonts w:ascii="Calibri" w:hAnsi="Calibri"/>
                <w:b/>
                <w:bCs/>
              </w:rPr>
            </w:pPr>
          </w:p>
        </w:tc>
        <w:tc>
          <w:tcPr>
            <w:tcW w:w="0" w:type="auto"/>
            <w:tcBorders>
              <w:top w:val="single" w:sz="4" w:space="0" w:color="auto"/>
              <w:bottom w:val="nil"/>
            </w:tcBorders>
            <w:vAlign w:val="center"/>
          </w:tcPr>
          <w:p w14:paraId="1E9FD7B0" w14:textId="77777777" w:rsidR="00FE188A" w:rsidRPr="00293C29" w:rsidRDefault="00FE188A" w:rsidP="00DE0217">
            <w:pPr>
              <w:pStyle w:val="NoSpacing"/>
              <w:jc w:val="center"/>
              <w:rPr>
                <w:rFonts w:ascii="Calibri" w:hAnsi="Calibri"/>
                <w:bCs/>
              </w:rPr>
            </w:pPr>
            <w:r w:rsidRPr="00293C29">
              <w:rPr>
                <w:rFonts w:ascii="Calibri" w:hAnsi="Calibri"/>
                <w:bCs/>
              </w:rPr>
              <w:t>0.92</w:t>
            </w:r>
          </w:p>
        </w:tc>
        <w:tc>
          <w:tcPr>
            <w:tcW w:w="0" w:type="auto"/>
            <w:tcBorders>
              <w:top w:val="single" w:sz="4" w:space="0" w:color="auto"/>
              <w:bottom w:val="nil"/>
            </w:tcBorders>
            <w:vAlign w:val="center"/>
          </w:tcPr>
          <w:p w14:paraId="75222E43" w14:textId="77777777" w:rsidR="00FE188A" w:rsidRPr="00293C29" w:rsidRDefault="00FE188A" w:rsidP="00DE0217">
            <w:pPr>
              <w:pStyle w:val="NoSpacing"/>
              <w:jc w:val="center"/>
              <w:rPr>
                <w:rFonts w:ascii="Calibri" w:hAnsi="Calibri"/>
                <w:bCs/>
              </w:rPr>
            </w:pPr>
            <w:r w:rsidRPr="00293C29">
              <w:rPr>
                <w:rFonts w:ascii="Calibri" w:hAnsi="Calibri"/>
                <w:bCs/>
              </w:rPr>
              <w:t>0.84 to 1.02</w:t>
            </w:r>
          </w:p>
        </w:tc>
        <w:tc>
          <w:tcPr>
            <w:tcW w:w="0" w:type="auto"/>
            <w:tcBorders>
              <w:top w:val="single" w:sz="4" w:space="0" w:color="auto"/>
              <w:bottom w:val="nil"/>
            </w:tcBorders>
            <w:vAlign w:val="center"/>
          </w:tcPr>
          <w:p w14:paraId="3B55AA70" w14:textId="4087EFA3" w:rsidR="00FE188A" w:rsidRPr="00293C29" w:rsidRDefault="00FE188A" w:rsidP="00DE0217">
            <w:pPr>
              <w:pStyle w:val="NoSpacing"/>
              <w:jc w:val="center"/>
              <w:rPr>
                <w:rFonts w:ascii="Calibri" w:hAnsi="Calibri"/>
                <w:bCs/>
              </w:rPr>
            </w:pPr>
            <w:r w:rsidRPr="00293C29">
              <w:rPr>
                <w:rFonts w:ascii="Calibri" w:hAnsi="Calibri"/>
                <w:bCs/>
              </w:rPr>
              <w:t>0.</w:t>
            </w:r>
            <w:r w:rsidR="003B20A8">
              <w:rPr>
                <w:rFonts w:ascii="Calibri" w:hAnsi="Calibri"/>
                <w:bCs/>
              </w:rPr>
              <w:t>101</w:t>
            </w:r>
          </w:p>
        </w:tc>
        <w:tc>
          <w:tcPr>
            <w:tcW w:w="0" w:type="auto"/>
            <w:tcBorders>
              <w:top w:val="single" w:sz="4" w:space="0" w:color="auto"/>
              <w:bottom w:val="nil"/>
            </w:tcBorders>
            <w:vAlign w:val="center"/>
          </w:tcPr>
          <w:p w14:paraId="60786C51" w14:textId="77777777" w:rsidR="00FE188A" w:rsidRPr="00293C29" w:rsidRDefault="00FE188A" w:rsidP="00DE0217">
            <w:pPr>
              <w:pStyle w:val="NoSpacing"/>
              <w:jc w:val="center"/>
              <w:rPr>
                <w:lang w:eastAsia="fr-FR"/>
              </w:rPr>
            </w:pPr>
            <w:r w:rsidRPr="00293C29">
              <w:rPr>
                <w:lang w:eastAsia="fr-FR"/>
              </w:rPr>
              <w:t>NA</w:t>
            </w:r>
          </w:p>
        </w:tc>
      </w:tr>
      <w:tr w:rsidR="00293C29" w:rsidRPr="00293C29" w14:paraId="3B77B4A6" w14:textId="77777777" w:rsidTr="00DE0217">
        <w:trPr>
          <w:trHeight w:val="283"/>
        </w:trPr>
        <w:tc>
          <w:tcPr>
            <w:tcW w:w="0" w:type="auto"/>
            <w:tcBorders>
              <w:top w:val="nil"/>
              <w:bottom w:val="nil"/>
            </w:tcBorders>
          </w:tcPr>
          <w:p w14:paraId="66E72A7F" w14:textId="77777777" w:rsidR="00FE188A" w:rsidRPr="00293C29" w:rsidRDefault="00FE188A" w:rsidP="00DE0217">
            <w:pPr>
              <w:pStyle w:val="NoSpacing"/>
            </w:pPr>
            <w:r w:rsidRPr="00293C29">
              <w:rPr>
                <w:b/>
              </w:rPr>
              <w:t>Main MR analysis</w:t>
            </w:r>
            <w:r w:rsidRPr="00293C29">
              <w:t xml:space="preserve"> (All SNPs)</w:t>
            </w:r>
          </w:p>
        </w:tc>
        <w:tc>
          <w:tcPr>
            <w:tcW w:w="0" w:type="auto"/>
            <w:tcBorders>
              <w:top w:val="nil"/>
              <w:bottom w:val="nil"/>
            </w:tcBorders>
            <w:vAlign w:val="center"/>
          </w:tcPr>
          <w:p w14:paraId="4D563F53" w14:textId="77777777" w:rsidR="00FE188A" w:rsidRPr="00293C29" w:rsidRDefault="00FE188A" w:rsidP="00DE0217">
            <w:pPr>
              <w:pStyle w:val="NoSpacing"/>
              <w:jc w:val="center"/>
            </w:pPr>
            <w:r w:rsidRPr="00293C29">
              <w:t>87,536</w:t>
            </w:r>
          </w:p>
        </w:tc>
        <w:tc>
          <w:tcPr>
            <w:tcW w:w="0" w:type="auto"/>
            <w:tcBorders>
              <w:top w:val="nil"/>
              <w:bottom w:val="nil"/>
            </w:tcBorders>
            <w:vAlign w:val="center"/>
          </w:tcPr>
          <w:p w14:paraId="00C8304B" w14:textId="77777777" w:rsidR="00FE188A" w:rsidRPr="00293C29" w:rsidRDefault="00FE188A" w:rsidP="00DE0217">
            <w:pPr>
              <w:pStyle w:val="NoSpacing"/>
              <w:jc w:val="center"/>
              <w:rPr>
                <w:rFonts w:ascii="Calibri" w:hAnsi="Calibri"/>
              </w:rPr>
            </w:pPr>
            <w:r w:rsidRPr="00293C29">
              <w:rPr>
                <w:rFonts w:ascii="Calibri" w:hAnsi="Calibri"/>
              </w:rPr>
              <w:t>40</w:t>
            </w:r>
          </w:p>
        </w:tc>
        <w:tc>
          <w:tcPr>
            <w:tcW w:w="0" w:type="auto"/>
            <w:tcBorders>
              <w:top w:val="nil"/>
              <w:bottom w:val="nil"/>
            </w:tcBorders>
            <w:vAlign w:val="center"/>
          </w:tcPr>
          <w:p w14:paraId="1AF15842" w14:textId="77777777" w:rsidR="00FE188A" w:rsidRPr="00293C29" w:rsidRDefault="00FE188A" w:rsidP="00DE0217">
            <w:pPr>
              <w:pStyle w:val="NoSpacing"/>
              <w:jc w:val="center"/>
              <w:rPr>
                <w:rFonts w:ascii="Calibri" w:hAnsi="Calibri"/>
              </w:rPr>
            </w:pPr>
            <w:r w:rsidRPr="00293C29">
              <w:rPr>
                <w:rFonts w:ascii="Calibri" w:hAnsi="Calibri"/>
              </w:rPr>
              <w:t>-0.18</w:t>
            </w:r>
          </w:p>
        </w:tc>
        <w:tc>
          <w:tcPr>
            <w:tcW w:w="0" w:type="auto"/>
            <w:tcBorders>
              <w:top w:val="nil"/>
              <w:bottom w:val="nil"/>
            </w:tcBorders>
            <w:vAlign w:val="center"/>
          </w:tcPr>
          <w:p w14:paraId="37D3997F" w14:textId="77777777" w:rsidR="00FE188A" w:rsidRPr="00293C29" w:rsidRDefault="00FE188A" w:rsidP="00DE0217">
            <w:pPr>
              <w:pStyle w:val="NoSpacing"/>
              <w:jc w:val="center"/>
              <w:rPr>
                <w:rFonts w:ascii="Calibri" w:hAnsi="Calibri"/>
              </w:rPr>
            </w:pPr>
            <w:r w:rsidRPr="00293C29">
              <w:rPr>
                <w:rFonts w:ascii="Calibri" w:hAnsi="Calibri"/>
              </w:rPr>
              <w:t>-0.26 to -0.10</w:t>
            </w:r>
          </w:p>
        </w:tc>
        <w:tc>
          <w:tcPr>
            <w:tcW w:w="0" w:type="auto"/>
            <w:tcBorders>
              <w:top w:val="nil"/>
              <w:bottom w:val="nil"/>
            </w:tcBorders>
            <w:vAlign w:val="center"/>
          </w:tcPr>
          <w:p w14:paraId="4BB460FC" w14:textId="77777777" w:rsidR="00FE188A" w:rsidRPr="00293C29" w:rsidRDefault="00FE188A" w:rsidP="00DE0217">
            <w:pPr>
              <w:pStyle w:val="NoSpacing"/>
              <w:jc w:val="center"/>
              <w:rPr>
                <w:rFonts w:ascii="Calibri" w:hAnsi="Calibri"/>
                <w:b/>
                <w:bCs/>
              </w:rPr>
            </w:pPr>
            <w:r w:rsidRPr="00293C29">
              <w:rPr>
                <w:rFonts w:ascii="Calibri" w:hAnsi="Calibri"/>
                <w:b/>
                <w:bCs/>
              </w:rPr>
              <w:t>1.09x10</w:t>
            </w:r>
            <w:r w:rsidRPr="00293C29">
              <w:rPr>
                <w:rFonts w:ascii="Calibri" w:hAnsi="Calibri"/>
                <w:b/>
                <w:bCs/>
                <w:vertAlign w:val="superscript"/>
              </w:rPr>
              <w:t>-5</w:t>
            </w:r>
          </w:p>
        </w:tc>
        <w:tc>
          <w:tcPr>
            <w:tcW w:w="0" w:type="auto"/>
            <w:tcBorders>
              <w:top w:val="nil"/>
              <w:bottom w:val="nil"/>
            </w:tcBorders>
            <w:vAlign w:val="center"/>
          </w:tcPr>
          <w:p w14:paraId="61F97C69" w14:textId="77777777" w:rsidR="00FE188A" w:rsidRPr="00293C29" w:rsidRDefault="00FE188A" w:rsidP="00DE0217">
            <w:pPr>
              <w:pStyle w:val="NoSpacing"/>
              <w:jc w:val="center"/>
              <w:rPr>
                <w:lang w:eastAsia="fr-FR"/>
              </w:rPr>
            </w:pPr>
            <w:r w:rsidRPr="00293C29">
              <w:rPr>
                <w:lang w:eastAsia="fr-FR"/>
              </w:rPr>
              <w:t>53 [44-84]</w:t>
            </w:r>
          </w:p>
        </w:tc>
        <w:tc>
          <w:tcPr>
            <w:tcW w:w="0" w:type="auto"/>
            <w:tcBorders>
              <w:top w:val="nil"/>
              <w:bottom w:val="nil"/>
            </w:tcBorders>
            <w:vAlign w:val="center"/>
          </w:tcPr>
          <w:p w14:paraId="3B26B252" w14:textId="77777777" w:rsidR="00FE188A" w:rsidRPr="00293C29" w:rsidRDefault="00FE188A" w:rsidP="00DE0217">
            <w:pPr>
              <w:pStyle w:val="NoSpacing"/>
              <w:jc w:val="center"/>
              <w:rPr>
                <w:rFonts w:ascii="Calibri" w:hAnsi="Calibri"/>
                <w:b/>
                <w:bCs/>
              </w:rPr>
            </w:pPr>
          </w:p>
        </w:tc>
        <w:tc>
          <w:tcPr>
            <w:tcW w:w="0" w:type="auto"/>
            <w:tcBorders>
              <w:top w:val="nil"/>
              <w:bottom w:val="nil"/>
            </w:tcBorders>
            <w:vAlign w:val="center"/>
          </w:tcPr>
          <w:p w14:paraId="5693B606" w14:textId="77777777" w:rsidR="00FE188A" w:rsidRPr="00293C29" w:rsidRDefault="00FE188A" w:rsidP="00DE0217">
            <w:pPr>
              <w:pStyle w:val="NoSpacing"/>
              <w:jc w:val="center"/>
              <w:rPr>
                <w:rFonts w:ascii="Calibri" w:hAnsi="Calibri"/>
                <w:bCs/>
              </w:rPr>
            </w:pPr>
            <w:r w:rsidRPr="00293C29">
              <w:rPr>
                <w:rFonts w:ascii="Calibri" w:hAnsi="Calibri"/>
                <w:bCs/>
              </w:rPr>
              <w:t>1.06</w:t>
            </w:r>
          </w:p>
        </w:tc>
        <w:tc>
          <w:tcPr>
            <w:tcW w:w="0" w:type="auto"/>
            <w:tcBorders>
              <w:top w:val="nil"/>
              <w:bottom w:val="nil"/>
            </w:tcBorders>
            <w:vAlign w:val="center"/>
          </w:tcPr>
          <w:p w14:paraId="7BBAF3E5" w14:textId="77777777" w:rsidR="00FE188A" w:rsidRPr="00293C29" w:rsidRDefault="00FE188A" w:rsidP="00DE0217">
            <w:pPr>
              <w:pStyle w:val="NoSpacing"/>
              <w:jc w:val="center"/>
              <w:rPr>
                <w:rFonts w:ascii="Calibri" w:hAnsi="Calibri"/>
                <w:bCs/>
              </w:rPr>
            </w:pPr>
            <w:r w:rsidRPr="00293C29">
              <w:rPr>
                <w:rFonts w:ascii="Calibri" w:hAnsi="Calibri"/>
                <w:bCs/>
              </w:rPr>
              <w:t>1.01 to 1.11</w:t>
            </w:r>
          </w:p>
        </w:tc>
        <w:tc>
          <w:tcPr>
            <w:tcW w:w="0" w:type="auto"/>
            <w:tcBorders>
              <w:top w:val="nil"/>
              <w:bottom w:val="nil"/>
            </w:tcBorders>
            <w:vAlign w:val="center"/>
          </w:tcPr>
          <w:p w14:paraId="4E2B91B9" w14:textId="77777777" w:rsidR="00FE188A" w:rsidRPr="00293C29" w:rsidRDefault="00FE188A" w:rsidP="00DE0217">
            <w:pPr>
              <w:pStyle w:val="NoSpacing"/>
              <w:jc w:val="center"/>
              <w:rPr>
                <w:rFonts w:ascii="Calibri" w:hAnsi="Calibri"/>
                <w:b/>
                <w:bCs/>
              </w:rPr>
            </w:pPr>
            <w:r w:rsidRPr="00293C29">
              <w:rPr>
                <w:rFonts w:ascii="Calibri" w:hAnsi="Calibri"/>
                <w:b/>
                <w:bCs/>
              </w:rPr>
              <w:t>0.018</w:t>
            </w:r>
          </w:p>
        </w:tc>
        <w:tc>
          <w:tcPr>
            <w:tcW w:w="0" w:type="auto"/>
            <w:tcBorders>
              <w:top w:val="nil"/>
              <w:bottom w:val="nil"/>
            </w:tcBorders>
            <w:vAlign w:val="center"/>
          </w:tcPr>
          <w:p w14:paraId="78825805" w14:textId="77777777" w:rsidR="00FE188A" w:rsidRPr="00293C29" w:rsidRDefault="00FE188A" w:rsidP="00DE0217">
            <w:pPr>
              <w:pStyle w:val="NoSpacing"/>
              <w:jc w:val="center"/>
              <w:rPr>
                <w:lang w:eastAsia="fr-FR"/>
              </w:rPr>
            </w:pPr>
            <w:r w:rsidRPr="00293C29">
              <w:rPr>
                <w:lang w:eastAsia="fr-FR"/>
              </w:rPr>
              <w:t>20 [0-58]</w:t>
            </w:r>
          </w:p>
        </w:tc>
      </w:tr>
      <w:tr w:rsidR="00697321" w:rsidRPr="00293C29" w14:paraId="55828B03" w14:textId="77777777" w:rsidTr="00B51EC8">
        <w:trPr>
          <w:trHeight w:val="283"/>
        </w:trPr>
        <w:tc>
          <w:tcPr>
            <w:tcW w:w="0" w:type="auto"/>
            <w:gridSpan w:val="2"/>
            <w:tcBorders>
              <w:top w:val="nil"/>
              <w:bottom w:val="nil"/>
            </w:tcBorders>
          </w:tcPr>
          <w:p w14:paraId="7A3F1428" w14:textId="5E2645C0" w:rsidR="00697321" w:rsidRPr="00293C29" w:rsidRDefault="00697321" w:rsidP="004500D0">
            <w:pPr>
              <w:pStyle w:val="NoSpacing"/>
            </w:pPr>
            <w:r w:rsidRPr="00293C29">
              <w:rPr>
                <w:rFonts w:ascii="Calibri" w:hAnsi="Calibri"/>
                <w:b/>
              </w:rPr>
              <w:t>Exclusion of pleiotropic SNPs</w:t>
            </w:r>
          </w:p>
        </w:tc>
        <w:tc>
          <w:tcPr>
            <w:tcW w:w="0" w:type="auto"/>
            <w:tcBorders>
              <w:top w:val="nil"/>
              <w:bottom w:val="nil"/>
            </w:tcBorders>
            <w:vAlign w:val="center"/>
          </w:tcPr>
          <w:p w14:paraId="60F548BA" w14:textId="77777777" w:rsidR="00697321" w:rsidRPr="00293C29" w:rsidRDefault="00697321" w:rsidP="00DE0217">
            <w:pPr>
              <w:pStyle w:val="NoSpacing"/>
              <w:jc w:val="center"/>
              <w:rPr>
                <w:rFonts w:ascii="Calibri" w:hAnsi="Calibri"/>
              </w:rPr>
            </w:pPr>
          </w:p>
        </w:tc>
        <w:tc>
          <w:tcPr>
            <w:tcW w:w="0" w:type="auto"/>
            <w:tcBorders>
              <w:top w:val="nil"/>
              <w:bottom w:val="nil"/>
            </w:tcBorders>
            <w:vAlign w:val="center"/>
          </w:tcPr>
          <w:p w14:paraId="3CF3EDB3" w14:textId="77777777" w:rsidR="00697321" w:rsidRPr="00293C29" w:rsidRDefault="00697321" w:rsidP="00DE0217">
            <w:pPr>
              <w:pStyle w:val="NoSpacing"/>
              <w:jc w:val="center"/>
              <w:rPr>
                <w:rFonts w:ascii="Calibri" w:hAnsi="Calibri"/>
              </w:rPr>
            </w:pPr>
          </w:p>
        </w:tc>
        <w:tc>
          <w:tcPr>
            <w:tcW w:w="0" w:type="auto"/>
            <w:tcBorders>
              <w:top w:val="nil"/>
              <w:bottom w:val="nil"/>
            </w:tcBorders>
            <w:vAlign w:val="center"/>
          </w:tcPr>
          <w:p w14:paraId="74F2B59B" w14:textId="77777777" w:rsidR="00697321" w:rsidRPr="00293C29" w:rsidRDefault="00697321" w:rsidP="00DE0217">
            <w:pPr>
              <w:pStyle w:val="NoSpacing"/>
              <w:jc w:val="center"/>
              <w:rPr>
                <w:rFonts w:ascii="Calibri" w:hAnsi="Calibri"/>
              </w:rPr>
            </w:pPr>
          </w:p>
        </w:tc>
        <w:tc>
          <w:tcPr>
            <w:tcW w:w="0" w:type="auto"/>
            <w:tcBorders>
              <w:top w:val="nil"/>
              <w:bottom w:val="nil"/>
            </w:tcBorders>
            <w:vAlign w:val="center"/>
          </w:tcPr>
          <w:p w14:paraId="1E2DE363" w14:textId="77777777" w:rsidR="00697321" w:rsidRPr="00293C29" w:rsidRDefault="00697321" w:rsidP="00DE0217">
            <w:pPr>
              <w:pStyle w:val="NoSpacing"/>
              <w:jc w:val="center"/>
              <w:rPr>
                <w:rFonts w:ascii="Calibri" w:hAnsi="Calibri"/>
                <w:b/>
                <w:bCs/>
              </w:rPr>
            </w:pPr>
          </w:p>
        </w:tc>
        <w:tc>
          <w:tcPr>
            <w:tcW w:w="0" w:type="auto"/>
            <w:tcBorders>
              <w:top w:val="nil"/>
              <w:bottom w:val="nil"/>
            </w:tcBorders>
            <w:vAlign w:val="center"/>
          </w:tcPr>
          <w:p w14:paraId="61790BFA" w14:textId="77777777" w:rsidR="00697321" w:rsidRPr="00293C29" w:rsidRDefault="00697321" w:rsidP="00DE0217">
            <w:pPr>
              <w:pStyle w:val="NoSpacing"/>
              <w:jc w:val="center"/>
              <w:rPr>
                <w:lang w:eastAsia="fr-FR"/>
              </w:rPr>
            </w:pPr>
          </w:p>
        </w:tc>
        <w:tc>
          <w:tcPr>
            <w:tcW w:w="0" w:type="auto"/>
            <w:tcBorders>
              <w:top w:val="nil"/>
              <w:bottom w:val="nil"/>
            </w:tcBorders>
            <w:vAlign w:val="center"/>
          </w:tcPr>
          <w:p w14:paraId="7BCD6CCE" w14:textId="77777777" w:rsidR="00697321" w:rsidRPr="00293C29" w:rsidRDefault="00697321" w:rsidP="00DE0217">
            <w:pPr>
              <w:pStyle w:val="NoSpacing"/>
              <w:jc w:val="center"/>
              <w:rPr>
                <w:rFonts w:ascii="Calibri" w:hAnsi="Calibri"/>
                <w:b/>
                <w:bCs/>
              </w:rPr>
            </w:pPr>
          </w:p>
        </w:tc>
        <w:tc>
          <w:tcPr>
            <w:tcW w:w="0" w:type="auto"/>
            <w:tcBorders>
              <w:top w:val="nil"/>
              <w:bottom w:val="nil"/>
            </w:tcBorders>
            <w:vAlign w:val="center"/>
          </w:tcPr>
          <w:p w14:paraId="12D405C3" w14:textId="77777777" w:rsidR="00697321" w:rsidRPr="00293C29" w:rsidRDefault="00697321" w:rsidP="00DE0217">
            <w:pPr>
              <w:pStyle w:val="NoSpacing"/>
              <w:jc w:val="center"/>
              <w:rPr>
                <w:rFonts w:ascii="Calibri" w:hAnsi="Calibri"/>
                <w:bCs/>
              </w:rPr>
            </w:pPr>
          </w:p>
        </w:tc>
        <w:tc>
          <w:tcPr>
            <w:tcW w:w="0" w:type="auto"/>
            <w:tcBorders>
              <w:top w:val="nil"/>
              <w:bottom w:val="nil"/>
            </w:tcBorders>
            <w:vAlign w:val="center"/>
          </w:tcPr>
          <w:p w14:paraId="6AEDC51B" w14:textId="77777777" w:rsidR="00697321" w:rsidRPr="00293C29" w:rsidRDefault="00697321" w:rsidP="00DE0217">
            <w:pPr>
              <w:pStyle w:val="NoSpacing"/>
              <w:jc w:val="center"/>
              <w:rPr>
                <w:rFonts w:ascii="Calibri" w:hAnsi="Calibri"/>
                <w:bCs/>
              </w:rPr>
            </w:pPr>
          </w:p>
        </w:tc>
        <w:tc>
          <w:tcPr>
            <w:tcW w:w="0" w:type="auto"/>
            <w:tcBorders>
              <w:top w:val="nil"/>
              <w:bottom w:val="nil"/>
            </w:tcBorders>
            <w:vAlign w:val="center"/>
          </w:tcPr>
          <w:p w14:paraId="3EAF90A6" w14:textId="77777777" w:rsidR="00697321" w:rsidRPr="00293C29" w:rsidRDefault="00697321" w:rsidP="00DE0217">
            <w:pPr>
              <w:pStyle w:val="NoSpacing"/>
              <w:jc w:val="center"/>
              <w:rPr>
                <w:rFonts w:ascii="Calibri" w:hAnsi="Calibri"/>
                <w:b/>
                <w:bCs/>
              </w:rPr>
            </w:pPr>
          </w:p>
        </w:tc>
        <w:tc>
          <w:tcPr>
            <w:tcW w:w="0" w:type="auto"/>
            <w:tcBorders>
              <w:top w:val="nil"/>
              <w:bottom w:val="nil"/>
            </w:tcBorders>
            <w:vAlign w:val="center"/>
          </w:tcPr>
          <w:p w14:paraId="704D033F" w14:textId="77777777" w:rsidR="00697321" w:rsidRPr="00293C29" w:rsidRDefault="00697321" w:rsidP="00DE0217">
            <w:pPr>
              <w:pStyle w:val="NoSpacing"/>
              <w:jc w:val="center"/>
              <w:rPr>
                <w:lang w:eastAsia="fr-FR"/>
              </w:rPr>
            </w:pPr>
          </w:p>
        </w:tc>
      </w:tr>
      <w:tr w:rsidR="00697321" w:rsidRPr="00293C29" w14:paraId="6013F7F4" w14:textId="77777777" w:rsidTr="00DE0217">
        <w:trPr>
          <w:trHeight w:val="283"/>
        </w:trPr>
        <w:tc>
          <w:tcPr>
            <w:tcW w:w="0" w:type="auto"/>
            <w:tcBorders>
              <w:top w:val="nil"/>
              <w:bottom w:val="nil"/>
            </w:tcBorders>
          </w:tcPr>
          <w:p w14:paraId="767A71F9" w14:textId="1F8FECEF" w:rsidR="00697321" w:rsidRPr="00293C29" w:rsidRDefault="00697321" w:rsidP="00697321">
            <w:pPr>
              <w:pStyle w:val="NoSpacing"/>
              <w:rPr>
                <w:b/>
              </w:rPr>
            </w:pPr>
            <w:r w:rsidRPr="00293C29">
              <w:t xml:space="preserve"> Height SNPs excluded</w:t>
            </w:r>
          </w:p>
        </w:tc>
        <w:tc>
          <w:tcPr>
            <w:tcW w:w="0" w:type="auto"/>
            <w:tcBorders>
              <w:top w:val="nil"/>
              <w:bottom w:val="nil"/>
            </w:tcBorders>
            <w:vAlign w:val="center"/>
          </w:tcPr>
          <w:p w14:paraId="52735F62" w14:textId="6F814DDC" w:rsidR="00697321" w:rsidRPr="00293C29" w:rsidRDefault="00697321" w:rsidP="00697321">
            <w:pPr>
              <w:pStyle w:val="NoSpacing"/>
              <w:jc w:val="center"/>
            </w:pPr>
            <w:r w:rsidRPr="00293C29">
              <w:t>87,536</w:t>
            </w:r>
          </w:p>
        </w:tc>
        <w:tc>
          <w:tcPr>
            <w:tcW w:w="0" w:type="auto"/>
            <w:tcBorders>
              <w:top w:val="nil"/>
              <w:bottom w:val="nil"/>
            </w:tcBorders>
            <w:vAlign w:val="center"/>
          </w:tcPr>
          <w:p w14:paraId="2F1F0B3E" w14:textId="4E94E43C" w:rsidR="00697321" w:rsidRPr="00293C29" w:rsidRDefault="00697321" w:rsidP="00697321">
            <w:pPr>
              <w:pStyle w:val="NoSpacing"/>
              <w:jc w:val="center"/>
              <w:rPr>
                <w:rFonts w:ascii="Calibri" w:hAnsi="Calibri"/>
              </w:rPr>
            </w:pPr>
            <w:r w:rsidRPr="00293C29">
              <w:rPr>
                <w:rFonts w:ascii="Calibri" w:hAnsi="Calibri"/>
              </w:rPr>
              <w:t>31</w:t>
            </w:r>
          </w:p>
        </w:tc>
        <w:tc>
          <w:tcPr>
            <w:tcW w:w="0" w:type="auto"/>
            <w:tcBorders>
              <w:top w:val="nil"/>
              <w:bottom w:val="nil"/>
            </w:tcBorders>
            <w:vAlign w:val="center"/>
          </w:tcPr>
          <w:p w14:paraId="54FF1ECA" w14:textId="22C1A114" w:rsidR="00697321" w:rsidRPr="00293C29" w:rsidRDefault="00697321" w:rsidP="00697321">
            <w:pPr>
              <w:pStyle w:val="NoSpacing"/>
              <w:jc w:val="center"/>
              <w:rPr>
                <w:rFonts w:ascii="Calibri" w:hAnsi="Calibri"/>
              </w:rPr>
            </w:pPr>
            <w:r w:rsidRPr="00293C29">
              <w:rPr>
                <w:rFonts w:ascii="Calibri" w:hAnsi="Calibri"/>
              </w:rPr>
              <w:t>-0.22</w:t>
            </w:r>
          </w:p>
        </w:tc>
        <w:tc>
          <w:tcPr>
            <w:tcW w:w="0" w:type="auto"/>
            <w:tcBorders>
              <w:top w:val="nil"/>
              <w:bottom w:val="nil"/>
            </w:tcBorders>
            <w:vAlign w:val="center"/>
          </w:tcPr>
          <w:p w14:paraId="5A4D2058" w14:textId="794D4791" w:rsidR="00697321" w:rsidRPr="00293C29" w:rsidRDefault="00697321" w:rsidP="00697321">
            <w:pPr>
              <w:pStyle w:val="NoSpacing"/>
              <w:jc w:val="center"/>
              <w:rPr>
                <w:rFonts w:ascii="Calibri" w:hAnsi="Calibri"/>
              </w:rPr>
            </w:pPr>
            <w:r w:rsidRPr="00293C29">
              <w:rPr>
                <w:rFonts w:ascii="Calibri" w:hAnsi="Calibri"/>
              </w:rPr>
              <w:t>-0.33 to -0.11</w:t>
            </w:r>
          </w:p>
        </w:tc>
        <w:tc>
          <w:tcPr>
            <w:tcW w:w="0" w:type="auto"/>
            <w:tcBorders>
              <w:top w:val="nil"/>
              <w:bottom w:val="nil"/>
            </w:tcBorders>
            <w:vAlign w:val="center"/>
          </w:tcPr>
          <w:p w14:paraId="5BDEBE90" w14:textId="24BF7492" w:rsidR="00697321" w:rsidRPr="00293C29" w:rsidRDefault="00697321" w:rsidP="00697321">
            <w:pPr>
              <w:pStyle w:val="NoSpacing"/>
              <w:jc w:val="center"/>
              <w:rPr>
                <w:rFonts w:ascii="Calibri" w:hAnsi="Calibri"/>
                <w:b/>
                <w:bCs/>
              </w:rPr>
            </w:pPr>
            <w:r w:rsidRPr="00293C29">
              <w:rPr>
                <w:rFonts w:ascii="Calibri" w:hAnsi="Calibri"/>
                <w:b/>
                <w:bCs/>
              </w:rPr>
              <w:t>6.90x10</w:t>
            </w:r>
            <w:r w:rsidRPr="00293C29">
              <w:rPr>
                <w:rFonts w:ascii="Calibri" w:hAnsi="Calibri"/>
                <w:b/>
                <w:bCs/>
                <w:vertAlign w:val="superscript"/>
              </w:rPr>
              <w:t>-5</w:t>
            </w:r>
          </w:p>
        </w:tc>
        <w:tc>
          <w:tcPr>
            <w:tcW w:w="0" w:type="auto"/>
            <w:tcBorders>
              <w:top w:val="nil"/>
              <w:bottom w:val="nil"/>
            </w:tcBorders>
            <w:vAlign w:val="center"/>
          </w:tcPr>
          <w:p w14:paraId="0B41780D" w14:textId="5FE7D848" w:rsidR="00697321" w:rsidRPr="00293C29" w:rsidRDefault="00697321" w:rsidP="00697321">
            <w:pPr>
              <w:pStyle w:val="NoSpacing"/>
              <w:jc w:val="center"/>
              <w:rPr>
                <w:lang w:eastAsia="fr-FR"/>
              </w:rPr>
            </w:pPr>
            <w:r w:rsidRPr="00293C29">
              <w:rPr>
                <w:rFonts w:ascii="Calibri" w:hAnsi="Calibri"/>
                <w:bCs/>
              </w:rPr>
              <w:t>61 [49-86]</w:t>
            </w:r>
          </w:p>
        </w:tc>
        <w:tc>
          <w:tcPr>
            <w:tcW w:w="0" w:type="auto"/>
            <w:tcBorders>
              <w:top w:val="nil"/>
              <w:bottom w:val="nil"/>
            </w:tcBorders>
            <w:vAlign w:val="center"/>
          </w:tcPr>
          <w:p w14:paraId="69A7471D" w14:textId="77777777" w:rsidR="00697321" w:rsidRPr="00293C29" w:rsidRDefault="00697321" w:rsidP="00697321">
            <w:pPr>
              <w:pStyle w:val="NoSpacing"/>
              <w:jc w:val="center"/>
              <w:rPr>
                <w:rFonts w:ascii="Calibri" w:hAnsi="Calibri"/>
                <w:b/>
                <w:bCs/>
              </w:rPr>
            </w:pPr>
          </w:p>
        </w:tc>
        <w:tc>
          <w:tcPr>
            <w:tcW w:w="0" w:type="auto"/>
            <w:tcBorders>
              <w:top w:val="nil"/>
              <w:bottom w:val="nil"/>
            </w:tcBorders>
            <w:vAlign w:val="center"/>
          </w:tcPr>
          <w:p w14:paraId="51600CCF" w14:textId="2999DB50" w:rsidR="00697321" w:rsidRPr="00293C29" w:rsidRDefault="00697321" w:rsidP="00697321">
            <w:pPr>
              <w:pStyle w:val="NoSpacing"/>
              <w:jc w:val="center"/>
              <w:rPr>
                <w:rFonts w:ascii="Calibri" w:hAnsi="Calibri"/>
                <w:bCs/>
              </w:rPr>
            </w:pPr>
            <w:r w:rsidRPr="00293C29">
              <w:rPr>
                <w:rFonts w:ascii="Calibri" w:hAnsi="Calibri"/>
              </w:rPr>
              <w:t>1.10</w:t>
            </w:r>
          </w:p>
        </w:tc>
        <w:tc>
          <w:tcPr>
            <w:tcW w:w="0" w:type="auto"/>
            <w:tcBorders>
              <w:top w:val="nil"/>
              <w:bottom w:val="nil"/>
            </w:tcBorders>
            <w:vAlign w:val="center"/>
          </w:tcPr>
          <w:p w14:paraId="6CD842E7" w14:textId="0E7F5280" w:rsidR="00697321" w:rsidRPr="00293C29" w:rsidRDefault="00697321" w:rsidP="00697321">
            <w:pPr>
              <w:pStyle w:val="NoSpacing"/>
              <w:jc w:val="center"/>
              <w:rPr>
                <w:rFonts w:ascii="Calibri" w:hAnsi="Calibri"/>
                <w:bCs/>
              </w:rPr>
            </w:pPr>
            <w:r w:rsidRPr="00293C29">
              <w:rPr>
                <w:rFonts w:ascii="Calibri" w:hAnsi="Calibri"/>
              </w:rPr>
              <w:t>1.03 to 1.17</w:t>
            </w:r>
          </w:p>
        </w:tc>
        <w:tc>
          <w:tcPr>
            <w:tcW w:w="0" w:type="auto"/>
            <w:tcBorders>
              <w:top w:val="nil"/>
              <w:bottom w:val="nil"/>
            </w:tcBorders>
            <w:vAlign w:val="center"/>
          </w:tcPr>
          <w:p w14:paraId="3F8B92BA" w14:textId="458CA216" w:rsidR="00697321" w:rsidRPr="00293C29" w:rsidRDefault="00697321" w:rsidP="00697321">
            <w:pPr>
              <w:pStyle w:val="NoSpacing"/>
              <w:jc w:val="center"/>
              <w:rPr>
                <w:rFonts w:ascii="Calibri" w:hAnsi="Calibri"/>
                <w:b/>
                <w:bCs/>
              </w:rPr>
            </w:pPr>
            <w:r w:rsidRPr="00293C29">
              <w:rPr>
                <w:rFonts w:ascii="Calibri" w:hAnsi="Calibri"/>
                <w:b/>
              </w:rPr>
              <w:t>4.53</w:t>
            </w:r>
            <w:r w:rsidRPr="00293C29">
              <w:rPr>
                <w:rFonts w:ascii="Calibri" w:hAnsi="Calibri"/>
                <w:b/>
                <w:bCs/>
              </w:rPr>
              <w:t>x10</w:t>
            </w:r>
            <w:r w:rsidRPr="00293C29">
              <w:rPr>
                <w:rFonts w:ascii="Calibri" w:hAnsi="Calibri"/>
                <w:b/>
                <w:bCs/>
                <w:vertAlign w:val="superscript"/>
              </w:rPr>
              <w:t>-3</w:t>
            </w:r>
          </w:p>
        </w:tc>
        <w:tc>
          <w:tcPr>
            <w:tcW w:w="0" w:type="auto"/>
            <w:tcBorders>
              <w:top w:val="nil"/>
              <w:bottom w:val="nil"/>
            </w:tcBorders>
            <w:vAlign w:val="center"/>
          </w:tcPr>
          <w:p w14:paraId="6888B851" w14:textId="3F32F890" w:rsidR="00697321" w:rsidRPr="00293C29" w:rsidRDefault="00697321" w:rsidP="00697321">
            <w:pPr>
              <w:pStyle w:val="NoSpacing"/>
              <w:jc w:val="center"/>
              <w:rPr>
                <w:lang w:eastAsia="fr-FR"/>
              </w:rPr>
            </w:pPr>
            <w:r w:rsidRPr="00293C29">
              <w:rPr>
                <w:rFonts w:ascii="Calibri" w:hAnsi="Calibri"/>
                <w:bCs/>
              </w:rPr>
              <w:t>23 [0-60]</w:t>
            </w:r>
          </w:p>
        </w:tc>
      </w:tr>
      <w:tr w:rsidR="00697321" w:rsidRPr="00293C29" w14:paraId="7483E664" w14:textId="77777777" w:rsidTr="00DE0217">
        <w:trPr>
          <w:trHeight w:val="283"/>
        </w:trPr>
        <w:tc>
          <w:tcPr>
            <w:tcW w:w="0" w:type="auto"/>
            <w:tcBorders>
              <w:top w:val="nil"/>
              <w:bottom w:val="nil"/>
            </w:tcBorders>
          </w:tcPr>
          <w:p w14:paraId="45BACC9B" w14:textId="4104C09E" w:rsidR="00697321" w:rsidRPr="00293C29" w:rsidRDefault="00697321" w:rsidP="00697321">
            <w:pPr>
              <w:pStyle w:val="NoSpacing"/>
              <w:rPr>
                <w:b/>
              </w:rPr>
            </w:pPr>
            <w:r w:rsidRPr="00293C29">
              <w:t xml:space="preserve"> BMI SNPs excluded</w:t>
            </w:r>
          </w:p>
        </w:tc>
        <w:tc>
          <w:tcPr>
            <w:tcW w:w="0" w:type="auto"/>
            <w:tcBorders>
              <w:top w:val="nil"/>
              <w:bottom w:val="nil"/>
            </w:tcBorders>
            <w:vAlign w:val="center"/>
          </w:tcPr>
          <w:p w14:paraId="2A48335F" w14:textId="6E5E39AC" w:rsidR="00697321" w:rsidRPr="00293C29" w:rsidRDefault="00697321" w:rsidP="00697321">
            <w:pPr>
              <w:pStyle w:val="NoSpacing"/>
              <w:jc w:val="center"/>
            </w:pPr>
            <w:r w:rsidRPr="00293C29">
              <w:t>87,536</w:t>
            </w:r>
          </w:p>
        </w:tc>
        <w:tc>
          <w:tcPr>
            <w:tcW w:w="0" w:type="auto"/>
            <w:tcBorders>
              <w:top w:val="nil"/>
              <w:bottom w:val="nil"/>
            </w:tcBorders>
            <w:vAlign w:val="center"/>
          </w:tcPr>
          <w:p w14:paraId="2EE78DEB" w14:textId="2FD7783E" w:rsidR="00697321" w:rsidRPr="00293C29" w:rsidRDefault="00697321" w:rsidP="00697321">
            <w:pPr>
              <w:pStyle w:val="NoSpacing"/>
              <w:jc w:val="center"/>
              <w:rPr>
                <w:rFonts w:ascii="Calibri" w:hAnsi="Calibri"/>
              </w:rPr>
            </w:pPr>
            <w:r w:rsidRPr="00293C29">
              <w:rPr>
                <w:rFonts w:ascii="Calibri" w:hAnsi="Calibri"/>
              </w:rPr>
              <w:t>37</w:t>
            </w:r>
          </w:p>
        </w:tc>
        <w:tc>
          <w:tcPr>
            <w:tcW w:w="0" w:type="auto"/>
            <w:tcBorders>
              <w:top w:val="nil"/>
              <w:bottom w:val="nil"/>
            </w:tcBorders>
            <w:vAlign w:val="center"/>
          </w:tcPr>
          <w:p w14:paraId="043C3203" w14:textId="5C613ACA" w:rsidR="00697321" w:rsidRPr="00293C29" w:rsidRDefault="00697321" w:rsidP="00697321">
            <w:pPr>
              <w:pStyle w:val="NoSpacing"/>
              <w:jc w:val="center"/>
              <w:rPr>
                <w:rFonts w:ascii="Calibri" w:hAnsi="Calibri"/>
              </w:rPr>
            </w:pPr>
            <w:r w:rsidRPr="00293C29">
              <w:rPr>
                <w:rFonts w:ascii="Calibri" w:hAnsi="Calibri"/>
              </w:rPr>
              <w:t>-0.17</w:t>
            </w:r>
          </w:p>
        </w:tc>
        <w:tc>
          <w:tcPr>
            <w:tcW w:w="0" w:type="auto"/>
            <w:tcBorders>
              <w:top w:val="nil"/>
              <w:bottom w:val="nil"/>
            </w:tcBorders>
            <w:vAlign w:val="center"/>
          </w:tcPr>
          <w:p w14:paraId="14575510" w14:textId="19194229" w:rsidR="00697321" w:rsidRPr="00293C29" w:rsidRDefault="00697321" w:rsidP="00697321">
            <w:pPr>
              <w:pStyle w:val="NoSpacing"/>
              <w:jc w:val="center"/>
              <w:rPr>
                <w:rFonts w:ascii="Calibri" w:hAnsi="Calibri"/>
              </w:rPr>
            </w:pPr>
            <w:r w:rsidRPr="00293C29">
              <w:rPr>
                <w:rFonts w:ascii="Calibri" w:hAnsi="Calibri"/>
              </w:rPr>
              <w:t>-0.26 to -0.09</w:t>
            </w:r>
          </w:p>
        </w:tc>
        <w:tc>
          <w:tcPr>
            <w:tcW w:w="0" w:type="auto"/>
            <w:tcBorders>
              <w:top w:val="nil"/>
              <w:bottom w:val="nil"/>
            </w:tcBorders>
            <w:vAlign w:val="center"/>
          </w:tcPr>
          <w:p w14:paraId="75671496" w14:textId="790BCC26" w:rsidR="00697321" w:rsidRPr="00293C29" w:rsidRDefault="00697321" w:rsidP="00697321">
            <w:pPr>
              <w:pStyle w:val="NoSpacing"/>
              <w:jc w:val="center"/>
              <w:rPr>
                <w:rFonts w:ascii="Calibri" w:hAnsi="Calibri"/>
                <w:b/>
                <w:bCs/>
              </w:rPr>
            </w:pPr>
            <w:r w:rsidRPr="00293C29">
              <w:rPr>
                <w:rFonts w:ascii="Calibri" w:hAnsi="Calibri"/>
                <w:b/>
                <w:bCs/>
              </w:rPr>
              <w:t>3.13x10</w:t>
            </w:r>
            <w:r w:rsidRPr="00293C29">
              <w:rPr>
                <w:rFonts w:ascii="Calibri" w:hAnsi="Calibri"/>
                <w:b/>
                <w:bCs/>
                <w:vertAlign w:val="superscript"/>
              </w:rPr>
              <w:t>-5</w:t>
            </w:r>
          </w:p>
        </w:tc>
        <w:tc>
          <w:tcPr>
            <w:tcW w:w="0" w:type="auto"/>
            <w:tcBorders>
              <w:top w:val="nil"/>
              <w:bottom w:val="nil"/>
            </w:tcBorders>
            <w:vAlign w:val="center"/>
          </w:tcPr>
          <w:p w14:paraId="0E8DAD2A" w14:textId="54A3C2EB" w:rsidR="00697321" w:rsidRPr="00293C29" w:rsidRDefault="00697321" w:rsidP="00697321">
            <w:pPr>
              <w:pStyle w:val="NoSpacing"/>
              <w:jc w:val="center"/>
              <w:rPr>
                <w:lang w:eastAsia="fr-FR"/>
              </w:rPr>
            </w:pPr>
            <w:r w:rsidRPr="00293C29">
              <w:rPr>
                <w:rFonts w:ascii="Calibri" w:hAnsi="Calibri"/>
                <w:bCs/>
              </w:rPr>
              <w:t>54 [44-85]</w:t>
            </w:r>
          </w:p>
        </w:tc>
        <w:tc>
          <w:tcPr>
            <w:tcW w:w="0" w:type="auto"/>
            <w:tcBorders>
              <w:top w:val="nil"/>
              <w:bottom w:val="nil"/>
            </w:tcBorders>
            <w:vAlign w:val="center"/>
          </w:tcPr>
          <w:p w14:paraId="6C38E2AC" w14:textId="77777777" w:rsidR="00697321" w:rsidRPr="00293C29" w:rsidRDefault="00697321" w:rsidP="00697321">
            <w:pPr>
              <w:pStyle w:val="NoSpacing"/>
              <w:jc w:val="center"/>
              <w:rPr>
                <w:rFonts w:ascii="Calibri" w:hAnsi="Calibri"/>
                <w:b/>
                <w:bCs/>
              </w:rPr>
            </w:pPr>
          </w:p>
        </w:tc>
        <w:tc>
          <w:tcPr>
            <w:tcW w:w="0" w:type="auto"/>
            <w:tcBorders>
              <w:top w:val="nil"/>
              <w:bottom w:val="nil"/>
            </w:tcBorders>
            <w:vAlign w:val="center"/>
          </w:tcPr>
          <w:p w14:paraId="5D5CC616" w14:textId="21768C99" w:rsidR="00697321" w:rsidRPr="00293C29" w:rsidRDefault="00697321" w:rsidP="00697321">
            <w:pPr>
              <w:pStyle w:val="NoSpacing"/>
              <w:jc w:val="center"/>
              <w:rPr>
                <w:rFonts w:ascii="Calibri" w:hAnsi="Calibri"/>
                <w:bCs/>
              </w:rPr>
            </w:pPr>
            <w:r w:rsidRPr="00293C29">
              <w:rPr>
                <w:rFonts w:ascii="Calibri" w:hAnsi="Calibri"/>
              </w:rPr>
              <w:t>1.06</w:t>
            </w:r>
          </w:p>
        </w:tc>
        <w:tc>
          <w:tcPr>
            <w:tcW w:w="0" w:type="auto"/>
            <w:tcBorders>
              <w:top w:val="nil"/>
              <w:bottom w:val="nil"/>
            </w:tcBorders>
            <w:vAlign w:val="center"/>
          </w:tcPr>
          <w:p w14:paraId="4B281F85" w14:textId="5BFC8CB7" w:rsidR="00697321" w:rsidRPr="00293C29" w:rsidRDefault="00697321" w:rsidP="00697321">
            <w:pPr>
              <w:pStyle w:val="NoSpacing"/>
              <w:jc w:val="center"/>
              <w:rPr>
                <w:rFonts w:ascii="Calibri" w:hAnsi="Calibri"/>
                <w:bCs/>
              </w:rPr>
            </w:pPr>
            <w:r w:rsidRPr="00293C29">
              <w:rPr>
                <w:rFonts w:ascii="Calibri" w:hAnsi="Calibri"/>
              </w:rPr>
              <w:t>1.01 to 1.11</w:t>
            </w:r>
          </w:p>
        </w:tc>
        <w:tc>
          <w:tcPr>
            <w:tcW w:w="0" w:type="auto"/>
            <w:tcBorders>
              <w:top w:val="nil"/>
              <w:bottom w:val="nil"/>
            </w:tcBorders>
            <w:vAlign w:val="center"/>
          </w:tcPr>
          <w:p w14:paraId="5D4E0FE0" w14:textId="02AF3F19" w:rsidR="00697321" w:rsidRPr="00293C29" w:rsidRDefault="00697321" w:rsidP="00697321">
            <w:pPr>
              <w:pStyle w:val="NoSpacing"/>
              <w:jc w:val="center"/>
              <w:rPr>
                <w:rFonts w:ascii="Calibri" w:hAnsi="Calibri"/>
                <w:b/>
                <w:bCs/>
              </w:rPr>
            </w:pPr>
            <w:r w:rsidRPr="00293C29">
              <w:rPr>
                <w:rFonts w:ascii="Calibri" w:hAnsi="Calibri"/>
                <w:b/>
              </w:rPr>
              <w:t>0.027</w:t>
            </w:r>
          </w:p>
        </w:tc>
        <w:tc>
          <w:tcPr>
            <w:tcW w:w="0" w:type="auto"/>
            <w:tcBorders>
              <w:top w:val="nil"/>
              <w:bottom w:val="nil"/>
            </w:tcBorders>
            <w:vAlign w:val="center"/>
          </w:tcPr>
          <w:p w14:paraId="16C3E70F" w14:textId="181443CD" w:rsidR="00697321" w:rsidRPr="00293C29" w:rsidRDefault="00697321" w:rsidP="00697321">
            <w:pPr>
              <w:pStyle w:val="NoSpacing"/>
              <w:jc w:val="center"/>
              <w:rPr>
                <w:lang w:eastAsia="fr-FR"/>
              </w:rPr>
            </w:pPr>
            <w:r w:rsidRPr="00293C29">
              <w:rPr>
                <w:rFonts w:ascii="Calibri" w:hAnsi="Calibri"/>
                <w:bCs/>
              </w:rPr>
              <w:t>20 [0-59]</w:t>
            </w:r>
          </w:p>
        </w:tc>
      </w:tr>
      <w:tr w:rsidR="00697321" w:rsidRPr="00293C29" w14:paraId="7C7E1FB4" w14:textId="77777777" w:rsidTr="00DE0217">
        <w:trPr>
          <w:trHeight w:val="283"/>
        </w:trPr>
        <w:tc>
          <w:tcPr>
            <w:tcW w:w="0" w:type="auto"/>
            <w:tcBorders>
              <w:top w:val="nil"/>
              <w:bottom w:val="nil"/>
            </w:tcBorders>
          </w:tcPr>
          <w:p w14:paraId="27233F11" w14:textId="782CA6A1" w:rsidR="00697321" w:rsidRPr="00293C29" w:rsidRDefault="00697321" w:rsidP="00697321">
            <w:pPr>
              <w:pStyle w:val="NoSpacing"/>
              <w:rPr>
                <w:b/>
              </w:rPr>
            </w:pPr>
            <w:r w:rsidRPr="00293C29">
              <w:rPr>
                <w:rFonts w:ascii="Calibri" w:eastAsia="Times New Roman" w:hAnsi="Calibri" w:cs="Times New Roman"/>
                <w:lang w:eastAsia="en-GB"/>
              </w:rPr>
              <w:t xml:space="preserve"> Menarche SNPs excluded</w:t>
            </w:r>
          </w:p>
        </w:tc>
        <w:tc>
          <w:tcPr>
            <w:tcW w:w="0" w:type="auto"/>
            <w:tcBorders>
              <w:top w:val="nil"/>
              <w:bottom w:val="nil"/>
            </w:tcBorders>
            <w:vAlign w:val="center"/>
          </w:tcPr>
          <w:p w14:paraId="0E37255A" w14:textId="640172F6" w:rsidR="00697321" w:rsidRPr="00293C29" w:rsidRDefault="00697321" w:rsidP="00697321">
            <w:pPr>
              <w:pStyle w:val="NoSpacing"/>
              <w:jc w:val="center"/>
            </w:pPr>
            <w:r w:rsidRPr="00293C29">
              <w:t>87,536</w:t>
            </w:r>
          </w:p>
        </w:tc>
        <w:tc>
          <w:tcPr>
            <w:tcW w:w="0" w:type="auto"/>
            <w:tcBorders>
              <w:top w:val="nil"/>
              <w:bottom w:val="nil"/>
            </w:tcBorders>
            <w:vAlign w:val="center"/>
          </w:tcPr>
          <w:p w14:paraId="74A0ADAE" w14:textId="26A4269A" w:rsidR="00697321" w:rsidRPr="00293C29" w:rsidRDefault="00697321" w:rsidP="00697321">
            <w:pPr>
              <w:pStyle w:val="NoSpacing"/>
              <w:jc w:val="center"/>
              <w:rPr>
                <w:rFonts w:ascii="Calibri" w:hAnsi="Calibri"/>
              </w:rPr>
            </w:pPr>
            <w:r w:rsidRPr="00293C29">
              <w:rPr>
                <w:rFonts w:ascii="Calibri" w:hAnsi="Calibri"/>
              </w:rPr>
              <w:t>37</w:t>
            </w:r>
          </w:p>
        </w:tc>
        <w:tc>
          <w:tcPr>
            <w:tcW w:w="0" w:type="auto"/>
            <w:tcBorders>
              <w:top w:val="nil"/>
              <w:bottom w:val="nil"/>
            </w:tcBorders>
            <w:vAlign w:val="center"/>
          </w:tcPr>
          <w:p w14:paraId="5333F10F" w14:textId="2979879E" w:rsidR="00697321" w:rsidRPr="00293C29" w:rsidRDefault="00697321" w:rsidP="00697321">
            <w:pPr>
              <w:pStyle w:val="NoSpacing"/>
              <w:jc w:val="center"/>
              <w:rPr>
                <w:rFonts w:ascii="Calibri" w:hAnsi="Calibri"/>
              </w:rPr>
            </w:pPr>
            <w:r w:rsidRPr="00293C29">
              <w:rPr>
                <w:rFonts w:ascii="Calibri" w:hAnsi="Calibri"/>
              </w:rPr>
              <w:t>-0.23</w:t>
            </w:r>
          </w:p>
        </w:tc>
        <w:tc>
          <w:tcPr>
            <w:tcW w:w="0" w:type="auto"/>
            <w:tcBorders>
              <w:top w:val="nil"/>
              <w:bottom w:val="nil"/>
            </w:tcBorders>
            <w:vAlign w:val="center"/>
          </w:tcPr>
          <w:p w14:paraId="0AB3A83D" w14:textId="36546E7F" w:rsidR="00697321" w:rsidRPr="00293C29" w:rsidRDefault="00697321" w:rsidP="00697321">
            <w:pPr>
              <w:pStyle w:val="NoSpacing"/>
              <w:jc w:val="center"/>
              <w:rPr>
                <w:rFonts w:ascii="Calibri" w:hAnsi="Calibri"/>
              </w:rPr>
            </w:pPr>
            <w:r w:rsidRPr="00293C29">
              <w:rPr>
                <w:rFonts w:ascii="Calibri" w:hAnsi="Calibri"/>
              </w:rPr>
              <w:t>-0.33 to -0.13</w:t>
            </w:r>
          </w:p>
        </w:tc>
        <w:tc>
          <w:tcPr>
            <w:tcW w:w="0" w:type="auto"/>
            <w:tcBorders>
              <w:top w:val="nil"/>
              <w:bottom w:val="nil"/>
            </w:tcBorders>
            <w:vAlign w:val="center"/>
          </w:tcPr>
          <w:p w14:paraId="2949F332" w14:textId="601FDD85" w:rsidR="00697321" w:rsidRPr="00293C29" w:rsidRDefault="00697321" w:rsidP="00697321">
            <w:pPr>
              <w:pStyle w:val="NoSpacing"/>
              <w:jc w:val="center"/>
              <w:rPr>
                <w:rFonts w:ascii="Calibri" w:hAnsi="Calibri"/>
                <w:b/>
                <w:bCs/>
              </w:rPr>
            </w:pPr>
            <w:r w:rsidRPr="00293C29">
              <w:rPr>
                <w:rFonts w:ascii="Calibri" w:hAnsi="Calibri"/>
                <w:b/>
                <w:bCs/>
              </w:rPr>
              <w:t>7.32x10</w:t>
            </w:r>
            <w:r w:rsidRPr="00293C29">
              <w:rPr>
                <w:rFonts w:ascii="Calibri" w:hAnsi="Calibri"/>
                <w:b/>
                <w:bCs/>
                <w:vertAlign w:val="superscript"/>
              </w:rPr>
              <w:t>-6</w:t>
            </w:r>
          </w:p>
        </w:tc>
        <w:tc>
          <w:tcPr>
            <w:tcW w:w="0" w:type="auto"/>
            <w:tcBorders>
              <w:top w:val="nil"/>
              <w:bottom w:val="nil"/>
            </w:tcBorders>
            <w:vAlign w:val="center"/>
          </w:tcPr>
          <w:p w14:paraId="15038023" w14:textId="418219EC" w:rsidR="00697321" w:rsidRPr="00293C29" w:rsidRDefault="00697321" w:rsidP="00697321">
            <w:pPr>
              <w:pStyle w:val="NoSpacing"/>
              <w:jc w:val="center"/>
              <w:rPr>
                <w:lang w:eastAsia="fr-FR"/>
              </w:rPr>
            </w:pPr>
            <w:r w:rsidRPr="00293C29">
              <w:rPr>
                <w:rFonts w:ascii="Calibri" w:hAnsi="Calibri"/>
                <w:bCs/>
              </w:rPr>
              <w:t>56 [43-83]</w:t>
            </w:r>
          </w:p>
        </w:tc>
        <w:tc>
          <w:tcPr>
            <w:tcW w:w="0" w:type="auto"/>
            <w:tcBorders>
              <w:top w:val="nil"/>
              <w:bottom w:val="nil"/>
            </w:tcBorders>
            <w:vAlign w:val="center"/>
          </w:tcPr>
          <w:p w14:paraId="42577051" w14:textId="77777777" w:rsidR="00697321" w:rsidRPr="00293C29" w:rsidRDefault="00697321" w:rsidP="00697321">
            <w:pPr>
              <w:pStyle w:val="NoSpacing"/>
              <w:jc w:val="center"/>
              <w:rPr>
                <w:rFonts w:ascii="Calibri" w:hAnsi="Calibri"/>
                <w:b/>
                <w:bCs/>
              </w:rPr>
            </w:pPr>
          </w:p>
        </w:tc>
        <w:tc>
          <w:tcPr>
            <w:tcW w:w="0" w:type="auto"/>
            <w:tcBorders>
              <w:top w:val="nil"/>
              <w:bottom w:val="nil"/>
            </w:tcBorders>
            <w:vAlign w:val="center"/>
          </w:tcPr>
          <w:p w14:paraId="2F7CB6B5" w14:textId="5C79DF46" w:rsidR="00697321" w:rsidRPr="00293C29" w:rsidRDefault="00697321" w:rsidP="00697321">
            <w:pPr>
              <w:pStyle w:val="NoSpacing"/>
              <w:jc w:val="center"/>
              <w:rPr>
                <w:rFonts w:ascii="Calibri" w:hAnsi="Calibri"/>
                <w:bCs/>
              </w:rPr>
            </w:pPr>
            <w:r w:rsidRPr="00293C29">
              <w:rPr>
                <w:rFonts w:ascii="Calibri" w:hAnsi="Calibri"/>
              </w:rPr>
              <w:t>1.11</w:t>
            </w:r>
          </w:p>
        </w:tc>
        <w:tc>
          <w:tcPr>
            <w:tcW w:w="0" w:type="auto"/>
            <w:tcBorders>
              <w:top w:val="nil"/>
              <w:bottom w:val="nil"/>
            </w:tcBorders>
            <w:vAlign w:val="center"/>
          </w:tcPr>
          <w:p w14:paraId="5E7A0B14" w14:textId="4A775C11" w:rsidR="00697321" w:rsidRPr="00293C29" w:rsidRDefault="00697321" w:rsidP="00697321">
            <w:pPr>
              <w:pStyle w:val="NoSpacing"/>
              <w:jc w:val="center"/>
              <w:rPr>
                <w:rFonts w:ascii="Calibri" w:hAnsi="Calibri"/>
                <w:bCs/>
              </w:rPr>
            </w:pPr>
            <w:r w:rsidRPr="00293C29">
              <w:rPr>
                <w:rFonts w:ascii="Calibri" w:hAnsi="Calibri"/>
              </w:rPr>
              <w:t>1.04 to 1.17</w:t>
            </w:r>
          </w:p>
        </w:tc>
        <w:tc>
          <w:tcPr>
            <w:tcW w:w="0" w:type="auto"/>
            <w:tcBorders>
              <w:top w:val="nil"/>
              <w:bottom w:val="nil"/>
            </w:tcBorders>
            <w:vAlign w:val="center"/>
          </w:tcPr>
          <w:p w14:paraId="0B07E97E" w14:textId="6013D7A2" w:rsidR="00697321" w:rsidRPr="00293C29" w:rsidRDefault="00697321" w:rsidP="00697321">
            <w:pPr>
              <w:pStyle w:val="NoSpacing"/>
              <w:jc w:val="center"/>
              <w:rPr>
                <w:rFonts w:ascii="Calibri" w:hAnsi="Calibri"/>
                <w:b/>
                <w:bCs/>
              </w:rPr>
            </w:pPr>
            <w:r w:rsidRPr="00293C29">
              <w:rPr>
                <w:rFonts w:ascii="Calibri" w:hAnsi="Calibri"/>
                <w:b/>
              </w:rPr>
              <w:t>1.09</w:t>
            </w:r>
            <w:r w:rsidRPr="00293C29">
              <w:rPr>
                <w:rFonts w:ascii="Calibri" w:hAnsi="Calibri"/>
                <w:b/>
                <w:bCs/>
              </w:rPr>
              <w:t>x10</w:t>
            </w:r>
            <w:r w:rsidRPr="00293C29">
              <w:rPr>
                <w:rFonts w:ascii="Calibri" w:hAnsi="Calibri"/>
                <w:b/>
                <w:bCs/>
                <w:vertAlign w:val="superscript"/>
              </w:rPr>
              <w:t>-3</w:t>
            </w:r>
          </w:p>
        </w:tc>
        <w:tc>
          <w:tcPr>
            <w:tcW w:w="0" w:type="auto"/>
            <w:tcBorders>
              <w:top w:val="nil"/>
              <w:bottom w:val="nil"/>
            </w:tcBorders>
            <w:vAlign w:val="center"/>
          </w:tcPr>
          <w:p w14:paraId="4995377A" w14:textId="74444B6C" w:rsidR="00697321" w:rsidRPr="00293C29" w:rsidRDefault="00697321" w:rsidP="00697321">
            <w:pPr>
              <w:pStyle w:val="NoSpacing"/>
              <w:jc w:val="center"/>
              <w:rPr>
                <w:lang w:eastAsia="fr-FR"/>
              </w:rPr>
            </w:pPr>
            <w:r w:rsidRPr="00293C29">
              <w:rPr>
                <w:rFonts w:ascii="Calibri" w:hAnsi="Calibri"/>
                <w:bCs/>
              </w:rPr>
              <w:t>24 [0-57]</w:t>
            </w:r>
          </w:p>
        </w:tc>
      </w:tr>
      <w:tr w:rsidR="00697321" w:rsidRPr="00293C29" w14:paraId="60E15DA7" w14:textId="77777777" w:rsidTr="00DE0217">
        <w:trPr>
          <w:trHeight w:val="283"/>
        </w:trPr>
        <w:tc>
          <w:tcPr>
            <w:tcW w:w="0" w:type="auto"/>
            <w:tcBorders>
              <w:top w:val="nil"/>
              <w:bottom w:val="nil"/>
            </w:tcBorders>
          </w:tcPr>
          <w:p w14:paraId="13742A35" w14:textId="0269B69E" w:rsidR="00697321" w:rsidRPr="00293C29" w:rsidRDefault="00697321" w:rsidP="00697321">
            <w:pPr>
              <w:pStyle w:val="NoSpacing"/>
              <w:rPr>
                <w:b/>
              </w:rPr>
            </w:pPr>
            <w:r w:rsidRPr="00293C29">
              <w:rPr>
                <w:rFonts w:ascii="Calibri" w:eastAsia="Times New Roman" w:hAnsi="Calibri" w:cs="Times New Roman"/>
                <w:lang w:eastAsia="en-GB"/>
              </w:rPr>
              <w:t xml:space="preserve"> All pleiotropic SNPs excluded*</w:t>
            </w:r>
          </w:p>
        </w:tc>
        <w:tc>
          <w:tcPr>
            <w:tcW w:w="0" w:type="auto"/>
            <w:tcBorders>
              <w:top w:val="nil"/>
              <w:bottom w:val="nil"/>
            </w:tcBorders>
            <w:vAlign w:val="center"/>
          </w:tcPr>
          <w:p w14:paraId="6A83F38A" w14:textId="2C8F889E" w:rsidR="00697321" w:rsidRPr="00293C29" w:rsidRDefault="00697321" w:rsidP="00697321">
            <w:pPr>
              <w:pStyle w:val="NoSpacing"/>
              <w:jc w:val="center"/>
            </w:pPr>
            <w:r w:rsidRPr="00293C29">
              <w:t>87,536</w:t>
            </w:r>
          </w:p>
        </w:tc>
        <w:tc>
          <w:tcPr>
            <w:tcW w:w="0" w:type="auto"/>
            <w:tcBorders>
              <w:top w:val="nil"/>
              <w:bottom w:val="nil"/>
            </w:tcBorders>
            <w:vAlign w:val="center"/>
          </w:tcPr>
          <w:p w14:paraId="6322EF7D" w14:textId="1978D83D" w:rsidR="00697321" w:rsidRPr="00293C29" w:rsidRDefault="00697321" w:rsidP="00697321">
            <w:pPr>
              <w:pStyle w:val="NoSpacing"/>
              <w:jc w:val="center"/>
              <w:rPr>
                <w:rFonts w:ascii="Calibri" w:hAnsi="Calibri"/>
              </w:rPr>
            </w:pPr>
            <w:r w:rsidRPr="00293C29">
              <w:rPr>
                <w:rFonts w:ascii="Calibri" w:hAnsi="Calibri"/>
              </w:rPr>
              <w:t>28</w:t>
            </w:r>
          </w:p>
        </w:tc>
        <w:tc>
          <w:tcPr>
            <w:tcW w:w="0" w:type="auto"/>
            <w:tcBorders>
              <w:top w:val="nil"/>
              <w:bottom w:val="nil"/>
            </w:tcBorders>
            <w:vAlign w:val="center"/>
          </w:tcPr>
          <w:p w14:paraId="4E4A8000" w14:textId="37294E13" w:rsidR="00697321" w:rsidRPr="00293C29" w:rsidRDefault="00697321" w:rsidP="00697321">
            <w:pPr>
              <w:pStyle w:val="NoSpacing"/>
              <w:jc w:val="center"/>
              <w:rPr>
                <w:rFonts w:ascii="Calibri" w:hAnsi="Calibri"/>
              </w:rPr>
            </w:pPr>
            <w:r w:rsidRPr="00293C29">
              <w:rPr>
                <w:rFonts w:ascii="Calibri" w:hAnsi="Calibri"/>
              </w:rPr>
              <w:t>-0.22</w:t>
            </w:r>
          </w:p>
        </w:tc>
        <w:tc>
          <w:tcPr>
            <w:tcW w:w="0" w:type="auto"/>
            <w:tcBorders>
              <w:top w:val="nil"/>
              <w:bottom w:val="nil"/>
            </w:tcBorders>
            <w:vAlign w:val="center"/>
          </w:tcPr>
          <w:p w14:paraId="1B1D67EE" w14:textId="46A4F27D" w:rsidR="00697321" w:rsidRPr="00293C29" w:rsidRDefault="00697321" w:rsidP="00697321">
            <w:pPr>
              <w:pStyle w:val="NoSpacing"/>
              <w:jc w:val="center"/>
              <w:rPr>
                <w:rFonts w:ascii="Calibri" w:hAnsi="Calibri"/>
              </w:rPr>
            </w:pPr>
            <w:r w:rsidRPr="00293C29">
              <w:rPr>
                <w:rFonts w:ascii="Calibri" w:hAnsi="Calibri"/>
              </w:rPr>
              <w:t>-0.33 to -0.11</w:t>
            </w:r>
          </w:p>
        </w:tc>
        <w:tc>
          <w:tcPr>
            <w:tcW w:w="0" w:type="auto"/>
            <w:tcBorders>
              <w:top w:val="nil"/>
              <w:bottom w:val="nil"/>
            </w:tcBorders>
            <w:vAlign w:val="center"/>
          </w:tcPr>
          <w:p w14:paraId="5228C677" w14:textId="40F7791B" w:rsidR="00697321" w:rsidRPr="00293C29" w:rsidRDefault="00697321" w:rsidP="00697321">
            <w:pPr>
              <w:pStyle w:val="NoSpacing"/>
              <w:jc w:val="center"/>
              <w:rPr>
                <w:rFonts w:ascii="Calibri" w:hAnsi="Calibri"/>
                <w:b/>
                <w:bCs/>
              </w:rPr>
            </w:pPr>
            <w:r w:rsidRPr="00293C29">
              <w:rPr>
                <w:rFonts w:ascii="Calibri" w:hAnsi="Calibri"/>
                <w:b/>
                <w:bCs/>
              </w:rPr>
              <w:t>1.33x10</w:t>
            </w:r>
            <w:r w:rsidRPr="00293C29">
              <w:rPr>
                <w:rFonts w:ascii="Calibri" w:hAnsi="Calibri"/>
                <w:b/>
                <w:bCs/>
                <w:vertAlign w:val="superscript"/>
              </w:rPr>
              <w:t>-4</w:t>
            </w:r>
          </w:p>
        </w:tc>
        <w:tc>
          <w:tcPr>
            <w:tcW w:w="0" w:type="auto"/>
            <w:tcBorders>
              <w:top w:val="nil"/>
              <w:bottom w:val="nil"/>
            </w:tcBorders>
            <w:vAlign w:val="center"/>
          </w:tcPr>
          <w:p w14:paraId="01529522" w14:textId="70EDD686" w:rsidR="00697321" w:rsidRPr="00293C29" w:rsidRDefault="00697321" w:rsidP="00697321">
            <w:pPr>
              <w:pStyle w:val="NoSpacing"/>
              <w:jc w:val="center"/>
              <w:rPr>
                <w:lang w:eastAsia="fr-FR"/>
              </w:rPr>
            </w:pPr>
            <w:r w:rsidRPr="00293C29">
              <w:rPr>
                <w:rFonts w:ascii="Calibri" w:hAnsi="Calibri"/>
                <w:bCs/>
              </w:rPr>
              <w:t>61 [49-87]</w:t>
            </w:r>
          </w:p>
        </w:tc>
        <w:tc>
          <w:tcPr>
            <w:tcW w:w="0" w:type="auto"/>
            <w:tcBorders>
              <w:top w:val="nil"/>
              <w:bottom w:val="nil"/>
            </w:tcBorders>
            <w:vAlign w:val="center"/>
          </w:tcPr>
          <w:p w14:paraId="582FDAEB" w14:textId="77777777" w:rsidR="00697321" w:rsidRPr="00293C29" w:rsidRDefault="00697321" w:rsidP="00697321">
            <w:pPr>
              <w:pStyle w:val="NoSpacing"/>
              <w:jc w:val="center"/>
              <w:rPr>
                <w:rFonts w:ascii="Calibri" w:hAnsi="Calibri"/>
                <w:b/>
                <w:bCs/>
              </w:rPr>
            </w:pPr>
          </w:p>
        </w:tc>
        <w:tc>
          <w:tcPr>
            <w:tcW w:w="0" w:type="auto"/>
            <w:tcBorders>
              <w:top w:val="nil"/>
              <w:bottom w:val="nil"/>
            </w:tcBorders>
            <w:vAlign w:val="center"/>
          </w:tcPr>
          <w:p w14:paraId="3EEE5199" w14:textId="7B0E6BD0" w:rsidR="00697321" w:rsidRPr="00293C29" w:rsidRDefault="00697321" w:rsidP="00697321">
            <w:pPr>
              <w:pStyle w:val="NoSpacing"/>
              <w:jc w:val="center"/>
              <w:rPr>
                <w:rFonts w:ascii="Calibri" w:hAnsi="Calibri"/>
                <w:bCs/>
              </w:rPr>
            </w:pPr>
            <w:r w:rsidRPr="00293C29">
              <w:rPr>
                <w:rFonts w:ascii="Calibri" w:hAnsi="Calibri"/>
              </w:rPr>
              <w:t>1.09</w:t>
            </w:r>
          </w:p>
        </w:tc>
        <w:tc>
          <w:tcPr>
            <w:tcW w:w="0" w:type="auto"/>
            <w:tcBorders>
              <w:top w:val="nil"/>
              <w:bottom w:val="nil"/>
            </w:tcBorders>
            <w:vAlign w:val="center"/>
          </w:tcPr>
          <w:p w14:paraId="57BD32EC" w14:textId="734AF4E2" w:rsidR="00697321" w:rsidRPr="00293C29" w:rsidRDefault="00697321" w:rsidP="00697321">
            <w:pPr>
              <w:pStyle w:val="NoSpacing"/>
              <w:jc w:val="center"/>
              <w:rPr>
                <w:rFonts w:ascii="Calibri" w:hAnsi="Calibri"/>
                <w:bCs/>
              </w:rPr>
            </w:pPr>
            <w:r w:rsidRPr="00293C29">
              <w:rPr>
                <w:rFonts w:ascii="Calibri" w:hAnsi="Calibri"/>
              </w:rPr>
              <w:t>1.02 to 1.17</w:t>
            </w:r>
          </w:p>
        </w:tc>
        <w:tc>
          <w:tcPr>
            <w:tcW w:w="0" w:type="auto"/>
            <w:tcBorders>
              <w:top w:val="nil"/>
              <w:bottom w:val="nil"/>
            </w:tcBorders>
            <w:vAlign w:val="center"/>
          </w:tcPr>
          <w:p w14:paraId="1057677F" w14:textId="1DA178B7" w:rsidR="00697321" w:rsidRPr="00293C29" w:rsidRDefault="00697321" w:rsidP="00697321">
            <w:pPr>
              <w:pStyle w:val="NoSpacing"/>
              <w:jc w:val="center"/>
              <w:rPr>
                <w:rFonts w:ascii="Calibri" w:hAnsi="Calibri"/>
                <w:b/>
                <w:bCs/>
              </w:rPr>
            </w:pPr>
            <w:r w:rsidRPr="00293C29">
              <w:rPr>
                <w:rFonts w:ascii="Calibri" w:hAnsi="Calibri"/>
                <w:b/>
              </w:rPr>
              <w:t>0.015</w:t>
            </w:r>
          </w:p>
        </w:tc>
        <w:tc>
          <w:tcPr>
            <w:tcW w:w="0" w:type="auto"/>
            <w:tcBorders>
              <w:top w:val="nil"/>
              <w:bottom w:val="nil"/>
            </w:tcBorders>
            <w:vAlign w:val="center"/>
          </w:tcPr>
          <w:p w14:paraId="042A2BDD" w14:textId="56A0CCA3" w:rsidR="00697321" w:rsidRPr="00293C29" w:rsidRDefault="00697321" w:rsidP="00697321">
            <w:pPr>
              <w:pStyle w:val="NoSpacing"/>
              <w:jc w:val="center"/>
              <w:rPr>
                <w:lang w:eastAsia="fr-FR"/>
              </w:rPr>
            </w:pPr>
            <w:r w:rsidRPr="00293C29">
              <w:rPr>
                <w:rFonts w:ascii="Calibri" w:hAnsi="Calibri"/>
                <w:bCs/>
              </w:rPr>
              <w:t>23 [0-61]</w:t>
            </w:r>
          </w:p>
        </w:tc>
      </w:tr>
      <w:tr w:rsidR="00293C29" w:rsidRPr="00293C29" w14:paraId="0B368698" w14:textId="77777777" w:rsidTr="00C02B97">
        <w:trPr>
          <w:trHeight w:val="283"/>
        </w:trPr>
        <w:tc>
          <w:tcPr>
            <w:tcW w:w="0" w:type="auto"/>
            <w:tcBorders>
              <w:top w:val="nil"/>
              <w:bottom w:val="nil"/>
            </w:tcBorders>
          </w:tcPr>
          <w:p w14:paraId="7A5A0F74" w14:textId="77777777" w:rsidR="00D42A55" w:rsidRPr="00293C29" w:rsidRDefault="00D42A55" w:rsidP="00D42A55">
            <w:pPr>
              <w:pStyle w:val="NoSpacing"/>
              <w:rPr>
                <w:b/>
              </w:rPr>
            </w:pPr>
            <w:r w:rsidRPr="00293C29">
              <w:rPr>
                <w:rFonts w:ascii="Calibri" w:eastAsia="Times New Roman" w:hAnsi="Calibri" w:cs="Times New Roman"/>
                <w:b/>
                <w:lang w:eastAsia="en-GB"/>
              </w:rPr>
              <w:t xml:space="preserve">Sensitivity </w:t>
            </w:r>
            <w:r w:rsidR="00C02B97" w:rsidRPr="00293C29">
              <w:rPr>
                <w:rFonts w:ascii="Calibri" w:eastAsia="Times New Roman" w:hAnsi="Calibri" w:cs="Times New Roman"/>
                <w:b/>
                <w:lang w:eastAsia="en-GB"/>
              </w:rPr>
              <w:t xml:space="preserve">MR </w:t>
            </w:r>
            <w:r w:rsidRPr="00293C29">
              <w:rPr>
                <w:rFonts w:ascii="Calibri" w:eastAsia="Times New Roman" w:hAnsi="Calibri" w:cs="Times New Roman"/>
                <w:b/>
                <w:lang w:eastAsia="en-GB"/>
              </w:rPr>
              <w:t>analyses</w:t>
            </w:r>
          </w:p>
        </w:tc>
        <w:tc>
          <w:tcPr>
            <w:tcW w:w="0" w:type="auto"/>
            <w:tcBorders>
              <w:top w:val="nil"/>
              <w:bottom w:val="nil"/>
            </w:tcBorders>
          </w:tcPr>
          <w:p w14:paraId="6C0FDC75" w14:textId="77777777" w:rsidR="00D42A55" w:rsidRPr="00293C29" w:rsidRDefault="00D42A55" w:rsidP="00D42A55">
            <w:pPr>
              <w:pStyle w:val="NoSpacing"/>
              <w:jc w:val="center"/>
            </w:pPr>
          </w:p>
        </w:tc>
        <w:tc>
          <w:tcPr>
            <w:tcW w:w="0" w:type="auto"/>
            <w:tcBorders>
              <w:top w:val="nil"/>
              <w:bottom w:val="nil"/>
            </w:tcBorders>
            <w:vAlign w:val="center"/>
          </w:tcPr>
          <w:p w14:paraId="37897681" w14:textId="77777777" w:rsidR="00D42A55" w:rsidRPr="00293C29" w:rsidRDefault="00D42A55" w:rsidP="00D42A55">
            <w:pPr>
              <w:pStyle w:val="NoSpacing"/>
              <w:jc w:val="center"/>
              <w:rPr>
                <w:rFonts w:ascii="Calibri" w:hAnsi="Calibri"/>
              </w:rPr>
            </w:pPr>
          </w:p>
        </w:tc>
        <w:tc>
          <w:tcPr>
            <w:tcW w:w="0" w:type="auto"/>
            <w:tcBorders>
              <w:top w:val="nil"/>
              <w:bottom w:val="nil"/>
            </w:tcBorders>
            <w:vAlign w:val="center"/>
          </w:tcPr>
          <w:p w14:paraId="2F941266" w14:textId="77777777" w:rsidR="00D42A55" w:rsidRPr="00293C29" w:rsidRDefault="00D42A55" w:rsidP="00D42A55">
            <w:pPr>
              <w:pStyle w:val="NoSpacing"/>
              <w:jc w:val="center"/>
              <w:rPr>
                <w:rFonts w:ascii="Calibri" w:hAnsi="Calibri"/>
              </w:rPr>
            </w:pPr>
          </w:p>
        </w:tc>
        <w:tc>
          <w:tcPr>
            <w:tcW w:w="0" w:type="auto"/>
            <w:tcBorders>
              <w:top w:val="nil"/>
              <w:bottom w:val="nil"/>
            </w:tcBorders>
            <w:vAlign w:val="center"/>
          </w:tcPr>
          <w:p w14:paraId="5E929D3B" w14:textId="77777777" w:rsidR="00D42A55" w:rsidRPr="00293C29" w:rsidRDefault="00D42A55" w:rsidP="00D42A55">
            <w:pPr>
              <w:pStyle w:val="NoSpacing"/>
              <w:jc w:val="center"/>
              <w:rPr>
                <w:rFonts w:ascii="Calibri" w:hAnsi="Calibri"/>
              </w:rPr>
            </w:pPr>
          </w:p>
        </w:tc>
        <w:tc>
          <w:tcPr>
            <w:tcW w:w="0" w:type="auto"/>
            <w:tcBorders>
              <w:top w:val="nil"/>
              <w:bottom w:val="nil"/>
            </w:tcBorders>
            <w:vAlign w:val="center"/>
          </w:tcPr>
          <w:p w14:paraId="39A6D9E5" w14:textId="77777777" w:rsidR="00D42A55" w:rsidRPr="00293C29" w:rsidRDefault="00D42A55" w:rsidP="00D42A55">
            <w:pPr>
              <w:pStyle w:val="NoSpacing"/>
              <w:jc w:val="center"/>
              <w:rPr>
                <w:rFonts w:ascii="Calibri" w:hAnsi="Calibri"/>
                <w:b/>
                <w:bCs/>
              </w:rPr>
            </w:pPr>
          </w:p>
        </w:tc>
        <w:tc>
          <w:tcPr>
            <w:tcW w:w="0" w:type="auto"/>
            <w:tcBorders>
              <w:top w:val="nil"/>
              <w:bottom w:val="nil"/>
            </w:tcBorders>
            <w:vAlign w:val="center"/>
          </w:tcPr>
          <w:p w14:paraId="5101EA86" w14:textId="77777777" w:rsidR="00D42A55" w:rsidRPr="00293C29" w:rsidRDefault="00D42A55" w:rsidP="00D42A55">
            <w:pPr>
              <w:pStyle w:val="NoSpacing"/>
              <w:jc w:val="center"/>
              <w:rPr>
                <w:lang w:eastAsia="fr-FR"/>
              </w:rPr>
            </w:pPr>
          </w:p>
        </w:tc>
        <w:tc>
          <w:tcPr>
            <w:tcW w:w="0" w:type="auto"/>
            <w:tcBorders>
              <w:top w:val="nil"/>
              <w:bottom w:val="nil"/>
            </w:tcBorders>
            <w:vAlign w:val="center"/>
          </w:tcPr>
          <w:p w14:paraId="518F09B2" w14:textId="77777777" w:rsidR="00D42A55" w:rsidRPr="00293C29" w:rsidRDefault="00D42A55" w:rsidP="00D42A55">
            <w:pPr>
              <w:pStyle w:val="NoSpacing"/>
              <w:jc w:val="center"/>
              <w:rPr>
                <w:rFonts w:ascii="Calibri" w:hAnsi="Calibri"/>
                <w:b/>
                <w:bCs/>
              </w:rPr>
            </w:pPr>
          </w:p>
        </w:tc>
        <w:tc>
          <w:tcPr>
            <w:tcW w:w="0" w:type="auto"/>
            <w:tcBorders>
              <w:top w:val="nil"/>
              <w:bottom w:val="nil"/>
            </w:tcBorders>
            <w:vAlign w:val="center"/>
          </w:tcPr>
          <w:p w14:paraId="7773C488" w14:textId="77777777" w:rsidR="00D42A55" w:rsidRPr="00293C29" w:rsidRDefault="00D42A55" w:rsidP="00D42A55">
            <w:pPr>
              <w:pStyle w:val="NoSpacing"/>
              <w:jc w:val="center"/>
              <w:rPr>
                <w:rFonts w:ascii="Calibri" w:hAnsi="Calibri"/>
                <w:bCs/>
              </w:rPr>
            </w:pPr>
          </w:p>
        </w:tc>
        <w:tc>
          <w:tcPr>
            <w:tcW w:w="0" w:type="auto"/>
            <w:tcBorders>
              <w:top w:val="nil"/>
              <w:bottom w:val="nil"/>
            </w:tcBorders>
            <w:vAlign w:val="center"/>
          </w:tcPr>
          <w:p w14:paraId="2F479190" w14:textId="77777777" w:rsidR="00D42A55" w:rsidRPr="00293C29" w:rsidRDefault="00D42A55" w:rsidP="00D42A55">
            <w:pPr>
              <w:pStyle w:val="NoSpacing"/>
              <w:jc w:val="center"/>
              <w:rPr>
                <w:rFonts w:ascii="Calibri" w:hAnsi="Calibri"/>
                <w:bCs/>
              </w:rPr>
            </w:pPr>
          </w:p>
        </w:tc>
        <w:tc>
          <w:tcPr>
            <w:tcW w:w="0" w:type="auto"/>
            <w:tcBorders>
              <w:top w:val="nil"/>
              <w:bottom w:val="nil"/>
            </w:tcBorders>
            <w:vAlign w:val="center"/>
          </w:tcPr>
          <w:p w14:paraId="67A81A66" w14:textId="77777777" w:rsidR="00D42A55" w:rsidRPr="00293C29" w:rsidRDefault="00D42A55" w:rsidP="00D42A55">
            <w:pPr>
              <w:pStyle w:val="NoSpacing"/>
              <w:jc w:val="center"/>
              <w:rPr>
                <w:rFonts w:ascii="Calibri" w:hAnsi="Calibri"/>
                <w:b/>
                <w:bCs/>
              </w:rPr>
            </w:pPr>
          </w:p>
        </w:tc>
        <w:tc>
          <w:tcPr>
            <w:tcW w:w="0" w:type="auto"/>
            <w:tcBorders>
              <w:top w:val="nil"/>
              <w:bottom w:val="nil"/>
            </w:tcBorders>
            <w:vAlign w:val="center"/>
          </w:tcPr>
          <w:p w14:paraId="3709BA22" w14:textId="77777777" w:rsidR="00D42A55" w:rsidRPr="00293C29" w:rsidRDefault="00D42A55" w:rsidP="00D42A55">
            <w:pPr>
              <w:pStyle w:val="NoSpacing"/>
              <w:jc w:val="center"/>
              <w:rPr>
                <w:lang w:eastAsia="fr-FR"/>
              </w:rPr>
            </w:pPr>
          </w:p>
        </w:tc>
      </w:tr>
      <w:tr w:rsidR="00293C29" w:rsidRPr="00293C29" w14:paraId="46E7B7C8" w14:textId="77777777" w:rsidTr="00DE0217">
        <w:trPr>
          <w:trHeight w:val="283"/>
        </w:trPr>
        <w:tc>
          <w:tcPr>
            <w:tcW w:w="0" w:type="auto"/>
            <w:tcBorders>
              <w:top w:val="nil"/>
              <w:bottom w:val="nil"/>
            </w:tcBorders>
          </w:tcPr>
          <w:p w14:paraId="45D61956" w14:textId="77777777" w:rsidR="00D42A55" w:rsidRPr="00293C29" w:rsidRDefault="00D42A55" w:rsidP="00D42A55">
            <w:pPr>
              <w:pStyle w:val="NoSpacing"/>
              <w:rPr>
                <w:b/>
              </w:rPr>
            </w:pPr>
            <w:r w:rsidRPr="00293C29">
              <w:rPr>
                <w:rFonts w:ascii="Calibri" w:eastAsia="Times New Roman" w:hAnsi="Calibri" w:cs="Times New Roman"/>
                <w:lang w:eastAsia="en-GB"/>
              </w:rPr>
              <w:t xml:space="preserve"> Women with complete data</w:t>
            </w:r>
            <w:r w:rsidRPr="00293C29">
              <w:rPr>
                <w:rFonts w:ascii="Calibri" w:eastAsia="Times New Roman" w:hAnsi="Calibri" w:cs="Calibri"/>
                <w:lang w:eastAsia="en-GB"/>
              </w:rPr>
              <w:t>†</w:t>
            </w:r>
          </w:p>
        </w:tc>
        <w:tc>
          <w:tcPr>
            <w:tcW w:w="0" w:type="auto"/>
            <w:tcBorders>
              <w:top w:val="nil"/>
              <w:bottom w:val="nil"/>
            </w:tcBorders>
            <w:vAlign w:val="center"/>
          </w:tcPr>
          <w:p w14:paraId="4196C0D9" w14:textId="77777777" w:rsidR="00D42A55" w:rsidRPr="00293C29" w:rsidRDefault="00D42A55" w:rsidP="00D42A55">
            <w:pPr>
              <w:pStyle w:val="NoSpacing"/>
              <w:jc w:val="center"/>
            </w:pPr>
            <w:r w:rsidRPr="00293C29">
              <w:t>78,475</w:t>
            </w:r>
          </w:p>
        </w:tc>
        <w:tc>
          <w:tcPr>
            <w:tcW w:w="0" w:type="auto"/>
            <w:tcBorders>
              <w:top w:val="nil"/>
              <w:bottom w:val="nil"/>
            </w:tcBorders>
            <w:vAlign w:val="center"/>
          </w:tcPr>
          <w:p w14:paraId="4F711F0C" w14:textId="77777777" w:rsidR="00D42A55" w:rsidRPr="00293C29" w:rsidRDefault="00D42A55" w:rsidP="00D42A55">
            <w:pPr>
              <w:pStyle w:val="NoSpacing"/>
              <w:jc w:val="center"/>
              <w:rPr>
                <w:rFonts w:ascii="Calibri" w:hAnsi="Calibri"/>
              </w:rPr>
            </w:pPr>
            <w:r w:rsidRPr="00293C29">
              <w:rPr>
                <w:rFonts w:ascii="Calibri" w:hAnsi="Calibri"/>
              </w:rPr>
              <w:t>40</w:t>
            </w:r>
          </w:p>
        </w:tc>
        <w:tc>
          <w:tcPr>
            <w:tcW w:w="0" w:type="auto"/>
            <w:tcBorders>
              <w:top w:val="nil"/>
              <w:bottom w:val="nil"/>
            </w:tcBorders>
            <w:vAlign w:val="center"/>
          </w:tcPr>
          <w:p w14:paraId="41C0DD83" w14:textId="77777777" w:rsidR="00D42A55" w:rsidRPr="00293C29" w:rsidRDefault="00D42A55" w:rsidP="00D42A55">
            <w:pPr>
              <w:pStyle w:val="NoSpacing"/>
              <w:jc w:val="center"/>
              <w:rPr>
                <w:rFonts w:ascii="Calibri" w:hAnsi="Calibri"/>
              </w:rPr>
            </w:pPr>
            <w:r w:rsidRPr="00293C29">
              <w:rPr>
                <w:rFonts w:ascii="Calibri" w:hAnsi="Calibri"/>
              </w:rPr>
              <w:t>-0.17</w:t>
            </w:r>
          </w:p>
        </w:tc>
        <w:tc>
          <w:tcPr>
            <w:tcW w:w="0" w:type="auto"/>
            <w:tcBorders>
              <w:top w:val="nil"/>
              <w:bottom w:val="nil"/>
            </w:tcBorders>
            <w:vAlign w:val="center"/>
          </w:tcPr>
          <w:p w14:paraId="1EFEAF60" w14:textId="77777777" w:rsidR="00D42A55" w:rsidRPr="00293C29" w:rsidRDefault="00D42A55" w:rsidP="00D42A55">
            <w:pPr>
              <w:pStyle w:val="NoSpacing"/>
              <w:jc w:val="center"/>
              <w:rPr>
                <w:rFonts w:ascii="Calibri" w:hAnsi="Calibri"/>
              </w:rPr>
            </w:pPr>
            <w:r w:rsidRPr="00293C29">
              <w:rPr>
                <w:rFonts w:ascii="Calibri" w:hAnsi="Calibri"/>
              </w:rPr>
              <w:t>-0.25 to -0.08</w:t>
            </w:r>
          </w:p>
        </w:tc>
        <w:tc>
          <w:tcPr>
            <w:tcW w:w="0" w:type="auto"/>
            <w:tcBorders>
              <w:top w:val="nil"/>
              <w:bottom w:val="nil"/>
            </w:tcBorders>
            <w:vAlign w:val="center"/>
          </w:tcPr>
          <w:p w14:paraId="2B9AC5FA" w14:textId="77777777" w:rsidR="00D42A55" w:rsidRPr="00293C29" w:rsidRDefault="00D42A55" w:rsidP="00D42A55">
            <w:pPr>
              <w:pStyle w:val="NoSpacing"/>
              <w:jc w:val="center"/>
              <w:rPr>
                <w:rFonts w:ascii="Calibri" w:hAnsi="Calibri"/>
                <w:b/>
                <w:bCs/>
              </w:rPr>
            </w:pPr>
            <w:r w:rsidRPr="00293C29">
              <w:rPr>
                <w:rFonts w:ascii="Calibri" w:hAnsi="Calibri"/>
                <w:b/>
                <w:bCs/>
              </w:rPr>
              <w:t>9.63x10</w:t>
            </w:r>
            <w:r w:rsidRPr="00293C29">
              <w:rPr>
                <w:rFonts w:ascii="Calibri" w:hAnsi="Calibri"/>
                <w:b/>
                <w:bCs/>
                <w:vertAlign w:val="superscript"/>
              </w:rPr>
              <w:t>-5</w:t>
            </w:r>
          </w:p>
        </w:tc>
        <w:tc>
          <w:tcPr>
            <w:tcW w:w="0" w:type="auto"/>
            <w:tcBorders>
              <w:top w:val="nil"/>
              <w:bottom w:val="nil"/>
            </w:tcBorders>
            <w:vAlign w:val="center"/>
          </w:tcPr>
          <w:p w14:paraId="6BA9C1F6" w14:textId="77777777" w:rsidR="00D42A55" w:rsidRPr="00293C29" w:rsidRDefault="00D42A55" w:rsidP="00D42A55">
            <w:pPr>
              <w:pStyle w:val="NoSpacing"/>
              <w:jc w:val="center"/>
              <w:rPr>
                <w:lang w:eastAsia="fr-FR"/>
              </w:rPr>
            </w:pPr>
            <w:r w:rsidRPr="00293C29">
              <w:rPr>
                <w:rFonts w:ascii="Calibri" w:hAnsi="Calibri"/>
                <w:bCs/>
              </w:rPr>
              <w:t>53 [44-84]</w:t>
            </w:r>
          </w:p>
        </w:tc>
        <w:tc>
          <w:tcPr>
            <w:tcW w:w="0" w:type="auto"/>
            <w:tcBorders>
              <w:top w:val="nil"/>
              <w:bottom w:val="nil"/>
            </w:tcBorders>
            <w:vAlign w:val="center"/>
          </w:tcPr>
          <w:p w14:paraId="6A82F8C5" w14:textId="77777777" w:rsidR="00D42A55" w:rsidRPr="00293C29" w:rsidRDefault="00D42A55" w:rsidP="00D42A55">
            <w:pPr>
              <w:pStyle w:val="NoSpacing"/>
              <w:jc w:val="center"/>
              <w:rPr>
                <w:rFonts w:ascii="Calibri" w:hAnsi="Calibri"/>
                <w:b/>
                <w:bCs/>
              </w:rPr>
            </w:pPr>
          </w:p>
        </w:tc>
        <w:tc>
          <w:tcPr>
            <w:tcW w:w="0" w:type="auto"/>
            <w:tcBorders>
              <w:top w:val="nil"/>
              <w:bottom w:val="nil"/>
            </w:tcBorders>
            <w:vAlign w:val="center"/>
          </w:tcPr>
          <w:p w14:paraId="3D8E87E4" w14:textId="77777777" w:rsidR="00D42A55" w:rsidRPr="00293C29" w:rsidRDefault="00D42A55" w:rsidP="00D42A55">
            <w:pPr>
              <w:pStyle w:val="NoSpacing"/>
              <w:jc w:val="center"/>
              <w:rPr>
                <w:rFonts w:ascii="Calibri" w:hAnsi="Calibri"/>
                <w:bCs/>
              </w:rPr>
            </w:pPr>
            <w:r w:rsidRPr="00293C29">
              <w:rPr>
                <w:rFonts w:ascii="Calibri" w:hAnsi="Calibri"/>
                <w:bCs/>
              </w:rPr>
              <w:t>1.05</w:t>
            </w:r>
          </w:p>
        </w:tc>
        <w:tc>
          <w:tcPr>
            <w:tcW w:w="0" w:type="auto"/>
            <w:tcBorders>
              <w:top w:val="nil"/>
              <w:bottom w:val="nil"/>
            </w:tcBorders>
            <w:vAlign w:val="center"/>
          </w:tcPr>
          <w:p w14:paraId="20000601" w14:textId="77777777" w:rsidR="00D42A55" w:rsidRPr="00293C29" w:rsidRDefault="00D42A55" w:rsidP="00D42A55">
            <w:pPr>
              <w:pStyle w:val="NoSpacing"/>
              <w:jc w:val="center"/>
              <w:rPr>
                <w:rFonts w:ascii="Calibri" w:hAnsi="Calibri"/>
                <w:bCs/>
              </w:rPr>
            </w:pPr>
            <w:r w:rsidRPr="00293C29">
              <w:rPr>
                <w:rFonts w:ascii="Calibri" w:hAnsi="Calibri"/>
                <w:bCs/>
              </w:rPr>
              <w:t>1.00 to 1.11</w:t>
            </w:r>
          </w:p>
        </w:tc>
        <w:tc>
          <w:tcPr>
            <w:tcW w:w="0" w:type="auto"/>
            <w:tcBorders>
              <w:top w:val="nil"/>
              <w:bottom w:val="nil"/>
            </w:tcBorders>
            <w:vAlign w:val="center"/>
          </w:tcPr>
          <w:p w14:paraId="3BF3157A" w14:textId="77777777" w:rsidR="00D42A55" w:rsidRPr="00293C29" w:rsidRDefault="00D42A55" w:rsidP="00D42A55">
            <w:pPr>
              <w:pStyle w:val="NoSpacing"/>
              <w:jc w:val="center"/>
              <w:rPr>
                <w:rFonts w:ascii="Calibri" w:hAnsi="Calibri"/>
                <w:b/>
                <w:bCs/>
              </w:rPr>
            </w:pPr>
            <w:r w:rsidRPr="00293C29">
              <w:rPr>
                <w:rFonts w:ascii="Calibri" w:hAnsi="Calibri"/>
                <w:b/>
                <w:bCs/>
              </w:rPr>
              <w:t>0.042</w:t>
            </w:r>
          </w:p>
        </w:tc>
        <w:tc>
          <w:tcPr>
            <w:tcW w:w="0" w:type="auto"/>
            <w:tcBorders>
              <w:top w:val="nil"/>
              <w:bottom w:val="nil"/>
            </w:tcBorders>
            <w:vAlign w:val="center"/>
          </w:tcPr>
          <w:p w14:paraId="778BBD3D" w14:textId="77777777" w:rsidR="00D42A55" w:rsidRPr="00293C29" w:rsidRDefault="00D42A55" w:rsidP="00D42A55">
            <w:pPr>
              <w:pStyle w:val="NoSpacing"/>
              <w:jc w:val="center"/>
              <w:rPr>
                <w:lang w:eastAsia="fr-FR"/>
              </w:rPr>
            </w:pPr>
            <w:r w:rsidRPr="00293C29">
              <w:rPr>
                <w:rFonts w:ascii="Calibri" w:hAnsi="Calibri"/>
                <w:bCs/>
              </w:rPr>
              <w:t>13 [0-51]</w:t>
            </w:r>
          </w:p>
        </w:tc>
      </w:tr>
      <w:tr w:rsidR="00293C29" w:rsidRPr="00293C29" w14:paraId="68347E11" w14:textId="77777777" w:rsidTr="00DE0217">
        <w:trPr>
          <w:trHeight w:val="283"/>
        </w:trPr>
        <w:tc>
          <w:tcPr>
            <w:tcW w:w="0" w:type="auto"/>
            <w:tcBorders>
              <w:top w:val="nil"/>
              <w:bottom w:val="nil"/>
            </w:tcBorders>
          </w:tcPr>
          <w:p w14:paraId="42825FC7" w14:textId="77777777" w:rsidR="00D42A55" w:rsidRPr="00293C29" w:rsidRDefault="00D42A55" w:rsidP="00D42A55">
            <w:pPr>
              <w:pStyle w:val="NoSpacing"/>
              <w:rPr>
                <w:b/>
              </w:rPr>
            </w:pPr>
            <w:r w:rsidRPr="00293C29">
              <w:rPr>
                <w:rFonts w:ascii="Calibri" w:eastAsia="Times New Roman" w:hAnsi="Calibri" w:cs="Times New Roman"/>
                <w:lang w:eastAsia="en-GB"/>
              </w:rPr>
              <w:t xml:space="preserve"> Non-asthmatic women</w:t>
            </w:r>
          </w:p>
        </w:tc>
        <w:tc>
          <w:tcPr>
            <w:tcW w:w="0" w:type="auto"/>
            <w:tcBorders>
              <w:top w:val="nil"/>
              <w:bottom w:val="nil"/>
            </w:tcBorders>
            <w:vAlign w:val="center"/>
          </w:tcPr>
          <w:p w14:paraId="1EA13341" w14:textId="77777777" w:rsidR="00D42A55" w:rsidRPr="00293C29" w:rsidRDefault="00D42A55" w:rsidP="00D42A55">
            <w:pPr>
              <w:pStyle w:val="NoSpacing"/>
              <w:jc w:val="center"/>
            </w:pPr>
            <w:r w:rsidRPr="00293C29">
              <w:t>77,562</w:t>
            </w:r>
          </w:p>
        </w:tc>
        <w:tc>
          <w:tcPr>
            <w:tcW w:w="0" w:type="auto"/>
            <w:tcBorders>
              <w:top w:val="nil"/>
              <w:bottom w:val="nil"/>
            </w:tcBorders>
            <w:vAlign w:val="center"/>
          </w:tcPr>
          <w:p w14:paraId="293815EA" w14:textId="77777777" w:rsidR="00D42A55" w:rsidRPr="00293C29" w:rsidRDefault="00D42A55" w:rsidP="00D42A55">
            <w:pPr>
              <w:pStyle w:val="NoSpacing"/>
              <w:jc w:val="center"/>
              <w:rPr>
                <w:rFonts w:ascii="Calibri" w:hAnsi="Calibri"/>
              </w:rPr>
            </w:pPr>
            <w:r w:rsidRPr="00293C29">
              <w:rPr>
                <w:rFonts w:ascii="Calibri" w:hAnsi="Calibri"/>
              </w:rPr>
              <w:t>40</w:t>
            </w:r>
          </w:p>
        </w:tc>
        <w:tc>
          <w:tcPr>
            <w:tcW w:w="0" w:type="auto"/>
            <w:tcBorders>
              <w:top w:val="nil"/>
              <w:bottom w:val="nil"/>
            </w:tcBorders>
            <w:vAlign w:val="center"/>
          </w:tcPr>
          <w:p w14:paraId="67AD688E" w14:textId="77777777" w:rsidR="00D42A55" w:rsidRPr="00293C29" w:rsidRDefault="00D42A55" w:rsidP="00D42A55">
            <w:pPr>
              <w:pStyle w:val="NoSpacing"/>
              <w:jc w:val="center"/>
              <w:rPr>
                <w:rFonts w:ascii="Calibri" w:hAnsi="Calibri"/>
              </w:rPr>
            </w:pPr>
            <w:r w:rsidRPr="00293C29">
              <w:rPr>
                <w:rFonts w:ascii="Calibri" w:hAnsi="Calibri"/>
              </w:rPr>
              <w:t>-0.18</w:t>
            </w:r>
          </w:p>
        </w:tc>
        <w:tc>
          <w:tcPr>
            <w:tcW w:w="0" w:type="auto"/>
            <w:tcBorders>
              <w:top w:val="nil"/>
              <w:bottom w:val="nil"/>
            </w:tcBorders>
            <w:vAlign w:val="center"/>
          </w:tcPr>
          <w:p w14:paraId="0290F26C" w14:textId="77777777" w:rsidR="00D42A55" w:rsidRPr="00293C29" w:rsidRDefault="00D42A55" w:rsidP="00D42A55">
            <w:pPr>
              <w:pStyle w:val="NoSpacing"/>
              <w:jc w:val="center"/>
              <w:rPr>
                <w:rFonts w:ascii="Calibri" w:hAnsi="Calibri"/>
              </w:rPr>
            </w:pPr>
            <w:r w:rsidRPr="00293C29">
              <w:rPr>
                <w:rFonts w:ascii="Calibri" w:hAnsi="Calibri"/>
              </w:rPr>
              <w:t>-0.26 to -0.10</w:t>
            </w:r>
          </w:p>
        </w:tc>
        <w:tc>
          <w:tcPr>
            <w:tcW w:w="0" w:type="auto"/>
            <w:tcBorders>
              <w:top w:val="nil"/>
              <w:bottom w:val="nil"/>
            </w:tcBorders>
            <w:vAlign w:val="center"/>
          </w:tcPr>
          <w:p w14:paraId="0DB0BCC1" w14:textId="77777777" w:rsidR="00D42A55" w:rsidRPr="00293C29" w:rsidRDefault="00D42A55" w:rsidP="00D42A55">
            <w:pPr>
              <w:pStyle w:val="NoSpacing"/>
              <w:jc w:val="center"/>
              <w:rPr>
                <w:rFonts w:ascii="Calibri" w:hAnsi="Calibri"/>
                <w:b/>
                <w:bCs/>
              </w:rPr>
            </w:pPr>
            <w:r w:rsidRPr="00293C29">
              <w:rPr>
                <w:rFonts w:ascii="Calibri" w:hAnsi="Calibri"/>
                <w:b/>
                <w:bCs/>
              </w:rPr>
              <w:t>1.79x10</w:t>
            </w:r>
            <w:r w:rsidRPr="00293C29">
              <w:rPr>
                <w:rFonts w:ascii="Calibri" w:hAnsi="Calibri"/>
                <w:b/>
                <w:bCs/>
                <w:vertAlign w:val="superscript"/>
              </w:rPr>
              <w:t>-5</w:t>
            </w:r>
          </w:p>
        </w:tc>
        <w:tc>
          <w:tcPr>
            <w:tcW w:w="0" w:type="auto"/>
            <w:tcBorders>
              <w:top w:val="nil"/>
              <w:bottom w:val="nil"/>
            </w:tcBorders>
            <w:vAlign w:val="center"/>
          </w:tcPr>
          <w:p w14:paraId="5045EF56" w14:textId="77777777" w:rsidR="00D42A55" w:rsidRPr="00293C29" w:rsidRDefault="00D42A55" w:rsidP="00D42A55">
            <w:pPr>
              <w:pStyle w:val="NoSpacing"/>
              <w:jc w:val="center"/>
              <w:rPr>
                <w:lang w:eastAsia="fr-FR"/>
              </w:rPr>
            </w:pPr>
            <w:r w:rsidRPr="00293C29">
              <w:rPr>
                <w:rFonts w:ascii="Calibri" w:hAnsi="Calibri"/>
                <w:bCs/>
              </w:rPr>
              <w:t>53 [44-83]</w:t>
            </w:r>
          </w:p>
        </w:tc>
        <w:tc>
          <w:tcPr>
            <w:tcW w:w="0" w:type="auto"/>
            <w:tcBorders>
              <w:top w:val="nil"/>
              <w:bottom w:val="nil"/>
            </w:tcBorders>
            <w:vAlign w:val="center"/>
          </w:tcPr>
          <w:p w14:paraId="25FBA211" w14:textId="77777777" w:rsidR="00D42A55" w:rsidRPr="00293C29" w:rsidRDefault="00D42A55" w:rsidP="00D42A55">
            <w:pPr>
              <w:pStyle w:val="NoSpacing"/>
              <w:jc w:val="center"/>
              <w:rPr>
                <w:rFonts w:ascii="Calibri" w:hAnsi="Calibri"/>
                <w:b/>
                <w:bCs/>
              </w:rPr>
            </w:pPr>
          </w:p>
        </w:tc>
        <w:tc>
          <w:tcPr>
            <w:tcW w:w="0" w:type="auto"/>
            <w:tcBorders>
              <w:top w:val="nil"/>
              <w:bottom w:val="nil"/>
            </w:tcBorders>
            <w:vAlign w:val="center"/>
          </w:tcPr>
          <w:p w14:paraId="41852843" w14:textId="77777777" w:rsidR="00D42A55" w:rsidRPr="00293C29" w:rsidRDefault="00D42A55" w:rsidP="00D42A55">
            <w:pPr>
              <w:pStyle w:val="NoSpacing"/>
              <w:jc w:val="center"/>
              <w:rPr>
                <w:rFonts w:ascii="Calibri" w:hAnsi="Calibri"/>
                <w:bCs/>
              </w:rPr>
            </w:pPr>
            <w:r w:rsidRPr="00293C29">
              <w:rPr>
                <w:rFonts w:ascii="Calibri" w:hAnsi="Calibri"/>
                <w:bCs/>
              </w:rPr>
              <w:t>1.06</w:t>
            </w:r>
          </w:p>
        </w:tc>
        <w:tc>
          <w:tcPr>
            <w:tcW w:w="0" w:type="auto"/>
            <w:tcBorders>
              <w:top w:val="nil"/>
              <w:bottom w:val="nil"/>
            </w:tcBorders>
            <w:vAlign w:val="center"/>
          </w:tcPr>
          <w:p w14:paraId="2C66741F" w14:textId="77777777" w:rsidR="00D42A55" w:rsidRPr="00293C29" w:rsidRDefault="00D42A55" w:rsidP="00D42A55">
            <w:pPr>
              <w:pStyle w:val="NoSpacing"/>
              <w:jc w:val="center"/>
              <w:rPr>
                <w:rFonts w:ascii="Calibri" w:hAnsi="Calibri"/>
                <w:bCs/>
              </w:rPr>
            </w:pPr>
            <w:r w:rsidRPr="00293C29">
              <w:rPr>
                <w:rFonts w:ascii="Calibri" w:hAnsi="Calibri"/>
                <w:bCs/>
              </w:rPr>
              <w:t>1.00 to 1.12</w:t>
            </w:r>
          </w:p>
        </w:tc>
        <w:tc>
          <w:tcPr>
            <w:tcW w:w="0" w:type="auto"/>
            <w:tcBorders>
              <w:top w:val="nil"/>
              <w:bottom w:val="nil"/>
            </w:tcBorders>
            <w:vAlign w:val="center"/>
          </w:tcPr>
          <w:p w14:paraId="7181A4AC" w14:textId="77777777" w:rsidR="00D42A55" w:rsidRPr="00293C29" w:rsidRDefault="00D42A55" w:rsidP="00D42A55">
            <w:pPr>
              <w:pStyle w:val="NoSpacing"/>
              <w:jc w:val="center"/>
              <w:rPr>
                <w:rFonts w:ascii="Calibri" w:hAnsi="Calibri"/>
                <w:b/>
                <w:bCs/>
              </w:rPr>
            </w:pPr>
            <w:r w:rsidRPr="00293C29">
              <w:rPr>
                <w:rFonts w:ascii="Calibri" w:hAnsi="Calibri"/>
                <w:b/>
                <w:bCs/>
              </w:rPr>
              <w:t>0.044</w:t>
            </w:r>
          </w:p>
        </w:tc>
        <w:tc>
          <w:tcPr>
            <w:tcW w:w="0" w:type="auto"/>
            <w:tcBorders>
              <w:top w:val="nil"/>
              <w:bottom w:val="nil"/>
            </w:tcBorders>
            <w:vAlign w:val="center"/>
          </w:tcPr>
          <w:p w14:paraId="15974B67" w14:textId="77777777" w:rsidR="00D42A55" w:rsidRPr="00293C29" w:rsidRDefault="00D42A55" w:rsidP="00D42A55">
            <w:pPr>
              <w:pStyle w:val="NoSpacing"/>
              <w:jc w:val="center"/>
              <w:rPr>
                <w:lang w:eastAsia="fr-FR"/>
              </w:rPr>
            </w:pPr>
            <w:r w:rsidRPr="00293C29">
              <w:rPr>
                <w:rFonts w:ascii="Calibri" w:hAnsi="Calibri"/>
                <w:bCs/>
              </w:rPr>
              <w:t>6 [0-48]</w:t>
            </w:r>
          </w:p>
        </w:tc>
      </w:tr>
      <w:tr w:rsidR="005077FE" w:rsidRPr="00293C29" w14:paraId="2DB91DDC" w14:textId="77777777" w:rsidTr="004500D0">
        <w:trPr>
          <w:trHeight w:val="283"/>
        </w:trPr>
        <w:tc>
          <w:tcPr>
            <w:tcW w:w="0" w:type="auto"/>
            <w:tcBorders>
              <w:top w:val="nil"/>
              <w:bottom w:val="single" w:sz="4" w:space="0" w:color="auto"/>
            </w:tcBorders>
          </w:tcPr>
          <w:p w14:paraId="0D310927" w14:textId="0EB9B156" w:rsidR="005077FE" w:rsidRPr="00293C29" w:rsidRDefault="005077FE" w:rsidP="005077FE">
            <w:pPr>
              <w:pStyle w:val="NoSpacing"/>
              <w:rPr>
                <w:rFonts w:ascii="Calibri" w:eastAsia="Times New Roman" w:hAnsi="Calibri" w:cs="Times New Roman"/>
                <w:lang w:eastAsia="en-GB"/>
              </w:rPr>
            </w:pPr>
            <w:r>
              <w:rPr>
                <w:rFonts w:ascii="Calibri" w:eastAsia="Times New Roman" w:hAnsi="Calibri" w:cs="Times New Roman"/>
                <w:lang w:eastAsia="en-GB"/>
              </w:rPr>
              <w:t xml:space="preserve"> Limiting to Day </w:t>
            </w:r>
            <w:r w:rsidRPr="00A4147F">
              <w:rPr>
                <w:rFonts w:ascii="Calibri" w:eastAsia="Times New Roman" w:hAnsi="Calibri" w:cs="Times New Roman"/>
                <w:i/>
                <w:lang w:eastAsia="en-GB"/>
              </w:rPr>
              <w:t>et al</w:t>
            </w:r>
            <w:r>
              <w:rPr>
                <w:rFonts w:ascii="Calibri" w:eastAsia="Times New Roman" w:hAnsi="Calibri" w:cs="Times New Roman"/>
                <w:i/>
                <w:lang w:eastAsia="en-GB"/>
              </w:rPr>
              <w:t>.</w:t>
            </w:r>
            <w:r>
              <w:rPr>
                <w:rFonts w:ascii="Calibri" w:eastAsia="Times New Roman" w:hAnsi="Calibri" w:cs="Times New Roman"/>
                <w:lang w:eastAsia="en-GB"/>
              </w:rPr>
              <w:t xml:space="preserve"> SNPs</w:t>
            </w:r>
          </w:p>
        </w:tc>
        <w:tc>
          <w:tcPr>
            <w:tcW w:w="0" w:type="auto"/>
            <w:tcBorders>
              <w:top w:val="nil"/>
              <w:bottom w:val="single" w:sz="4" w:space="0" w:color="auto"/>
            </w:tcBorders>
            <w:vAlign w:val="center"/>
          </w:tcPr>
          <w:p w14:paraId="2D38E267" w14:textId="20A4F077" w:rsidR="005077FE" w:rsidRPr="00293C29" w:rsidRDefault="00021E45" w:rsidP="005077FE">
            <w:pPr>
              <w:pStyle w:val="NoSpacing"/>
              <w:jc w:val="center"/>
            </w:pPr>
            <w:r w:rsidRPr="00293C29">
              <w:t>87,536</w:t>
            </w:r>
          </w:p>
        </w:tc>
        <w:tc>
          <w:tcPr>
            <w:tcW w:w="0" w:type="auto"/>
            <w:tcBorders>
              <w:top w:val="nil"/>
              <w:bottom w:val="single" w:sz="4" w:space="0" w:color="auto"/>
            </w:tcBorders>
            <w:vAlign w:val="center"/>
          </w:tcPr>
          <w:p w14:paraId="7A525CF6" w14:textId="78C4206C" w:rsidR="005077FE" w:rsidRPr="00293C29" w:rsidRDefault="00021E45" w:rsidP="005077FE">
            <w:pPr>
              <w:pStyle w:val="NoSpacing"/>
              <w:jc w:val="center"/>
              <w:rPr>
                <w:rFonts w:ascii="Calibri" w:hAnsi="Calibri"/>
              </w:rPr>
            </w:pPr>
            <w:r>
              <w:rPr>
                <w:rFonts w:ascii="Calibri" w:hAnsi="Calibri"/>
              </w:rPr>
              <w:t>33</w:t>
            </w:r>
          </w:p>
        </w:tc>
        <w:tc>
          <w:tcPr>
            <w:tcW w:w="0" w:type="auto"/>
            <w:tcBorders>
              <w:top w:val="nil"/>
              <w:bottom w:val="single" w:sz="4" w:space="0" w:color="auto"/>
            </w:tcBorders>
            <w:vAlign w:val="center"/>
          </w:tcPr>
          <w:p w14:paraId="44C53783" w14:textId="19CCBE24" w:rsidR="005077FE" w:rsidRPr="00293C29" w:rsidRDefault="00021E45" w:rsidP="005077FE">
            <w:pPr>
              <w:pStyle w:val="NoSpacing"/>
              <w:jc w:val="center"/>
              <w:rPr>
                <w:rFonts w:ascii="Calibri" w:hAnsi="Calibri"/>
              </w:rPr>
            </w:pPr>
            <w:r>
              <w:rPr>
                <w:rFonts w:ascii="Calibri" w:hAnsi="Calibri"/>
              </w:rPr>
              <w:t>-0.17</w:t>
            </w:r>
          </w:p>
        </w:tc>
        <w:tc>
          <w:tcPr>
            <w:tcW w:w="0" w:type="auto"/>
            <w:tcBorders>
              <w:top w:val="nil"/>
              <w:bottom w:val="single" w:sz="4" w:space="0" w:color="auto"/>
            </w:tcBorders>
            <w:vAlign w:val="center"/>
          </w:tcPr>
          <w:p w14:paraId="5CEF7707" w14:textId="3C4C3779" w:rsidR="005077FE" w:rsidRPr="00293C29" w:rsidRDefault="00021E45" w:rsidP="005077FE">
            <w:pPr>
              <w:pStyle w:val="NoSpacing"/>
              <w:jc w:val="center"/>
              <w:rPr>
                <w:rFonts w:ascii="Calibri" w:hAnsi="Calibri"/>
              </w:rPr>
            </w:pPr>
            <w:r>
              <w:rPr>
                <w:rFonts w:ascii="Calibri" w:hAnsi="Calibri"/>
              </w:rPr>
              <w:t>-0.27 to -0.08</w:t>
            </w:r>
          </w:p>
        </w:tc>
        <w:tc>
          <w:tcPr>
            <w:tcW w:w="0" w:type="auto"/>
            <w:tcBorders>
              <w:top w:val="nil"/>
              <w:bottom w:val="single" w:sz="4" w:space="0" w:color="auto"/>
            </w:tcBorders>
            <w:vAlign w:val="center"/>
          </w:tcPr>
          <w:p w14:paraId="69B62A99" w14:textId="37A60BBD" w:rsidR="005077FE" w:rsidRPr="00293C29" w:rsidRDefault="00021E45" w:rsidP="005077FE">
            <w:pPr>
              <w:pStyle w:val="NoSpacing"/>
              <w:jc w:val="center"/>
              <w:rPr>
                <w:rFonts w:ascii="Calibri" w:hAnsi="Calibri"/>
                <w:b/>
                <w:bCs/>
              </w:rPr>
            </w:pPr>
            <w:r>
              <w:rPr>
                <w:rFonts w:ascii="Calibri" w:hAnsi="Calibri"/>
                <w:b/>
                <w:bCs/>
              </w:rPr>
              <w:t>4.39</w:t>
            </w:r>
            <w:r w:rsidRPr="00293C29">
              <w:rPr>
                <w:rFonts w:ascii="Calibri" w:hAnsi="Calibri"/>
                <w:b/>
                <w:bCs/>
              </w:rPr>
              <w:t>x10</w:t>
            </w:r>
            <w:r w:rsidRPr="00293C29">
              <w:rPr>
                <w:rFonts w:ascii="Calibri" w:hAnsi="Calibri"/>
                <w:b/>
                <w:bCs/>
                <w:vertAlign w:val="superscript"/>
              </w:rPr>
              <w:t>-4</w:t>
            </w:r>
          </w:p>
        </w:tc>
        <w:tc>
          <w:tcPr>
            <w:tcW w:w="0" w:type="auto"/>
            <w:tcBorders>
              <w:top w:val="nil"/>
              <w:bottom w:val="single" w:sz="4" w:space="0" w:color="auto"/>
            </w:tcBorders>
            <w:vAlign w:val="center"/>
          </w:tcPr>
          <w:p w14:paraId="0C8D0E5F" w14:textId="27702EDF" w:rsidR="005077FE" w:rsidRPr="00293C29" w:rsidRDefault="00021E45" w:rsidP="005077FE">
            <w:pPr>
              <w:pStyle w:val="NoSpacing"/>
              <w:jc w:val="center"/>
              <w:rPr>
                <w:rFonts w:ascii="Calibri" w:hAnsi="Calibri"/>
                <w:bCs/>
              </w:rPr>
            </w:pPr>
            <w:r>
              <w:rPr>
                <w:rFonts w:ascii="Calibri" w:hAnsi="Calibri"/>
                <w:bCs/>
              </w:rPr>
              <w:t>44 [20-83]</w:t>
            </w:r>
          </w:p>
        </w:tc>
        <w:tc>
          <w:tcPr>
            <w:tcW w:w="0" w:type="auto"/>
            <w:tcBorders>
              <w:top w:val="nil"/>
              <w:bottom w:val="single" w:sz="4" w:space="0" w:color="auto"/>
            </w:tcBorders>
            <w:vAlign w:val="center"/>
          </w:tcPr>
          <w:p w14:paraId="1A6CFD60" w14:textId="77777777" w:rsidR="005077FE" w:rsidRPr="00293C29" w:rsidRDefault="005077FE" w:rsidP="005077FE">
            <w:pPr>
              <w:pStyle w:val="NoSpacing"/>
              <w:jc w:val="center"/>
              <w:rPr>
                <w:rFonts w:ascii="Calibri" w:hAnsi="Calibri"/>
                <w:b/>
                <w:bCs/>
              </w:rPr>
            </w:pPr>
          </w:p>
        </w:tc>
        <w:tc>
          <w:tcPr>
            <w:tcW w:w="0" w:type="auto"/>
            <w:tcBorders>
              <w:top w:val="nil"/>
              <w:bottom w:val="single" w:sz="4" w:space="0" w:color="auto"/>
            </w:tcBorders>
            <w:vAlign w:val="center"/>
          </w:tcPr>
          <w:p w14:paraId="6240FB74" w14:textId="7641F4CF" w:rsidR="005077FE" w:rsidRPr="00293C29" w:rsidRDefault="00021E45" w:rsidP="005077FE">
            <w:pPr>
              <w:pStyle w:val="NoSpacing"/>
              <w:jc w:val="center"/>
              <w:rPr>
                <w:rFonts w:ascii="Calibri" w:hAnsi="Calibri"/>
                <w:bCs/>
              </w:rPr>
            </w:pPr>
            <w:r>
              <w:rPr>
                <w:rFonts w:ascii="Calibri" w:hAnsi="Calibri"/>
                <w:bCs/>
              </w:rPr>
              <w:t>1.05</w:t>
            </w:r>
          </w:p>
        </w:tc>
        <w:tc>
          <w:tcPr>
            <w:tcW w:w="0" w:type="auto"/>
            <w:tcBorders>
              <w:top w:val="nil"/>
              <w:bottom w:val="single" w:sz="4" w:space="0" w:color="auto"/>
            </w:tcBorders>
            <w:vAlign w:val="center"/>
          </w:tcPr>
          <w:p w14:paraId="71FB7817" w14:textId="675AF950" w:rsidR="005077FE" w:rsidRPr="00293C29" w:rsidRDefault="00021E45" w:rsidP="005077FE">
            <w:pPr>
              <w:pStyle w:val="NoSpacing"/>
              <w:jc w:val="center"/>
              <w:rPr>
                <w:rFonts w:ascii="Calibri" w:hAnsi="Calibri"/>
                <w:bCs/>
              </w:rPr>
            </w:pPr>
            <w:r>
              <w:rPr>
                <w:rFonts w:ascii="Calibri" w:hAnsi="Calibri"/>
                <w:bCs/>
              </w:rPr>
              <w:t>0.99 to 1.12</w:t>
            </w:r>
          </w:p>
        </w:tc>
        <w:tc>
          <w:tcPr>
            <w:tcW w:w="0" w:type="auto"/>
            <w:tcBorders>
              <w:top w:val="nil"/>
              <w:bottom w:val="single" w:sz="4" w:space="0" w:color="auto"/>
            </w:tcBorders>
            <w:vAlign w:val="center"/>
          </w:tcPr>
          <w:p w14:paraId="573AFA39" w14:textId="356884C0" w:rsidR="005077FE" w:rsidRPr="004500D0" w:rsidRDefault="00021E45" w:rsidP="005077FE">
            <w:pPr>
              <w:pStyle w:val="NoSpacing"/>
              <w:jc w:val="center"/>
              <w:rPr>
                <w:rFonts w:ascii="Calibri" w:hAnsi="Calibri"/>
                <w:bCs/>
              </w:rPr>
            </w:pPr>
            <w:r w:rsidRPr="004500D0">
              <w:rPr>
                <w:rFonts w:ascii="Calibri" w:hAnsi="Calibri"/>
                <w:bCs/>
              </w:rPr>
              <w:t>0.077</w:t>
            </w:r>
          </w:p>
        </w:tc>
        <w:tc>
          <w:tcPr>
            <w:tcW w:w="0" w:type="auto"/>
            <w:tcBorders>
              <w:top w:val="nil"/>
              <w:bottom w:val="single" w:sz="4" w:space="0" w:color="auto"/>
            </w:tcBorders>
            <w:vAlign w:val="center"/>
          </w:tcPr>
          <w:p w14:paraId="0C9E3DE4" w14:textId="4B192177" w:rsidR="005077FE" w:rsidRPr="00293C29" w:rsidRDefault="00021E45" w:rsidP="005077FE">
            <w:pPr>
              <w:pStyle w:val="NoSpacing"/>
              <w:jc w:val="center"/>
              <w:rPr>
                <w:rFonts w:ascii="Calibri" w:hAnsi="Calibri"/>
                <w:bCs/>
              </w:rPr>
            </w:pPr>
            <w:r>
              <w:rPr>
                <w:rFonts w:ascii="Calibri" w:hAnsi="Calibri"/>
                <w:bCs/>
              </w:rPr>
              <w:t>6 [0-52]</w:t>
            </w:r>
          </w:p>
        </w:tc>
      </w:tr>
    </w:tbl>
    <w:p w14:paraId="0E373164" w14:textId="77777777" w:rsidR="00FE188A" w:rsidRPr="00293C29" w:rsidRDefault="00FE188A" w:rsidP="00FE188A">
      <w:pPr>
        <w:pStyle w:val="NoSpacing"/>
        <w:ind w:right="1246"/>
        <w:rPr>
          <w:i/>
          <w:sz w:val="20"/>
          <w:szCs w:val="20"/>
          <w:lang w:val="en-GB" w:eastAsia="en-GB"/>
        </w:rPr>
      </w:pPr>
      <w:r w:rsidRPr="00293C29">
        <w:rPr>
          <w:i/>
          <w:sz w:val="20"/>
          <w:szCs w:val="20"/>
          <w:lang w:val="en-GB" w:eastAsia="en-GB"/>
        </w:rPr>
        <w:t xml:space="preserve">* All pleiotropic SNPs include all SNPs associated with height, BMI and menarche. SNPs associated with the traits were selected based on the results from the </w:t>
      </w:r>
      <w:proofErr w:type="spellStart"/>
      <w:r w:rsidRPr="00293C29">
        <w:rPr>
          <w:i/>
          <w:sz w:val="20"/>
          <w:szCs w:val="20"/>
          <w:lang w:val="en-GB" w:eastAsia="en-GB"/>
        </w:rPr>
        <w:t>Phenoscanner</w:t>
      </w:r>
      <w:proofErr w:type="spellEnd"/>
      <w:r w:rsidRPr="00293C29">
        <w:rPr>
          <w:i/>
          <w:sz w:val="20"/>
          <w:szCs w:val="20"/>
          <w:lang w:val="en-GB" w:eastAsia="en-GB"/>
        </w:rPr>
        <w:t xml:space="preserve"> with a p&lt;7.94x10</w:t>
      </w:r>
      <w:r w:rsidRPr="00293C29">
        <w:rPr>
          <w:i/>
          <w:sz w:val="20"/>
          <w:szCs w:val="20"/>
          <w:vertAlign w:val="superscript"/>
          <w:lang w:val="en-GB" w:eastAsia="en-GB"/>
        </w:rPr>
        <w:t>-4</w:t>
      </w:r>
      <w:r w:rsidRPr="00293C29">
        <w:rPr>
          <w:i/>
          <w:sz w:val="20"/>
          <w:szCs w:val="20"/>
          <w:lang w:val="en-GB" w:eastAsia="en-GB"/>
        </w:rPr>
        <w:t xml:space="preserve"> (0.05/63). </w:t>
      </w:r>
    </w:p>
    <w:p w14:paraId="766E783B" w14:textId="77777777" w:rsidR="00FE188A" w:rsidRPr="00293C29" w:rsidRDefault="00FE188A" w:rsidP="00FE188A">
      <w:pPr>
        <w:pStyle w:val="NoSpacing"/>
        <w:ind w:right="1246"/>
        <w:rPr>
          <w:i/>
          <w:sz w:val="20"/>
          <w:szCs w:val="20"/>
          <w:lang w:val="en-GB" w:eastAsia="en-GB"/>
        </w:rPr>
      </w:pPr>
      <w:r w:rsidRPr="00293C29">
        <w:rPr>
          <w:i/>
          <w:sz w:val="20"/>
          <w:szCs w:val="20"/>
          <w:lang w:val="en-GB" w:eastAsia="en-GB"/>
        </w:rPr>
        <w:t xml:space="preserve">†Women with complete data on all variables included in the observational analyses. </w:t>
      </w:r>
    </w:p>
    <w:p w14:paraId="07076467" w14:textId="77777777" w:rsidR="00FE188A" w:rsidRPr="00293C29" w:rsidRDefault="00FE188A" w:rsidP="00FE188A">
      <w:pPr>
        <w:pStyle w:val="NoSpacing"/>
        <w:ind w:right="1246"/>
        <w:rPr>
          <w:i/>
          <w:sz w:val="20"/>
          <w:szCs w:val="20"/>
          <w:lang w:val="en-GB"/>
        </w:rPr>
      </w:pPr>
      <w:r w:rsidRPr="00293C29">
        <w:rPr>
          <w:i/>
          <w:sz w:val="20"/>
          <w:szCs w:val="20"/>
          <w:lang w:val="en-GB"/>
        </w:rPr>
        <w:t>LLN = Lower Limit of Normal, N = number of subjects included in analysis, N SNPs = number SNPs included in analysis, B = beta, 95%CI = 95% Confidence Interval, P = P-value, I</w:t>
      </w:r>
      <w:r w:rsidRPr="00293C29">
        <w:rPr>
          <w:i/>
          <w:sz w:val="20"/>
          <w:szCs w:val="20"/>
          <w:vertAlign w:val="superscript"/>
          <w:lang w:val="en-GB"/>
        </w:rPr>
        <w:t>2</w:t>
      </w:r>
      <w:r w:rsidRPr="00293C29">
        <w:rPr>
          <w:i/>
          <w:sz w:val="20"/>
          <w:szCs w:val="20"/>
          <w:lang w:val="en-GB"/>
        </w:rPr>
        <w:t xml:space="preserve"> = between-instrument heterogeneity indicator, OR = Odds Ratio, and NA = Not applicable. Significant results are show in bold.</w:t>
      </w:r>
    </w:p>
    <w:p w14:paraId="34745F20" w14:textId="77777777" w:rsidR="00AA0EA1" w:rsidRPr="00293C29" w:rsidRDefault="00AA0EA1">
      <w:pPr>
        <w:rPr>
          <w:rFonts w:ascii="Calibri" w:eastAsia="Times New Roman" w:hAnsi="Calibri" w:cs="Times New Roman"/>
          <w:b/>
          <w:lang w:val="en-GB" w:eastAsia="en-GB"/>
        </w:rPr>
        <w:sectPr w:rsidR="00AA0EA1" w:rsidRPr="00293C29" w:rsidSect="00A568EB">
          <w:type w:val="continuous"/>
          <w:pgSz w:w="16838" w:h="11906" w:orient="landscape"/>
          <w:pgMar w:top="1417" w:right="1417" w:bottom="1417" w:left="1417" w:header="708" w:footer="708" w:gutter="0"/>
          <w:lnNumType w:countBy="1" w:restart="continuous"/>
          <w:cols w:space="708"/>
          <w:docGrid w:linePitch="360"/>
        </w:sectPr>
      </w:pPr>
    </w:p>
    <w:p w14:paraId="0A3F26A1" w14:textId="4FDFE4EC" w:rsidR="0041726E" w:rsidRDefault="008267F0" w:rsidP="00415A34">
      <w:pPr>
        <w:pStyle w:val="NoSpacing"/>
        <w:spacing w:after="120" w:line="360" w:lineRule="auto"/>
        <w:rPr>
          <w:b/>
          <w:noProof/>
          <w:sz w:val="24"/>
          <w:lang w:val="en-GB"/>
        </w:rPr>
      </w:pPr>
      <w:r w:rsidRPr="00415A34">
        <w:rPr>
          <w:b/>
          <w:noProof/>
          <w:sz w:val="24"/>
          <w:lang w:val="en-GB"/>
        </w:rPr>
        <w:lastRenderedPageBreak/>
        <w:t xml:space="preserve">Figure legends </w:t>
      </w:r>
    </w:p>
    <w:p w14:paraId="5B5E23D9" w14:textId="77063402" w:rsidR="00ED7BF4" w:rsidRDefault="00ED7BF4" w:rsidP="00ED7BF4">
      <w:pPr>
        <w:pStyle w:val="NoSpacing"/>
        <w:spacing w:after="120" w:line="360" w:lineRule="auto"/>
        <w:jc w:val="center"/>
        <w:rPr>
          <w:b/>
          <w:noProof/>
          <w:sz w:val="24"/>
          <w:lang w:val="en-GB"/>
        </w:rPr>
      </w:pPr>
      <w:r>
        <w:rPr>
          <w:b/>
          <w:noProof/>
          <w:sz w:val="24"/>
          <w:lang w:val="en-GB"/>
        </w:rPr>
        <w:drawing>
          <wp:inline distT="0" distB="0" distL="0" distR="0" wp14:anchorId="656356B5" wp14:editId="3FA697A3">
            <wp:extent cx="4327405" cy="2457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34944" cy="2461731"/>
                    </a:xfrm>
                    <a:prstGeom prst="rect">
                      <a:avLst/>
                    </a:prstGeom>
                    <a:noFill/>
                    <a:ln>
                      <a:noFill/>
                    </a:ln>
                  </pic:spPr>
                </pic:pic>
              </a:graphicData>
            </a:graphic>
          </wp:inline>
        </w:drawing>
      </w:r>
    </w:p>
    <w:p w14:paraId="61475FEC" w14:textId="7425878A" w:rsidR="00A30B14" w:rsidRPr="00A30B14" w:rsidRDefault="00A30B14" w:rsidP="00A30B14">
      <w:pPr>
        <w:spacing w:after="0"/>
        <w:jc w:val="both"/>
        <w:rPr>
          <w:b/>
          <w:iCs/>
          <w:color w:val="000000"/>
          <w:sz w:val="20"/>
          <w:szCs w:val="20"/>
          <w:shd w:val="clear" w:color="auto" w:fill="FFFFFF"/>
          <w:lang w:val="en-GB"/>
        </w:rPr>
      </w:pPr>
      <w:r w:rsidRPr="00A30B14">
        <w:rPr>
          <w:b/>
          <w:lang w:val="en-GB"/>
        </w:rPr>
        <w:t xml:space="preserve">Figure </w:t>
      </w:r>
      <w:r>
        <w:rPr>
          <w:b/>
          <w:lang w:val="en-GB"/>
        </w:rPr>
        <w:t>1</w:t>
      </w:r>
      <w:r w:rsidRPr="00A30B14">
        <w:rPr>
          <w:b/>
          <w:lang w:val="en-GB"/>
        </w:rPr>
        <w:t xml:space="preserve">. </w:t>
      </w:r>
      <w:r w:rsidRPr="00A30B14">
        <w:rPr>
          <w:b/>
          <w:iCs/>
          <w:color w:val="000000"/>
          <w:sz w:val="20"/>
          <w:szCs w:val="20"/>
          <w:shd w:val="clear" w:color="auto" w:fill="FFFFFF"/>
          <w:lang w:val="en-GB"/>
        </w:rPr>
        <w:t>Schematic overview of Mendelian Randomization.</w:t>
      </w:r>
    </w:p>
    <w:p w14:paraId="007C1ED5" w14:textId="5AEE0F1C" w:rsidR="00ED7BF4" w:rsidRPr="00ED7BF4" w:rsidRDefault="00A30B14" w:rsidP="00ED7BF4">
      <w:pPr>
        <w:spacing w:after="120"/>
        <w:jc w:val="both"/>
        <w:rPr>
          <w:i/>
          <w:sz w:val="20"/>
          <w:szCs w:val="20"/>
          <w:lang w:val="en-GB"/>
        </w:rPr>
      </w:pPr>
      <w:r w:rsidRPr="00A30B14">
        <w:rPr>
          <w:i/>
          <w:sz w:val="20"/>
          <w:szCs w:val="20"/>
          <w:lang w:val="en-GB"/>
        </w:rPr>
        <w:t>For each SNP, the MR effect estimate is calculated using the GX and GY associations. MR assumptions: 1) Relevance assumption: SNPs are associated with exposure (age at menopause); 2) Independent assumption: the association between SNP and outcome is NOT confounded</w:t>
      </w:r>
      <w:r w:rsidR="00136794">
        <w:rPr>
          <w:i/>
          <w:sz w:val="20"/>
          <w:szCs w:val="20"/>
          <w:lang w:val="en-GB"/>
        </w:rPr>
        <w:t>;</w:t>
      </w:r>
      <w:r w:rsidRPr="00A30B14">
        <w:rPr>
          <w:i/>
          <w:sz w:val="20"/>
          <w:szCs w:val="20"/>
          <w:lang w:val="en-GB"/>
        </w:rPr>
        <w:t xml:space="preserve"> and 3) Exclusion restriction assumption: SNPs affect outcome (lung function) only through the exposure and NOT through independent pathways (i.e. absence of pleiotropy). </w:t>
      </w:r>
      <w:bookmarkStart w:id="16" w:name="OLE_LINK1"/>
      <w:r w:rsidR="00ED7BF4">
        <w:rPr>
          <w:b/>
          <w:lang w:val="en-GB"/>
        </w:rPr>
        <w:br w:type="page"/>
      </w:r>
    </w:p>
    <w:p w14:paraId="54A9D236" w14:textId="30D7FC09" w:rsidR="00530F04" w:rsidRDefault="005A72E1" w:rsidP="00ED7BF4">
      <w:pPr>
        <w:spacing w:after="120"/>
        <w:jc w:val="center"/>
        <w:rPr>
          <w:b/>
          <w:lang w:val="en-GB"/>
        </w:rPr>
      </w:pPr>
      <w:r>
        <w:rPr>
          <w:b/>
          <w:noProof/>
          <w:lang w:val="en-GB"/>
        </w:rPr>
        <w:lastRenderedPageBreak/>
        <w:drawing>
          <wp:inline distT="0" distB="0" distL="0" distR="0" wp14:anchorId="4B2F5127" wp14:editId="5263F667">
            <wp:extent cx="4305108" cy="638991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07691" cy="6393749"/>
                    </a:xfrm>
                    <a:prstGeom prst="rect">
                      <a:avLst/>
                    </a:prstGeom>
                    <a:noFill/>
                    <a:ln>
                      <a:noFill/>
                    </a:ln>
                  </pic:spPr>
                </pic:pic>
              </a:graphicData>
            </a:graphic>
          </wp:inline>
        </w:drawing>
      </w:r>
    </w:p>
    <w:p w14:paraId="7433CAA4" w14:textId="3A0114A9" w:rsidR="00DF6533" w:rsidRPr="00293C29" w:rsidRDefault="009C0E32" w:rsidP="00A87748">
      <w:pPr>
        <w:spacing w:after="120"/>
        <w:jc w:val="both"/>
        <w:rPr>
          <w:b/>
          <w:lang w:val="en-GB"/>
        </w:rPr>
      </w:pPr>
      <w:r w:rsidRPr="00293C29">
        <w:rPr>
          <w:b/>
          <w:lang w:val="en-GB"/>
        </w:rPr>
        <w:t xml:space="preserve">Figure </w:t>
      </w:r>
      <w:r w:rsidR="00A30B14">
        <w:rPr>
          <w:b/>
          <w:lang w:val="en-GB"/>
        </w:rPr>
        <w:t>2</w:t>
      </w:r>
      <w:r w:rsidRPr="00293C29">
        <w:rPr>
          <w:b/>
          <w:lang w:val="en-GB"/>
        </w:rPr>
        <w:t xml:space="preserve">. </w:t>
      </w:r>
      <w:r w:rsidR="009020B7" w:rsidRPr="00293C29">
        <w:rPr>
          <w:b/>
          <w:lang w:val="en-GB"/>
        </w:rPr>
        <w:t xml:space="preserve">Association of </w:t>
      </w:r>
      <w:r w:rsidR="000A3D46" w:rsidRPr="00293C29">
        <w:rPr>
          <w:b/>
          <w:lang w:val="en-GB"/>
        </w:rPr>
        <w:t>early</w:t>
      </w:r>
      <w:r w:rsidR="005D3301" w:rsidRPr="00293C29">
        <w:rPr>
          <w:b/>
          <w:lang w:val="en-GB"/>
        </w:rPr>
        <w:t xml:space="preserve"> and late</w:t>
      </w:r>
      <w:r w:rsidR="000A3D46" w:rsidRPr="00293C29">
        <w:rPr>
          <w:b/>
          <w:lang w:val="en-GB"/>
        </w:rPr>
        <w:t xml:space="preserve"> </w:t>
      </w:r>
      <w:r w:rsidRPr="00293C29">
        <w:rPr>
          <w:b/>
          <w:lang w:val="en-GB"/>
        </w:rPr>
        <w:t xml:space="preserve">menopause </w:t>
      </w:r>
      <w:r w:rsidR="009020B7" w:rsidRPr="00293C29">
        <w:rPr>
          <w:b/>
          <w:lang w:val="en-GB"/>
        </w:rPr>
        <w:t>with</w:t>
      </w:r>
      <w:r w:rsidR="005D3301" w:rsidRPr="00293C29">
        <w:rPr>
          <w:b/>
          <w:lang w:val="en-GB"/>
        </w:rPr>
        <w:t xml:space="preserve"> airflow obstruction</w:t>
      </w:r>
      <w:r w:rsidR="00425B08" w:rsidRPr="00293C29">
        <w:rPr>
          <w:b/>
          <w:lang w:val="en-GB"/>
        </w:rPr>
        <w:t xml:space="preserve"> </w:t>
      </w:r>
      <w:r w:rsidRPr="00293C29">
        <w:rPr>
          <w:b/>
          <w:lang w:val="en-GB"/>
        </w:rPr>
        <w:t xml:space="preserve">in observational and MR analyses. </w:t>
      </w:r>
      <w:r w:rsidR="00B41E8E" w:rsidRPr="00293C29">
        <w:rPr>
          <w:b/>
          <w:lang w:val="en-GB"/>
        </w:rPr>
        <w:t xml:space="preserve">Early menopause: A) </w:t>
      </w:r>
      <w:r w:rsidR="00A0052D" w:rsidRPr="00293C29">
        <w:rPr>
          <w:b/>
          <w:lang w:val="en-GB"/>
        </w:rPr>
        <w:t>FEV</w:t>
      </w:r>
      <w:r w:rsidR="00A0052D" w:rsidRPr="00293C29">
        <w:rPr>
          <w:b/>
          <w:vertAlign w:val="subscript"/>
          <w:lang w:val="en-GB"/>
        </w:rPr>
        <w:t>1</w:t>
      </w:r>
      <w:r w:rsidR="00A0052D" w:rsidRPr="00293C29">
        <w:rPr>
          <w:b/>
          <w:lang w:val="en-GB"/>
        </w:rPr>
        <w:t>/FVC</w:t>
      </w:r>
      <w:r w:rsidR="00B41E8E" w:rsidRPr="00293C29">
        <w:rPr>
          <w:b/>
          <w:lang w:val="en-GB"/>
        </w:rPr>
        <w:t xml:space="preserve"> and C</w:t>
      </w:r>
      <w:r w:rsidR="00A0052D" w:rsidRPr="00293C29">
        <w:rPr>
          <w:b/>
          <w:lang w:val="en-GB"/>
        </w:rPr>
        <w:t xml:space="preserve">) </w:t>
      </w:r>
      <w:r w:rsidR="00BC341E" w:rsidRPr="00293C29">
        <w:rPr>
          <w:b/>
          <w:lang w:val="en-GB"/>
        </w:rPr>
        <w:t>FEV</w:t>
      </w:r>
      <w:r w:rsidR="00BC341E" w:rsidRPr="00293C29">
        <w:rPr>
          <w:b/>
          <w:vertAlign w:val="subscript"/>
          <w:lang w:val="en-GB"/>
        </w:rPr>
        <w:t>1</w:t>
      </w:r>
      <w:r w:rsidR="00BC341E" w:rsidRPr="00293C29">
        <w:rPr>
          <w:b/>
          <w:lang w:val="en-GB"/>
        </w:rPr>
        <w:t>/FVC</w:t>
      </w:r>
      <w:r w:rsidR="00425B08" w:rsidRPr="00293C29">
        <w:rPr>
          <w:b/>
          <w:lang w:val="en-GB"/>
        </w:rPr>
        <w:t xml:space="preserve"> &lt;</w:t>
      </w:r>
      <w:r w:rsidR="00BC341E" w:rsidRPr="00293C29">
        <w:rPr>
          <w:b/>
          <w:lang w:val="en-GB"/>
        </w:rPr>
        <w:t>LLN</w:t>
      </w:r>
      <w:r w:rsidR="00B41E8E" w:rsidRPr="00293C29">
        <w:rPr>
          <w:b/>
          <w:lang w:val="en-GB"/>
        </w:rPr>
        <w:t>; Late menopause: B) FEV</w:t>
      </w:r>
      <w:r w:rsidR="00B41E8E" w:rsidRPr="00293C29">
        <w:rPr>
          <w:b/>
          <w:vertAlign w:val="subscript"/>
          <w:lang w:val="en-GB"/>
        </w:rPr>
        <w:t>1</w:t>
      </w:r>
      <w:r w:rsidR="00B41E8E" w:rsidRPr="00293C29">
        <w:rPr>
          <w:b/>
          <w:lang w:val="en-GB"/>
        </w:rPr>
        <w:t>/FVC and D) FEV</w:t>
      </w:r>
      <w:r w:rsidR="00B41E8E" w:rsidRPr="00293C29">
        <w:rPr>
          <w:b/>
          <w:vertAlign w:val="subscript"/>
          <w:lang w:val="en-GB"/>
        </w:rPr>
        <w:t>1</w:t>
      </w:r>
      <w:r w:rsidR="00B41E8E" w:rsidRPr="00293C29">
        <w:rPr>
          <w:b/>
          <w:lang w:val="en-GB"/>
        </w:rPr>
        <w:t>/FVC &lt;LLN.</w:t>
      </w:r>
      <w:r w:rsidR="008267F0" w:rsidRPr="00293C29">
        <w:rPr>
          <w:b/>
          <w:lang w:val="en-GB"/>
        </w:rPr>
        <w:t xml:space="preserve"> </w:t>
      </w:r>
    </w:p>
    <w:p w14:paraId="0499BA62" w14:textId="77777777" w:rsidR="005A72E1" w:rsidRDefault="009C0E32" w:rsidP="00ED7BF4">
      <w:pPr>
        <w:spacing w:after="120"/>
        <w:jc w:val="both"/>
        <w:rPr>
          <w:b/>
          <w:noProof/>
          <w:lang w:val="en-GB"/>
        </w:rPr>
      </w:pPr>
      <w:r w:rsidRPr="00293C29">
        <w:rPr>
          <w:i/>
          <w:sz w:val="20"/>
          <w:szCs w:val="20"/>
          <w:lang w:val="en-GB"/>
        </w:rPr>
        <w:t>The observational analys</w:t>
      </w:r>
      <w:r w:rsidR="002C07C8" w:rsidRPr="00293C29">
        <w:rPr>
          <w:i/>
          <w:sz w:val="20"/>
          <w:szCs w:val="20"/>
          <w:lang w:val="en-GB"/>
        </w:rPr>
        <w:t>e</w:t>
      </w:r>
      <w:r w:rsidRPr="00293C29">
        <w:rPr>
          <w:i/>
          <w:sz w:val="20"/>
          <w:szCs w:val="20"/>
          <w:lang w:val="en-GB"/>
        </w:rPr>
        <w:t>s (linear</w:t>
      </w:r>
      <w:r w:rsidR="002C07C8" w:rsidRPr="00293C29">
        <w:rPr>
          <w:i/>
          <w:sz w:val="20"/>
          <w:szCs w:val="20"/>
          <w:lang w:val="en-GB"/>
        </w:rPr>
        <w:t>/logistic</w:t>
      </w:r>
      <w:r w:rsidRPr="00293C29">
        <w:rPr>
          <w:i/>
          <w:sz w:val="20"/>
          <w:szCs w:val="20"/>
          <w:lang w:val="en-GB"/>
        </w:rPr>
        <w:t xml:space="preserve"> regression) </w:t>
      </w:r>
      <w:r w:rsidR="002C07C8" w:rsidRPr="00293C29">
        <w:rPr>
          <w:i/>
          <w:sz w:val="20"/>
          <w:szCs w:val="20"/>
          <w:lang w:val="en-GB"/>
        </w:rPr>
        <w:t xml:space="preserve">were </w:t>
      </w:r>
      <w:r w:rsidRPr="00293C29">
        <w:rPr>
          <w:i/>
          <w:sz w:val="20"/>
          <w:szCs w:val="20"/>
          <w:lang w:val="en-GB"/>
        </w:rPr>
        <w:t xml:space="preserve">adjusted for age, age2, height, </w:t>
      </w:r>
      <w:r w:rsidR="006B6233" w:rsidRPr="00293C29">
        <w:rPr>
          <w:i/>
          <w:sz w:val="20"/>
          <w:szCs w:val="20"/>
          <w:lang w:val="en-GB"/>
        </w:rPr>
        <w:t>centre</w:t>
      </w:r>
      <w:r w:rsidRPr="00293C29">
        <w:rPr>
          <w:i/>
          <w:sz w:val="20"/>
          <w:szCs w:val="20"/>
          <w:lang w:val="en-GB"/>
        </w:rPr>
        <w:t xml:space="preserve">, BMI, smoking groups, Townsend deprivation index, level of education, physical activity, number of live births, age at menarche, ever oral contraceptive use, and use of </w:t>
      </w:r>
      <w:r w:rsidR="00F9246D" w:rsidRPr="00293C29">
        <w:rPr>
          <w:i/>
          <w:sz w:val="20"/>
          <w:szCs w:val="20"/>
          <w:lang w:val="en-GB"/>
        </w:rPr>
        <w:t>MHT</w:t>
      </w:r>
      <w:r w:rsidRPr="00293C29">
        <w:rPr>
          <w:i/>
          <w:sz w:val="20"/>
          <w:szCs w:val="20"/>
          <w:lang w:val="en-GB"/>
        </w:rPr>
        <w:t xml:space="preserve">. All MR analyses </w:t>
      </w:r>
      <w:r w:rsidR="002C07C8" w:rsidRPr="00293C29">
        <w:rPr>
          <w:i/>
          <w:sz w:val="20"/>
          <w:szCs w:val="20"/>
          <w:lang w:val="en-GB"/>
        </w:rPr>
        <w:t xml:space="preserve">were </w:t>
      </w:r>
      <w:r w:rsidRPr="00293C29">
        <w:rPr>
          <w:i/>
          <w:sz w:val="20"/>
          <w:szCs w:val="20"/>
          <w:lang w:val="en-GB"/>
        </w:rPr>
        <w:t xml:space="preserve">adjusted for: age, age2, height, </w:t>
      </w:r>
      <w:r w:rsidR="006B6233" w:rsidRPr="00293C29">
        <w:rPr>
          <w:i/>
          <w:sz w:val="20"/>
          <w:szCs w:val="20"/>
          <w:lang w:val="en-GB"/>
        </w:rPr>
        <w:t>centre</w:t>
      </w:r>
      <w:r w:rsidRPr="00293C29">
        <w:rPr>
          <w:i/>
          <w:sz w:val="20"/>
          <w:szCs w:val="20"/>
          <w:lang w:val="en-GB"/>
        </w:rPr>
        <w:t xml:space="preserve">, first 10 principal components, and </w:t>
      </w:r>
      <w:r w:rsidR="00DF7C3D" w:rsidRPr="00DF7C3D">
        <w:rPr>
          <w:i/>
          <w:sz w:val="20"/>
          <w:szCs w:val="20"/>
          <w:lang w:val="en-GB"/>
        </w:rPr>
        <w:t>genotyping batch</w:t>
      </w:r>
      <w:r w:rsidRPr="00293C29">
        <w:rPr>
          <w:i/>
          <w:sz w:val="20"/>
          <w:szCs w:val="20"/>
          <w:lang w:val="en-GB"/>
        </w:rPr>
        <w:t>.</w:t>
      </w:r>
      <w:r w:rsidR="006155C9" w:rsidRPr="00293C29">
        <w:rPr>
          <w:i/>
          <w:sz w:val="20"/>
          <w:szCs w:val="20"/>
          <w:lang w:val="en-GB"/>
        </w:rPr>
        <w:t xml:space="preserve"> </w:t>
      </w:r>
      <w:r w:rsidRPr="00293C29">
        <w:rPr>
          <w:i/>
          <w:sz w:val="20"/>
          <w:szCs w:val="20"/>
          <w:lang w:val="en-GB"/>
        </w:rPr>
        <w:t>IVW = inverse variance-weighted average method; 2</w:t>
      </w:r>
      <w:r w:rsidR="001C5DAA" w:rsidRPr="00293C29">
        <w:rPr>
          <w:i/>
          <w:sz w:val="20"/>
          <w:szCs w:val="20"/>
          <w:lang w:val="en-GB"/>
        </w:rPr>
        <w:t>SLS</w:t>
      </w:r>
      <w:r w:rsidR="00CF0B8A" w:rsidRPr="00293C29">
        <w:rPr>
          <w:i/>
          <w:sz w:val="20"/>
          <w:szCs w:val="20"/>
          <w:lang w:val="en-GB"/>
        </w:rPr>
        <w:t xml:space="preserve"> </w:t>
      </w:r>
      <w:r w:rsidRPr="00293C29">
        <w:rPr>
          <w:i/>
          <w:sz w:val="20"/>
          <w:szCs w:val="20"/>
          <w:lang w:val="en-GB"/>
        </w:rPr>
        <w:t>= Two-Stage Least Squares regression</w:t>
      </w:r>
      <w:bookmarkEnd w:id="16"/>
      <w:r w:rsidR="00A13BBF" w:rsidRPr="00293C29">
        <w:rPr>
          <w:i/>
          <w:sz w:val="20"/>
          <w:szCs w:val="20"/>
          <w:lang w:val="en-GB"/>
        </w:rPr>
        <w:t>.</w:t>
      </w:r>
      <w:r w:rsidR="0001137D">
        <w:rPr>
          <w:i/>
          <w:sz w:val="20"/>
          <w:szCs w:val="20"/>
          <w:lang w:val="en-GB"/>
        </w:rPr>
        <w:t xml:space="preserve"> </w:t>
      </w:r>
      <w:bookmarkStart w:id="17" w:name="_Hlk6397330"/>
      <w:r w:rsidR="0001137D">
        <w:rPr>
          <w:i/>
          <w:sz w:val="20"/>
          <w:szCs w:val="20"/>
          <w:lang w:val="en-GB"/>
        </w:rPr>
        <w:t xml:space="preserve">For MR-PRESSO, both </w:t>
      </w:r>
      <w:r w:rsidR="005F5CDF">
        <w:rPr>
          <w:i/>
          <w:sz w:val="20"/>
          <w:szCs w:val="20"/>
          <w:lang w:val="en-GB"/>
        </w:rPr>
        <w:t xml:space="preserve">unadjusted </w:t>
      </w:r>
      <w:r w:rsidR="009C0A19">
        <w:rPr>
          <w:i/>
          <w:sz w:val="20"/>
          <w:szCs w:val="20"/>
          <w:lang w:val="en-GB"/>
        </w:rPr>
        <w:t xml:space="preserve">analyses </w:t>
      </w:r>
      <w:r w:rsidR="005F5CDF">
        <w:rPr>
          <w:i/>
          <w:sz w:val="20"/>
          <w:szCs w:val="20"/>
          <w:lang w:val="en-GB"/>
        </w:rPr>
        <w:t>(raw) and</w:t>
      </w:r>
      <w:r w:rsidR="009C0A19">
        <w:rPr>
          <w:i/>
          <w:sz w:val="20"/>
          <w:szCs w:val="20"/>
          <w:lang w:val="en-GB"/>
        </w:rPr>
        <w:t xml:space="preserve"> analyses</w:t>
      </w:r>
      <w:r w:rsidR="005F5CDF">
        <w:rPr>
          <w:i/>
          <w:sz w:val="20"/>
          <w:szCs w:val="20"/>
          <w:lang w:val="en-GB"/>
        </w:rPr>
        <w:t xml:space="preserve"> </w:t>
      </w:r>
      <w:r w:rsidR="009C0A19">
        <w:rPr>
          <w:i/>
          <w:sz w:val="20"/>
          <w:szCs w:val="20"/>
          <w:lang w:val="en-GB"/>
        </w:rPr>
        <w:t>after removal</w:t>
      </w:r>
      <w:r w:rsidR="005F5CDF">
        <w:rPr>
          <w:i/>
          <w:sz w:val="20"/>
          <w:szCs w:val="20"/>
          <w:lang w:val="en-GB"/>
        </w:rPr>
        <w:t xml:space="preserve"> </w:t>
      </w:r>
      <w:r w:rsidR="009C0A19">
        <w:rPr>
          <w:i/>
          <w:sz w:val="20"/>
          <w:szCs w:val="20"/>
          <w:lang w:val="en-GB"/>
        </w:rPr>
        <w:t xml:space="preserve">of </w:t>
      </w:r>
      <w:r w:rsidR="00383C3D">
        <w:rPr>
          <w:i/>
          <w:sz w:val="20"/>
          <w:szCs w:val="20"/>
          <w:lang w:val="en-GB"/>
        </w:rPr>
        <w:t xml:space="preserve">outliers </w:t>
      </w:r>
      <w:r w:rsidR="009C0A19">
        <w:rPr>
          <w:i/>
          <w:sz w:val="20"/>
          <w:szCs w:val="20"/>
          <w:lang w:val="en-GB"/>
        </w:rPr>
        <w:t>if</w:t>
      </w:r>
      <w:r w:rsidR="00383C3D">
        <w:rPr>
          <w:i/>
          <w:sz w:val="20"/>
          <w:szCs w:val="20"/>
          <w:lang w:val="en-GB"/>
        </w:rPr>
        <w:t xml:space="preserve"> </w:t>
      </w:r>
      <w:r w:rsidR="00D74A3F">
        <w:rPr>
          <w:i/>
          <w:sz w:val="20"/>
          <w:szCs w:val="20"/>
          <w:lang w:val="en-GB"/>
        </w:rPr>
        <w:t xml:space="preserve">any were </w:t>
      </w:r>
      <w:r w:rsidR="00383C3D">
        <w:rPr>
          <w:i/>
          <w:sz w:val="20"/>
          <w:szCs w:val="20"/>
          <w:lang w:val="en-GB"/>
        </w:rPr>
        <w:t xml:space="preserve">detected </w:t>
      </w:r>
      <w:r w:rsidR="009C0A19">
        <w:rPr>
          <w:i/>
          <w:sz w:val="20"/>
          <w:szCs w:val="20"/>
          <w:lang w:val="en-GB"/>
        </w:rPr>
        <w:t>(corrected)</w:t>
      </w:r>
      <w:r w:rsidR="004E7933">
        <w:rPr>
          <w:i/>
          <w:sz w:val="20"/>
          <w:szCs w:val="20"/>
          <w:lang w:val="en-GB"/>
        </w:rPr>
        <w:t xml:space="preserve"> are shown</w:t>
      </w:r>
      <w:r w:rsidR="009C0A19">
        <w:rPr>
          <w:i/>
          <w:sz w:val="20"/>
          <w:szCs w:val="20"/>
          <w:lang w:val="en-GB"/>
        </w:rPr>
        <w:t>.</w:t>
      </w:r>
      <w:bookmarkEnd w:id="17"/>
      <w:r w:rsidR="005A72E1" w:rsidRPr="005A72E1">
        <w:rPr>
          <w:b/>
          <w:noProof/>
          <w:lang w:val="en-GB"/>
        </w:rPr>
        <w:t xml:space="preserve"> </w:t>
      </w:r>
    </w:p>
    <w:p w14:paraId="66C3E03B" w14:textId="611F71FF" w:rsidR="006D10D2" w:rsidRPr="00A30B14" w:rsidRDefault="005A72E1" w:rsidP="005A72E1">
      <w:pPr>
        <w:spacing w:after="120"/>
        <w:jc w:val="both"/>
        <w:rPr>
          <w:b/>
          <w:lang w:val="en-GB"/>
        </w:rPr>
      </w:pPr>
      <w:r>
        <w:rPr>
          <w:b/>
          <w:noProof/>
          <w:lang w:val="en-GB"/>
        </w:rPr>
        <w:lastRenderedPageBreak/>
        <w:drawing>
          <wp:anchor distT="0" distB="0" distL="114300" distR="114300" simplePos="0" relativeHeight="251658240" behindDoc="0" locked="0" layoutInCell="1" allowOverlap="1" wp14:anchorId="7ED876AB" wp14:editId="66924A67">
            <wp:simplePos x="903514" y="903514"/>
            <wp:positionH relativeFrom="margin">
              <wp:align>center</wp:align>
            </wp:positionH>
            <wp:positionV relativeFrom="margin">
              <wp:align>top</wp:align>
            </wp:positionV>
            <wp:extent cx="6671454" cy="230768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71454" cy="2307680"/>
                    </a:xfrm>
                    <a:prstGeom prst="rect">
                      <a:avLst/>
                    </a:prstGeom>
                    <a:noFill/>
                    <a:ln>
                      <a:noFill/>
                    </a:ln>
                  </pic:spPr>
                </pic:pic>
              </a:graphicData>
            </a:graphic>
          </wp:anchor>
        </w:drawing>
      </w:r>
      <w:r w:rsidR="00D42606" w:rsidRPr="00293C29">
        <w:rPr>
          <w:b/>
          <w:lang w:val="en-GB"/>
        </w:rPr>
        <w:t xml:space="preserve">Figure </w:t>
      </w:r>
      <w:r w:rsidR="00A30B14">
        <w:rPr>
          <w:b/>
          <w:lang w:val="en-GB"/>
        </w:rPr>
        <w:t>3</w:t>
      </w:r>
      <w:r w:rsidR="00D42606" w:rsidRPr="00293C29">
        <w:rPr>
          <w:b/>
          <w:lang w:val="en-GB"/>
        </w:rPr>
        <w:t xml:space="preserve">. </w:t>
      </w:r>
      <w:r w:rsidR="005D3301" w:rsidRPr="00293C29">
        <w:rPr>
          <w:b/>
          <w:lang w:val="en-GB"/>
        </w:rPr>
        <w:t>MR estimates of the effect of age at</w:t>
      </w:r>
      <w:r w:rsidR="00D42606" w:rsidRPr="00293C29">
        <w:rPr>
          <w:b/>
          <w:lang w:val="en-GB"/>
        </w:rPr>
        <w:t xml:space="preserve"> menopause </w:t>
      </w:r>
      <w:r w:rsidR="005D3301" w:rsidRPr="00293C29">
        <w:rPr>
          <w:b/>
          <w:lang w:val="en-GB"/>
        </w:rPr>
        <w:t xml:space="preserve">on </w:t>
      </w:r>
      <w:r w:rsidR="00D42606" w:rsidRPr="00293C29">
        <w:rPr>
          <w:b/>
          <w:lang w:val="en-GB"/>
        </w:rPr>
        <w:t>A</w:t>
      </w:r>
      <w:r w:rsidR="005D3301" w:rsidRPr="00293C29">
        <w:rPr>
          <w:b/>
          <w:lang w:val="en-GB"/>
        </w:rPr>
        <w:t>)</w:t>
      </w:r>
      <w:r w:rsidR="00D42606" w:rsidRPr="00293C29">
        <w:rPr>
          <w:b/>
          <w:lang w:val="en-GB"/>
        </w:rPr>
        <w:t xml:space="preserve"> FEV</w:t>
      </w:r>
      <w:r w:rsidR="00D42606" w:rsidRPr="00293C29">
        <w:rPr>
          <w:b/>
          <w:vertAlign w:val="subscript"/>
          <w:lang w:val="en-GB"/>
        </w:rPr>
        <w:t>1</w:t>
      </w:r>
      <w:r w:rsidR="00D42606" w:rsidRPr="00293C29">
        <w:rPr>
          <w:b/>
          <w:lang w:val="en-GB"/>
        </w:rPr>
        <w:t>/FVC and B</w:t>
      </w:r>
      <w:r w:rsidR="005D3301" w:rsidRPr="00293C29">
        <w:rPr>
          <w:b/>
          <w:lang w:val="en-GB"/>
        </w:rPr>
        <w:t>)</w:t>
      </w:r>
      <w:r w:rsidR="00D42606" w:rsidRPr="00293C29">
        <w:rPr>
          <w:b/>
          <w:lang w:val="en-GB"/>
        </w:rPr>
        <w:t xml:space="preserve"> </w:t>
      </w:r>
      <w:r w:rsidR="005D3301" w:rsidRPr="00293C29">
        <w:rPr>
          <w:b/>
          <w:lang w:val="en-GB"/>
        </w:rPr>
        <w:t>airflow obstruction</w:t>
      </w:r>
      <w:r w:rsidR="00D42606" w:rsidRPr="00293C29">
        <w:rPr>
          <w:b/>
          <w:lang w:val="en-GB"/>
        </w:rPr>
        <w:t xml:space="preserve"> in subgrou</w:t>
      </w:r>
      <w:r w:rsidR="005D3301" w:rsidRPr="00293C29">
        <w:rPr>
          <w:b/>
          <w:lang w:val="en-GB"/>
        </w:rPr>
        <w:t>p analyses by s</w:t>
      </w:r>
      <w:r w:rsidR="00D42606" w:rsidRPr="00293C29">
        <w:rPr>
          <w:b/>
          <w:lang w:val="en-GB"/>
        </w:rPr>
        <w:t xml:space="preserve">moking status, MHT use and current BMI. </w:t>
      </w:r>
    </w:p>
    <w:sectPr w:rsidR="006D10D2" w:rsidRPr="00A30B14" w:rsidSect="00A568EB">
      <w:type w:val="continuous"/>
      <w:pgSz w:w="11906" w:h="16838"/>
      <w:pgMar w:top="1417" w:right="1417" w:bottom="1417" w:left="1417"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604E13" w14:textId="77777777" w:rsidR="008D26E4" w:rsidRDefault="008D26E4" w:rsidP="005E0357">
      <w:pPr>
        <w:spacing w:after="0" w:line="240" w:lineRule="auto"/>
      </w:pPr>
      <w:r>
        <w:separator/>
      </w:r>
    </w:p>
  </w:endnote>
  <w:endnote w:type="continuationSeparator" w:id="0">
    <w:p w14:paraId="4C7BB051" w14:textId="77777777" w:rsidR="008D26E4" w:rsidRDefault="008D26E4" w:rsidP="005E03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Lucida Console">
    <w:panose1 w:val="020B0609040504020204"/>
    <w:charset w:val="00"/>
    <w:family w:val="modern"/>
    <w:pitch w:val="fixed"/>
    <w:sig w:usb0="8000028F" w:usb1="00001800" w:usb2="00000000" w:usb3="00000000" w:csb0="0000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6772969"/>
      <w:docPartObj>
        <w:docPartGallery w:val="Page Numbers (Bottom of Page)"/>
        <w:docPartUnique/>
      </w:docPartObj>
    </w:sdtPr>
    <w:sdtEndPr/>
    <w:sdtContent>
      <w:p w14:paraId="1F25B97E" w14:textId="6307C6A8" w:rsidR="008D26E4" w:rsidRDefault="008D26E4">
        <w:pPr>
          <w:pStyle w:val="Footer"/>
          <w:jc w:val="right"/>
        </w:pPr>
        <w:r>
          <w:fldChar w:fldCharType="begin"/>
        </w:r>
        <w:r>
          <w:instrText xml:space="preserve"> PAGE   \* MERGEFORMAT </w:instrText>
        </w:r>
        <w:r>
          <w:fldChar w:fldCharType="separate"/>
        </w:r>
        <w:r>
          <w:rPr>
            <w:noProof/>
          </w:rPr>
          <w:t>20</w:t>
        </w:r>
        <w:r>
          <w:rPr>
            <w:noProof/>
          </w:rPr>
          <w:fldChar w:fldCharType="end"/>
        </w:r>
      </w:p>
    </w:sdtContent>
  </w:sdt>
  <w:p w14:paraId="0549EB85" w14:textId="77777777" w:rsidR="008D26E4" w:rsidRDefault="008D26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1E2F0D" w14:textId="77777777" w:rsidR="008D26E4" w:rsidRDefault="008D26E4" w:rsidP="005E0357">
      <w:pPr>
        <w:spacing w:after="0" w:line="240" w:lineRule="auto"/>
      </w:pPr>
      <w:r>
        <w:separator/>
      </w:r>
    </w:p>
  </w:footnote>
  <w:footnote w:type="continuationSeparator" w:id="0">
    <w:p w14:paraId="78728602" w14:textId="77777777" w:rsidR="008D26E4" w:rsidRDefault="008D26E4" w:rsidP="005E03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E317D"/>
    <w:multiLevelType w:val="hybridMultilevel"/>
    <w:tmpl w:val="11C2BA8E"/>
    <w:lvl w:ilvl="0" w:tplc="0068F352">
      <w:start w:val="14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47A6E22"/>
    <w:multiLevelType w:val="hybridMultilevel"/>
    <w:tmpl w:val="ABEAC4BC"/>
    <w:lvl w:ilvl="0" w:tplc="98C07A7A">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A470A31"/>
    <w:multiLevelType w:val="hybridMultilevel"/>
    <w:tmpl w:val="C7E8B958"/>
    <w:lvl w:ilvl="0" w:tplc="DB307AA4">
      <w:start w:val="5"/>
      <w:numFmt w:val="upperLetter"/>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FD19A6"/>
    <w:multiLevelType w:val="hybridMultilevel"/>
    <w:tmpl w:val="A104AC80"/>
    <w:lvl w:ilvl="0" w:tplc="6C1C0D10">
      <w:start w:val="1"/>
      <w:numFmt w:val="decimal"/>
      <w:lvlText w:val="%1."/>
      <w:lvlJc w:val="left"/>
      <w:pPr>
        <w:ind w:left="705" w:hanging="70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18B2605"/>
    <w:multiLevelType w:val="hybridMultilevel"/>
    <w:tmpl w:val="E95869E0"/>
    <w:lvl w:ilvl="0" w:tplc="DC02CF58">
      <w:start w:val="1"/>
      <w:numFmt w:val="decimal"/>
      <w:lvlText w:val="%1."/>
      <w:lvlJc w:val="left"/>
      <w:pPr>
        <w:ind w:left="705" w:hanging="70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1DE36B5"/>
    <w:multiLevelType w:val="hybridMultilevel"/>
    <w:tmpl w:val="89EEF6BE"/>
    <w:lvl w:ilvl="0" w:tplc="1F824640">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330442D"/>
    <w:multiLevelType w:val="hybridMultilevel"/>
    <w:tmpl w:val="889A0D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B7518E"/>
    <w:multiLevelType w:val="hybridMultilevel"/>
    <w:tmpl w:val="536E2892"/>
    <w:lvl w:ilvl="0" w:tplc="41F261B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A08F0"/>
    <w:multiLevelType w:val="hybridMultilevel"/>
    <w:tmpl w:val="10F27AE0"/>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9" w15:restartNumberingAfterBreak="0">
    <w:nsid w:val="1A283229"/>
    <w:multiLevelType w:val="hybridMultilevel"/>
    <w:tmpl w:val="A97A172E"/>
    <w:lvl w:ilvl="0" w:tplc="8B88557A">
      <w:start w:val="500"/>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AFB355B"/>
    <w:multiLevelType w:val="hybridMultilevel"/>
    <w:tmpl w:val="353C8868"/>
    <w:lvl w:ilvl="0" w:tplc="373ED872">
      <w:start w:val="1"/>
      <w:numFmt w:val="decimal"/>
      <w:lvlText w:val="%1."/>
      <w:lvlJc w:val="left"/>
      <w:pPr>
        <w:ind w:left="705" w:hanging="70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4FC1C6C"/>
    <w:multiLevelType w:val="hybridMultilevel"/>
    <w:tmpl w:val="AF3AB5C2"/>
    <w:lvl w:ilvl="0" w:tplc="AF5E14A8">
      <w:start w:val="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783514"/>
    <w:multiLevelType w:val="hybridMultilevel"/>
    <w:tmpl w:val="DB3067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AAA6BCF"/>
    <w:multiLevelType w:val="hybridMultilevel"/>
    <w:tmpl w:val="7E90FAAC"/>
    <w:lvl w:ilvl="0" w:tplc="E11EC914">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E041568"/>
    <w:multiLevelType w:val="hybridMultilevel"/>
    <w:tmpl w:val="D4A8C942"/>
    <w:lvl w:ilvl="0" w:tplc="7A466072">
      <w:start w:val="1"/>
      <w:numFmt w:val="bullet"/>
      <w:lvlText w:val="•"/>
      <w:lvlJc w:val="left"/>
      <w:pPr>
        <w:tabs>
          <w:tab w:val="num" w:pos="720"/>
        </w:tabs>
        <w:ind w:left="720" w:hanging="360"/>
      </w:pPr>
      <w:rPr>
        <w:rFonts w:ascii="Arial" w:hAnsi="Arial" w:hint="default"/>
      </w:rPr>
    </w:lvl>
    <w:lvl w:ilvl="1" w:tplc="8D463022">
      <w:start w:val="174"/>
      <w:numFmt w:val="bullet"/>
      <w:lvlText w:val="•"/>
      <w:lvlJc w:val="left"/>
      <w:pPr>
        <w:tabs>
          <w:tab w:val="num" w:pos="1440"/>
        </w:tabs>
        <w:ind w:left="1440" w:hanging="360"/>
      </w:pPr>
      <w:rPr>
        <w:rFonts w:ascii="Arial" w:hAnsi="Arial" w:hint="default"/>
      </w:rPr>
    </w:lvl>
    <w:lvl w:ilvl="2" w:tplc="F5204D2C" w:tentative="1">
      <w:start w:val="1"/>
      <w:numFmt w:val="bullet"/>
      <w:lvlText w:val="•"/>
      <w:lvlJc w:val="left"/>
      <w:pPr>
        <w:tabs>
          <w:tab w:val="num" w:pos="2160"/>
        </w:tabs>
        <w:ind w:left="2160" w:hanging="360"/>
      </w:pPr>
      <w:rPr>
        <w:rFonts w:ascii="Arial" w:hAnsi="Arial" w:hint="default"/>
      </w:rPr>
    </w:lvl>
    <w:lvl w:ilvl="3" w:tplc="2110E220" w:tentative="1">
      <w:start w:val="1"/>
      <w:numFmt w:val="bullet"/>
      <w:lvlText w:val="•"/>
      <w:lvlJc w:val="left"/>
      <w:pPr>
        <w:tabs>
          <w:tab w:val="num" w:pos="2880"/>
        </w:tabs>
        <w:ind w:left="2880" w:hanging="360"/>
      </w:pPr>
      <w:rPr>
        <w:rFonts w:ascii="Arial" w:hAnsi="Arial" w:hint="default"/>
      </w:rPr>
    </w:lvl>
    <w:lvl w:ilvl="4" w:tplc="76147F02" w:tentative="1">
      <w:start w:val="1"/>
      <w:numFmt w:val="bullet"/>
      <w:lvlText w:val="•"/>
      <w:lvlJc w:val="left"/>
      <w:pPr>
        <w:tabs>
          <w:tab w:val="num" w:pos="3600"/>
        </w:tabs>
        <w:ind w:left="3600" w:hanging="360"/>
      </w:pPr>
      <w:rPr>
        <w:rFonts w:ascii="Arial" w:hAnsi="Arial" w:hint="default"/>
      </w:rPr>
    </w:lvl>
    <w:lvl w:ilvl="5" w:tplc="0A023F5A" w:tentative="1">
      <w:start w:val="1"/>
      <w:numFmt w:val="bullet"/>
      <w:lvlText w:val="•"/>
      <w:lvlJc w:val="left"/>
      <w:pPr>
        <w:tabs>
          <w:tab w:val="num" w:pos="4320"/>
        </w:tabs>
        <w:ind w:left="4320" w:hanging="360"/>
      </w:pPr>
      <w:rPr>
        <w:rFonts w:ascii="Arial" w:hAnsi="Arial" w:hint="default"/>
      </w:rPr>
    </w:lvl>
    <w:lvl w:ilvl="6" w:tplc="DEEA7096" w:tentative="1">
      <w:start w:val="1"/>
      <w:numFmt w:val="bullet"/>
      <w:lvlText w:val="•"/>
      <w:lvlJc w:val="left"/>
      <w:pPr>
        <w:tabs>
          <w:tab w:val="num" w:pos="5040"/>
        </w:tabs>
        <w:ind w:left="5040" w:hanging="360"/>
      </w:pPr>
      <w:rPr>
        <w:rFonts w:ascii="Arial" w:hAnsi="Arial" w:hint="default"/>
      </w:rPr>
    </w:lvl>
    <w:lvl w:ilvl="7" w:tplc="BBE2528E" w:tentative="1">
      <w:start w:val="1"/>
      <w:numFmt w:val="bullet"/>
      <w:lvlText w:val="•"/>
      <w:lvlJc w:val="left"/>
      <w:pPr>
        <w:tabs>
          <w:tab w:val="num" w:pos="5760"/>
        </w:tabs>
        <w:ind w:left="5760" w:hanging="360"/>
      </w:pPr>
      <w:rPr>
        <w:rFonts w:ascii="Arial" w:hAnsi="Arial" w:hint="default"/>
      </w:rPr>
    </w:lvl>
    <w:lvl w:ilvl="8" w:tplc="606EB82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36028F0"/>
    <w:multiLevelType w:val="hybridMultilevel"/>
    <w:tmpl w:val="98848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E82CA7"/>
    <w:multiLevelType w:val="hybridMultilevel"/>
    <w:tmpl w:val="2A92A328"/>
    <w:lvl w:ilvl="0" w:tplc="7E9EE0CA">
      <w:start w:val="1"/>
      <w:numFmt w:val="decimal"/>
      <w:lvlText w:val="%1."/>
      <w:lvlJc w:val="left"/>
      <w:pPr>
        <w:ind w:left="705" w:hanging="70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9704D64"/>
    <w:multiLevelType w:val="hybridMultilevel"/>
    <w:tmpl w:val="7BE09C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41A6D6D"/>
    <w:multiLevelType w:val="hybridMultilevel"/>
    <w:tmpl w:val="88000446"/>
    <w:lvl w:ilvl="0" w:tplc="2938A66C">
      <w:start w:val="1"/>
      <w:numFmt w:val="bullet"/>
      <w:lvlText w:val="•"/>
      <w:lvlJc w:val="left"/>
      <w:pPr>
        <w:tabs>
          <w:tab w:val="num" w:pos="720"/>
        </w:tabs>
        <w:ind w:left="720" w:hanging="360"/>
      </w:pPr>
      <w:rPr>
        <w:rFonts w:ascii="Arial" w:hAnsi="Arial" w:hint="default"/>
      </w:rPr>
    </w:lvl>
    <w:lvl w:ilvl="1" w:tplc="0396D39E" w:tentative="1">
      <w:start w:val="1"/>
      <w:numFmt w:val="bullet"/>
      <w:lvlText w:val="•"/>
      <w:lvlJc w:val="left"/>
      <w:pPr>
        <w:tabs>
          <w:tab w:val="num" w:pos="1440"/>
        </w:tabs>
        <w:ind w:left="1440" w:hanging="360"/>
      </w:pPr>
      <w:rPr>
        <w:rFonts w:ascii="Arial" w:hAnsi="Arial" w:hint="default"/>
      </w:rPr>
    </w:lvl>
    <w:lvl w:ilvl="2" w:tplc="F7503998" w:tentative="1">
      <w:start w:val="1"/>
      <w:numFmt w:val="bullet"/>
      <w:lvlText w:val="•"/>
      <w:lvlJc w:val="left"/>
      <w:pPr>
        <w:tabs>
          <w:tab w:val="num" w:pos="2160"/>
        </w:tabs>
        <w:ind w:left="2160" w:hanging="360"/>
      </w:pPr>
      <w:rPr>
        <w:rFonts w:ascii="Arial" w:hAnsi="Arial" w:hint="default"/>
      </w:rPr>
    </w:lvl>
    <w:lvl w:ilvl="3" w:tplc="DFD0DFC8" w:tentative="1">
      <w:start w:val="1"/>
      <w:numFmt w:val="bullet"/>
      <w:lvlText w:val="•"/>
      <w:lvlJc w:val="left"/>
      <w:pPr>
        <w:tabs>
          <w:tab w:val="num" w:pos="2880"/>
        </w:tabs>
        <w:ind w:left="2880" w:hanging="360"/>
      </w:pPr>
      <w:rPr>
        <w:rFonts w:ascii="Arial" w:hAnsi="Arial" w:hint="default"/>
      </w:rPr>
    </w:lvl>
    <w:lvl w:ilvl="4" w:tplc="9B0C973E" w:tentative="1">
      <w:start w:val="1"/>
      <w:numFmt w:val="bullet"/>
      <w:lvlText w:val="•"/>
      <w:lvlJc w:val="left"/>
      <w:pPr>
        <w:tabs>
          <w:tab w:val="num" w:pos="3600"/>
        </w:tabs>
        <w:ind w:left="3600" w:hanging="360"/>
      </w:pPr>
      <w:rPr>
        <w:rFonts w:ascii="Arial" w:hAnsi="Arial" w:hint="default"/>
      </w:rPr>
    </w:lvl>
    <w:lvl w:ilvl="5" w:tplc="BFB280F4" w:tentative="1">
      <w:start w:val="1"/>
      <w:numFmt w:val="bullet"/>
      <w:lvlText w:val="•"/>
      <w:lvlJc w:val="left"/>
      <w:pPr>
        <w:tabs>
          <w:tab w:val="num" w:pos="4320"/>
        </w:tabs>
        <w:ind w:left="4320" w:hanging="360"/>
      </w:pPr>
      <w:rPr>
        <w:rFonts w:ascii="Arial" w:hAnsi="Arial" w:hint="default"/>
      </w:rPr>
    </w:lvl>
    <w:lvl w:ilvl="6" w:tplc="77405F1E" w:tentative="1">
      <w:start w:val="1"/>
      <w:numFmt w:val="bullet"/>
      <w:lvlText w:val="•"/>
      <w:lvlJc w:val="left"/>
      <w:pPr>
        <w:tabs>
          <w:tab w:val="num" w:pos="5040"/>
        </w:tabs>
        <w:ind w:left="5040" w:hanging="360"/>
      </w:pPr>
      <w:rPr>
        <w:rFonts w:ascii="Arial" w:hAnsi="Arial" w:hint="default"/>
      </w:rPr>
    </w:lvl>
    <w:lvl w:ilvl="7" w:tplc="9E1C143A" w:tentative="1">
      <w:start w:val="1"/>
      <w:numFmt w:val="bullet"/>
      <w:lvlText w:val="•"/>
      <w:lvlJc w:val="left"/>
      <w:pPr>
        <w:tabs>
          <w:tab w:val="num" w:pos="5760"/>
        </w:tabs>
        <w:ind w:left="5760" w:hanging="360"/>
      </w:pPr>
      <w:rPr>
        <w:rFonts w:ascii="Arial" w:hAnsi="Arial" w:hint="default"/>
      </w:rPr>
    </w:lvl>
    <w:lvl w:ilvl="8" w:tplc="4A46C3A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5C301D3"/>
    <w:multiLevelType w:val="hybridMultilevel"/>
    <w:tmpl w:val="1BD631EA"/>
    <w:lvl w:ilvl="0" w:tplc="2EDC2256">
      <w:start w:val="1"/>
      <w:numFmt w:val="upperLetter"/>
      <w:lvlText w:val="%1)"/>
      <w:lvlJc w:val="left"/>
      <w:pPr>
        <w:ind w:left="36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8C0240E"/>
    <w:multiLevelType w:val="multilevel"/>
    <w:tmpl w:val="B7C47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E91B81"/>
    <w:multiLevelType w:val="hybridMultilevel"/>
    <w:tmpl w:val="11DC694A"/>
    <w:lvl w:ilvl="0" w:tplc="482AF524">
      <w:start w:val="500"/>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1BD7E99"/>
    <w:multiLevelType w:val="hybridMultilevel"/>
    <w:tmpl w:val="6E24C364"/>
    <w:lvl w:ilvl="0" w:tplc="98FEDB18">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55585B4E"/>
    <w:multiLevelType w:val="hybridMultilevel"/>
    <w:tmpl w:val="43322E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C8E0FC8"/>
    <w:multiLevelType w:val="hybridMultilevel"/>
    <w:tmpl w:val="2AB0F722"/>
    <w:lvl w:ilvl="0" w:tplc="705E2800">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5646DF4"/>
    <w:multiLevelType w:val="hybridMultilevel"/>
    <w:tmpl w:val="F9AE13AC"/>
    <w:lvl w:ilvl="0" w:tplc="1C121DAA">
      <w:start w:val="1"/>
      <w:numFmt w:val="bullet"/>
      <w:lvlText w:val="•"/>
      <w:lvlJc w:val="left"/>
      <w:pPr>
        <w:tabs>
          <w:tab w:val="num" w:pos="720"/>
        </w:tabs>
        <w:ind w:left="720" w:hanging="360"/>
      </w:pPr>
      <w:rPr>
        <w:rFonts w:ascii="Arial" w:hAnsi="Arial" w:hint="default"/>
      </w:rPr>
    </w:lvl>
    <w:lvl w:ilvl="1" w:tplc="82CADFAE" w:tentative="1">
      <w:start w:val="1"/>
      <w:numFmt w:val="bullet"/>
      <w:lvlText w:val="•"/>
      <w:lvlJc w:val="left"/>
      <w:pPr>
        <w:tabs>
          <w:tab w:val="num" w:pos="1440"/>
        </w:tabs>
        <w:ind w:left="1440" w:hanging="360"/>
      </w:pPr>
      <w:rPr>
        <w:rFonts w:ascii="Arial" w:hAnsi="Arial" w:hint="default"/>
      </w:rPr>
    </w:lvl>
    <w:lvl w:ilvl="2" w:tplc="D7EC0E76" w:tentative="1">
      <w:start w:val="1"/>
      <w:numFmt w:val="bullet"/>
      <w:lvlText w:val="•"/>
      <w:lvlJc w:val="left"/>
      <w:pPr>
        <w:tabs>
          <w:tab w:val="num" w:pos="2160"/>
        </w:tabs>
        <w:ind w:left="2160" w:hanging="360"/>
      </w:pPr>
      <w:rPr>
        <w:rFonts w:ascii="Arial" w:hAnsi="Arial" w:hint="default"/>
      </w:rPr>
    </w:lvl>
    <w:lvl w:ilvl="3" w:tplc="41FCB030" w:tentative="1">
      <w:start w:val="1"/>
      <w:numFmt w:val="bullet"/>
      <w:lvlText w:val="•"/>
      <w:lvlJc w:val="left"/>
      <w:pPr>
        <w:tabs>
          <w:tab w:val="num" w:pos="2880"/>
        </w:tabs>
        <w:ind w:left="2880" w:hanging="360"/>
      </w:pPr>
      <w:rPr>
        <w:rFonts w:ascii="Arial" w:hAnsi="Arial" w:hint="default"/>
      </w:rPr>
    </w:lvl>
    <w:lvl w:ilvl="4" w:tplc="90601D30" w:tentative="1">
      <w:start w:val="1"/>
      <w:numFmt w:val="bullet"/>
      <w:lvlText w:val="•"/>
      <w:lvlJc w:val="left"/>
      <w:pPr>
        <w:tabs>
          <w:tab w:val="num" w:pos="3600"/>
        </w:tabs>
        <w:ind w:left="3600" w:hanging="360"/>
      </w:pPr>
      <w:rPr>
        <w:rFonts w:ascii="Arial" w:hAnsi="Arial" w:hint="default"/>
      </w:rPr>
    </w:lvl>
    <w:lvl w:ilvl="5" w:tplc="1C74D188" w:tentative="1">
      <w:start w:val="1"/>
      <w:numFmt w:val="bullet"/>
      <w:lvlText w:val="•"/>
      <w:lvlJc w:val="left"/>
      <w:pPr>
        <w:tabs>
          <w:tab w:val="num" w:pos="4320"/>
        </w:tabs>
        <w:ind w:left="4320" w:hanging="360"/>
      </w:pPr>
      <w:rPr>
        <w:rFonts w:ascii="Arial" w:hAnsi="Arial" w:hint="default"/>
      </w:rPr>
    </w:lvl>
    <w:lvl w:ilvl="6" w:tplc="D0C6C6BC" w:tentative="1">
      <w:start w:val="1"/>
      <w:numFmt w:val="bullet"/>
      <w:lvlText w:val="•"/>
      <w:lvlJc w:val="left"/>
      <w:pPr>
        <w:tabs>
          <w:tab w:val="num" w:pos="5040"/>
        </w:tabs>
        <w:ind w:left="5040" w:hanging="360"/>
      </w:pPr>
      <w:rPr>
        <w:rFonts w:ascii="Arial" w:hAnsi="Arial" w:hint="default"/>
      </w:rPr>
    </w:lvl>
    <w:lvl w:ilvl="7" w:tplc="8D16FEB4" w:tentative="1">
      <w:start w:val="1"/>
      <w:numFmt w:val="bullet"/>
      <w:lvlText w:val="•"/>
      <w:lvlJc w:val="left"/>
      <w:pPr>
        <w:tabs>
          <w:tab w:val="num" w:pos="5760"/>
        </w:tabs>
        <w:ind w:left="5760" w:hanging="360"/>
      </w:pPr>
      <w:rPr>
        <w:rFonts w:ascii="Arial" w:hAnsi="Arial" w:hint="default"/>
      </w:rPr>
    </w:lvl>
    <w:lvl w:ilvl="8" w:tplc="ED2EBC8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D6A55F0"/>
    <w:multiLevelType w:val="hybridMultilevel"/>
    <w:tmpl w:val="5CE8C0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E0200BE"/>
    <w:multiLevelType w:val="hybridMultilevel"/>
    <w:tmpl w:val="6E24C364"/>
    <w:lvl w:ilvl="0" w:tplc="98FEDB18">
      <w:start w:val="1"/>
      <w:numFmt w:val="upperLetter"/>
      <w:lvlText w:val="%1)"/>
      <w:lvlJc w:val="left"/>
      <w:pPr>
        <w:ind w:left="36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6E3A0671"/>
    <w:multiLevelType w:val="hybridMultilevel"/>
    <w:tmpl w:val="7C845140"/>
    <w:lvl w:ilvl="0" w:tplc="241006DA">
      <w:start w:val="1"/>
      <w:numFmt w:val="decimal"/>
      <w:lvlText w:val="%1."/>
      <w:lvlJc w:val="left"/>
      <w:pPr>
        <w:ind w:left="705" w:hanging="70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E8D6CDA"/>
    <w:multiLevelType w:val="hybridMultilevel"/>
    <w:tmpl w:val="21AE60E2"/>
    <w:lvl w:ilvl="0" w:tplc="AB7AEBA8">
      <w:start w:val="500"/>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F393207"/>
    <w:multiLevelType w:val="hybridMultilevel"/>
    <w:tmpl w:val="FE103E02"/>
    <w:lvl w:ilvl="0" w:tplc="43B02BBA">
      <w:start w:val="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9A6651"/>
    <w:multiLevelType w:val="hybridMultilevel"/>
    <w:tmpl w:val="FF2E14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41C3643"/>
    <w:multiLevelType w:val="hybridMultilevel"/>
    <w:tmpl w:val="B5D8BA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745F20B7"/>
    <w:multiLevelType w:val="multilevel"/>
    <w:tmpl w:val="68BEA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60149D8"/>
    <w:multiLevelType w:val="hybridMultilevel"/>
    <w:tmpl w:val="6CC64B2C"/>
    <w:lvl w:ilvl="0" w:tplc="6C1C0D10">
      <w:start w:val="1"/>
      <w:numFmt w:val="decimal"/>
      <w:lvlText w:val="%1."/>
      <w:lvlJc w:val="left"/>
      <w:pPr>
        <w:ind w:left="705" w:hanging="7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0"/>
  </w:num>
  <w:num w:numId="2">
    <w:abstractNumId w:val="33"/>
  </w:num>
  <w:num w:numId="3">
    <w:abstractNumId w:val="5"/>
  </w:num>
  <w:num w:numId="4">
    <w:abstractNumId w:val="26"/>
  </w:num>
  <w:num w:numId="5">
    <w:abstractNumId w:val="17"/>
  </w:num>
  <w:num w:numId="6">
    <w:abstractNumId w:val="31"/>
  </w:num>
  <w:num w:numId="7">
    <w:abstractNumId w:val="8"/>
  </w:num>
  <w:num w:numId="8">
    <w:abstractNumId w:val="32"/>
  </w:num>
  <w:num w:numId="9">
    <w:abstractNumId w:val="13"/>
  </w:num>
  <w:num w:numId="10">
    <w:abstractNumId w:val="19"/>
  </w:num>
  <w:num w:numId="11">
    <w:abstractNumId w:val="1"/>
  </w:num>
  <w:num w:numId="12">
    <w:abstractNumId w:val="27"/>
  </w:num>
  <w:num w:numId="13">
    <w:abstractNumId w:val="2"/>
  </w:num>
  <w:num w:numId="14">
    <w:abstractNumId w:val="18"/>
  </w:num>
  <w:num w:numId="15">
    <w:abstractNumId w:val="14"/>
  </w:num>
  <w:num w:numId="16">
    <w:abstractNumId w:val="22"/>
  </w:num>
  <w:num w:numId="17">
    <w:abstractNumId w:val="21"/>
  </w:num>
  <w:num w:numId="18">
    <w:abstractNumId w:val="29"/>
  </w:num>
  <w:num w:numId="19">
    <w:abstractNumId w:val="9"/>
  </w:num>
  <w:num w:numId="20">
    <w:abstractNumId w:val="15"/>
  </w:num>
  <w:num w:numId="21">
    <w:abstractNumId w:val="23"/>
  </w:num>
  <w:num w:numId="22">
    <w:abstractNumId w:val="7"/>
  </w:num>
  <w:num w:numId="23">
    <w:abstractNumId w:val="12"/>
  </w:num>
  <w:num w:numId="24">
    <w:abstractNumId w:val="0"/>
  </w:num>
  <w:num w:numId="25">
    <w:abstractNumId w:val="4"/>
  </w:num>
  <w:num w:numId="26">
    <w:abstractNumId w:val="25"/>
  </w:num>
  <w:num w:numId="27">
    <w:abstractNumId w:val="28"/>
  </w:num>
  <w:num w:numId="28">
    <w:abstractNumId w:val="16"/>
  </w:num>
  <w:num w:numId="29">
    <w:abstractNumId w:val="6"/>
  </w:num>
  <w:num w:numId="30">
    <w:abstractNumId w:val="3"/>
  </w:num>
  <w:num w:numId="31">
    <w:abstractNumId w:val="30"/>
  </w:num>
  <w:num w:numId="32">
    <w:abstractNumId w:val="11"/>
  </w:num>
  <w:num w:numId="33">
    <w:abstractNumId w:val="34"/>
  </w:num>
  <w:num w:numId="34">
    <w:abstractNumId w:val="10"/>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drawingGridHorizontalSpacing w:val="110"/>
  <w:displayHorizontalDrawingGridEvery w:val="2"/>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1B"/>
    <w:rsid w:val="000000F9"/>
    <w:rsid w:val="000001D0"/>
    <w:rsid w:val="000002C3"/>
    <w:rsid w:val="00001228"/>
    <w:rsid w:val="000014C5"/>
    <w:rsid w:val="00002728"/>
    <w:rsid w:val="00003118"/>
    <w:rsid w:val="000040C2"/>
    <w:rsid w:val="000047F3"/>
    <w:rsid w:val="0000511C"/>
    <w:rsid w:val="00005711"/>
    <w:rsid w:val="00005E6E"/>
    <w:rsid w:val="00005F53"/>
    <w:rsid w:val="00007261"/>
    <w:rsid w:val="0000768D"/>
    <w:rsid w:val="0000775C"/>
    <w:rsid w:val="000101D5"/>
    <w:rsid w:val="00010643"/>
    <w:rsid w:val="00010813"/>
    <w:rsid w:val="00010B52"/>
    <w:rsid w:val="0001137D"/>
    <w:rsid w:val="00011601"/>
    <w:rsid w:val="00012610"/>
    <w:rsid w:val="00012E15"/>
    <w:rsid w:val="00012F93"/>
    <w:rsid w:val="0001308E"/>
    <w:rsid w:val="000136EA"/>
    <w:rsid w:val="00013D92"/>
    <w:rsid w:val="000141B1"/>
    <w:rsid w:val="000143E3"/>
    <w:rsid w:val="00016353"/>
    <w:rsid w:val="000164E7"/>
    <w:rsid w:val="00016D30"/>
    <w:rsid w:val="00020B6F"/>
    <w:rsid w:val="00020CA9"/>
    <w:rsid w:val="00021A5A"/>
    <w:rsid w:val="00021E45"/>
    <w:rsid w:val="000222C8"/>
    <w:rsid w:val="0002256B"/>
    <w:rsid w:val="00024833"/>
    <w:rsid w:val="00024E60"/>
    <w:rsid w:val="00026364"/>
    <w:rsid w:val="0002728C"/>
    <w:rsid w:val="00030631"/>
    <w:rsid w:val="000312DA"/>
    <w:rsid w:val="00031F33"/>
    <w:rsid w:val="000330DC"/>
    <w:rsid w:val="000336B0"/>
    <w:rsid w:val="00033761"/>
    <w:rsid w:val="000342A4"/>
    <w:rsid w:val="000344A2"/>
    <w:rsid w:val="000348B9"/>
    <w:rsid w:val="00035787"/>
    <w:rsid w:val="00036548"/>
    <w:rsid w:val="0003680E"/>
    <w:rsid w:val="00037259"/>
    <w:rsid w:val="000375FE"/>
    <w:rsid w:val="00037833"/>
    <w:rsid w:val="00040C0B"/>
    <w:rsid w:val="00040CC0"/>
    <w:rsid w:val="000410F8"/>
    <w:rsid w:val="000412A3"/>
    <w:rsid w:val="0004161F"/>
    <w:rsid w:val="000422E2"/>
    <w:rsid w:val="000426BA"/>
    <w:rsid w:val="000433FF"/>
    <w:rsid w:val="00043F35"/>
    <w:rsid w:val="000454D7"/>
    <w:rsid w:val="0004623E"/>
    <w:rsid w:val="00046983"/>
    <w:rsid w:val="00046CFA"/>
    <w:rsid w:val="000470E3"/>
    <w:rsid w:val="00050CDC"/>
    <w:rsid w:val="00051B7A"/>
    <w:rsid w:val="00051DCF"/>
    <w:rsid w:val="00052D35"/>
    <w:rsid w:val="00052D62"/>
    <w:rsid w:val="00052D75"/>
    <w:rsid w:val="0005303F"/>
    <w:rsid w:val="00053460"/>
    <w:rsid w:val="0005360B"/>
    <w:rsid w:val="00053B2F"/>
    <w:rsid w:val="00053F02"/>
    <w:rsid w:val="00054242"/>
    <w:rsid w:val="00054A5D"/>
    <w:rsid w:val="000552B1"/>
    <w:rsid w:val="00055596"/>
    <w:rsid w:val="00055888"/>
    <w:rsid w:val="0005599C"/>
    <w:rsid w:val="000559D4"/>
    <w:rsid w:val="000559DE"/>
    <w:rsid w:val="00055C2B"/>
    <w:rsid w:val="00056349"/>
    <w:rsid w:val="00056D27"/>
    <w:rsid w:val="00056E2F"/>
    <w:rsid w:val="000579D4"/>
    <w:rsid w:val="00060C51"/>
    <w:rsid w:val="00060D83"/>
    <w:rsid w:val="00061671"/>
    <w:rsid w:val="00061877"/>
    <w:rsid w:val="00061B01"/>
    <w:rsid w:val="00061BC3"/>
    <w:rsid w:val="000620F0"/>
    <w:rsid w:val="000625E4"/>
    <w:rsid w:val="00062B2E"/>
    <w:rsid w:val="00062BFD"/>
    <w:rsid w:val="00063922"/>
    <w:rsid w:val="00063C5A"/>
    <w:rsid w:val="00063E30"/>
    <w:rsid w:val="00063FC1"/>
    <w:rsid w:val="00064027"/>
    <w:rsid w:val="000646A2"/>
    <w:rsid w:val="00065B80"/>
    <w:rsid w:val="00065CDC"/>
    <w:rsid w:val="00066D47"/>
    <w:rsid w:val="00066EFD"/>
    <w:rsid w:val="00067668"/>
    <w:rsid w:val="00067849"/>
    <w:rsid w:val="00067AAF"/>
    <w:rsid w:val="000700C8"/>
    <w:rsid w:val="000705B8"/>
    <w:rsid w:val="0007061C"/>
    <w:rsid w:val="000711DB"/>
    <w:rsid w:val="0007161E"/>
    <w:rsid w:val="0007204D"/>
    <w:rsid w:val="00072297"/>
    <w:rsid w:val="0007247D"/>
    <w:rsid w:val="000727F2"/>
    <w:rsid w:val="00072D0C"/>
    <w:rsid w:val="0007345B"/>
    <w:rsid w:val="00073CC8"/>
    <w:rsid w:val="000741B2"/>
    <w:rsid w:val="000753F5"/>
    <w:rsid w:val="00075F95"/>
    <w:rsid w:val="000765DB"/>
    <w:rsid w:val="000771D7"/>
    <w:rsid w:val="00077332"/>
    <w:rsid w:val="000773BB"/>
    <w:rsid w:val="00077814"/>
    <w:rsid w:val="00080123"/>
    <w:rsid w:val="000804B9"/>
    <w:rsid w:val="00080BB6"/>
    <w:rsid w:val="00081B62"/>
    <w:rsid w:val="00082436"/>
    <w:rsid w:val="00082854"/>
    <w:rsid w:val="00082888"/>
    <w:rsid w:val="00082BFB"/>
    <w:rsid w:val="0008322F"/>
    <w:rsid w:val="00083A8B"/>
    <w:rsid w:val="00084787"/>
    <w:rsid w:val="00084AE8"/>
    <w:rsid w:val="00084DB7"/>
    <w:rsid w:val="0008650C"/>
    <w:rsid w:val="00086F2D"/>
    <w:rsid w:val="0008770A"/>
    <w:rsid w:val="00090200"/>
    <w:rsid w:val="00090FAE"/>
    <w:rsid w:val="00091EC0"/>
    <w:rsid w:val="000922E7"/>
    <w:rsid w:val="000926FB"/>
    <w:rsid w:val="00092D87"/>
    <w:rsid w:val="00093279"/>
    <w:rsid w:val="00093975"/>
    <w:rsid w:val="00094A4A"/>
    <w:rsid w:val="00095174"/>
    <w:rsid w:val="000957BA"/>
    <w:rsid w:val="00095D26"/>
    <w:rsid w:val="000973CF"/>
    <w:rsid w:val="000A1113"/>
    <w:rsid w:val="000A145B"/>
    <w:rsid w:val="000A1667"/>
    <w:rsid w:val="000A1694"/>
    <w:rsid w:val="000A19E3"/>
    <w:rsid w:val="000A3000"/>
    <w:rsid w:val="000A3634"/>
    <w:rsid w:val="000A3650"/>
    <w:rsid w:val="000A377E"/>
    <w:rsid w:val="000A3D46"/>
    <w:rsid w:val="000A3E3D"/>
    <w:rsid w:val="000A45EE"/>
    <w:rsid w:val="000A49B4"/>
    <w:rsid w:val="000A5085"/>
    <w:rsid w:val="000A671F"/>
    <w:rsid w:val="000A6823"/>
    <w:rsid w:val="000A6B40"/>
    <w:rsid w:val="000A6C88"/>
    <w:rsid w:val="000A78B1"/>
    <w:rsid w:val="000A7B0F"/>
    <w:rsid w:val="000A7CD2"/>
    <w:rsid w:val="000A7E45"/>
    <w:rsid w:val="000B13B2"/>
    <w:rsid w:val="000B1698"/>
    <w:rsid w:val="000B24FA"/>
    <w:rsid w:val="000B2693"/>
    <w:rsid w:val="000B2F44"/>
    <w:rsid w:val="000B3751"/>
    <w:rsid w:val="000B38AF"/>
    <w:rsid w:val="000B3C05"/>
    <w:rsid w:val="000B3FDD"/>
    <w:rsid w:val="000B438A"/>
    <w:rsid w:val="000B48B3"/>
    <w:rsid w:val="000B48E4"/>
    <w:rsid w:val="000B58B5"/>
    <w:rsid w:val="000B61AD"/>
    <w:rsid w:val="000C0413"/>
    <w:rsid w:val="000C06A7"/>
    <w:rsid w:val="000C0D2B"/>
    <w:rsid w:val="000C0E1F"/>
    <w:rsid w:val="000C13ED"/>
    <w:rsid w:val="000C1693"/>
    <w:rsid w:val="000C2383"/>
    <w:rsid w:val="000C257A"/>
    <w:rsid w:val="000C28FF"/>
    <w:rsid w:val="000C2F17"/>
    <w:rsid w:val="000C3671"/>
    <w:rsid w:val="000C37D9"/>
    <w:rsid w:val="000C386B"/>
    <w:rsid w:val="000C5211"/>
    <w:rsid w:val="000C5D84"/>
    <w:rsid w:val="000C709C"/>
    <w:rsid w:val="000C7D9C"/>
    <w:rsid w:val="000D03B1"/>
    <w:rsid w:val="000D0472"/>
    <w:rsid w:val="000D0E6C"/>
    <w:rsid w:val="000D1389"/>
    <w:rsid w:val="000D289F"/>
    <w:rsid w:val="000D2E64"/>
    <w:rsid w:val="000D2F91"/>
    <w:rsid w:val="000D331E"/>
    <w:rsid w:val="000D3445"/>
    <w:rsid w:val="000D35D8"/>
    <w:rsid w:val="000D3B25"/>
    <w:rsid w:val="000D3CD1"/>
    <w:rsid w:val="000D4097"/>
    <w:rsid w:val="000D59F1"/>
    <w:rsid w:val="000D5DA4"/>
    <w:rsid w:val="000D6533"/>
    <w:rsid w:val="000D6CB4"/>
    <w:rsid w:val="000D7387"/>
    <w:rsid w:val="000D7835"/>
    <w:rsid w:val="000D7CD4"/>
    <w:rsid w:val="000E0082"/>
    <w:rsid w:val="000E0D38"/>
    <w:rsid w:val="000E135E"/>
    <w:rsid w:val="000E196E"/>
    <w:rsid w:val="000E4D13"/>
    <w:rsid w:val="000E5CF3"/>
    <w:rsid w:val="000E6008"/>
    <w:rsid w:val="000E69BB"/>
    <w:rsid w:val="000E7C29"/>
    <w:rsid w:val="000F05EA"/>
    <w:rsid w:val="000F069E"/>
    <w:rsid w:val="000F0F44"/>
    <w:rsid w:val="000F1759"/>
    <w:rsid w:val="000F220A"/>
    <w:rsid w:val="000F2BCD"/>
    <w:rsid w:val="000F3613"/>
    <w:rsid w:val="000F36E2"/>
    <w:rsid w:val="000F3D1A"/>
    <w:rsid w:val="000F3DEA"/>
    <w:rsid w:val="000F4198"/>
    <w:rsid w:val="000F4899"/>
    <w:rsid w:val="000F4BCA"/>
    <w:rsid w:val="000F5183"/>
    <w:rsid w:val="000F572C"/>
    <w:rsid w:val="000F5F23"/>
    <w:rsid w:val="000F62C6"/>
    <w:rsid w:val="000F69CC"/>
    <w:rsid w:val="000F6CE3"/>
    <w:rsid w:val="000F7C80"/>
    <w:rsid w:val="00100A20"/>
    <w:rsid w:val="00101023"/>
    <w:rsid w:val="00101668"/>
    <w:rsid w:val="001032B8"/>
    <w:rsid w:val="00103765"/>
    <w:rsid w:val="0010435C"/>
    <w:rsid w:val="00104A05"/>
    <w:rsid w:val="00105E98"/>
    <w:rsid w:val="00107534"/>
    <w:rsid w:val="00107763"/>
    <w:rsid w:val="00107AF3"/>
    <w:rsid w:val="00107FF4"/>
    <w:rsid w:val="0011006C"/>
    <w:rsid w:val="00110AC2"/>
    <w:rsid w:val="00110C2F"/>
    <w:rsid w:val="0011146E"/>
    <w:rsid w:val="00111A0E"/>
    <w:rsid w:val="0011372A"/>
    <w:rsid w:val="0011471D"/>
    <w:rsid w:val="00114FF8"/>
    <w:rsid w:val="001156EF"/>
    <w:rsid w:val="00115A7F"/>
    <w:rsid w:val="00115FB9"/>
    <w:rsid w:val="0011628E"/>
    <w:rsid w:val="001166F9"/>
    <w:rsid w:val="001169CA"/>
    <w:rsid w:val="00120821"/>
    <w:rsid w:val="00120A3E"/>
    <w:rsid w:val="00120B42"/>
    <w:rsid w:val="00121218"/>
    <w:rsid w:val="00122289"/>
    <w:rsid w:val="001222B7"/>
    <w:rsid w:val="0012246F"/>
    <w:rsid w:val="001234ED"/>
    <w:rsid w:val="001235EF"/>
    <w:rsid w:val="00123796"/>
    <w:rsid w:val="001237BD"/>
    <w:rsid w:val="001238B9"/>
    <w:rsid w:val="00123F46"/>
    <w:rsid w:val="00124448"/>
    <w:rsid w:val="00124946"/>
    <w:rsid w:val="00124E1D"/>
    <w:rsid w:val="00124FE2"/>
    <w:rsid w:val="0012642E"/>
    <w:rsid w:val="00127145"/>
    <w:rsid w:val="00127218"/>
    <w:rsid w:val="0012726A"/>
    <w:rsid w:val="001308F1"/>
    <w:rsid w:val="00130D4E"/>
    <w:rsid w:val="0013107A"/>
    <w:rsid w:val="00131854"/>
    <w:rsid w:val="00134099"/>
    <w:rsid w:val="00134366"/>
    <w:rsid w:val="00135772"/>
    <w:rsid w:val="0013586B"/>
    <w:rsid w:val="00136794"/>
    <w:rsid w:val="00136830"/>
    <w:rsid w:val="00137665"/>
    <w:rsid w:val="00137BE6"/>
    <w:rsid w:val="00137D67"/>
    <w:rsid w:val="00137F51"/>
    <w:rsid w:val="0014019F"/>
    <w:rsid w:val="00140C1B"/>
    <w:rsid w:val="00140D01"/>
    <w:rsid w:val="00141208"/>
    <w:rsid w:val="00141E12"/>
    <w:rsid w:val="0014215A"/>
    <w:rsid w:val="001429EC"/>
    <w:rsid w:val="00142DC6"/>
    <w:rsid w:val="0014315F"/>
    <w:rsid w:val="001434A2"/>
    <w:rsid w:val="0014361D"/>
    <w:rsid w:val="001436F3"/>
    <w:rsid w:val="0014382D"/>
    <w:rsid w:val="00143DA9"/>
    <w:rsid w:val="00143DD3"/>
    <w:rsid w:val="00144F12"/>
    <w:rsid w:val="001457D6"/>
    <w:rsid w:val="00146817"/>
    <w:rsid w:val="00146BA2"/>
    <w:rsid w:val="00146CAE"/>
    <w:rsid w:val="0014721D"/>
    <w:rsid w:val="00147347"/>
    <w:rsid w:val="00150ADE"/>
    <w:rsid w:val="0015135E"/>
    <w:rsid w:val="001520EC"/>
    <w:rsid w:val="00152131"/>
    <w:rsid w:val="00152965"/>
    <w:rsid w:val="001531A8"/>
    <w:rsid w:val="001537C6"/>
    <w:rsid w:val="00154AD2"/>
    <w:rsid w:val="00155020"/>
    <w:rsid w:val="001555A8"/>
    <w:rsid w:val="00156785"/>
    <w:rsid w:val="0015778C"/>
    <w:rsid w:val="00157E7E"/>
    <w:rsid w:val="00161099"/>
    <w:rsid w:val="001625B0"/>
    <w:rsid w:val="001631F9"/>
    <w:rsid w:val="00163347"/>
    <w:rsid w:val="0016391F"/>
    <w:rsid w:val="001640C8"/>
    <w:rsid w:val="0016491A"/>
    <w:rsid w:val="00164FB7"/>
    <w:rsid w:val="001652E8"/>
    <w:rsid w:val="001659E5"/>
    <w:rsid w:val="001663CE"/>
    <w:rsid w:val="0016677B"/>
    <w:rsid w:val="001671F9"/>
    <w:rsid w:val="0016724E"/>
    <w:rsid w:val="00167858"/>
    <w:rsid w:val="001700C2"/>
    <w:rsid w:val="001701E2"/>
    <w:rsid w:val="001704CB"/>
    <w:rsid w:val="00170D0A"/>
    <w:rsid w:val="00170F6C"/>
    <w:rsid w:val="00171A88"/>
    <w:rsid w:val="00171C92"/>
    <w:rsid w:val="00171F87"/>
    <w:rsid w:val="00173936"/>
    <w:rsid w:val="00173D33"/>
    <w:rsid w:val="00173F62"/>
    <w:rsid w:val="001740E7"/>
    <w:rsid w:val="00174E63"/>
    <w:rsid w:val="00175E54"/>
    <w:rsid w:val="001762B2"/>
    <w:rsid w:val="00176E00"/>
    <w:rsid w:val="00180115"/>
    <w:rsid w:val="001805F9"/>
    <w:rsid w:val="00180FF3"/>
    <w:rsid w:val="00181037"/>
    <w:rsid w:val="001816A9"/>
    <w:rsid w:val="001818DD"/>
    <w:rsid w:val="00181B3C"/>
    <w:rsid w:val="001823AA"/>
    <w:rsid w:val="00183254"/>
    <w:rsid w:val="00184934"/>
    <w:rsid w:val="0018512A"/>
    <w:rsid w:val="001859C5"/>
    <w:rsid w:val="001863AB"/>
    <w:rsid w:val="001866B7"/>
    <w:rsid w:val="001867AF"/>
    <w:rsid w:val="001871A4"/>
    <w:rsid w:val="00187767"/>
    <w:rsid w:val="001877F8"/>
    <w:rsid w:val="00187F26"/>
    <w:rsid w:val="001911DC"/>
    <w:rsid w:val="00191A4A"/>
    <w:rsid w:val="00191C9F"/>
    <w:rsid w:val="001922C0"/>
    <w:rsid w:val="001940F0"/>
    <w:rsid w:val="00194C47"/>
    <w:rsid w:val="0019540A"/>
    <w:rsid w:val="00195530"/>
    <w:rsid w:val="0019570A"/>
    <w:rsid w:val="001969DE"/>
    <w:rsid w:val="00197537"/>
    <w:rsid w:val="00197821"/>
    <w:rsid w:val="001979C0"/>
    <w:rsid w:val="00197ACA"/>
    <w:rsid w:val="001A024E"/>
    <w:rsid w:val="001A12D4"/>
    <w:rsid w:val="001A1709"/>
    <w:rsid w:val="001A1715"/>
    <w:rsid w:val="001A1A1A"/>
    <w:rsid w:val="001A1BCE"/>
    <w:rsid w:val="001A235C"/>
    <w:rsid w:val="001A24FC"/>
    <w:rsid w:val="001A279F"/>
    <w:rsid w:val="001A2B03"/>
    <w:rsid w:val="001A3404"/>
    <w:rsid w:val="001A3DFB"/>
    <w:rsid w:val="001A4044"/>
    <w:rsid w:val="001A4316"/>
    <w:rsid w:val="001A45EC"/>
    <w:rsid w:val="001A468D"/>
    <w:rsid w:val="001A500B"/>
    <w:rsid w:val="001A51BC"/>
    <w:rsid w:val="001A6723"/>
    <w:rsid w:val="001A6766"/>
    <w:rsid w:val="001A6DC2"/>
    <w:rsid w:val="001A6FA7"/>
    <w:rsid w:val="001A73C2"/>
    <w:rsid w:val="001A7C36"/>
    <w:rsid w:val="001B0205"/>
    <w:rsid w:val="001B0D8B"/>
    <w:rsid w:val="001B197A"/>
    <w:rsid w:val="001B1C20"/>
    <w:rsid w:val="001B25E6"/>
    <w:rsid w:val="001B299B"/>
    <w:rsid w:val="001B3172"/>
    <w:rsid w:val="001B37FA"/>
    <w:rsid w:val="001B3F7A"/>
    <w:rsid w:val="001B4A04"/>
    <w:rsid w:val="001B4ABC"/>
    <w:rsid w:val="001B5015"/>
    <w:rsid w:val="001B5383"/>
    <w:rsid w:val="001B58E3"/>
    <w:rsid w:val="001B6563"/>
    <w:rsid w:val="001B6BB8"/>
    <w:rsid w:val="001B755A"/>
    <w:rsid w:val="001C0977"/>
    <w:rsid w:val="001C0F49"/>
    <w:rsid w:val="001C12F9"/>
    <w:rsid w:val="001C1924"/>
    <w:rsid w:val="001C1DF2"/>
    <w:rsid w:val="001C27F7"/>
    <w:rsid w:val="001C28F5"/>
    <w:rsid w:val="001C2DE0"/>
    <w:rsid w:val="001C4C02"/>
    <w:rsid w:val="001C4E01"/>
    <w:rsid w:val="001C4E9C"/>
    <w:rsid w:val="001C4EED"/>
    <w:rsid w:val="001C5175"/>
    <w:rsid w:val="001C5A6A"/>
    <w:rsid w:val="001C5C08"/>
    <w:rsid w:val="001C5DA6"/>
    <w:rsid w:val="001C5DAA"/>
    <w:rsid w:val="001C7349"/>
    <w:rsid w:val="001C79FA"/>
    <w:rsid w:val="001D0013"/>
    <w:rsid w:val="001D0B25"/>
    <w:rsid w:val="001D0DD2"/>
    <w:rsid w:val="001D1267"/>
    <w:rsid w:val="001D32AA"/>
    <w:rsid w:val="001D3621"/>
    <w:rsid w:val="001D4100"/>
    <w:rsid w:val="001D485C"/>
    <w:rsid w:val="001D5298"/>
    <w:rsid w:val="001D6343"/>
    <w:rsid w:val="001D6477"/>
    <w:rsid w:val="001D68B0"/>
    <w:rsid w:val="001D7315"/>
    <w:rsid w:val="001D7764"/>
    <w:rsid w:val="001D782B"/>
    <w:rsid w:val="001D7D6F"/>
    <w:rsid w:val="001D7F04"/>
    <w:rsid w:val="001E0896"/>
    <w:rsid w:val="001E1559"/>
    <w:rsid w:val="001E17FC"/>
    <w:rsid w:val="001E1E19"/>
    <w:rsid w:val="001E2529"/>
    <w:rsid w:val="001E281C"/>
    <w:rsid w:val="001E29A5"/>
    <w:rsid w:val="001E346B"/>
    <w:rsid w:val="001E3586"/>
    <w:rsid w:val="001E4230"/>
    <w:rsid w:val="001E54D7"/>
    <w:rsid w:val="001E5F72"/>
    <w:rsid w:val="001E7284"/>
    <w:rsid w:val="001E751E"/>
    <w:rsid w:val="001F0B72"/>
    <w:rsid w:val="001F203E"/>
    <w:rsid w:val="001F2C84"/>
    <w:rsid w:val="001F3487"/>
    <w:rsid w:val="001F364D"/>
    <w:rsid w:val="001F3908"/>
    <w:rsid w:val="001F3AD4"/>
    <w:rsid w:val="001F3E6A"/>
    <w:rsid w:val="001F46F3"/>
    <w:rsid w:val="001F4945"/>
    <w:rsid w:val="001F51BE"/>
    <w:rsid w:val="001F55DF"/>
    <w:rsid w:val="001F59D4"/>
    <w:rsid w:val="001F66F7"/>
    <w:rsid w:val="001F6805"/>
    <w:rsid w:val="001F6968"/>
    <w:rsid w:val="001F7E38"/>
    <w:rsid w:val="00200637"/>
    <w:rsid w:val="002006E7"/>
    <w:rsid w:val="00200C32"/>
    <w:rsid w:val="00202172"/>
    <w:rsid w:val="0020258F"/>
    <w:rsid w:val="002039AA"/>
    <w:rsid w:val="002039F6"/>
    <w:rsid w:val="00203E55"/>
    <w:rsid w:val="0020530A"/>
    <w:rsid w:val="00206A91"/>
    <w:rsid w:val="0020727F"/>
    <w:rsid w:val="00207575"/>
    <w:rsid w:val="00207717"/>
    <w:rsid w:val="0020798F"/>
    <w:rsid w:val="00210C6C"/>
    <w:rsid w:val="002113A2"/>
    <w:rsid w:val="002121D6"/>
    <w:rsid w:val="0021274C"/>
    <w:rsid w:val="00212BCE"/>
    <w:rsid w:val="00213497"/>
    <w:rsid w:val="00213CC4"/>
    <w:rsid w:val="0021559B"/>
    <w:rsid w:val="002159D9"/>
    <w:rsid w:val="00216692"/>
    <w:rsid w:val="00217AFB"/>
    <w:rsid w:val="00217CA1"/>
    <w:rsid w:val="002205C7"/>
    <w:rsid w:val="0022067F"/>
    <w:rsid w:val="002211FE"/>
    <w:rsid w:val="00221521"/>
    <w:rsid w:val="0022193B"/>
    <w:rsid w:val="00221F09"/>
    <w:rsid w:val="00221F7C"/>
    <w:rsid w:val="0022264E"/>
    <w:rsid w:val="00223B4F"/>
    <w:rsid w:val="00223BF9"/>
    <w:rsid w:val="0022514A"/>
    <w:rsid w:val="00225724"/>
    <w:rsid w:val="00225F6D"/>
    <w:rsid w:val="0022624A"/>
    <w:rsid w:val="0022647C"/>
    <w:rsid w:val="00226A03"/>
    <w:rsid w:val="002277B0"/>
    <w:rsid w:val="00227FB4"/>
    <w:rsid w:val="0023119E"/>
    <w:rsid w:val="002316C8"/>
    <w:rsid w:val="00232797"/>
    <w:rsid w:val="00232C5C"/>
    <w:rsid w:val="00232CA3"/>
    <w:rsid w:val="00232CE2"/>
    <w:rsid w:val="00233A15"/>
    <w:rsid w:val="00233F07"/>
    <w:rsid w:val="00234804"/>
    <w:rsid w:val="00235147"/>
    <w:rsid w:val="00235AB8"/>
    <w:rsid w:val="00235B45"/>
    <w:rsid w:val="00237250"/>
    <w:rsid w:val="00237729"/>
    <w:rsid w:val="00237B47"/>
    <w:rsid w:val="00240A7A"/>
    <w:rsid w:val="00240B98"/>
    <w:rsid w:val="002410EB"/>
    <w:rsid w:val="00241259"/>
    <w:rsid w:val="002412C6"/>
    <w:rsid w:val="002412E8"/>
    <w:rsid w:val="002413E2"/>
    <w:rsid w:val="0024223A"/>
    <w:rsid w:val="00242A62"/>
    <w:rsid w:val="00243AFD"/>
    <w:rsid w:val="00243E5B"/>
    <w:rsid w:val="002445D6"/>
    <w:rsid w:val="00244C12"/>
    <w:rsid w:val="00244F88"/>
    <w:rsid w:val="00245C7F"/>
    <w:rsid w:val="00246003"/>
    <w:rsid w:val="00247384"/>
    <w:rsid w:val="002506DC"/>
    <w:rsid w:val="00250C2D"/>
    <w:rsid w:val="00251D20"/>
    <w:rsid w:val="00252279"/>
    <w:rsid w:val="00252DC8"/>
    <w:rsid w:val="00253CDA"/>
    <w:rsid w:val="00254302"/>
    <w:rsid w:val="002546C4"/>
    <w:rsid w:val="0025500B"/>
    <w:rsid w:val="00255AED"/>
    <w:rsid w:val="00255FBE"/>
    <w:rsid w:val="00256686"/>
    <w:rsid w:val="002568BA"/>
    <w:rsid w:val="002573C9"/>
    <w:rsid w:val="00257687"/>
    <w:rsid w:val="00260ADD"/>
    <w:rsid w:val="00260C81"/>
    <w:rsid w:val="00260F27"/>
    <w:rsid w:val="00261493"/>
    <w:rsid w:val="002628A4"/>
    <w:rsid w:val="00263906"/>
    <w:rsid w:val="00263A94"/>
    <w:rsid w:val="0026444B"/>
    <w:rsid w:val="00265FC0"/>
    <w:rsid w:val="00266783"/>
    <w:rsid w:val="002669B1"/>
    <w:rsid w:val="002669D0"/>
    <w:rsid w:val="00267128"/>
    <w:rsid w:val="0026727E"/>
    <w:rsid w:val="00267AED"/>
    <w:rsid w:val="00267B14"/>
    <w:rsid w:val="00267D2B"/>
    <w:rsid w:val="00267E8B"/>
    <w:rsid w:val="002700CC"/>
    <w:rsid w:val="00270320"/>
    <w:rsid w:val="00270A39"/>
    <w:rsid w:val="0027125D"/>
    <w:rsid w:val="002726C2"/>
    <w:rsid w:val="00273A6F"/>
    <w:rsid w:val="00274563"/>
    <w:rsid w:val="002745B8"/>
    <w:rsid w:val="00274749"/>
    <w:rsid w:val="00274BA4"/>
    <w:rsid w:val="00274E6B"/>
    <w:rsid w:val="00275780"/>
    <w:rsid w:val="002757D9"/>
    <w:rsid w:val="0027587A"/>
    <w:rsid w:val="00275B05"/>
    <w:rsid w:val="00275C3E"/>
    <w:rsid w:val="00276888"/>
    <w:rsid w:val="00276B0D"/>
    <w:rsid w:val="00276DEA"/>
    <w:rsid w:val="002771AA"/>
    <w:rsid w:val="0027738E"/>
    <w:rsid w:val="0027744F"/>
    <w:rsid w:val="00277E13"/>
    <w:rsid w:val="00277F4E"/>
    <w:rsid w:val="00281470"/>
    <w:rsid w:val="00283A7F"/>
    <w:rsid w:val="00283E27"/>
    <w:rsid w:val="00283E84"/>
    <w:rsid w:val="002849AD"/>
    <w:rsid w:val="00285346"/>
    <w:rsid w:val="00285957"/>
    <w:rsid w:val="002860A7"/>
    <w:rsid w:val="00286698"/>
    <w:rsid w:val="00286A5E"/>
    <w:rsid w:val="00286C8D"/>
    <w:rsid w:val="00286F4A"/>
    <w:rsid w:val="002870F3"/>
    <w:rsid w:val="0028744A"/>
    <w:rsid w:val="002876FF"/>
    <w:rsid w:val="00287FA7"/>
    <w:rsid w:val="00290413"/>
    <w:rsid w:val="00290BD1"/>
    <w:rsid w:val="00290E0E"/>
    <w:rsid w:val="00291BCD"/>
    <w:rsid w:val="00291FEE"/>
    <w:rsid w:val="00292CA4"/>
    <w:rsid w:val="00293165"/>
    <w:rsid w:val="002933C8"/>
    <w:rsid w:val="00293C29"/>
    <w:rsid w:val="0029435B"/>
    <w:rsid w:val="002946E4"/>
    <w:rsid w:val="0029508A"/>
    <w:rsid w:val="002952F9"/>
    <w:rsid w:val="002957E0"/>
    <w:rsid w:val="00297536"/>
    <w:rsid w:val="00297545"/>
    <w:rsid w:val="00297BEB"/>
    <w:rsid w:val="00297CE1"/>
    <w:rsid w:val="002A0AB6"/>
    <w:rsid w:val="002A1570"/>
    <w:rsid w:val="002A19F7"/>
    <w:rsid w:val="002A1A57"/>
    <w:rsid w:val="002A2F4E"/>
    <w:rsid w:val="002A3100"/>
    <w:rsid w:val="002A3D2F"/>
    <w:rsid w:val="002A4B04"/>
    <w:rsid w:val="002A4D9F"/>
    <w:rsid w:val="002A4ED4"/>
    <w:rsid w:val="002A4F0E"/>
    <w:rsid w:val="002A5244"/>
    <w:rsid w:val="002A5327"/>
    <w:rsid w:val="002A551A"/>
    <w:rsid w:val="002A66AC"/>
    <w:rsid w:val="002A7D33"/>
    <w:rsid w:val="002B018A"/>
    <w:rsid w:val="002B0A7A"/>
    <w:rsid w:val="002B1BE9"/>
    <w:rsid w:val="002B2BEF"/>
    <w:rsid w:val="002B3840"/>
    <w:rsid w:val="002B39FC"/>
    <w:rsid w:val="002B4B06"/>
    <w:rsid w:val="002B5635"/>
    <w:rsid w:val="002B565E"/>
    <w:rsid w:val="002B7559"/>
    <w:rsid w:val="002B7762"/>
    <w:rsid w:val="002B77FC"/>
    <w:rsid w:val="002B7BF7"/>
    <w:rsid w:val="002C07C8"/>
    <w:rsid w:val="002C1FBB"/>
    <w:rsid w:val="002C21C3"/>
    <w:rsid w:val="002C22D8"/>
    <w:rsid w:val="002C25AA"/>
    <w:rsid w:val="002C2874"/>
    <w:rsid w:val="002C37ED"/>
    <w:rsid w:val="002C3C11"/>
    <w:rsid w:val="002C471E"/>
    <w:rsid w:val="002C48C9"/>
    <w:rsid w:val="002C4F04"/>
    <w:rsid w:val="002C56F7"/>
    <w:rsid w:val="002C5F7D"/>
    <w:rsid w:val="002C6362"/>
    <w:rsid w:val="002C7653"/>
    <w:rsid w:val="002C7BC1"/>
    <w:rsid w:val="002C7F92"/>
    <w:rsid w:val="002D06F5"/>
    <w:rsid w:val="002D1896"/>
    <w:rsid w:val="002D2301"/>
    <w:rsid w:val="002D23CC"/>
    <w:rsid w:val="002D2563"/>
    <w:rsid w:val="002D3B73"/>
    <w:rsid w:val="002D4649"/>
    <w:rsid w:val="002D4811"/>
    <w:rsid w:val="002D586F"/>
    <w:rsid w:val="002D6032"/>
    <w:rsid w:val="002D72A6"/>
    <w:rsid w:val="002D7304"/>
    <w:rsid w:val="002D77CF"/>
    <w:rsid w:val="002D7F43"/>
    <w:rsid w:val="002E0509"/>
    <w:rsid w:val="002E05FE"/>
    <w:rsid w:val="002E14C1"/>
    <w:rsid w:val="002E17CA"/>
    <w:rsid w:val="002E1AC8"/>
    <w:rsid w:val="002E1C10"/>
    <w:rsid w:val="002E21E2"/>
    <w:rsid w:val="002E289D"/>
    <w:rsid w:val="002E2D99"/>
    <w:rsid w:val="002E2E70"/>
    <w:rsid w:val="002E32D6"/>
    <w:rsid w:val="002E486F"/>
    <w:rsid w:val="002E54C1"/>
    <w:rsid w:val="002E6611"/>
    <w:rsid w:val="002E78D4"/>
    <w:rsid w:val="002E7B37"/>
    <w:rsid w:val="002F0222"/>
    <w:rsid w:val="002F11B3"/>
    <w:rsid w:val="002F1DAF"/>
    <w:rsid w:val="002F2EE2"/>
    <w:rsid w:val="002F2FAB"/>
    <w:rsid w:val="002F3887"/>
    <w:rsid w:val="002F449D"/>
    <w:rsid w:val="002F4C6C"/>
    <w:rsid w:val="002F52AD"/>
    <w:rsid w:val="002F62D5"/>
    <w:rsid w:val="002F6C44"/>
    <w:rsid w:val="002F6DD6"/>
    <w:rsid w:val="002F799E"/>
    <w:rsid w:val="002F79C2"/>
    <w:rsid w:val="003006DA"/>
    <w:rsid w:val="00300A0E"/>
    <w:rsid w:val="00300D45"/>
    <w:rsid w:val="00302A0C"/>
    <w:rsid w:val="00302C33"/>
    <w:rsid w:val="00302E13"/>
    <w:rsid w:val="00303959"/>
    <w:rsid w:val="00303A96"/>
    <w:rsid w:val="0030411D"/>
    <w:rsid w:val="00304298"/>
    <w:rsid w:val="00305323"/>
    <w:rsid w:val="00305674"/>
    <w:rsid w:val="00305A96"/>
    <w:rsid w:val="003065B4"/>
    <w:rsid w:val="00307519"/>
    <w:rsid w:val="003076D6"/>
    <w:rsid w:val="0031081B"/>
    <w:rsid w:val="00310CC8"/>
    <w:rsid w:val="00310DAE"/>
    <w:rsid w:val="00311703"/>
    <w:rsid w:val="003118E3"/>
    <w:rsid w:val="003123B9"/>
    <w:rsid w:val="0031273B"/>
    <w:rsid w:val="0031319E"/>
    <w:rsid w:val="0031373A"/>
    <w:rsid w:val="00314666"/>
    <w:rsid w:val="003149EF"/>
    <w:rsid w:val="00315737"/>
    <w:rsid w:val="00315B75"/>
    <w:rsid w:val="00316220"/>
    <w:rsid w:val="003162C1"/>
    <w:rsid w:val="00316585"/>
    <w:rsid w:val="00317802"/>
    <w:rsid w:val="00317918"/>
    <w:rsid w:val="00320AB3"/>
    <w:rsid w:val="00320CD1"/>
    <w:rsid w:val="00321D3A"/>
    <w:rsid w:val="0032260A"/>
    <w:rsid w:val="0032269D"/>
    <w:rsid w:val="00323057"/>
    <w:rsid w:val="00323B24"/>
    <w:rsid w:val="00323B9F"/>
    <w:rsid w:val="003245E9"/>
    <w:rsid w:val="00324B05"/>
    <w:rsid w:val="00324F03"/>
    <w:rsid w:val="0032502F"/>
    <w:rsid w:val="003272C3"/>
    <w:rsid w:val="003274F8"/>
    <w:rsid w:val="00330566"/>
    <w:rsid w:val="003307DB"/>
    <w:rsid w:val="0033157F"/>
    <w:rsid w:val="00331AF8"/>
    <w:rsid w:val="003321F9"/>
    <w:rsid w:val="00332440"/>
    <w:rsid w:val="0033319B"/>
    <w:rsid w:val="003335AC"/>
    <w:rsid w:val="003349F7"/>
    <w:rsid w:val="003349FE"/>
    <w:rsid w:val="00334A15"/>
    <w:rsid w:val="00335094"/>
    <w:rsid w:val="00336076"/>
    <w:rsid w:val="003368CE"/>
    <w:rsid w:val="00336FE2"/>
    <w:rsid w:val="003370A4"/>
    <w:rsid w:val="003372A6"/>
    <w:rsid w:val="00337734"/>
    <w:rsid w:val="00340E63"/>
    <w:rsid w:val="00340F0D"/>
    <w:rsid w:val="003410F0"/>
    <w:rsid w:val="003417AC"/>
    <w:rsid w:val="003424B6"/>
    <w:rsid w:val="00346A01"/>
    <w:rsid w:val="003470DC"/>
    <w:rsid w:val="00347894"/>
    <w:rsid w:val="0035036A"/>
    <w:rsid w:val="00350816"/>
    <w:rsid w:val="00350BAC"/>
    <w:rsid w:val="00350D69"/>
    <w:rsid w:val="00351136"/>
    <w:rsid w:val="00351234"/>
    <w:rsid w:val="0035151E"/>
    <w:rsid w:val="003519CC"/>
    <w:rsid w:val="00351CAB"/>
    <w:rsid w:val="00351E6F"/>
    <w:rsid w:val="00353B5A"/>
    <w:rsid w:val="00353EC3"/>
    <w:rsid w:val="00353F50"/>
    <w:rsid w:val="00354415"/>
    <w:rsid w:val="00354931"/>
    <w:rsid w:val="003551F8"/>
    <w:rsid w:val="003556E8"/>
    <w:rsid w:val="003557AF"/>
    <w:rsid w:val="00355DD8"/>
    <w:rsid w:val="003563F0"/>
    <w:rsid w:val="0035660E"/>
    <w:rsid w:val="00356977"/>
    <w:rsid w:val="00356E52"/>
    <w:rsid w:val="00357ECD"/>
    <w:rsid w:val="00360148"/>
    <w:rsid w:val="003602E0"/>
    <w:rsid w:val="00360B68"/>
    <w:rsid w:val="00360E5B"/>
    <w:rsid w:val="0036137D"/>
    <w:rsid w:val="00361BE7"/>
    <w:rsid w:val="00362DEA"/>
    <w:rsid w:val="00363155"/>
    <w:rsid w:val="00363B96"/>
    <w:rsid w:val="00363D1A"/>
    <w:rsid w:val="00364279"/>
    <w:rsid w:val="00364C18"/>
    <w:rsid w:val="00364C9D"/>
    <w:rsid w:val="00364DEF"/>
    <w:rsid w:val="00365036"/>
    <w:rsid w:val="003662A9"/>
    <w:rsid w:val="00366D92"/>
    <w:rsid w:val="0036714A"/>
    <w:rsid w:val="00370CE5"/>
    <w:rsid w:val="00371454"/>
    <w:rsid w:val="00371B22"/>
    <w:rsid w:val="00372678"/>
    <w:rsid w:val="003726B2"/>
    <w:rsid w:val="00372943"/>
    <w:rsid w:val="00375EF0"/>
    <w:rsid w:val="00376031"/>
    <w:rsid w:val="0037615A"/>
    <w:rsid w:val="0037637D"/>
    <w:rsid w:val="0037673B"/>
    <w:rsid w:val="00376FBF"/>
    <w:rsid w:val="003772C2"/>
    <w:rsid w:val="00380C5F"/>
    <w:rsid w:val="00380C6C"/>
    <w:rsid w:val="00380F74"/>
    <w:rsid w:val="0038145C"/>
    <w:rsid w:val="0038222C"/>
    <w:rsid w:val="003825B8"/>
    <w:rsid w:val="00382DEC"/>
    <w:rsid w:val="00383C3D"/>
    <w:rsid w:val="00383C76"/>
    <w:rsid w:val="003841DE"/>
    <w:rsid w:val="00384535"/>
    <w:rsid w:val="003851AC"/>
    <w:rsid w:val="003853B2"/>
    <w:rsid w:val="00385589"/>
    <w:rsid w:val="00386A00"/>
    <w:rsid w:val="00386D0E"/>
    <w:rsid w:val="00386D3B"/>
    <w:rsid w:val="00387147"/>
    <w:rsid w:val="0038785D"/>
    <w:rsid w:val="00387CB6"/>
    <w:rsid w:val="0039008F"/>
    <w:rsid w:val="00390255"/>
    <w:rsid w:val="003907AD"/>
    <w:rsid w:val="0039105B"/>
    <w:rsid w:val="00391257"/>
    <w:rsid w:val="0039275D"/>
    <w:rsid w:val="00392CDA"/>
    <w:rsid w:val="00393245"/>
    <w:rsid w:val="00393B9B"/>
    <w:rsid w:val="003941BF"/>
    <w:rsid w:val="00394476"/>
    <w:rsid w:val="00395640"/>
    <w:rsid w:val="00395A49"/>
    <w:rsid w:val="00395B1E"/>
    <w:rsid w:val="003965F2"/>
    <w:rsid w:val="00396983"/>
    <w:rsid w:val="00396EBF"/>
    <w:rsid w:val="00397A20"/>
    <w:rsid w:val="003A0473"/>
    <w:rsid w:val="003A05E7"/>
    <w:rsid w:val="003A1114"/>
    <w:rsid w:val="003A19C8"/>
    <w:rsid w:val="003A1DA0"/>
    <w:rsid w:val="003A225B"/>
    <w:rsid w:val="003A2278"/>
    <w:rsid w:val="003A2770"/>
    <w:rsid w:val="003A29A1"/>
    <w:rsid w:val="003A3253"/>
    <w:rsid w:val="003A3CBB"/>
    <w:rsid w:val="003A3F18"/>
    <w:rsid w:val="003A4130"/>
    <w:rsid w:val="003A45A7"/>
    <w:rsid w:val="003A487C"/>
    <w:rsid w:val="003A4AEB"/>
    <w:rsid w:val="003A5367"/>
    <w:rsid w:val="003A5696"/>
    <w:rsid w:val="003A593F"/>
    <w:rsid w:val="003A5FD5"/>
    <w:rsid w:val="003A733C"/>
    <w:rsid w:val="003A7B4B"/>
    <w:rsid w:val="003B09C9"/>
    <w:rsid w:val="003B09D4"/>
    <w:rsid w:val="003B0FB2"/>
    <w:rsid w:val="003B1321"/>
    <w:rsid w:val="003B20A8"/>
    <w:rsid w:val="003B21BD"/>
    <w:rsid w:val="003B2524"/>
    <w:rsid w:val="003B3E3F"/>
    <w:rsid w:val="003B4737"/>
    <w:rsid w:val="003B546B"/>
    <w:rsid w:val="003B5954"/>
    <w:rsid w:val="003B5B05"/>
    <w:rsid w:val="003B5C50"/>
    <w:rsid w:val="003B60CC"/>
    <w:rsid w:val="003B7024"/>
    <w:rsid w:val="003C0455"/>
    <w:rsid w:val="003C0EF3"/>
    <w:rsid w:val="003C1079"/>
    <w:rsid w:val="003C1406"/>
    <w:rsid w:val="003C217A"/>
    <w:rsid w:val="003C2369"/>
    <w:rsid w:val="003C2F99"/>
    <w:rsid w:val="003C3D5F"/>
    <w:rsid w:val="003C3F75"/>
    <w:rsid w:val="003C4837"/>
    <w:rsid w:val="003C5405"/>
    <w:rsid w:val="003C5616"/>
    <w:rsid w:val="003C57D1"/>
    <w:rsid w:val="003C5AD8"/>
    <w:rsid w:val="003C5CCC"/>
    <w:rsid w:val="003C671D"/>
    <w:rsid w:val="003C68E6"/>
    <w:rsid w:val="003D05AA"/>
    <w:rsid w:val="003D0647"/>
    <w:rsid w:val="003D0CB4"/>
    <w:rsid w:val="003D1E70"/>
    <w:rsid w:val="003D27C8"/>
    <w:rsid w:val="003D291A"/>
    <w:rsid w:val="003D2B0B"/>
    <w:rsid w:val="003D4AF5"/>
    <w:rsid w:val="003D4E17"/>
    <w:rsid w:val="003D4FD8"/>
    <w:rsid w:val="003D60AC"/>
    <w:rsid w:val="003D6A4A"/>
    <w:rsid w:val="003D6D2E"/>
    <w:rsid w:val="003D7978"/>
    <w:rsid w:val="003E0801"/>
    <w:rsid w:val="003E0867"/>
    <w:rsid w:val="003E0F53"/>
    <w:rsid w:val="003E29CD"/>
    <w:rsid w:val="003E2B1B"/>
    <w:rsid w:val="003E30A2"/>
    <w:rsid w:val="003E31EB"/>
    <w:rsid w:val="003E436B"/>
    <w:rsid w:val="003E56B3"/>
    <w:rsid w:val="003E5A4C"/>
    <w:rsid w:val="003E5C2F"/>
    <w:rsid w:val="003E5ECC"/>
    <w:rsid w:val="003E6580"/>
    <w:rsid w:val="003E679E"/>
    <w:rsid w:val="003E6895"/>
    <w:rsid w:val="003E76E0"/>
    <w:rsid w:val="003E77A3"/>
    <w:rsid w:val="003E7B89"/>
    <w:rsid w:val="003E7DD7"/>
    <w:rsid w:val="003F06AF"/>
    <w:rsid w:val="003F0870"/>
    <w:rsid w:val="003F0C61"/>
    <w:rsid w:val="003F155E"/>
    <w:rsid w:val="003F170D"/>
    <w:rsid w:val="003F1F0E"/>
    <w:rsid w:val="003F293F"/>
    <w:rsid w:val="003F340F"/>
    <w:rsid w:val="003F35CA"/>
    <w:rsid w:val="003F3FC7"/>
    <w:rsid w:val="003F433D"/>
    <w:rsid w:val="003F44A7"/>
    <w:rsid w:val="003F45AF"/>
    <w:rsid w:val="003F48AC"/>
    <w:rsid w:val="003F5DB9"/>
    <w:rsid w:val="003F62EA"/>
    <w:rsid w:val="003F654E"/>
    <w:rsid w:val="003F67B5"/>
    <w:rsid w:val="0040040D"/>
    <w:rsid w:val="0040181A"/>
    <w:rsid w:val="00401E7A"/>
    <w:rsid w:val="00402149"/>
    <w:rsid w:val="004024BF"/>
    <w:rsid w:val="00402C21"/>
    <w:rsid w:val="00403C66"/>
    <w:rsid w:val="00404574"/>
    <w:rsid w:val="00404D33"/>
    <w:rsid w:val="004050E2"/>
    <w:rsid w:val="00406E0F"/>
    <w:rsid w:val="00407174"/>
    <w:rsid w:val="00410955"/>
    <w:rsid w:val="00411440"/>
    <w:rsid w:val="004122DC"/>
    <w:rsid w:val="00412CA8"/>
    <w:rsid w:val="004132A1"/>
    <w:rsid w:val="004133A3"/>
    <w:rsid w:val="00413B2E"/>
    <w:rsid w:val="00413C3A"/>
    <w:rsid w:val="00414183"/>
    <w:rsid w:val="00414DA9"/>
    <w:rsid w:val="004154BD"/>
    <w:rsid w:val="004157C7"/>
    <w:rsid w:val="004159AB"/>
    <w:rsid w:val="00415A34"/>
    <w:rsid w:val="00415AC0"/>
    <w:rsid w:val="004161FC"/>
    <w:rsid w:val="0041646C"/>
    <w:rsid w:val="00416AC3"/>
    <w:rsid w:val="0041726E"/>
    <w:rsid w:val="00417A32"/>
    <w:rsid w:val="0042172A"/>
    <w:rsid w:val="00421A0B"/>
    <w:rsid w:val="00421BD4"/>
    <w:rsid w:val="00422B75"/>
    <w:rsid w:val="00423BA3"/>
    <w:rsid w:val="00424617"/>
    <w:rsid w:val="00424811"/>
    <w:rsid w:val="004253CB"/>
    <w:rsid w:val="00425B08"/>
    <w:rsid w:val="00425EFE"/>
    <w:rsid w:val="0042666D"/>
    <w:rsid w:val="00426B39"/>
    <w:rsid w:val="00426D5C"/>
    <w:rsid w:val="00426F55"/>
    <w:rsid w:val="00427D46"/>
    <w:rsid w:val="00430FAA"/>
    <w:rsid w:val="00431342"/>
    <w:rsid w:val="004315FD"/>
    <w:rsid w:val="004317A3"/>
    <w:rsid w:val="00431B11"/>
    <w:rsid w:val="004326CA"/>
    <w:rsid w:val="004339F4"/>
    <w:rsid w:val="00433E0B"/>
    <w:rsid w:val="004359E2"/>
    <w:rsid w:val="00435D3C"/>
    <w:rsid w:val="00436205"/>
    <w:rsid w:val="00436755"/>
    <w:rsid w:val="00436A67"/>
    <w:rsid w:val="004377B3"/>
    <w:rsid w:val="0043781F"/>
    <w:rsid w:val="00441A4D"/>
    <w:rsid w:val="00441EA4"/>
    <w:rsid w:val="00441EFA"/>
    <w:rsid w:val="0044216F"/>
    <w:rsid w:val="00442242"/>
    <w:rsid w:val="004422A7"/>
    <w:rsid w:val="00442578"/>
    <w:rsid w:val="00442846"/>
    <w:rsid w:val="0044360A"/>
    <w:rsid w:val="00444A1A"/>
    <w:rsid w:val="00444C8D"/>
    <w:rsid w:val="0044524A"/>
    <w:rsid w:val="00445C5A"/>
    <w:rsid w:val="0044637A"/>
    <w:rsid w:val="00446A16"/>
    <w:rsid w:val="00446FFA"/>
    <w:rsid w:val="004473E5"/>
    <w:rsid w:val="004500D0"/>
    <w:rsid w:val="00450B30"/>
    <w:rsid w:val="00450BDA"/>
    <w:rsid w:val="00450BF8"/>
    <w:rsid w:val="00450E97"/>
    <w:rsid w:val="00452464"/>
    <w:rsid w:val="00452F3D"/>
    <w:rsid w:val="004530EA"/>
    <w:rsid w:val="004539D0"/>
    <w:rsid w:val="00454044"/>
    <w:rsid w:val="0045420A"/>
    <w:rsid w:val="00454560"/>
    <w:rsid w:val="004550FF"/>
    <w:rsid w:val="004560E2"/>
    <w:rsid w:val="004562E5"/>
    <w:rsid w:val="004564D2"/>
    <w:rsid w:val="00456E26"/>
    <w:rsid w:val="00460362"/>
    <w:rsid w:val="004604C3"/>
    <w:rsid w:val="00460B14"/>
    <w:rsid w:val="00460B9F"/>
    <w:rsid w:val="00461107"/>
    <w:rsid w:val="00461386"/>
    <w:rsid w:val="00461E36"/>
    <w:rsid w:val="00462555"/>
    <w:rsid w:val="004629E2"/>
    <w:rsid w:val="00462BE0"/>
    <w:rsid w:val="00463CC1"/>
    <w:rsid w:val="0046462C"/>
    <w:rsid w:val="00464C68"/>
    <w:rsid w:val="00465CA8"/>
    <w:rsid w:val="00466333"/>
    <w:rsid w:val="004664F0"/>
    <w:rsid w:val="004666B7"/>
    <w:rsid w:val="00467185"/>
    <w:rsid w:val="00467959"/>
    <w:rsid w:val="00467FFC"/>
    <w:rsid w:val="0047057F"/>
    <w:rsid w:val="004709F3"/>
    <w:rsid w:val="00470CD6"/>
    <w:rsid w:val="00471048"/>
    <w:rsid w:val="00472314"/>
    <w:rsid w:val="00472338"/>
    <w:rsid w:val="00472773"/>
    <w:rsid w:val="004728F0"/>
    <w:rsid w:val="00473291"/>
    <w:rsid w:val="0047330A"/>
    <w:rsid w:val="004735D8"/>
    <w:rsid w:val="004736E2"/>
    <w:rsid w:val="00473AA4"/>
    <w:rsid w:val="00473CD5"/>
    <w:rsid w:val="004745D9"/>
    <w:rsid w:val="004749FF"/>
    <w:rsid w:val="00474E20"/>
    <w:rsid w:val="004751DB"/>
    <w:rsid w:val="00475228"/>
    <w:rsid w:val="004755DF"/>
    <w:rsid w:val="004757D8"/>
    <w:rsid w:val="004759F8"/>
    <w:rsid w:val="00475A95"/>
    <w:rsid w:val="00476D4A"/>
    <w:rsid w:val="00476DFF"/>
    <w:rsid w:val="00477CAD"/>
    <w:rsid w:val="00480026"/>
    <w:rsid w:val="0048010B"/>
    <w:rsid w:val="00480958"/>
    <w:rsid w:val="00480CEB"/>
    <w:rsid w:val="00481A8E"/>
    <w:rsid w:val="00481B7B"/>
    <w:rsid w:val="00481C44"/>
    <w:rsid w:val="00483F90"/>
    <w:rsid w:val="00484913"/>
    <w:rsid w:val="004849A8"/>
    <w:rsid w:val="004849C0"/>
    <w:rsid w:val="004851A0"/>
    <w:rsid w:val="0048598A"/>
    <w:rsid w:val="00485EBC"/>
    <w:rsid w:val="00485F7F"/>
    <w:rsid w:val="004865B0"/>
    <w:rsid w:val="00486A8C"/>
    <w:rsid w:val="00490513"/>
    <w:rsid w:val="004907A2"/>
    <w:rsid w:val="004913A5"/>
    <w:rsid w:val="00491FE7"/>
    <w:rsid w:val="00492A35"/>
    <w:rsid w:val="00492B91"/>
    <w:rsid w:val="0049311E"/>
    <w:rsid w:val="0049397B"/>
    <w:rsid w:val="00493AD8"/>
    <w:rsid w:val="00494092"/>
    <w:rsid w:val="004948C8"/>
    <w:rsid w:val="00494A52"/>
    <w:rsid w:val="00495D04"/>
    <w:rsid w:val="004966F8"/>
    <w:rsid w:val="0049682F"/>
    <w:rsid w:val="00496A06"/>
    <w:rsid w:val="00496D65"/>
    <w:rsid w:val="004970EB"/>
    <w:rsid w:val="004971CF"/>
    <w:rsid w:val="004972FE"/>
    <w:rsid w:val="00497FB9"/>
    <w:rsid w:val="004A1920"/>
    <w:rsid w:val="004A1B19"/>
    <w:rsid w:val="004A2034"/>
    <w:rsid w:val="004A21C5"/>
    <w:rsid w:val="004A29E2"/>
    <w:rsid w:val="004A2CAE"/>
    <w:rsid w:val="004A5A98"/>
    <w:rsid w:val="004A7751"/>
    <w:rsid w:val="004A78E7"/>
    <w:rsid w:val="004B0089"/>
    <w:rsid w:val="004B00B9"/>
    <w:rsid w:val="004B04D2"/>
    <w:rsid w:val="004B0A46"/>
    <w:rsid w:val="004B1363"/>
    <w:rsid w:val="004B13D3"/>
    <w:rsid w:val="004B1626"/>
    <w:rsid w:val="004B237B"/>
    <w:rsid w:val="004B2565"/>
    <w:rsid w:val="004B385F"/>
    <w:rsid w:val="004B3B7A"/>
    <w:rsid w:val="004B44EF"/>
    <w:rsid w:val="004B4CD8"/>
    <w:rsid w:val="004B5264"/>
    <w:rsid w:val="004B5F16"/>
    <w:rsid w:val="004B668A"/>
    <w:rsid w:val="004B744E"/>
    <w:rsid w:val="004B7671"/>
    <w:rsid w:val="004B798B"/>
    <w:rsid w:val="004B7F23"/>
    <w:rsid w:val="004C0B50"/>
    <w:rsid w:val="004C0B76"/>
    <w:rsid w:val="004C1847"/>
    <w:rsid w:val="004C2B6D"/>
    <w:rsid w:val="004C2CE4"/>
    <w:rsid w:val="004C31CE"/>
    <w:rsid w:val="004C3C0A"/>
    <w:rsid w:val="004C4300"/>
    <w:rsid w:val="004C46DB"/>
    <w:rsid w:val="004C4C79"/>
    <w:rsid w:val="004C52E0"/>
    <w:rsid w:val="004C6D0E"/>
    <w:rsid w:val="004C6DA1"/>
    <w:rsid w:val="004C7063"/>
    <w:rsid w:val="004C7650"/>
    <w:rsid w:val="004D0B41"/>
    <w:rsid w:val="004D2945"/>
    <w:rsid w:val="004D2D36"/>
    <w:rsid w:val="004D3911"/>
    <w:rsid w:val="004D39A3"/>
    <w:rsid w:val="004D3E36"/>
    <w:rsid w:val="004D5425"/>
    <w:rsid w:val="004D5889"/>
    <w:rsid w:val="004D63EC"/>
    <w:rsid w:val="004D6A4D"/>
    <w:rsid w:val="004D6A7F"/>
    <w:rsid w:val="004D711E"/>
    <w:rsid w:val="004D7AD1"/>
    <w:rsid w:val="004D7D87"/>
    <w:rsid w:val="004E0314"/>
    <w:rsid w:val="004E07C2"/>
    <w:rsid w:val="004E0C74"/>
    <w:rsid w:val="004E1A40"/>
    <w:rsid w:val="004E218B"/>
    <w:rsid w:val="004E26D3"/>
    <w:rsid w:val="004E2816"/>
    <w:rsid w:val="004E2B8B"/>
    <w:rsid w:val="004E30E7"/>
    <w:rsid w:val="004E37D2"/>
    <w:rsid w:val="004E3A1B"/>
    <w:rsid w:val="004E467A"/>
    <w:rsid w:val="004E5B7B"/>
    <w:rsid w:val="004E5D91"/>
    <w:rsid w:val="004E675D"/>
    <w:rsid w:val="004E7933"/>
    <w:rsid w:val="004E7DE6"/>
    <w:rsid w:val="004F1B88"/>
    <w:rsid w:val="004F2F56"/>
    <w:rsid w:val="004F41DC"/>
    <w:rsid w:val="004F462C"/>
    <w:rsid w:val="004F503C"/>
    <w:rsid w:val="004F559D"/>
    <w:rsid w:val="004F5781"/>
    <w:rsid w:val="004F64B7"/>
    <w:rsid w:val="004F6644"/>
    <w:rsid w:val="00500B3A"/>
    <w:rsid w:val="005011B2"/>
    <w:rsid w:val="00502795"/>
    <w:rsid w:val="00502823"/>
    <w:rsid w:val="005034DE"/>
    <w:rsid w:val="005043E5"/>
    <w:rsid w:val="005044A9"/>
    <w:rsid w:val="0050475A"/>
    <w:rsid w:val="0050491D"/>
    <w:rsid w:val="005057FE"/>
    <w:rsid w:val="00505A94"/>
    <w:rsid w:val="00506292"/>
    <w:rsid w:val="00506A10"/>
    <w:rsid w:val="00506A8F"/>
    <w:rsid w:val="00506E55"/>
    <w:rsid w:val="005077FE"/>
    <w:rsid w:val="005100E4"/>
    <w:rsid w:val="0051104B"/>
    <w:rsid w:val="00511439"/>
    <w:rsid w:val="00511AE0"/>
    <w:rsid w:val="0051237D"/>
    <w:rsid w:val="0051260A"/>
    <w:rsid w:val="00512C09"/>
    <w:rsid w:val="005138FD"/>
    <w:rsid w:val="00513C06"/>
    <w:rsid w:val="00513F00"/>
    <w:rsid w:val="00513F1C"/>
    <w:rsid w:val="00514178"/>
    <w:rsid w:val="0051438E"/>
    <w:rsid w:val="0051439E"/>
    <w:rsid w:val="00515540"/>
    <w:rsid w:val="00516D43"/>
    <w:rsid w:val="005172B0"/>
    <w:rsid w:val="00517681"/>
    <w:rsid w:val="00517B2C"/>
    <w:rsid w:val="00520478"/>
    <w:rsid w:val="005213D0"/>
    <w:rsid w:val="00521CC0"/>
    <w:rsid w:val="0052221D"/>
    <w:rsid w:val="005223C0"/>
    <w:rsid w:val="00525782"/>
    <w:rsid w:val="00525D45"/>
    <w:rsid w:val="005270CF"/>
    <w:rsid w:val="005270D3"/>
    <w:rsid w:val="00527A0C"/>
    <w:rsid w:val="00527ACB"/>
    <w:rsid w:val="00527DAA"/>
    <w:rsid w:val="0053042D"/>
    <w:rsid w:val="00530F04"/>
    <w:rsid w:val="00531BE1"/>
    <w:rsid w:val="00531BFD"/>
    <w:rsid w:val="00532197"/>
    <w:rsid w:val="0053324F"/>
    <w:rsid w:val="0053415F"/>
    <w:rsid w:val="005349D1"/>
    <w:rsid w:val="00534BCE"/>
    <w:rsid w:val="00534E68"/>
    <w:rsid w:val="00535A5C"/>
    <w:rsid w:val="00535BBA"/>
    <w:rsid w:val="00535E3B"/>
    <w:rsid w:val="005360B9"/>
    <w:rsid w:val="00536603"/>
    <w:rsid w:val="00537306"/>
    <w:rsid w:val="00537566"/>
    <w:rsid w:val="00537B2E"/>
    <w:rsid w:val="00541A40"/>
    <w:rsid w:val="0054284E"/>
    <w:rsid w:val="00542C51"/>
    <w:rsid w:val="00543C9D"/>
    <w:rsid w:val="00543CE4"/>
    <w:rsid w:val="0054403A"/>
    <w:rsid w:val="0054421C"/>
    <w:rsid w:val="005443FB"/>
    <w:rsid w:val="0054562F"/>
    <w:rsid w:val="00545A4A"/>
    <w:rsid w:val="00545F7F"/>
    <w:rsid w:val="0054604C"/>
    <w:rsid w:val="005460DC"/>
    <w:rsid w:val="00546632"/>
    <w:rsid w:val="00546764"/>
    <w:rsid w:val="00547504"/>
    <w:rsid w:val="00547965"/>
    <w:rsid w:val="00547A7E"/>
    <w:rsid w:val="00550334"/>
    <w:rsid w:val="0055051F"/>
    <w:rsid w:val="005507C5"/>
    <w:rsid w:val="00551080"/>
    <w:rsid w:val="005518CD"/>
    <w:rsid w:val="0055279A"/>
    <w:rsid w:val="005529A9"/>
    <w:rsid w:val="00552BC5"/>
    <w:rsid w:val="005532E5"/>
    <w:rsid w:val="0055387E"/>
    <w:rsid w:val="005538D3"/>
    <w:rsid w:val="0055460F"/>
    <w:rsid w:val="00554FA8"/>
    <w:rsid w:val="005559CA"/>
    <w:rsid w:val="00556296"/>
    <w:rsid w:val="005568F1"/>
    <w:rsid w:val="00556D53"/>
    <w:rsid w:val="0055735D"/>
    <w:rsid w:val="00557913"/>
    <w:rsid w:val="00560BC1"/>
    <w:rsid w:val="00560FD5"/>
    <w:rsid w:val="005610E9"/>
    <w:rsid w:val="00561392"/>
    <w:rsid w:val="00561B2D"/>
    <w:rsid w:val="005620A3"/>
    <w:rsid w:val="0056252D"/>
    <w:rsid w:val="005625DE"/>
    <w:rsid w:val="00562AAB"/>
    <w:rsid w:val="00562F7B"/>
    <w:rsid w:val="0056356D"/>
    <w:rsid w:val="00563DA1"/>
    <w:rsid w:val="00564826"/>
    <w:rsid w:val="00564D91"/>
    <w:rsid w:val="00564E86"/>
    <w:rsid w:val="005660B9"/>
    <w:rsid w:val="00566B21"/>
    <w:rsid w:val="00567E60"/>
    <w:rsid w:val="0057069B"/>
    <w:rsid w:val="005708AB"/>
    <w:rsid w:val="00570D31"/>
    <w:rsid w:val="00570EF5"/>
    <w:rsid w:val="00570EFA"/>
    <w:rsid w:val="005711AF"/>
    <w:rsid w:val="00572AA2"/>
    <w:rsid w:val="005744A9"/>
    <w:rsid w:val="0057467A"/>
    <w:rsid w:val="00574985"/>
    <w:rsid w:val="0057598A"/>
    <w:rsid w:val="0057651E"/>
    <w:rsid w:val="00576D97"/>
    <w:rsid w:val="0057704B"/>
    <w:rsid w:val="0057784D"/>
    <w:rsid w:val="00580D2E"/>
    <w:rsid w:val="005816D3"/>
    <w:rsid w:val="00581A78"/>
    <w:rsid w:val="0058211E"/>
    <w:rsid w:val="005821A2"/>
    <w:rsid w:val="0058264A"/>
    <w:rsid w:val="00582AEF"/>
    <w:rsid w:val="00582E0D"/>
    <w:rsid w:val="005830C2"/>
    <w:rsid w:val="00583274"/>
    <w:rsid w:val="00584EBB"/>
    <w:rsid w:val="005859A5"/>
    <w:rsid w:val="00586045"/>
    <w:rsid w:val="005861E8"/>
    <w:rsid w:val="00586EC4"/>
    <w:rsid w:val="0058739A"/>
    <w:rsid w:val="00590431"/>
    <w:rsid w:val="00590C8B"/>
    <w:rsid w:val="0059189B"/>
    <w:rsid w:val="00591976"/>
    <w:rsid w:val="00591DD4"/>
    <w:rsid w:val="00592F7E"/>
    <w:rsid w:val="00594002"/>
    <w:rsid w:val="005949A2"/>
    <w:rsid w:val="00595875"/>
    <w:rsid w:val="00595EF2"/>
    <w:rsid w:val="0059613D"/>
    <w:rsid w:val="005962FB"/>
    <w:rsid w:val="005A03A6"/>
    <w:rsid w:val="005A0849"/>
    <w:rsid w:val="005A1195"/>
    <w:rsid w:val="005A24CE"/>
    <w:rsid w:val="005A2C58"/>
    <w:rsid w:val="005A39D9"/>
    <w:rsid w:val="005A3FFB"/>
    <w:rsid w:val="005A43C1"/>
    <w:rsid w:val="005A4612"/>
    <w:rsid w:val="005A49B6"/>
    <w:rsid w:val="005A5F76"/>
    <w:rsid w:val="005A6D56"/>
    <w:rsid w:val="005A72E1"/>
    <w:rsid w:val="005B1854"/>
    <w:rsid w:val="005B1B07"/>
    <w:rsid w:val="005B1B53"/>
    <w:rsid w:val="005B23BB"/>
    <w:rsid w:val="005B276F"/>
    <w:rsid w:val="005B2B34"/>
    <w:rsid w:val="005B30EE"/>
    <w:rsid w:val="005B4167"/>
    <w:rsid w:val="005B5736"/>
    <w:rsid w:val="005B6BCE"/>
    <w:rsid w:val="005B783B"/>
    <w:rsid w:val="005C00ED"/>
    <w:rsid w:val="005C0978"/>
    <w:rsid w:val="005C0D26"/>
    <w:rsid w:val="005C1721"/>
    <w:rsid w:val="005C299C"/>
    <w:rsid w:val="005C3767"/>
    <w:rsid w:val="005C3A34"/>
    <w:rsid w:val="005C4F4D"/>
    <w:rsid w:val="005C52FF"/>
    <w:rsid w:val="005C53C2"/>
    <w:rsid w:val="005C599B"/>
    <w:rsid w:val="005C5B85"/>
    <w:rsid w:val="005C5DC5"/>
    <w:rsid w:val="005C5E75"/>
    <w:rsid w:val="005C5F74"/>
    <w:rsid w:val="005C75AC"/>
    <w:rsid w:val="005C7760"/>
    <w:rsid w:val="005D040A"/>
    <w:rsid w:val="005D0E5F"/>
    <w:rsid w:val="005D0F40"/>
    <w:rsid w:val="005D13BB"/>
    <w:rsid w:val="005D147E"/>
    <w:rsid w:val="005D1CC2"/>
    <w:rsid w:val="005D1F1D"/>
    <w:rsid w:val="005D1FA7"/>
    <w:rsid w:val="005D1FAD"/>
    <w:rsid w:val="005D2DB2"/>
    <w:rsid w:val="005D2EBF"/>
    <w:rsid w:val="005D3301"/>
    <w:rsid w:val="005D3A53"/>
    <w:rsid w:val="005D3CF7"/>
    <w:rsid w:val="005D3DD0"/>
    <w:rsid w:val="005D537C"/>
    <w:rsid w:val="005D56FB"/>
    <w:rsid w:val="005D5730"/>
    <w:rsid w:val="005D6067"/>
    <w:rsid w:val="005D633B"/>
    <w:rsid w:val="005D765F"/>
    <w:rsid w:val="005D77A2"/>
    <w:rsid w:val="005D7B32"/>
    <w:rsid w:val="005E0095"/>
    <w:rsid w:val="005E0357"/>
    <w:rsid w:val="005E04BA"/>
    <w:rsid w:val="005E05F6"/>
    <w:rsid w:val="005E05F8"/>
    <w:rsid w:val="005E27C2"/>
    <w:rsid w:val="005E3A33"/>
    <w:rsid w:val="005E51DC"/>
    <w:rsid w:val="005E5C70"/>
    <w:rsid w:val="005E6315"/>
    <w:rsid w:val="005E653C"/>
    <w:rsid w:val="005E7B9A"/>
    <w:rsid w:val="005F07D6"/>
    <w:rsid w:val="005F0CA0"/>
    <w:rsid w:val="005F114E"/>
    <w:rsid w:val="005F1409"/>
    <w:rsid w:val="005F1F0B"/>
    <w:rsid w:val="005F28DC"/>
    <w:rsid w:val="005F327F"/>
    <w:rsid w:val="005F3D2A"/>
    <w:rsid w:val="005F45A3"/>
    <w:rsid w:val="005F4820"/>
    <w:rsid w:val="005F505C"/>
    <w:rsid w:val="005F5A6F"/>
    <w:rsid w:val="005F5CDF"/>
    <w:rsid w:val="005F5E2D"/>
    <w:rsid w:val="005F60AF"/>
    <w:rsid w:val="005F730D"/>
    <w:rsid w:val="006003A9"/>
    <w:rsid w:val="00600453"/>
    <w:rsid w:val="00601E01"/>
    <w:rsid w:val="006020B0"/>
    <w:rsid w:val="0060288C"/>
    <w:rsid w:val="00602F88"/>
    <w:rsid w:val="0060417F"/>
    <w:rsid w:val="006054FD"/>
    <w:rsid w:val="0060570B"/>
    <w:rsid w:val="0060614E"/>
    <w:rsid w:val="00606189"/>
    <w:rsid w:val="00606B18"/>
    <w:rsid w:val="006072EC"/>
    <w:rsid w:val="006073FD"/>
    <w:rsid w:val="00607AFB"/>
    <w:rsid w:val="00610C0A"/>
    <w:rsid w:val="00611654"/>
    <w:rsid w:val="006121CF"/>
    <w:rsid w:val="006123A7"/>
    <w:rsid w:val="00612A95"/>
    <w:rsid w:val="00613126"/>
    <w:rsid w:val="0061371F"/>
    <w:rsid w:val="006138D0"/>
    <w:rsid w:val="00613B83"/>
    <w:rsid w:val="0061426F"/>
    <w:rsid w:val="006155C9"/>
    <w:rsid w:val="00615A4F"/>
    <w:rsid w:val="00615BF4"/>
    <w:rsid w:val="0061687E"/>
    <w:rsid w:val="00616E16"/>
    <w:rsid w:val="00616FEF"/>
    <w:rsid w:val="0061728F"/>
    <w:rsid w:val="0061771E"/>
    <w:rsid w:val="006177CA"/>
    <w:rsid w:val="00620A05"/>
    <w:rsid w:val="00621066"/>
    <w:rsid w:val="006223B6"/>
    <w:rsid w:val="00622448"/>
    <w:rsid w:val="00622ABC"/>
    <w:rsid w:val="006234F3"/>
    <w:rsid w:val="006239E3"/>
    <w:rsid w:val="00623E8D"/>
    <w:rsid w:val="0062497A"/>
    <w:rsid w:val="006257F6"/>
    <w:rsid w:val="00625EDC"/>
    <w:rsid w:val="006278E8"/>
    <w:rsid w:val="00631AA8"/>
    <w:rsid w:val="00631C91"/>
    <w:rsid w:val="006321B6"/>
    <w:rsid w:val="00633691"/>
    <w:rsid w:val="0063390B"/>
    <w:rsid w:val="006347C4"/>
    <w:rsid w:val="00634A20"/>
    <w:rsid w:val="006355AF"/>
    <w:rsid w:val="006357DB"/>
    <w:rsid w:val="00635C2B"/>
    <w:rsid w:val="00635D9B"/>
    <w:rsid w:val="006362DB"/>
    <w:rsid w:val="0063632E"/>
    <w:rsid w:val="00636704"/>
    <w:rsid w:val="00636A37"/>
    <w:rsid w:val="00636F1B"/>
    <w:rsid w:val="006378AF"/>
    <w:rsid w:val="00637A2E"/>
    <w:rsid w:val="00637D93"/>
    <w:rsid w:val="00637F50"/>
    <w:rsid w:val="00640342"/>
    <w:rsid w:val="00640A77"/>
    <w:rsid w:val="0064103B"/>
    <w:rsid w:val="006410ED"/>
    <w:rsid w:val="0064113E"/>
    <w:rsid w:val="00641E31"/>
    <w:rsid w:val="0064237D"/>
    <w:rsid w:val="006423A7"/>
    <w:rsid w:val="006433E2"/>
    <w:rsid w:val="006439C8"/>
    <w:rsid w:val="00644766"/>
    <w:rsid w:val="00644BC3"/>
    <w:rsid w:val="0064581F"/>
    <w:rsid w:val="0064584F"/>
    <w:rsid w:val="006473B6"/>
    <w:rsid w:val="00647A65"/>
    <w:rsid w:val="00647C4B"/>
    <w:rsid w:val="00647CB1"/>
    <w:rsid w:val="00650857"/>
    <w:rsid w:val="00650BD2"/>
    <w:rsid w:val="00651F9A"/>
    <w:rsid w:val="00652948"/>
    <w:rsid w:val="00653880"/>
    <w:rsid w:val="00653BE8"/>
    <w:rsid w:val="0065405E"/>
    <w:rsid w:val="006550C3"/>
    <w:rsid w:val="00655C59"/>
    <w:rsid w:val="00655E3F"/>
    <w:rsid w:val="0065662B"/>
    <w:rsid w:val="00656E31"/>
    <w:rsid w:val="00656F73"/>
    <w:rsid w:val="00660452"/>
    <w:rsid w:val="006604D2"/>
    <w:rsid w:val="00660B63"/>
    <w:rsid w:val="00660F39"/>
    <w:rsid w:val="00660FEB"/>
    <w:rsid w:val="00661328"/>
    <w:rsid w:val="0066221B"/>
    <w:rsid w:val="00662382"/>
    <w:rsid w:val="006624D4"/>
    <w:rsid w:val="0066341B"/>
    <w:rsid w:val="006638CA"/>
    <w:rsid w:val="00663B46"/>
    <w:rsid w:val="00665C69"/>
    <w:rsid w:val="00665CBE"/>
    <w:rsid w:val="00665DC0"/>
    <w:rsid w:val="00665F5B"/>
    <w:rsid w:val="006660A0"/>
    <w:rsid w:val="0066750A"/>
    <w:rsid w:val="006678D9"/>
    <w:rsid w:val="00670FDA"/>
    <w:rsid w:val="00671021"/>
    <w:rsid w:val="00671168"/>
    <w:rsid w:val="006712B1"/>
    <w:rsid w:val="00671973"/>
    <w:rsid w:val="00672A39"/>
    <w:rsid w:val="00673899"/>
    <w:rsid w:val="006738B7"/>
    <w:rsid w:val="00674328"/>
    <w:rsid w:val="00674420"/>
    <w:rsid w:val="00674535"/>
    <w:rsid w:val="00674594"/>
    <w:rsid w:val="006748CA"/>
    <w:rsid w:val="00674AA5"/>
    <w:rsid w:val="00674B56"/>
    <w:rsid w:val="00674E4D"/>
    <w:rsid w:val="00675ADA"/>
    <w:rsid w:val="00676139"/>
    <w:rsid w:val="006763BD"/>
    <w:rsid w:val="006764BF"/>
    <w:rsid w:val="0067680D"/>
    <w:rsid w:val="00676BF9"/>
    <w:rsid w:val="00677216"/>
    <w:rsid w:val="00677BCB"/>
    <w:rsid w:val="006809C9"/>
    <w:rsid w:val="00681D24"/>
    <w:rsid w:val="006824FF"/>
    <w:rsid w:val="00682DE7"/>
    <w:rsid w:val="00683231"/>
    <w:rsid w:val="00683B6D"/>
    <w:rsid w:val="00683E33"/>
    <w:rsid w:val="006844A2"/>
    <w:rsid w:val="00686200"/>
    <w:rsid w:val="0068703A"/>
    <w:rsid w:val="00687195"/>
    <w:rsid w:val="006878BC"/>
    <w:rsid w:val="00690EB6"/>
    <w:rsid w:val="0069144D"/>
    <w:rsid w:val="00691E9F"/>
    <w:rsid w:val="0069307D"/>
    <w:rsid w:val="0069463E"/>
    <w:rsid w:val="00694CDC"/>
    <w:rsid w:val="006953ED"/>
    <w:rsid w:val="00695458"/>
    <w:rsid w:val="0069626C"/>
    <w:rsid w:val="00696312"/>
    <w:rsid w:val="00697268"/>
    <w:rsid w:val="00697321"/>
    <w:rsid w:val="00697C6E"/>
    <w:rsid w:val="006A0124"/>
    <w:rsid w:val="006A0445"/>
    <w:rsid w:val="006A0524"/>
    <w:rsid w:val="006A08D3"/>
    <w:rsid w:val="006A18EA"/>
    <w:rsid w:val="006A1E38"/>
    <w:rsid w:val="006A284F"/>
    <w:rsid w:val="006A2A73"/>
    <w:rsid w:val="006A2EDE"/>
    <w:rsid w:val="006A3877"/>
    <w:rsid w:val="006A4C1E"/>
    <w:rsid w:val="006A512F"/>
    <w:rsid w:val="006A51C5"/>
    <w:rsid w:val="006A5E1E"/>
    <w:rsid w:val="006A689E"/>
    <w:rsid w:val="006A6AF4"/>
    <w:rsid w:val="006A6B48"/>
    <w:rsid w:val="006B073E"/>
    <w:rsid w:val="006B1536"/>
    <w:rsid w:val="006B17CE"/>
    <w:rsid w:val="006B2558"/>
    <w:rsid w:val="006B339A"/>
    <w:rsid w:val="006B3F5B"/>
    <w:rsid w:val="006B467A"/>
    <w:rsid w:val="006B6233"/>
    <w:rsid w:val="006B66E1"/>
    <w:rsid w:val="006B763E"/>
    <w:rsid w:val="006C0126"/>
    <w:rsid w:val="006C2F6E"/>
    <w:rsid w:val="006C302C"/>
    <w:rsid w:val="006C43C6"/>
    <w:rsid w:val="006C5696"/>
    <w:rsid w:val="006C5AC9"/>
    <w:rsid w:val="006C66AD"/>
    <w:rsid w:val="006C71DA"/>
    <w:rsid w:val="006C7376"/>
    <w:rsid w:val="006C76FA"/>
    <w:rsid w:val="006C7F4A"/>
    <w:rsid w:val="006D0095"/>
    <w:rsid w:val="006D10D2"/>
    <w:rsid w:val="006D1780"/>
    <w:rsid w:val="006D1820"/>
    <w:rsid w:val="006D1C29"/>
    <w:rsid w:val="006D2504"/>
    <w:rsid w:val="006D265F"/>
    <w:rsid w:val="006D298E"/>
    <w:rsid w:val="006D40EF"/>
    <w:rsid w:val="006D4404"/>
    <w:rsid w:val="006D44D3"/>
    <w:rsid w:val="006D5BE9"/>
    <w:rsid w:val="006D69EC"/>
    <w:rsid w:val="006D7BB7"/>
    <w:rsid w:val="006E01B1"/>
    <w:rsid w:val="006E2110"/>
    <w:rsid w:val="006E2977"/>
    <w:rsid w:val="006E29DF"/>
    <w:rsid w:val="006E2A3E"/>
    <w:rsid w:val="006E2B77"/>
    <w:rsid w:val="006E2DB8"/>
    <w:rsid w:val="006E3301"/>
    <w:rsid w:val="006E36B7"/>
    <w:rsid w:val="006E5785"/>
    <w:rsid w:val="006E60DE"/>
    <w:rsid w:val="006E6237"/>
    <w:rsid w:val="006E65DC"/>
    <w:rsid w:val="006E68E6"/>
    <w:rsid w:val="006E6B65"/>
    <w:rsid w:val="006E73FF"/>
    <w:rsid w:val="006F083C"/>
    <w:rsid w:val="006F289B"/>
    <w:rsid w:val="006F33E2"/>
    <w:rsid w:val="006F3A28"/>
    <w:rsid w:val="006F4310"/>
    <w:rsid w:val="006F4615"/>
    <w:rsid w:val="006F47BA"/>
    <w:rsid w:val="006F4D98"/>
    <w:rsid w:val="006F52C7"/>
    <w:rsid w:val="006F5EFA"/>
    <w:rsid w:val="006F66C7"/>
    <w:rsid w:val="006F6876"/>
    <w:rsid w:val="00700907"/>
    <w:rsid w:val="00700BA4"/>
    <w:rsid w:val="00701087"/>
    <w:rsid w:val="007011D7"/>
    <w:rsid w:val="007022D1"/>
    <w:rsid w:val="00702340"/>
    <w:rsid w:val="0070239D"/>
    <w:rsid w:val="0070286B"/>
    <w:rsid w:val="007033BE"/>
    <w:rsid w:val="007044AE"/>
    <w:rsid w:val="00704E0A"/>
    <w:rsid w:val="00704EB9"/>
    <w:rsid w:val="007056B9"/>
    <w:rsid w:val="00705B23"/>
    <w:rsid w:val="00706167"/>
    <w:rsid w:val="007067B5"/>
    <w:rsid w:val="00707BD0"/>
    <w:rsid w:val="0071075F"/>
    <w:rsid w:val="00710DD1"/>
    <w:rsid w:val="00711389"/>
    <w:rsid w:val="007113D2"/>
    <w:rsid w:val="00711B51"/>
    <w:rsid w:val="007122ED"/>
    <w:rsid w:val="00712C9D"/>
    <w:rsid w:val="007141C1"/>
    <w:rsid w:val="0071460C"/>
    <w:rsid w:val="007146BC"/>
    <w:rsid w:val="00714766"/>
    <w:rsid w:val="0071480B"/>
    <w:rsid w:val="00714A3E"/>
    <w:rsid w:val="00715C3C"/>
    <w:rsid w:val="0071699B"/>
    <w:rsid w:val="007172EE"/>
    <w:rsid w:val="00717540"/>
    <w:rsid w:val="00717A9B"/>
    <w:rsid w:val="00721D4E"/>
    <w:rsid w:val="007227E0"/>
    <w:rsid w:val="00722D66"/>
    <w:rsid w:val="0072390B"/>
    <w:rsid w:val="00723A11"/>
    <w:rsid w:val="007243B1"/>
    <w:rsid w:val="0072513E"/>
    <w:rsid w:val="007259FD"/>
    <w:rsid w:val="00725E89"/>
    <w:rsid w:val="00725F16"/>
    <w:rsid w:val="00726C14"/>
    <w:rsid w:val="00726EF2"/>
    <w:rsid w:val="00727679"/>
    <w:rsid w:val="0073011A"/>
    <w:rsid w:val="007303C5"/>
    <w:rsid w:val="0073074F"/>
    <w:rsid w:val="00730B16"/>
    <w:rsid w:val="00731856"/>
    <w:rsid w:val="00731FA5"/>
    <w:rsid w:val="007322F0"/>
    <w:rsid w:val="0073256B"/>
    <w:rsid w:val="007334E2"/>
    <w:rsid w:val="007337C9"/>
    <w:rsid w:val="00733C8A"/>
    <w:rsid w:val="00734581"/>
    <w:rsid w:val="007346FA"/>
    <w:rsid w:val="00734970"/>
    <w:rsid w:val="007354F2"/>
    <w:rsid w:val="007362BD"/>
    <w:rsid w:val="007363DA"/>
    <w:rsid w:val="00736A77"/>
    <w:rsid w:val="00736F1B"/>
    <w:rsid w:val="007372CF"/>
    <w:rsid w:val="00737834"/>
    <w:rsid w:val="00737994"/>
    <w:rsid w:val="00740311"/>
    <w:rsid w:val="00740338"/>
    <w:rsid w:val="00741037"/>
    <w:rsid w:val="007420A9"/>
    <w:rsid w:val="007423C5"/>
    <w:rsid w:val="00742536"/>
    <w:rsid w:val="00742DD8"/>
    <w:rsid w:val="0074330C"/>
    <w:rsid w:val="007438C4"/>
    <w:rsid w:val="00744C77"/>
    <w:rsid w:val="0074574B"/>
    <w:rsid w:val="00745C83"/>
    <w:rsid w:val="00747305"/>
    <w:rsid w:val="0074756A"/>
    <w:rsid w:val="007478FF"/>
    <w:rsid w:val="00747F70"/>
    <w:rsid w:val="007506AB"/>
    <w:rsid w:val="00750E70"/>
    <w:rsid w:val="00751970"/>
    <w:rsid w:val="00751C7B"/>
    <w:rsid w:val="00751E96"/>
    <w:rsid w:val="00752464"/>
    <w:rsid w:val="00752CB1"/>
    <w:rsid w:val="00753830"/>
    <w:rsid w:val="0075391A"/>
    <w:rsid w:val="00753C9C"/>
    <w:rsid w:val="00753CE6"/>
    <w:rsid w:val="00755B87"/>
    <w:rsid w:val="00755EA4"/>
    <w:rsid w:val="00756574"/>
    <w:rsid w:val="007601FF"/>
    <w:rsid w:val="00760586"/>
    <w:rsid w:val="007608E9"/>
    <w:rsid w:val="007610E1"/>
    <w:rsid w:val="00761D0E"/>
    <w:rsid w:val="00762C2E"/>
    <w:rsid w:val="00763359"/>
    <w:rsid w:val="00764650"/>
    <w:rsid w:val="00764702"/>
    <w:rsid w:val="00765F3B"/>
    <w:rsid w:val="00766222"/>
    <w:rsid w:val="00766C93"/>
    <w:rsid w:val="00766E11"/>
    <w:rsid w:val="00767206"/>
    <w:rsid w:val="00767809"/>
    <w:rsid w:val="00767ABF"/>
    <w:rsid w:val="0077094C"/>
    <w:rsid w:val="0077148B"/>
    <w:rsid w:val="00771F38"/>
    <w:rsid w:val="0077271F"/>
    <w:rsid w:val="00774210"/>
    <w:rsid w:val="00774A79"/>
    <w:rsid w:val="00775088"/>
    <w:rsid w:val="007759F0"/>
    <w:rsid w:val="0077615C"/>
    <w:rsid w:val="00776B7A"/>
    <w:rsid w:val="00777590"/>
    <w:rsid w:val="00780284"/>
    <w:rsid w:val="00780935"/>
    <w:rsid w:val="00781005"/>
    <w:rsid w:val="007811C1"/>
    <w:rsid w:val="0078183E"/>
    <w:rsid w:val="0078227F"/>
    <w:rsid w:val="007839FD"/>
    <w:rsid w:val="00783C45"/>
    <w:rsid w:val="00784992"/>
    <w:rsid w:val="00784EFC"/>
    <w:rsid w:val="00785CC7"/>
    <w:rsid w:val="007862E7"/>
    <w:rsid w:val="00786F4D"/>
    <w:rsid w:val="00787099"/>
    <w:rsid w:val="0078749A"/>
    <w:rsid w:val="007906B0"/>
    <w:rsid w:val="00791401"/>
    <w:rsid w:val="00791A26"/>
    <w:rsid w:val="007925A2"/>
    <w:rsid w:val="00792C2D"/>
    <w:rsid w:val="00794320"/>
    <w:rsid w:val="0079436A"/>
    <w:rsid w:val="00794B21"/>
    <w:rsid w:val="0079517E"/>
    <w:rsid w:val="00797548"/>
    <w:rsid w:val="007A0097"/>
    <w:rsid w:val="007A0590"/>
    <w:rsid w:val="007A072A"/>
    <w:rsid w:val="007A3043"/>
    <w:rsid w:val="007A385D"/>
    <w:rsid w:val="007A38F7"/>
    <w:rsid w:val="007A3EBF"/>
    <w:rsid w:val="007A503A"/>
    <w:rsid w:val="007A550F"/>
    <w:rsid w:val="007A5CD6"/>
    <w:rsid w:val="007A5E6C"/>
    <w:rsid w:val="007A66A6"/>
    <w:rsid w:val="007A6809"/>
    <w:rsid w:val="007A6C97"/>
    <w:rsid w:val="007B01A1"/>
    <w:rsid w:val="007B028E"/>
    <w:rsid w:val="007B04BE"/>
    <w:rsid w:val="007B129B"/>
    <w:rsid w:val="007B250C"/>
    <w:rsid w:val="007B2E05"/>
    <w:rsid w:val="007B398E"/>
    <w:rsid w:val="007B3C6F"/>
    <w:rsid w:val="007B4334"/>
    <w:rsid w:val="007B4709"/>
    <w:rsid w:val="007B4994"/>
    <w:rsid w:val="007B4B46"/>
    <w:rsid w:val="007B578D"/>
    <w:rsid w:val="007B5F7E"/>
    <w:rsid w:val="007B69F0"/>
    <w:rsid w:val="007B6A60"/>
    <w:rsid w:val="007B6D7F"/>
    <w:rsid w:val="007B6E06"/>
    <w:rsid w:val="007B7FA1"/>
    <w:rsid w:val="007C0CD3"/>
    <w:rsid w:val="007C0CF4"/>
    <w:rsid w:val="007C1444"/>
    <w:rsid w:val="007C1555"/>
    <w:rsid w:val="007C1EAA"/>
    <w:rsid w:val="007C2130"/>
    <w:rsid w:val="007C2540"/>
    <w:rsid w:val="007C2949"/>
    <w:rsid w:val="007C2C40"/>
    <w:rsid w:val="007C3B40"/>
    <w:rsid w:val="007C69CB"/>
    <w:rsid w:val="007C6A84"/>
    <w:rsid w:val="007C6C88"/>
    <w:rsid w:val="007C751F"/>
    <w:rsid w:val="007C79CB"/>
    <w:rsid w:val="007C7F1A"/>
    <w:rsid w:val="007D0596"/>
    <w:rsid w:val="007D0CC2"/>
    <w:rsid w:val="007D1417"/>
    <w:rsid w:val="007D1652"/>
    <w:rsid w:val="007D17EE"/>
    <w:rsid w:val="007D1BC2"/>
    <w:rsid w:val="007D22D7"/>
    <w:rsid w:val="007D27F9"/>
    <w:rsid w:val="007D376F"/>
    <w:rsid w:val="007D3BB2"/>
    <w:rsid w:val="007D445D"/>
    <w:rsid w:val="007D484E"/>
    <w:rsid w:val="007D5D81"/>
    <w:rsid w:val="007D69C7"/>
    <w:rsid w:val="007D6A6D"/>
    <w:rsid w:val="007D7421"/>
    <w:rsid w:val="007D7921"/>
    <w:rsid w:val="007E0555"/>
    <w:rsid w:val="007E1694"/>
    <w:rsid w:val="007E2BB9"/>
    <w:rsid w:val="007E2D9B"/>
    <w:rsid w:val="007E41A4"/>
    <w:rsid w:val="007E4210"/>
    <w:rsid w:val="007E44B3"/>
    <w:rsid w:val="007E538A"/>
    <w:rsid w:val="007E55F6"/>
    <w:rsid w:val="007E63C3"/>
    <w:rsid w:val="007E6FB7"/>
    <w:rsid w:val="007E72C0"/>
    <w:rsid w:val="007E7E8F"/>
    <w:rsid w:val="007E7FE5"/>
    <w:rsid w:val="007F0698"/>
    <w:rsid w:val="007F09CF"/>
    <w:rsid w:val="007F0A4A"/>
    <w:rsid w:val="007F1289"/>
    <w:rsid w:val="007F22C4"/>
    <w:rsid w:val="007F246E"/>
    <w:rsid w:val="007F28AD"/>
    <w:rsid w:val="007F29B8"/>
    <w:rsid w:val="007F33C7"/>
    <w:rsid w:val="007F34AC"/>
    <w:rsid w:val="007F3EDE"/>
    <w:rsid w:val="007F41D1"/>
    <w:rsid w:val="007F4405"/>
    <w:rsid w:val="007F5DA5"/>
    <w:rsid w:val="007F61C2"/>
    <w:rsid w:val="007F67EC"/>
    <w:rsid w:val="007F68DB"/>
    <w:rsid w:val="007F6A6F"/>
    <w:rsid w:val="008003C5"/>
    <w:rsid w:val="00800D2C"/>
    <w:rsid w:val="0080169D"/>
    <w:rsid w:val="00801BB6"/>
    <w:rsid w:val="00801C29"/>
    <w:rsid w:val="0080490C"/>
    <w:rsid w:val="00804C44"/>
    <w:rsid w:val="00805581"/>
    <w:rsid w:val="00805EB7"/>
    <w:rsid w:val="00806D99"/>
    <w:rsid w:val="00806FE6"/>
    <w:rsid w:val="00807C13"/>
    <w:rsid w:val="0081056D"/>
    <w:rsid w:val="0081088A"/>
    <w:rsid w:val="0081303F"/>
    <w:rsid w:val="0081349A"/>
    <w:rsid w:val="00813589"/>
    <w:rsid w:val="0081467F"/>
    <w:rsid w:val="00815377"/>
    <w:rsid w:val="00815627"/>
    <w:rsid w:val="00816C86"/>
    <w:rsid w:val="00816EA9"/>
    <w:rsid w:val="00817D5B"/>
    <w:rsid w:val="00820576"/>
    <w:rsid w:val="008212A5"/>
    <w:rsid w:val="0082165A"/>
    <w:rsid w:val="00821A95"/>
    <w:rsid w:val="008220A2"/>
    <w:rsid w:val="00823192"/>
    <w:rsid w:val="00823923"/>
    <w:rsid w:val="00824CC6"/>
    <w:rsid w:val="00825F30"/>
    <w:rsid w:val="008263DD"/>
    <w:rsid w:val="008267F0"/>
    <w:rsid w:val="00826A69"/>
    <w:rsid w:val="00826D8E"/>
    <w:rsid w:val="0082751E"/>
    <w:rsid w:val="0082786D"/>
    <w:rsid w:val="00827EA7"/>
    <w:rsid w:val="0083001B"/>
    <w:rsid w:val="00830950"/>
    <w:rsid w:val="008311F6"/>
    <w:rsid w:val="00831450"/>
    <w:rsid w:val="008315C3"/>
    <w:rsid w:val="00831A97"/>
    <w:rsid w:val="00831AD2"/>
    <w:rsid w:val="008333C3"/>
    <w:rsid w:val="0083381B"/>
    <w:rsid w:val="00833E39"/>
    <w:rsid w:val="0083462A"/>
    <w:rsid w:val="00834B7B"/>
    <w:rsid w:val="0083531A"/>
    <w:rsid w:val="00835742"/>
    <w:rsid w:val="00835FC8"/>
    <w:rsid w:val="0083642A"/>
    <w:rsid w:val="0083648B"/>
    <w:rsid w:val="00836695"/>
    <w:rsid w:val="00836C16"/>
    <w:rsid w:val="00836DF2"/>
    <w:rsid w:val="00836DF6"/>
    <w:rsid w:val="008371F6"/>
    <w:rsid w:val="008376FA"/>
    <w:rsid w:val="00837B23"/>
    <w:rsid w:val="00837C5C"/>
    <w:rsid w:val="00837E6A"/>
    <w:rsid w:val="00837FE3"/>
    <w:rsid w:val="008405AF"/>
    <w:rsid w:val="00840645"/>
    <w:rsid w:val="0084144F"/>
    <w:rsid w:val="00841495"/>
    <w:rsid w:val="00841A97"/>
    <w:rsid w:val="00841B1D"/>
    <w:rsid w:val="0084220C"/>
    <w:rsid w:val="0084289E"/>
    <w:rsid w:val="00843A59"/>
    <w:rsid w:val="00844B0D"/>
    <w:rsid w:val="00844B7D"/>
    <w:rsid w:val="00845086"/>
    <w:rsid w:val="00846B9D"/>
    <w:rsid w:val="00846EE5"/>
    <w:rsid w:val="0085024D"/>
    <w:rsid w:val="0085049A"/>
    <w:rsid w:val="008507AB"/>
    <w:rsid w:val="00850F41"/>
    <w:rsid w:val="008515CE"/>
    <w:rsid w:val="00851B11"/>
    <w:rsid w:val="00851BC8"/>
    <w:rsid w:val="00852B6F"/>
    <w:rsid w:val="00853DB5"/>
    <w:rsid w:val="0085412B"/>
    <w:rsid w:val="00855230"/>
    <w:rsid w:val="00856421"/>
    <w:rsid w:val="0085655B"/>
    <w:rsid w:val="00857863"/>
    <w:rsid w:val="00857C55"/>
    <w:rsid w:val="00860BCA"/>
    <w:rsid w:val="00861027"/>
    <w:rsid w:val="008611F9"/>
    <w:rsid w:val="008611FA"/>
    <w:rsid w:val="00861710"/>
    <w:rsid w:val="00861728"/>
    <w:rsid w:val="00861B45"/>
    <w:rsid w:val="00861DD5"/>
    <w:rsid w:val="008621D5"/>
    <w:rsid w:val="0086294E"/>
    <w:rsid w:val="00862FF5"/>
    <w:rsid w:val="00863AA3"/>
    <w:rsid w:val="00864D73"/>
    <w:rsid w:val="00865849"/>
    <w:rsid w:val="00865931"/>
    <w:rsid w:val="008664CC"/>
    <w:rsid w:val="0086690C"/>
    <w:rsid w:val="00867513"/>
    <w:rsid w:val="008677FE"/>
    <w:rsid w:val="00867E84"/>
    <w:rsid w:val="00867EB6"/>
    <w:rsid w:val="00867FE9"/>
    <w:rsid w:val="00867FF5"/>
    <w:rsid w:val="00870325"/>
    <w:rsid w:val="00870394"/>
    <w:rsid w:val="008709C2"/>
    <w:rsid w:val="00870CA5"/>
    <w:rsid w:val="00870D64"/>
    <w:rsid w:val="008717DC"/>
    <w:rsid w:val="00871A56"/>
    <w:rsid w:val="00871BF2"/>
    <w:rsid w:val="00871EDE"/>
    <w:rsid w:val="0087237D"/>
    <w:rsid w:val="008723F8"/>
    <w:rsid w:val="0087266B"/>
    <w:rsid w:val="00872B3B"/>
    <w:rsid w:val="00872FB2"/>
    <w:rsid w:val="00873404"/>
    <w:rsid w:val="00873576"/>
    <w:rsid w:val="00873755"/>
    <w:rsid w:val="00873B45"/>
    <w:rsid w:val="00873FB8"/>
    <w:rsid w:val="008754BD"/>
    <w:rsid w:val="00875A74"/>
    <w:rsid w:val="00875C1D"/>
    <w:rsid w:val="00876168"/>
    <w:rsid w:val="0087628C"/>
    <w:rsid w:val="00876393"/>
    <w:rsid w:val="008767A6"/>
    <w:rsid w:val="00877142"/>
    <w:rsid w:val="00877585"/>
    <w:rsid w:val="008776F0"/>
    <w:rsid w:val="00877702"/>
    <w:rsid w:val="00877F3F"/>
    <w:rsid w:val="00880DA3"/>
    <w:rsid w:val="0088143C"/>
    <w:rsid w:val="00881829"/>
    <w:rsid w:val="00881962"/>
    <w:rsid w:val="00881F5E"/>
    <w:rsid w:val="008825F0"/>
    <w:rsid w:val="008827D3"/>
    <w:rsid w:val="008827EC"/>
    <w:rsid w:val="0088281F"/>
    <w:rsid w:val="0088288E"/>
    <w:rsid w:val="00883347"/>
    <w:rsid w:val="008834E4"/>
    <w:rsid w:val="00883B50"/>
    <w:rsid w:val="00884A11"/>
    <w:rsid w:val="00884E0E"/>
    <w:rsid w:val="008856C6"/>
    <w:rsid w:val="008859C3"/>
    <w:rsid w:val="008863CF"/>
    <w:rsid w:val="0088671F"/>
    <w:rsid w:val="00886959"/>
    <w:rsid w:val="00886A59"/>
    <w:rsid w:val="00886D89"/>
    <w:rsid w:val="0088786E"/>
    <w:rsid w:val="00887923"/>
    <w:rsid w:val="00887B1F"/>
    <w:rsid w:val="00887D6B"/>
    <w:rsid w:val="008901CC"/>
    <w:rsid w:val="00890B63"/>
    <w:rsid w:val="00891DB6"/>
    <w:rsid w:val="00892605"/>
    <w:rsid w:val="00892819"/>
    <w:rsid w:val="00893559"/>
    <w:rsid w:val="00893E8C"/>
    <w:rsid w:val="00894962"/>
    <w:rsid w:val="00894AF7"/>
    <w:rsid w:val="00894C2E"/>
    <w:rsid w:val="0089562D"/>
    <w:rsid w:val="00895E0A"/>
    <w:rsid w:val="008965D0"/>
    <w:rsid w:val="00897D0E"/>
    <w:rsid w:val="008A030F"/>
    <w:rsid w:val="008A0CC5"/>
    <w:rsid w:val="008A10AC"/>
    <w:rsid w:val="008A1695"/>
    <w:rsid w:val="008A2256"/>
    <w:rsid w:val="008A2746"/>
    <w:rsid w:val="008A27F4"/>
    <w:rsid w:val="008A3506"/>
    <w:rsid w:val="008A41ED"/>
    <w:rsid w:val="008A52C9"/>
    <w:rsid w:val="008A573B"/>
    <w:rsid w:val="008A588E"/>
    <w:rsid w:val="008A58F0"/>
    <w:rsid w:val="008A5B36"/>
    <w:rsid w:val="008A5D07"/>
    <w:rsid w:val="008A5FFD"/>
    <w:rsid w:val="008A602F"/>
    <w:rsid w:val="008A6075"/>
    <w:rsid w:val="008A66E7"/>
    <w:rsid w:val="008A6A74"/>
    <w:rsid w:val="008A71A6"/>
    <w:rsid w:val="008A7F0B"/>
    <w:rsid w:val="008B0468"/>
    <w:rsid w:val="008B07C8"/>
    <w:rsid w:val="008B1707"/>
    <w:rsid w:val="008B1FED"/>
    <w:rsid w:val="008B247A"/>
    <w:rsid w:val="008B2D70"/>
    <w:rsid w:val="008B2E14"/>
    <w:rsid w:val="008B30BA"/>
    <w:rsid w:val="008B39F1"/>
    <w:rsid w:val="008B48B4"/>
    <w:rsid w:val="008B4B25"/>
    <w:rsid w:val="008B4EC8"/>
    <w:rsid w:val="008B598E"/>
    <w:rsid w:val="008B62DE"/>
    <w:rsid w:val="008B643E"/>
    <w:rsid w:val="008B64AB"/>
    <w:rsid w:val="008B6A14"/>
    <w:rsid w:val="008C0180"/>
    <w:rsid w:val="008C05D7"/>
    <w:rsid w:val="008C06D9"/>
    <w:rsid w:val="008C109F"/>
    <w:rsid w:val="008C1141"/>
    <w:rsid w:val="008C160B"/>
    <w:rsid w:val="008C18A0"/>
    <w:rsid w:val="008C2DED"/>
    <w:rsid w:val="008C2EBB"/>
    <w:rsid w:val="008C36B9"/>
    <w:rsid w:val="008C3A6B"/>
    <w:rsid w:val="008C3BC3"/>
    <w:rsid w:val="008C3C0E"/>
    <w:rsid w:val="008C4C27"/>
    <w:rsid w:val="008C4F03"/>
    <w:rsid w:val="008C5051"/>
    <w:rsid w:val="008C58B7"/>
    <w:rsid w:val="008C5B74"/>
    <w:rsid w:val="008C5E72"/>
    <w:rsid w:val="008C645A"/>
    <w:rsid w:val="008C69BE"/>
    <w:rsid w:val="008C6D1A"/>
    <w:rsid w:val="008C7831"/>
    <w:rsid w:val="008D08AD"/>
    <w:rsid w:val="008D1C0D"/>
    <w:rsid w:val="008D2258"/>
    <w:rsid w:val="008D26E4"/>
    <w:rsid w:val="008D288A"/>
    <w:rsid w:val="008D3A35"/>
    <w:rsid w:val="008D3B4F"/>
    <w:rsid w:val="008D3CD5"/>
    <w:rsid w:val="008D3E4C"/>
    <w:rsid w:val="008D44DB"/>
    <w:rsid w:val="008D51A7"/>
    <w:rsid w:val="008D54E0"/>
    <w:rsid w:val="008D57A2"/>
    <w:rsid w:val="008D5E2F"/>
    <w:rsid w:val="008D657F"/>
    <w:rsid w:val="008D689E"/>
    <w:rsid w:val="008D6DD0"/>
    <w:rsid w:val="008D711D"/>
    <w:rsid w:val="008D7242"/>
    <w:rsid w:val="008D7993"/>
    <w:rsid w:val="008E0372"/>
    <w:rsid w:val="008E0866"/>
    <w:rsid w:val="008E0C4B"/>
    <w:rsid w:val="008E131F"/>
    <w:rsid w:val="008E13D9"/>
    <w:rsid w:val="008E186F"/>
    <w:rsid w:val="008E1F8A"/>
    <w:rsid w:val="008E3057"/>
    <w:rsid w:val="008E36D7"/>
    <w:rsid w:val="008E4C3D"/>
    <w:rsid w:val="008E5563"/>
    <w:rsid w:val="008E5BA7"/>
    <w:rsid w:val="008E62B4"/>
    <w:rsid w:val="008E6924"/>
    <w:rsid w:val="008E70C2"/>
    <w:rsid w:val="008E7BFA"/>
    <w:rsid w:val="008F150D"/>
    <w:rsid w:val="008F1560"/>
    <w:rsid w:val="008F1956"/>
    <w:rsid w:val="008F1C0E"/>
    <w:rsid w:val="008F2C86"/>
    <w:rsid w:val="008F2DA3"/>
    <w:rsid w:val="008F34A6"/>
    <w:rsid w:val="008F3C6D"/>
    <w:rsid w:val="008F4272"/>
    <w:rsid w:val="008F50AB"/>
    <w:rsid w:val="008F558E"/>
    <w:rsid w:val="008F5CBC"/>
    <w:rsid w:val="008F5E5D"/>
    <w:rsid w:val="008F617A"/>
    <w:rsid w:val="008F6458"/>
    <w:rsid w:val="008F67C2"/>
    <w:rsid w:val="008F71ED"/>
    <w:rsid w:val="008F736D"/>
    <w:rsid w:val="008F7A9F"/>
    <w:rsid w:val="0090007B"/>
    <w:rsid w:val="00900BEC"/>
    <w:rsid w:val="00900D4A"/>
    <w:rsid w:val="00900E10"/>
    <w:rsid w:val="00900F13"/>
    <w:rsid w:val="00901234"/>
    <w:rsid w:val="00901D36"/>
    <w:rsid w:val="00901F72"/>
    <w:rsid w:val="009020B7"/>
    <w:rsid w:val="0090219A"/>
    <w:rsid w:val="009026B8"/>
    <w:rsid w:val="00902EC7"/>
    <w:rsid w:val="00903155"/>
    <w:rsid w:val="009046AC"/>
    <w:rsid w:val="009059E4"/>
    <w:rsid w:val="00905A00"/>
    <w:rsid w:val="00905AE7"/>
    <w:rsid w:val="00906276"/>
    <w:rsid w:val="009062C9"/>
    <w:rsid w:val="00906ADB"/>
    <w:rsid w:val="00907814"/>
    <w:rsid w:val="0090799D"/>
    <w:rsid w:val="00907E7E"/>
    <w:rsid w:val="00907F27"/>
    <w:rsid w:val="00910A75"/>
    <w:rsid w:val="009113E0"/>
    <w:rsid w:val="00911B58"/>
    <w:rsid w:val="00911DBE"/>
    <w:rsid w:val="00912F6B"/>
    <w:rsid w:val="009137C6"/>
    <w:rsid w:val="00913FE8"/>
    <w:rsid w:val="0091483B"/>
    <w:rsid w:val="009148E0"/>
    <w:rsid w:val="009161FC"/>
    <w:rsid w:val="00916BF0"/>
    <w:rsid w:val="009170D8"/>
    <w:rsid w:val="0091756A"/>
    <w:rsid w:val="009177AD"/>
    <w:rsid w:val="009207D8"/>
    <w:rsid w:val="00920B64"/>
    <w:rsid w:val="00921AC8"/>
    <w:rsid w:val="0092281C"/>
    <w:rsid w:val="0092298D"/>
    <w:rsid w:val="00922E65"/>
    <w:rsid w:val="009233C5"/>
    <w:rsid w:val="00923706"/>
    <w:rsid w:val="00924360"/>
    <w:rsid w:val="00924B6A"/>
    <w:rsid w:val="00925C1F"/>
    <w:rsid w:val="00926B9B"/>
    <w:rsid w:val="009274C8"/>
    <w:rsid w:val="00930A1D"/>
    <w:rsid w:val="00930AEE"/>
    <w:rsid w:val="00932222"/>
    <w:rsid w:val="009331D0"/>
    <w:rsid w:val="00933E67"/>
    <w:rsid w:val="009341BA"/>
    <w:rsid w:val="009343AE"/>
    <w:rsid w:val="009344DE"/>
    <w:rsid w:val="0093524D"/>
    <w:rsid w:val="00935BA5"/>
    <w:rsid w:val="00935E67"/>
    <w:rsid w:val="00935F8B"/>
    <w:rsid w:val="0093628B"/>
    <w:rsid w:val="009371C0"/>
    <w:rsid w:val="0093739D"/>
    <w:rsid w:val="00937B8C"/>
    <w:rsid w:val="00937EA4"/>
    <w:rsid w:val="00940A94"/>
    <w:rsid w:val="009411CC"/>
    <w:rsid w:val="00942AAD"/>
    <w:rsid w:val="00942AB4"/>
    <w:rsid w:val="00942AEC"/>
    <w:rsid w:val="009433BB"/>
    <w:rsid w:val="009434EF"/>
    <w:rsid w:val="0094453D"/>
    <w:rsid w:val="00944C20"/>
    <w:rsid w:val="0094569A"/>
    <w:rsid w:val="00946898"/>
    <w:rsid w:val="00946EB2"/>
    <w:rsid w:val="009510B8"/>
    <w:rsid w:val="00951F39"/>
    <w:rsid w:val="00952823"/>
    <w:rsid w:val="009529D8"/>
    <w:rsid w:val="00953089"/>
    <w:rsid w:val="009537A8"/>
    <w:rsid w:val="00953919"/>
    <w:rsid w:val="00953B1B"/>
    <w:rsid w:val="00953BAE"/>
    <w:rsid w:val="0095468C"/>
    <w:rsid w:val="00954892"/>
    <w:rsid w:val="009548C2"/>
    <w:rsid w:val="00954E9E"/>
    <w:rsid w:val="0095541C"/>
    <w:rsid w:val="009562E2"/>
    <w:rsid w:val="009569CE"/>
    <w:rsid w:val="00956DF4"/>
    <w:rsid w:val="009570E0"/>
    <w:rsid w:val="009577AE"/>
    <w:rsid w:val="0096045A"/>
    <w:rsid w:val="00960A2F"/>
    <w:rsid w:val="00960C51"/>
    <w:rsid w:val="00961AE8"/>
    <w:rsid w:val="00961D6C"/>
    <w:rsid w:val="00961DD2"/>
    <w:rsid w:val="00963015"/>
    <w:rsid w:val="00963084"/>
    <w:rsid w:val="009637D4"/>
    <w:rsid w:val="0096423A"/>
    <w:rsid w:val="00964B0D"/>
    <w:rsid w:val="00964D5C"/>
    <w:rsid w:val="00965BEE"/>
    <w:rsid w:val="00965F7B"/>
    <w:rsid w:val="0096621F"/>
    <w:rsid w:val="00966549"/>
    <w:rsid w:val="0096676B"/>
    <w:rsid w:val="009669C4"/>
    <w:rsid w:val="00966CDA"/>
    <w:rsid w:val="00966D9B"/>
    <w:rsid w:val="00966DF6"/>
    <w:rsid w:val="00967FBF"/>
    <w:rsid w:val="00970647"/>
    <w:rsid w:val="00970DA5"/>
    <w:rsid w:val="00970EA2"/>
    <w:rsid w:val="00971312"/>
    <w:rsid w:val="00971433"/>
    <w:rsid w:val="0097193E"/>
    <w:rsid w:val="00972D00"/>
    <w:rsid w:val="00972D6F"/>
    <w:rsid w:val="0097353F"/>
    <w:rsid w:val="009735AE"/>
    <w:rsid w:val="00973707"/>
    <w:rsid w:val="00973DE0"/>
    <w:rsid w:val="00974412"/>
    <w:rsid w:val="00974E5F"/>
    <w:rsid w:val="00975031"/>
    <w:rsid w:val="00975A63"/>
    <w:rsid w:val="009763C1"/>
    <w:rsid w:val="00976AE5"/>
    <w:rsid w:val="00977180"/>
    <w:rsid w:val="00977256"/>
    <w:rsid w:val="009774D3"/>
    <w:rsid w:val="009775F4"/>
    <w:rsid w:val="009776FA"/>
    <w:rsid w:val="00977FBA"/>
    <w:rsid w:val="00980194"/>
    <w:rsid w:val="0098129D"/>
    <w:rsid w:val="00981ED9"/>
    <w:rsid w:val="00983E92"/>
    <w:rsid w:val="00984484"/>
    <w:rsid w:val="00984A9D"/>
    <w:rsid w:val="00984BA6"/>
    <w:rsid w:val="00984CA0"/>
    <w:rsid w:val="00984F06"/>
    <w:rsid w:val="0098560F"/>
    <w:rsid w:val="009859FB"/>
    <w:rsid w:val="00985E99"/>
    <w:rsid w:val="0098679F"/>
    <w:rsid w:val="0098691B"/>
    <w:rsid w:val="00987445"/>
    <w:rsid w:val="00990692"/>
    <w:rsid w:val="009908F7"/>
    <w:rsid w:val="00990C7F"/>
    <w:rsid w:val="00991289"/>
    <w:rsid w:val="00991BC4"/>
    <w:rsid w:val="009925DD"/>
    <w:rsid w:val="00992A19"/>
    <w:rsid w:val="00992C2A"/>
    <w:rsid w:val="00993AEC"/>
    <w:rsid w:val="00993B4D"/>
    <w:rsid w:val="00993CBE"/>
    <w:rsid w:val="0099411D"/>
    <w:rsid w:val="009942A7"/>
    <w:rsid w:val="009943B4"/>
    <w:rsid w:val="009943DC"/>
    <w:rsid w:val="0099516A"/>
    <w:rsid w:val="00996838"/>
    <w:rsid w:val="00996C9D"/>
    <w:rsid w:val="00997B5F"/>
    <w:rsid w:val="00997EED"/>
    <w:rsid w:val="009A056E"/>
    <w:rsid w:val="009A0D14"/>
    <w:rsid w:val="009A13C8"/>
    <w:rsid w:val="009A1A0F"/>
    <w:rsid w:val="009A1F23"/>
    <w:rsid w:val="009A2042"/>
    <w:rsid w:val="009A2AFF"/>
    <w:rsid w:val="009A3159"/>
    <w:rsid w:val="009A317F"/>
    <w:rsid w:val="009A435A"/>
    <w:rsid w:val="009A55D1"/>
    <w:rsid w:val="009A5891"/>
    <w:rsid w:val="009A602E"/>
    <w:rsid w:val="009A6980"/>
    <w:rsid w:val="009A774A"/>
    <w:rsid w:val="009A78FB"/>
    <w:rsid w:val="009B0D91"/>
    <w:rsid w:val="009B178E"/>
    <w:rsid w:val="009B19D9"/>
    <w:rsid w:val="009B2130"/>
    <w:rsid w:val="009B2E38"/>
    <w:rsid w:val="009B3961"/>
    <w:rsid w:val="009B3E74"/>
    <w:rsid w:val="009B3FC5"/>
    <w:rsid w:val="009B4853"/>
    <w:rsid w:val="009B49B1"/>
    <w:rsid w:val="009B57D0"/>
    <w:rsid w:val="009B6521"/>
    <w:rsid w:val="009B6BBD"/>
    <w:rsid w:val="009B6C8B"/>
    <w:rsid w:val="009B6D61"/>
    <w:rsid w:val="009B7C37"/>
    <w:rsid w:val="009C020A"/>
    <w:rsid w:val="009C05F0"/>
    <w:rsid w:val="009C0A19"/>
    <w:rsid w:val="009C0E32"/>
    <w:rsid w:val="009C0FE6"/>
    <w:rsid w:val="009C12EE"/>
    <w:rsid w:val="009C1550"/>
    <w:rsid w:val="009C155C"/>
    <w:rsid w:val="009C156F"/>
    <w:rsid w:val="009C1E3A"/>
    <w:rsid w:val="009C20CB"/>
    <w:rsid w:val="009C22FA"/>
    <w:rsid w:val="009C305D"/>
    <w:rsid w:val="009C3258"/>
    <w:rsid w:val="009C38A9"/>
    <w:rsid w:val="009C39F5"/>
    <w:rsid w:val="009C4B65"/>
    <w:rsid w:val="009C4BCE"/>
    <w:rsid w:val="009C4F25"/>
    <w:rsid w:val="009C5347"/>
    <w:rsid w:val="009C5BE0"/>
    <w:rsid w:val="009C5D7A"/>
    <w:rsid w:val="009C6AD8"/>
    <w:rsid w:val="009C75AD"/>
    <w:rsid w:val="009C7690"/>
    <w:rsid w:val="009C7CF2"/>
    <w:rsid w:val="009D0377"/>
    <w:rsid w:val="009D0682"/>
    <w:rsid w:val="009D0DD2"/>
    <w:rsid w:val="009D14D7"/>
    <w:rsid w:val="009D193B"/>
    <w:rsid w:val="009D1CBD"/>
    <w:rsid w:val="009D1D66"/>
    <w:rsid w:val="009D275D"/>
    <w:rsid w:val="009D3878"/>
    <w:rsid w:val="009D4E0E"/>
    <w:rsid w:val="009D5314"/>
    <w:rsid w:val="009D5538"/>
    <w:rsid w:val="009D5685"/>
    <w:rsid w:val="009D58A2"/>
    <w:rsid w:val="009D6200"/>
    <w:rsid w:val="009D6DF3"/>
    <w:rsid w:val="009D7E37"/>
    <w:rsid w:val="009E07A7"/>
    <w:rsid w:val="009E1874"/>
    <w:rsid w:val="009E18AB"/>
    <w:rsid w:val="009E1C5B"/>
    <w:rsid w:val="009E2787"/>
    <w:rsid w:val="009E2B84"/>
    <w:rsid w:val="009E2BC5"/>
    <w:rsid w:val="009E381B"/>
    <w:rsid w:val="009E3899"/>
    <w:rsid w:val="009E3DEB"/>
    <w:rsid w:val="009E72A6"/>
    <w:rsid w:val="009E7D48"/>
    <w:rsid w:val="009E7F44"/>
    <w:rsid w:val="009F3B32"/>
    <w:rsid w:val="009F40B2"/>
    <w:rsid w:val="009F55DE"/>
    <w:rsid w:val="009F562E"/>
    <w:rsid w:val="009F5EC7"/>
    <w:rsid w:val="009F6527"/>
    <w:rsid w:val="009F6F81"/>
    <w:rsid w:val="009F7366"/>
    <w:rsid w:val="009F75CB"/>
    <w:rsid w:val="009F7D52"/>
    <w:rsid w:val="00A0052D"/>
    <w:rsid w:val="00A0189C"/>
    <w:rsid w:val="00A0279B"/>
    <w:rsid w:val="00A02C34"/>
    <w:rsid w:val="00A02FC2"/>
    <w:rsid w:val="00A03338"/>
    <w:rsid w:val="00A03754"/>
    <w:rsid w:val="00A0415B"/>
    <w:rsid w:val="00A04FB7"/>
    <w:rsid w:val="00A0583C"/>
    <w:rsid w:val="00A05E96"/>
    <w:rsid w:val="00A06657"/>
    <w:rsid w:val="00A06B91"/>
    <w:rsid w:val="00A07ACF"/>
    <w:rsid w:val="00A07B33"/>
    <w:rsid w:val="00A07C66"/>
    <w:rsid w:val="00A109A2"/>
    <w:rsid w:val="00A10FAC"/>
    <w:rsid w:val="00A11235"/>
    <w:rsid w:val="00A118E6"/>
    <w:rsid w:val="00A11E85"/>
    <w:rsid w:val="00A12B5B"/>
    <w:rsid w:val="00A12BDC"/>
    <w:rsid w:val="00A13BBF"/>
    <w:rsid w:val="00A15FF5"/>
    <w:rsid w:val="00A16BEC"/>
    <w:rsid w:val="00A16FD8"/>
    <w:rsid w:val="00A17485"/>
    <w:rsid w:val="00A17590"/>
    <w:rsid w:val="00A178DF"/>
    <w:rsid w:val="00A17BC4"/>
    <w:rsid w:val="00A2028E"/>
    <w:rsid w:val="00A2149F"/>
    <w:rsid w:val="00A21668"/>
    <w:rsid w:val="00A227FA"/>
    <w:rsid w:val="00A22B7D"/>
    <w:rsid w:val="00A23019"/>
    <w:rsid w:val="00A23135"/>
    <w:rsid w:val="00A23338"/>
    <w:rsid w:val="00A233D4"/>
    <w:rsid w:val="00A238B8"/>
    <w:rsid w:val="00A23C72"/>
    <w:rsid w:val="00A2404C"/>
    <w:rsid w:val="00A24208"/>
    <w:rsid w:val="00A24399"/>
    <w:rsid w:val="00A246C8"/>
    <w:rsid w:val="00A24A86"/>
    <w:rsid w:val="00A25050"/>
    <w:rsid w:val="00A25428"/>
    <w:rsid w:val="00A25C3C"/>
    <w:rsid w:val="00A25F0B"/>
    <w:rsid w:val="00A26977"/>
    <w:rsid w:val="00A270D9"/>
    <w:rsid w:val="00A27504"/>
    <w:rsid w:val="00A27CF9"/>
    <w:rsid w:val="00A30B14"/>
    <w:rsid w:val="00A30EBB"/>
    <w:rsid w:val="00A313AD"/>
    <w:rsid w:val="00A31C1E"/>
    <w:rsid w:val="00A32BA4"/>
    <w:rsid w:val="00A32E7F"/>
    <w:rsid w:val="00A340B6"/>
    <w:rsid w:val="00A34273"/>
    <w:rsid w:val="00A34290"/>
    <w:rsid w:val="00A346DF"/>
    <w:rsid w:val="00A35784"/>
    <w:rsid w:val="00A35849"/>
    <w:rsid w:val="00A35C24"/>
    <w:rsid w:val="00A368B1"/>
    <w:rsid w:val="00A36B57"/>
    <w:rsid w:val="00A36ED3"/>
    <w:rsid w:val="00A37160"/>
    <w:rsid w:val="00A378E0"/>
    <w:rsid w:val="00A4017E"/>
    <w:rsid w:val="00A407F1"/>
    <w:rsid w:val="00A40858"/>
    <w:rsid w:val="00A40C3C"/>
    <w:rsid w:val="00A4113A"/>
    <w:rsid w:val="00A412A3"/>
    <w:rsid w:val="00A41985"/>
    <w:rsid w:val="00A41A1B"/>
    <w:rsid w:val="00A4204F"/>
    <w:rsid w:val="00A420AD"/>
    <w:rsid w:val="00A422FA"/>
    <w:rsid w:val="00A43427"/>
    <w:rsid w:val="00A4367A"/>
    <w:rsid w:val="00A437C1"/>
    <w:rsid w:val="00A43EC5"/>
    <w:rsid w:val="00A44DA2"/>
    <w:rsid w:val="00A450B0"/>
    <w:rsid w:val="00A454D8"/>
    <w:rsid w:val="00A46044"/>
    <w:rsid w:val="00A46986"/>
    <w:rsid w:val="00A46C84"/>
    <w:rsid w:val="00A5062E"/>
    <w:rsid w:val="00A50666"/>
    <w:rsid w:val="00A5128E"/>
    <w:rsid w:val="00A51642"/>
    <w:rsid w:val="00A51F43"/>
    <w:rsid w:val="00A53474"/>
    <w:rsid w:val="00A541F5"/>
    <w:rsid w:val="00A54463"/>
    <w:rsid w:val="00A548E9"/>
    <w:rsid w:val="00A54E4D"/>
    <w:rsid w:val="00A5605F"/>
    <w:rsid w:val="00A56529"/>
    <w:rsid w:val="00A568EB"/>
    <w:rsid w:val="00A57A8F"/>
    <w:rsid w:val="00A60B7A"/>
    <w:rsid w:val="00A6129C"/>
    <w:rsid w:val="00A62E8F"/>
    <w:rsid w:val="00A63520"/>
    <w:rsid w:val="00A638D0"/>
    <w:rsid w:val="00A63F83"/>
    <w:rsid w:val="00A6569B"/>
    <w:rsid w:val="00A670FF"/>
    <w:rsid w:val="00A67A1A"/>
    <w:rsid w:val="00A718CC"/>
    <w:rsid w:val="00A71B63"/>
    <w:rsid w:val="00A72DF6"/>
    <w:rsid w:val="00A72FA4"/>
    <w:rsid w:val="00A73082"/>
    <w:rsid w:val="00A73323"/>
    <w:rsid w:val="00A7380D"/>
    <w:rsid w:val="00A754B2"/>
    <w:rsid w:val="00A754BF"/>
    <w:rsid w:val="00A75793"/>
    <w:rsid w:val="00A75CD2"/>
    <w:rsid w:val="00A761DC"/>
    <w:rsid w:val="00A77FEE"/>
    <w:rsid w:val="00A806CA"/>
    <w:rsid w:val="00A817BA"/>
    <w:rsid w:val="00A81A1B"/>
    <w:rsid w:val="00A8211A"/>
    <w:rsid w:val="00A82384"/>
    <w:rsid w:val="00A8277D"/>
    <w:rsid w:val="00A829A5"/>
    <w:rsid w:val="00A83DED"/>
    <w:rsid w:val="00A85284"/>
    <w:rsid w:val="00A856E3"/>
    <w:rsid w:val="00A86AA3"/>
    <w:rsid w:val="00A87418"/>
    <w:rsid w:val="00A87528"/>
    <w:rsid w:val="00A87748"/>
    <w:rsid w:val="00A87B3C"/>
    <w:rsid w:val="00A87E46"/>
    <w:rsid w:val="00A902B9"/>
    <w:rsid w:val="00A9089E"/>
    <w:rsid w:val="00A90D2E"/>
    <w:rsid w:val="00A90E38"/>
    <w:rsid w:val="00A91073"/>
    <w:rsid w:val="00A910EC"/>
    <w:rsid w:val="00A91D3A"/>
    <w:rsid w:val="00A92178"/>
    <w:rsid w:val="00A923D3"/>
    <w:rsid w:val="00A9255D"/>
    <w:rsid w:val="00A9261D"/>
    <w:rsid w:val="00A93F77"/>
    <w:rsid w:val="00A956AE"/>
    <w:rsid w:val="00A97DE1"/>
    <w:rsid w:val="00A97E14"/>
    <w:rsid w:val="00AA021F"/>
    <w:rsid w:val="00AA0961"/>
    <w:rsid w:val="00AA0EA1"/>
    <w:rsid w:val="00AA103F"/>
    <w:rsid w:val="00AA23F2"/>
    <w:rsid w:val="00AA2558"/>
    <w:rsid w:val="00AA4ABC"/>
    <w:rsid w:val="00AA4C00"/>
    <w:rsid w:val="00AA5F0B"/>
    <w:rsid w:val="00AA6A89"/>
    <w:rsid w:val="00AA6C16"/>
    <w:rsid w:val="00AA6C43"/>
    <w:rsid w:val="00AA705C"/>
    <w:rsid w:val="00AA7C7B"/>
    <w:rsid w:val="00AA7D9B"/>
    <w:rsid w:val="00AB1771"/>
    <w:rsid w:val="00AB2954"/>
    <w:rsid w:val="00AB2A6E"/>
    <w:rsid w:val="00AB3708"/>
    <w:rsid w:val="00AB3FD0"/>
    <w:rsid w:val="00AB4567"/>
    <w:rsid w:val="00AB4E95"/>
    <w:rsid w:val="00AB61CD"/>
    <w:rsid w:val="00AB6EF6"/>
    <w:rsid w:val="00AB7993"/>
    <w:rsid w:val="00AC1651"/>
    <w:rsid w:val="00AC3598"/>
    <w:rsid w:val="00AC3630"/>
    <w:rsid w:val="00AC3B3D"/>
    <w:rsid w:val="00AC3F5A"/>
    <w:rsid w:val="00AC45C2"/>
    <w:rsid w:val="00AC4A77"/>
    <w:rsid w:val="00AC57C3"/>
    <w:rsid w:val="00AC5BD0"/>
    <w:rsid w:val="00AD047F"/>
    <w:rsid w:val="00AD06A3"/>
    <w:rsid w:val="00AD0A58"/>
    <w:rsid w:val="00AD140E"/>
    <w:rsid w:val="00AD1B59"/>
    <w:rsid w:val="00AD22DB"/>
    <w:rsid w:val="00AD323D"/>
    <w:rsid w:val="00AD39FC"/>
    <w:rsid w:val="00AD4AB8"/>
    <w:rsid w:val="00AD51E7"/>
    <w:rsid w:val="00AD52FD"/>
    <w:rsid w:val="00AD56AC"/>
    <w:rsid w:val="00AD5A11"/>
    <w:rsid w:val="00AD5C60"/>
    <w:rsid w:val="00AD5DC6"/>
    <w:rsid w:val="00AD5E2A"/>
    <w:rsid w:val="00AD683A"/>
    <w:rsid w:val="00AD6A4A"/>
    <w:rsid w:val="00AD6AF3"/>
    <w:rsid w:val="00AD6D3B"/>
    <w:rsid w:val="00AD7395"/>
    <w:rsid w:val="00AE047F"/>
    <w:rsid w:val="00AE05B6"/>
    <w:rsid w:val="00AE0AE1"/>
    <w:rsid w:val="00AE0B48"/>
    <w:rsid w:val="00AE27DB"/>
    <w:rsid w:val="00AE2A86"/>
    <w:rsid w:val="00AE31CF"/>
    <w:rsid w:val="00AE3405"/>
    <w:rsid w:val="00AE4B73"/>
    <w:rsid w:val="00AE5BCF"/>
    <w:rsid w:val="00AE6431"/>
    <w:rsid w:val="00AE6ADA"/>
    <w:rsid w:val="00AE6F43"/>
    <w:rsid w:val="00AE7CB3"/>
    <w:rsid w:val="00AF07CD"/>
    <w:rsid w:val="00AF16B1"/>
    <w:rsid w:val="00AF26C5"/>
    <w:rsid w:val="00AF35D2"/>
    <w:rsid w:val="00AF40B6"/>
    <w:rsid w:val="00AF4360"/>
    <w:rsid w:val="00AF44FD"/>
    <w:rsid w:val="00AF45AC"/>
    <w:rsid w:val="00AF50EB"/>
    <w:rsid w:val="00AF5722"/>
    <w:rsid w:val="00AF593E"/>
    <w:rsid w:val="00AF5DC0"/>
    <w:rsid w:val="00AF70C9"/>
    <w:rsid w:val="00AF7687"/>
    <w:rsid w:val="00AF76D6"/>
    <w:rsid w:val="00AF7A22"/>
    <w:rsid w:val="00B00276"/>
    <w:rsid w:val="00B00A22"/>
    <w:rsid w:val="00B00D65"/>
    <w:rsid w:val="00B022F5"/>
    <w:rsid w:val="00B024E9"/>
    <w:rsid w:val="00B039DB"/>
    <w:rsid w:val="00B040E7"/>
    <w:rsid w:val="00B0439C"/>
    <w:rsid w:val="00B0445B"/>
    <w:rsid w:val="00B04722"/>
    <w:rsid w:val="00B04918"/>
    <w:rsid w:val="00B04B63"/>
    <w:rsid w:val="00B0511A"/>
    <w:rsid w:val="00B05392"/>
    <w:rsid w:val="00B05777"/>
    <w:rsid w:val="00B05BEE"/>
    <w:rsid w:val="00B06059"/>
    <w:rsid w:val="00B06A4A"/>
    <w:rsid w:val="00B07229"/>
    <w:rsid w:val="00B07964"/>
    <w:rsid w:val="00B10B35"/>
    <w:rsid w:val="00B11DF8"/>
    <w:rsid w:val="00B12856"/>
    <w:rsid w:val="00B12BE7"/>
    <w:rsid w:val="00B132CB"/>
    <w:rsid w:val="00B138BD"/>
    <w:rsid w:val="00B15D0B"/>
    <w:rsid w:val="00B161E9"/>
    <w:rsid w:val="00B16560"/>
    <w:rsid w:val="00B16875"/>
    <w:rsid w:val="00B16A60"/>
    <w:rsid w:val="00B16A79"/>
    <w:rsid w:val="00B16BD4"/>
    <w:rsid w:val="00B17060"/>
    <w:rsid w:val="00B172CE"/>
    <w:rsid w:val="00B176D0"/>
    <w:rsid w:val="00B1793F"/>
    <w:rsid w:val="00B17F21"/>
    <w:rsid w:val="00B20036"/>
    <w:rsid w:val="00B20066"/>
    <w:rsid w:val="00B205CD"/>
    <w:rsid w:val="00B21FD6"/>
    <w:rsid w:val="00B2269C"/>
    <w:rsid w:val="00B227E2"/>
    <w:rsid w:val="00B22EC4"/>
    <w:rsid w:val="00B22F08"/>
    <w:rsid w:val="00B2385F"/>
    <w:rsid w:val="00B23DA3"/>
    <w:rsid w:val="00B23DF9"/>
    <w:rsid w:val="00B24D0A"/>
    <w:rsid w:val="00B24EB4"/>
    <w:rsid w:val="00B2624B"/>
    <w:rsid w:val="00B26430"/>
    <w:rsid w:val="00B279B2"/>
    <w:rsid w:val="00B27EFB"/>
    <w:rsid w:val="00B3152C"/>
    <w:rsid w:val="00B32918"/>
    <w:rsid w:val="00B32E44"/>
    <w:rsid w:val="00B32EBE"/>
    <w:rsid w:val="00B34ABF"/>
    <w:rsid w:val="00B35AC4"/>
    <w:rsid w:val="00B35C1E"/>
    <w:rsid w:val="00B36A9D"/>
    <w:rsid w:val="00B36ED3"/>
    <w:rsid w:val="00B3777B"/>
    <w:rsid w:val="00B37D0C"/>
    <w:rsid w:val="00B40BF3"/>
    <w:rsid w:val="00B415FA"/>
    <w:rsid w:val="00B41E8E"/>
    <w:rsid w:val="00B41FD3"/>
    <w:rsid w:val="00B440F8"/>
    <w:rsid w:val="00B44791"/>
    <w:rsid w:val="00B44DFF"/>
    <w:rsid w:val="00B45604"/>
    <w:rsid w:val="00B4581B"/>
    <w:rsid w:val="00B461BA"/>
    <w:rsid w:val="00B46E06"/>
    <w:rsid w:val="00B47697"/>
    <w:rsid w:val="00B50FB4"/>
    <w:rsid w:val="00B51351"/>
    <w:rsid w:val="00B51EC8"/>
    <w:rsid w:val="00B53480"/>
    <w:rsid w:val="00B53982"/>
    <w:rsid w:val="00B54133"/>
    <w:rsid w:val="00B5454D"/>
    <w:rsid w:val="00B549D3"/>
    <w:rsid w:val="00B55040"/>
    <w:rsid w:val="00B5510C"/>
    <w:rsid w:val="00B55C4B"/>
    <w:rsid w:val="00B5631E"/>
    <w:rsid w:val="00B57510"/>
    <w:rsid w:val="00B57E54"/>
    <w:rsid w:val="00B61F2A"/>
    <w:rsid w:val="00B6216D"/>
    <w:rsid w:val="00B639C9"/>
    <w:rsid w:val="00B64187"/>
    <w:rsid w:val="00B646CF"/>
    <w:rsid w:val="00B6499F"/>
    <w:rsid w:val="00B64F1E"/>
    <w:rsid w:val="00B65200"/>
    <w:rsid w:val="00B663D8"/>
    <w:rsid w:val="00B66F87"/>
    <w:rsid w:val="00B674CA"/>
    <w:rsid w:val="00B67794"/>
    <w:rsid w:val="00B70801"/>
    <w:rsid w:val="00B70C3D"/>
    <w:rsid w:val="00B70CE8"/>
    <w:rsid w:val="00B70F14"/>
    <w:rsid w:val="00B71A69"/>
    <w:rsid w:val="00B71DAA"/>
    <w:rsid w:val="00B721CB"/>
    <w:rsid w:val="00B72733"/>
    <w:rsid w:val="00B72935"/>
    <w:rsid w:val="00B730CE"/>
    <w:rsid w:val="00B731A3"/>
    <w:rsid w:val="00B73CAB"/>
    <w:rsid w:val="00B73E24"/>
    <w:rsid w:val="00B740CA"/>
    <w:rsid w:val="00B74C01"/>
    <w:rsid w:val="00B74E7D"/>
    <w:rsid w:val="00B759A4"/>
    <w:rsid w:val="00B772D8"/>
    <w:rsid w:val="00B77EA7"/>
    <w:rsid w:val="00B806C0"/>
    <w:rsid w:val="00B807A9"/>
    <w:rsid w:val="00B811C2"/>
    <w:rsid w:val="00B81527"/>
    <w:rsid w:val="00B81791"/>
    <w:rsid w:val="00B817BA"/>
    <w:rsid w:val="00B81A1C"/>
    <w:rsid w:val="00B831F2"/>
    <w:rsid w:val="00B83E80"/>
    <w:rsid w:val="00B841B9"/>
    <w:rsid w:val="00B8486D"/>
    <w:rsid w:val="00B85488"/>
    <w:rsid w:val="00B85922"/>
    <w:rsid w:val="00B85E19"/>
    <w:rsid w:val="00B85E9F"/>
    <w:rsid w:val="00B86870"/>
    <w:rsid w:val="00B8786E"/>
    <w:rsid w:val="00B90521"/>
    <w:rsid w:val="00B90ADC"/>
    <w:rsid w:val="00B91183"/>
    <w:rsid w:val="00B91AFA"/>
    <w:rsid w:val="00B91C6C"/>
    <w:rsid w:val="00B92281"/>
    <w:rsid w:val="00B92411"/>
    <w:rsid w:val="00B93B4A"/>
    <w:rsid w:val="00B93C0B"/>
    <w:rsid w:val="00B93CFE"/>
    <w:rsid w:val="00B94024"/>
    <w:rsid w:val="00B959DF"/>
    <w:rsid w:val="00B9608D"/>
    <w:rsid w:val="00B9617F"/>
    <w:rsid w:val="00B9633F"/>
    <w:rsid w:val="00B969A3"/>
    <w:rsid w:val="00BA07C4"/>
    <w:rsid w:val="00BA1611"/>
    <w:rsid w:val="00BA28FE"/>
    <w:rsid w:val="00BA2A0B"/>
    <w:rsid w:val="00BA35B8"/>
    <w:rsid w:val="00BA3732"/>
    <w:rsid w:val="00BA3847"/>
    <w:rsid w:val="00BA620B"/>
    <w:rsid w:val="00BA66B7"/>
    <w:rsid w:val="00BA6A68"/>
    <w:rsid w:val="00BA7755"/>
    <w:rsid w:val="00BA79EE"/>
    <w:rsid w:val="00BB07C8"/>
    <w:rsid w:val="00BB0BAD"/>
    <w:rsid w:val="00BB0BDE"/>
    <w:rsid w:val="00BB180D"/>
    <w:rsid w:val="00BB2721"/>
    <w:rsid w:val="00BB2826"/>
    <w:rsid w:val="00BB2BF1"/>
    <w:rsid w:val="00BB3D55"/>
    <w:rsid w:val="00BB5443"/>
    <w:rsid w:val="00BB54CC"/>
    <w:rsid w:val="00BB5FEA"/>
    <w:rsid w:val="00BB7A2F"/>
    <w:rsid w:val="00BB7C41"/>
    <w:rsid w:val="00BC0449"/>
    <w:rsid w:val="00BC14E6"/>
    <w:rsid w:val="00BC1977"/>
    <w:rsid w:val="00BC20F7"/>
    <w:rsid w:val="00BC226F"/>
    <w:rsid w:val="00BC341E"/>
    <w:rsid w:val="00BC439E"/>
    <w:rsid w:val="00BC463B"/>
    <w:rsid w:val="00BC49CE"/>
    <w:rsid w:val="00BC4FF0"/>
    <w:rsid w:val="00BC5138"/>
    <w:rsid w:val="00BC5248"/>
    <w:rsid w:val="00BC5549"/>
    <w:rsid w:val="00BC5A60"/>
    <w:rsid w:val="00BC6128"/>
    <w:rsid w:val="00BC6305"/>
    <w:rsid w:val="00BC646B"/>
    <w:rsid w:val="00BC652B"/>
    <w:rsid w:val="00BC65E3"/>
    <w:rsid w:val="00BC68E8"/>
    <w:rsid w:val="00BC73BE"/>
    <w:rsid w:val="00BD0020"/>
    <w:rsid w:val="00BD07F0"/>
    <w:rsid w:val="00BD0985"/>
    <w:rsid w:val="00BD09A5"/>
    <w:rsid w:val="00BD0D9D"/>
    <w:rsid w:val="00BD0EA6"/>
    <w:rsid w:val="00BD1552"/>
    <w:rsid w:val="00BD1AA7"/>
    <w:rsid w:val="00BD252B"/>
    <w:rsid w:val="00BD270F"/>
    <w:rsid w:val="00BD2B62"/>
    <w:rsid w:val="00BD3081"/>
    <w:rsid w:val="00BD3C42"/>
    <w:rsid w:val="00BD4909"/>
    <w:rsid w:val="00BD4C95"/>
    <w:rsid w:val="00BD4D12"/>
    <w:rsid w:val="00BD6482"/>
    <w:rsid w:val="00BD676A"/>
    <w:rsid w:val="00BE0EC5"/>
    <w:rsid w:val="00BE1703"/>
    <w:rsid w:val="00BE260A"/>
    <w:rsid w:val="00BE2711"/>
    <w:rsid w:val="00BE273D"/>
    <w:rsid w:val="00BE2A75"/>
    <w:rsid w:val="00BE2BD7"/>
    <w:rsid w:val="00BE2CAD"/>
    <w:rsid w:val="00BE318C"/>
    <w:rsid w:val="00BE3246"/>
    <w:rsid w:val="00BE352C"/>
    <w:rsid w:val="00BE3A98"/>
    <w:rsid w:val="00BE3BA1"/>
    <w:rsid w:val="00BE3BA6"/>
    <w:rsid w:val="00BE3D99"/>
    <w:rsid w:val="00BE4763"/>
    <w:rsid w:val="00BE47B2"/>
    <w:rsid w:val="00BE5237"/>
    <w:rsid w:val="00BE5BA7"/>
    <w:rsid w:val="00BE6084"/>
    <w:rsid w:val="00BE6A03"/>
    <w:rsid w:val="00BE6ABF"/>
    <w:rsid w:val="00BE70A4"/>
    <w:rsid w:val="00BE70F9"/>
    <w:rsid w:val="00BE7375"/>
    <w:rsid w:val="00BE778A"/>
    <w:rsid w:val="00BF033D"/>
    <w:rsid w:val="00BF0A35"/>
    <w:rsid w:val="00BF0F51"/>
    <w:rsid w:val="00BF251B"/>
    <w:rsid w:val="00BF26BE"/>
    <w:rsid w:val="00BF26DC"/>
    <w:rsid w:val="00BF315E"/>
    <w:rsid w:val="00BF3B03"/>
    <w:rsid w:val="00BF422C"/>
    <w:rsid w:val="00BF4FE5"/>
    <w:rsid w:val="00BF563E"/>
    <w:rsid w:val="00BF58B2"/>
    <w:rsid w:val="00BF5ADB"/>
    <w:rsid w:val="00BF626A"/>
    <w:rsid w:val="00BF6AA9"/>
    <w:rsid w:val="00BF73FF"/>
    <w:rsid w:val="00BF741B"/>
    <w:rsid w:val="00BF79BA"/>
    <w:rsid w:val="00BF79CF"/>
    <w:rsid w:val="00BF7BF2"/>
    <w:rsid w:val="00C0008A"/>
    <w:rsid w:val="00C002C4"/>
    <w:rsid w:val="00C00850"/>
    <w:rsid w:val="00C00C81"/>
    <w:rsid w:val="00C01201"/>
    <w:rsid w:val="00C01897"/>
    <w:rsid w:val="00C021A9"/>
    <w:rsid w:val="00C02B97"/>
    <w:rsid w:val="00C02EE6"/>
    <w:rsid w:val="00C034C7"/>
    <w:rsid w:val="00C047CC"/>
    <w:rsid w:val="00C04E84"/>
    <w:rsid w:val="00C0519E"/>
    <w:rsid w:val="00C05B8F"/>
    <w:rsid w:val="00C05DDB"/>
    <w:rsid w:val="00C06176"/>
    <w:rsid w:val="00C06325"/>
    <w:rsid w:val="00C0759B"/>
    <w:rsid w:val="00C07649"/>
    <w:rsid w:val="00C07E94"/>
    <w:rsid w:val="00C10601"/>
    <w:rsid w:val="00C108FE"/>
    <w:rsid w:val="00C11288"/>
    <w:rsid w:val="00C12410"/>
    <w:rsid w:val="00C13AE5"/>
    <w:rsid w:val="00C14427"/>
    <w:rsid w:val="00C1470C"/>
    <w:rsid w:val="00C15ADF"/>
    <w:rsid w:val="00C16891"/>
    <w:rsid w:val="00C16AA3"/>
    <w:rsid w:val="00C17D2E"/>
    <w:rsid w:val="00C209AB"/>
    <w:rsid w:val="00C20F2E"/>
    <w:rsid w:val="00C22C14"/>
    <w:rsid w:val="00C247C6"/>
    <w:rsid w:val="00C248C8"/>
    <w:rsid w:val="00C24B31"/>
    <w:rsid w:val="00C24FA4"/>
    <w:rsid w:val="00C25B4D"/>
    <w:rsid w:val="00C25D51"/>
    <w:rsid w:val="00C25E86"/>
    <w:rsid w:val="00C26377"/>
    <w:rsid w:val="00C26510"/>
    <w:rsid w:val="00C26678"/>
    <w:rsid w:val="00C271D2"/>
    <w:rsid w:val="00C27F66"/>
    <w:rsid w:val="00C30018"/>
    <w:rsid w:val="00C30776"/>
    <w:rsid w:val="00C30833"/>
    <w:rsid w:val="00C31A0C"/>
    <w:rsid w:val="00C321AB"/>
    <w:rsid w:val="00C32326"/>
    <w:rsid w:val="00C335C9"/>
    <w:rsid w:val="00C33782"/>
    <w:rsid w:val="00C33DA4"/>
    <w:rsid w:val="00C340EF"/>
    <w:rsid w:val="00C34C07"/>
    <w:rsid w:val="00C34F11"/>
    <w:rsid w:val="00C35831"/>
    <w:rsid w:val="00C36072"/>
    <w:rsid w:val="00C36616"/>
    <w:rsid w:val="00C36C2B"/>
    <w:rsid w:val="00C37093"/>
    <w:rsid w:val="00C376EE"/>
    <w:rsid w:val="00C3793F"/>
    <w:rsid w:val="00C419CB"/>
    <w:rsid w:val="00C420A5"/>
    <w:rsid w:val="00C42611"/>
    <w:rsid w:val="00C426E1"/>
    <w:rsid w:val="00C42727"/>
    <w:rsid w:val="00C4435C"/>
    <w:rsid w:val="00C44866"/>
    <w:rsid w:val="00C4516C"/>
    <w:rsid w:val="00C4518A"/>
    <w:rsid w:val="00C454C8"/>
    <w:rsid w:val="00C45798"/>
    <w:rsid w:val="00C462BE"/>
    <w:rsid w:val="00C463EF"/>
    <w:rsid w:val="00C468CE"/>
    <w:rsid w:val="00C471B1"/>
    <w:rsid w:val="00C472DA"/>
    <w:rsid w:val="00C477BC"/>
    <w:rsid w:val="00C47E37"/>
    <w:rsid w:val="00C50546"/>
    <w:rsid w:val="00C506C7"/>
    <w:rsid w:val="00C50F8C"/>
    <w:rsid w:val="00C51696"/>
    <w:rsid w:val="00C52268"/>
    <w:rsid w:val="00C52418"/>
    <w:rsid w:val="00C5293C"/>
    <w:rsid w:val="00C533EE"/>
    <w:rsid w:val="00C5349B"/>
    <w:rsid w:val="00C534AF"/>
    <w:rsid w:val="00C54655"/>
    <w:rsid w:val="00C54A92"/>
    <w:rsid w:val="00C54B10"/>
    <w:rsid w:val="00C55C66"/>
    <w:rsid w:val="00C5658B"/>
    <w:rsid w:val="00C56A23"/>
    <w:rsid w:val="00C5722E"/>
    <w:rsid w:val="00C57324"/>
    <w:rsid w:val="00C57B70"/>
    <w:rsid w:val="00C600C5"/>
    <w:rsid w:val="00C616CC"/>
    <w:rsid w:val="00C6308D"/>
    <w:rsid w:val="00C632CA"/>
    <w:rsid w:val="00C6398A"/>
    <w:rsid w:val="00C63BAD"/>
    <w:rsid w:val="00C64B28"/>
    <w:rsid w:val="00C66252"/>
    <w:rsid w:val="00C66498"/>
    <w:rsid w:val="00C664E6"/>
    <w:rsid w:val="00C67A74"/>
    <w:rsid w:val="00C67B76"/>
    <w:rsid w:val="00C70020"/>
    <w:rsid w:val="00C70DC7"/>
    <w:rsid w:val="00C7167F"/>
    <w:rsid w:val="00C71D2F"/>
    <w:rsid w:val="00C72F26"/>
    <w:rsid w:val="00C73244"/>
    <w:rsid w:val="00C74022"/>
    <w:rsid w:val="00C74252"/>
    <w:rsid w:val="00C742BD"/>
    <w:rsid w:val="00C7479E"/>
    <w:rsid w:val="00C750FE"/>
    <w:rsid w:val="00C76091"/>
    <w:rsid w:val="00C76236"/>
    <w:rsid w:val="00C76491"/>
    <w:rsid w:val="00C76B94"/>
    <w:rsid w:val="00C77257"/>
    <w:rsid w:val="00C773D8"/>
    <w:rsid w:val="00C77655"/>
    <w:rsid w:val="00C77C21"/>
    <w:rsid w:val="00C81AE6"/>
    <w:rsid w:val="00C82C92"/>
    <w:rsid w:val="00C839AE"/>
    <w:rsid w:val="00C83FD6"/>
    <w:rsid w:val="00C849EA"/>
    <w:rsid w:val="00C84FA4"/>
    <w:rsid w:val="00C84FD5"/>
    <w:rsid w:val="00C85049"/>
    <w:rsid w:val="00C85093"/>
    <w:rsid w:val="00C853CF"/>
    <w:rsid w:val="00C857AA"/>
    <w:rsid w:val="00C8608E"/>
    <w:rsid w:val="00C862A9"/>
    <w:rsid w:val="00C867FE"/>
    <w:rsid w:val="00C86A2C"/>
    <w:rsid w:val="00C86E08"/>
    <w:rsid w:val="00C870B9"/>
    <w:rsid w:val="00C87D99"/>
    <w:rsid w:val="00C87E33"/>
    <w:rsid w:val="00C90091"/>
    <w:rsid w:val="00C904A9"/>
    <w:rsid w:val="00C91578"/>
    <w:rsid w:val="00C9157B"/>
    <w:rsid w:val="00C916CA"/>
    <w:rsid w:val="00C92174"/>
    <w:rsid w:val="00C92295"/>
    <w:rsid w:val="00C92BAF"/>
    <w:rsid w:val="00C93642"/>
    <w:rsid w:val="00C93750"/>
    <w:rsid w:val="00C93BAE"/>
    <w:rsid w:val="00C93BFE"/>
    <w:rsid w:val="00C942D9"/>
    <w:rsid w:val="00C9445F"/>
    <w:rsid w:val="00C945AD"/>
    <w:rsid w:val="00C96F16"/>
    <w:rsid w:val="00C970A0"/>
    <w:rsid w:val="00C97A13"/>
    <w:rsid w:val="00CA0C20"/>
    <w:rsid w:val="00CA0C78"/>
    <w:rsid w:val="00CA27C0"/>
    <w:rsid w:val="00CA2BAC"/>
    <w:rsid w:val="00CA353B"/>
    <w:rsid w:val="00CA3F5C"/>
    <w:rsid w:val="00CA41CB"/>
    <w:rsid w:val="00CA4DAA"/>
    <w:rsid w:val="00CA59B4"/>
    <w:rsid w:val="00CA71F0"/>
    <w:rsid w:val="00CA7415"/>
    <w:rsid w:val="00CA7556"/>
    <w:rsid w:val="00CA7D3B"/>
    <w:rsid w:val="00CA7F23"/>
    <w:rsid w:val="00CB040B"/>
    <w:rsid w:val="00CB06B7"/>
    <w:rsid w:val="00CB174C"/>
    <w:rsid w:val="00CB20A9"/>
    <w:rsid w:val="00CB20AD"/>
    <w:rsid w:val="00CB2294"/>
    <w:rsid w:val="00CB2A69"/>
    <w:rsid w:val="00CB2BEC"/>
    <w:rsid w:val="00CB408E"/>
    <w:rsid w:val="00CB47F6"/>
    <w:rsid w:val="00CB4BC9"/>
    <w:rsid w:val="00CB58B1"/>
    <w:rsid w:val="00CB59AC"/>
    <w:rsid w:val="00CB5F2B"/>
    <w:rsid w:val="00CB667E"/>
    <w:rsid w:val="00CB7B55"/>
    <w:rsid w:val="00CB7C01"/>
    <w:rsid w:val="00CB7FB9"/>
    <w:rsid w:val="00CC0ABB"/>
    <w:rsid w:val="00CC1294"/>
    <w:rsid w:val="00CC200C"/>
    <w:rsid w:val="00CC3A1C"/>
    <w:rsid w:val="00CC4917"/>
    <w:rsid w:val="00CC4AB7"/>
    <w:rsid w:val="00CC4B7E"/>
    <w:rsid w:val="00CC535D"/>
    <w:rsid w:val="00CC5AD1"/>
    <w:rsid w:val="00CC6242"/>
    <w:rsid w:val="00CC63CC"/>
    <w:rsid w:val="00CC65AB"/>
    <w:rsid w:val="00CC67F8"/>
    <w:rsid w:val="00CC68C9"/>
    <w:rsid w:val="00CC772F"/>
    <w:rsid w:val="00CC7D80"/>
    <w:rsid w:val="00CC7DB3"/>
    <w:rsid w:val="00CD058D"/>
    <w:rsid w:val="00CD05C6"/>
    <w:rsid w:val="00CD192D"/>
    <w:rsid w:val="00CD1B9D"/>
    <w:rsid w:val="00CD1FD7"/>
    <w:rsid w:val="00CD22A2"/>
    <w:rsid w:val="00CD2B1B"/>
    <w:rsid w:val="00CD4136"/>
    <w:rsid w:val="00CD4988"/>
    <w:rsid w:val="00CD57D5"/>
    <w:rsid w:val="00CD58AE"/>
    <w:rsid w:val="00CD60E6"/>
    <w:rsid w:val="00CD6421"/>
    <w:rsid w:val="00CD669D"/>
    <w:rsid w:val="00CD6A97"/>
    <w:rsid w:val="00CD7580"/>
    <w:rsid w:val="00CE09CF"/>
    <w:rsid w:val="00CE0B0E"/>
    <w:rsid w:val="00CE13E7"/>
    <w:rsid w:val="00CE1608"/>
    <w:rsid w:val="00CE2812"/>
    <w:rsid w:val="00CE2DBA"/>
    <w:rsid w:val="00CE32AA"/>
    <w:rsid w:val="00CE352E"/>
    <w:rsid w:val="00CE3AEF"/>
    <w:rsid w:val="00CE40EE"/>
    <w:rsid w:val="00CE49FA"/>
    <w:rsid w:val="00CE4D95"/>
    <w:rsid w:val="00CE4EB1"/>
    <w:rsid w:val="00CE5657"/>
    <w:rsid w:val="00CE6914"/>
    <w:rsid w:val="00CE6D53"/>
    <w:rsid w:val="00CE7E14"/>
    <w:rsid w:val="00CF03F2"/>
    <w:rsid w:val="00CF0B8A"/>
    <w:rsid w:val="00CF0F2C"/>
    <w:rsid w:val="00CF190D"/>
    <w:rsid w:val="00CF2E77"/>
    <w:rsid w:val="00CF3114"/>
    <w:rsid w:val="00CF33DE"/>
    <w:rsid w:val="00CF3564"/>
    <w:rsid w:val="00CF3B35"/>
    <w:rsid w:val="00CF4140"/>
    <w:rsid w:val="00CF5491"/>
    <w:rsid w:val="00CF7306"/>
    <w:rsid w:val="00CF76F1"/>
    <w:rsid w:val="00D002EC"/>
    <w:rsid w:val="00D00A34"/>
    <w:rsid w:val="00D00BD8"/>
    <w:rsid w:val="00D00C40"/>
    <w:rsid w:val="00D01725"/>
    <w:rsid w:val="00D01B24"/>
    <w:rsid w:val="00D01F5A"/>
    <w:rsid w:val="00D0303A"/>
    <w:rsid w:val="00D038D4"/>
    <w:rsid w:val="00D03F15"/>
    <w:rsid w:val="00D0428D"/>
    <w:rsid w:val="00D04377"/>
    <w:rsid w:val="00D051F8"/>
    <w:rsid w:val="00D051FB"/>
    <w:rsid w:val="00D0554E"/>
    <w:rsid w:val="00D05B46"/>
    <w:rsid w:val="00D05F02"/>
    <w:rsid w:val="00D07A78"/>
    <w:rsid w:val="00D10A08"/>
    <w:rsid w:val="00D10FC5"/>
    <w:rsid w:val="00D11054"/>
    <w:rsid w:val="00D12841"/>
    <w:rsid w:val="00D13C86"/>
    <w:rsid w:val="00D143A5"/>
    <w:rsid w:val="00D14B04"/>
    <w:rsid w:val="00D14BB8"/>
    <w:rsid w:val="00D15325"/>
    <w:rsid w:val="00D15830"/>
    <w:rsid w:val="00D159B8"/>
    <w:rsid w:val="00D20F99"/>
    <w:rsid w:val="00D21268"/>
    <w:rsid w:val="00D212AD"/>
    <w:rsid w:val="00D2201A"/>
    <w:rsid w:val="00D22493"/>
    <w:rsid w:val="00D237EB"/>
    <w:rsid w:val="00D23F5B"/>
    <w:rsid w:val="00D244B3"/>
    <w:rsid w:val="00D2510F"/>
    <w:rsid w:val="00D2559E"/>
    <w:rsid w:val="00D25799"/>
    <w:rsid w:val="00D25AE1"/>
    <w:rsid w:val="00D25EC4"/>
    <w:rsid w:val="00D26316"/>
    <w:rsid w:val="00D26870"/>
    <w:rsid w:val="00D26873"/>
    <w:rsid w:val="00D26C05"/>
    <w:rsid w:val="00D26C79"/>
    <w:rsid w:val="00D26F66"/>
    <w:rsid w:val="00D2742C"/>
    <w:rsid w:val="00D301D5"/>
    <w:rsid w:val="00D30380"/>
    <w:rsid w:val="00D3147B"/>
    <w:rsid w:val="00D318D1"/>
    <w:rsid w:val="00D328C0"/>
    <w:rsid w:val="00D32B67"/>
    <w:rsid w:val="00D33399"/>
    <w:rsid w:val="00D3423C"/>
    <w:rsid w:val="00D352D8"/>
    <w:rsid w:val="00D354D9"/>
    <w:rsid w:val="00D36A77"/>
    <w:rsid w:val="00D36B21"/>
    <w:rsid w:val="00D36D0A"/>
    <w:rsid w:val="00D370A7"/>
    <w:rsid w:val="00D3719D"/>
    <w:rsid w:val="00D3741F"/>
    <w:rsid w:val="00D37A3F"/>
    <w:rsid w:val="00D402BE"/>
    <w:rsid w:val="00D4040C"/>
    <w:rsid w:val="00D40F03"/>
    <w:rsid w:val="00D41049"/>
    <w:rsid w:val="00D41292"/>
    <w:rsid w:val="00D41BFB"/>
    <w:rsid w:val="00D42457"/>
    <w:rsid w:val="00D42606"/>
    <w:rsid w:val="00D427BB"/>
    <w:rsid w:val="00D42A55"/>
    <w:rsid w:val="00D438F7"/>
    <w:rsid w:val="00D4438C"/>
    <w:rsid w:val="00D447FC"/>
    <w:rsid w:val="00D46336"/>
    <w:rsid w:val="00D463DE"/>
    <w:rsid w:val="00D46825"/>
    <w:rsid w:val="00D46CDF"/>
    <w:rsid w:val="00D473A9"/>
    <w:rsid w:val="00D506B1"/>
    <w:rsid w:val="00D508F3"/>
    <w:rsid w:val="00D50CD9"/>
    <w:rsid w:val="00D50D78"/>
    <w:rsid w:val="00D51031"/>
    <w:rsid w:val="00D5145E"/>
    <w:rsid w:val="00D51A5A"/>
    <w:rsid w:val="00D51B0F"/>
    <w:rsid w:val="00D5240A"/>
    <w:rsid w:val="00D5242E"/>
    <w:rsid w:val="00D53B32"/>
    <w:rsid w:val="00D53E9C"/>
    <w:rsid w:val="00D543F9"/>
    <w:rsid w:val="00D549E6"/>
    <w:rsid w:val="00D55C13"/>
    <w:rsid w:val="00D5735B"/>
    <w:rsid w:val="00D57BF5"/>
    <w:rsid w:val="00D61016"/>
    <w:rsid w:val="00D61137"/>
    <w:rsid w:val="00D619FB"/>
    <w:rsid w:val="00D61C36"/>
    <w:rsid w:val="00D62E26"/>
    <w:rsid w:val="00D62E40"/>
    <w:rsid w:val="00D62E87"/>
    <w:rsid w:val="00D63666"/>
    <w:rsid w:val="00D63A67"/>
    <w:rsid w:val="00D63BA7"/>
    <w:rsid w:val="00D63D5F"/>
    <w:rsid w:val="00D63ED3"/>
    <w:rsid w:val="00D656E2"/>
    <w:rsid w:val="00D6621E"/>
    <w:rsid w:val="00D66C93"/>
    <w:rsid w:val="00D66DAD"/>
    <w:rsid w:val="00D670DB"/>
    <w:rsid w:val="00D70143"/>
    <w:rsid w:val="00D71478"/>
    <w:rsid w:val="00D71A01"/>
    <w:rsid w:val="00D736D0"/>
    <w:rsid w:val="00D7372B"/>
    <w:rsid w:val="00D73B10"/>
    <w:rsid w:val="00D73C10"/>
    <w:rsid w:val="00D7482A"/>
    <w:rsid w:val="00D74A3F"/>
    <w:rsid w:val="00D752EF"/>
    <w:rsid w:val="00D75ADB"/>
    <w:rsid w:val="00D7601F"/>
    <w:rsid w:val="00D76F1B"/>
    <w:rsid w:val="00D77AAD"/>
    <w:rsid w:val="00D77F2F"/>
    <w:rsid w:val="00D80760"/>
    <w:rsid w:val="00D80DB9"/>
    <w:rsid w:val="00D82269"/>
    <w:rsid w:val="00D82293"/>
    <w:rsid w:val="00D8229D"/>
    <w:rsid w:val="00D8293F"/>
    <w:rsid w:val="00D83352"/>
    <w:rsid w:val="00D83611"/>
    <w:rsid w:val="00D83A28"/>
    <w:rsid w:val="00D84AF5"/>
    <w:rsid w:val="00D86117"/>
    <w:rsid w:val="00D8631E"/>
    <w:rsid w:val="00D86B79"/>
    <w:rsid w:val="00D872F4"/>
    <w:rsid w:val="00D87D23"/>
    <w:rsid w:val="00D90237"/>
    <w:rsid w:val="00D90D47"/>
    <w:rsid w:val="00D91261"/>
    <w:rsid w:val="00D91E79"/>
    <w:rsid w:val="00D94341"/>
    <w:rsid w:val="00D95F0A"/>
    <w:rsid w:val="00D95F3A"/>
    <w:rsid w:val="00D96239"/>
    <w:rsid w:val="00D96898"/>
    <w:rsid w:val="00D97721"/>
    <w:rsid w:val="00D97DAF"/>
    <w:rsid w:val="00DA0368"/>
    <w:rsid w:val="00DA0598"/>
    <w:rsid w:val="00DA102A"/>
    <w:rsid w:val="00DA1148"/>
    <w:rsid w:val="00DA1591"/>
    <w:rsid w:val="00DA165D"/>
    <w:rsid w:val="00DA17E4"/>
    <w:rsid w:val="00DA1F57"/>
    <w:rsid w:val="00DA2028"/>
    <w:rsid w:val="00DA2D47"/>
    <w:rsid w:val="00DA33CC"/>
    <w:rsid w:val="00DA41F8"/>
    <w:rsid w:val="00DA4942"/>
    <w:rsid w:val="00DA4C3E"/>
    <w:rsid w:val="00DA52A5"/>
    <w:rsid w:val="00DA54B0"/>
    <w:rsid w:val="00DA5634"/>
    <w:rsid w:val="00DA57DF"/>
    <w:rsid w:val="00DA59CB"/>
    <w:rsid w:val="00DA5A77"/>
    <w:rsid w:val="00DA67BB"/>
    <w:rsid w:val="00DA693F"/>
    <w:rsid w:val="00DA7869"/>
    <w:rsid w:val="00DA792E"/>
    <w:rsid w:val="00DA7DFF"/>
    <w:rsid w:val="00DB030E"/>
    <w:rsid w:val="00DB05D8"/>
    <w:rsid w:val="00DB07A3"/>
    <w:rsid w:val="00DB1569"/>
    <w:rsid w:val="00DB19E1"/>
    <w:rsid w:val="00DB1E39"/>
    <w:rsid w:val="00DB2E40"/>
    <w:rsid w:val="00DB3E5B"/>
    <w:rsid w:val="00DB3FE5"/>
    <w:rsid w:val="00DB440A"/>
    <w:rsid w:val="00DB466C"/>
    <w:rsid w:val="00DB7E34"/>
    <w:rsid w:val="00DC138B"/>
    <w:rsid w:val="00DC17DE"/>
    <w:rsid w:val="00DC2060"/>
    <w:rsid w:val="00DC234C"/>
    <w:rsid w:val="00DC279A"/>
    <w:rsid w:val="00DC322D"/>
    <w:rsid w:val="00DC3285"/>
    <w:rsid w:val="00DC4278"/>
    <w:rsid w:val="00DC4DD0"/>
    <w:rsid w:val="00DC515C"/>
    <w:rsid w:val="00DC54A8"/>
    <w:rsid w:val="00DC54BD"/>
    <w:rsid w:val="00DC54EB"/>
    <w:rsid w:val="00DC6399"/>
    <w:rsid w:val="00DC6A19"/>
    <w:rsid w:val="00DC6E0C"/>
    <w:rsid w:val="00DC7043"/>
    <w:rsid w:val="00DC70DE"/>
    <w:rsid w:val="00DC76A1"/>
    <w:rsid w:val="00DC7ADC"/>
    <w:rsid w:val="00DC7D0A"/>
    <w:rsid w:val="00DC7EE0"/>
    <w:rsid w:val="00DD0285"/>
    <w:rsid w:val="00DD0514"/>
    <w:rsid w:val="00DD08F6"/>
    <w:rsid w:val="00DD098B"/>
    <w:rsid w:val="00DD0B24"/>
    <w:rsid w:val="00DD1925"/>
    <w:rsid w:val="00DD1A41"/>
    <w:rsid w:val="00DD2F94"/>
    <w:rsid w:val="00DD3931"/>
    <w:rsid w:val="00DD3CFF"/>
    <w:rsid w:val="00DD3F71"/>
    <w:rsid w:val="00DD552C"/>
    <w:rsid w:val="00DD56D7"/>
    <w:rsid w:val="00DD653C"/>
    <w:rsid w:val="00DD665E"/>
    <w:rsid w:val="00DD696D"/>
    <w:rsid w:val="00DD6E47"/>
    <w:rsid w:val="00DD7268"/>
    <w:rsid w:val="00DD759E"/>
    <w:rsid w:val="00DD75C0"/>
    <w:rsid w:val="00DD7F22"/>
    <w:rsid w:val="00DD7FE7"/>
    <w:rsid w:val="00DE0217"/>
    <w:rsid w:val="00DE0757"/>
    <w:rsid w:val="00DE0BE2"/>
    <w:rsid w:val="00DE0D47"/>
    <w:rsid w:val="00DE10BF"/>
    <w:rsid w:val="00DE2368"/>
    <w:rsid w:val="00DE26AA"/>
    <w:rsid w:val="00DE46D9"/>
    <w:rsid w:val="00DE51BB"/>
    <w:rsid w:val="00DE55FF"/>
    <w:rsid w:val="00DE5B9F"/>
    <w:rsid w:val="00DE5F45"/>
    <w:rsid w:val="00DE6A86"/>
    <w:rsid w:val="00DE6DDA"/>
    <w:rsid w:val="00DE7B0A"/>
    <w:rsid w:val="00DF0891"/>
    <w:rsid w:val="00DF0B7A"/>
    <w:rsid w:val="00DF2990"/>
    <w:rsid w:val="00DF2CDD"/>
    <w:rsid w:val="00DF335B"/>
    <w:rsid w:val="00DF3D65"/>
    <w:rsid w:val="00DF45E4"/>
    <w:rsid w:val="00DF505E"/>
    <w:rsid w:val="00DF51F6"/>
    <w:rsid w:val="00DF5376"/>
    <w:rsid w:val="00DF5898"/>
    <w:rsid w:val="00DF5C5F"/>
    <w:rsid w:val="00DF5E35"/>
    <w:rsid w:val="00DF5F6B"/>
    <w:rsid w:val="00DF6533"/>
    <w:rsid w:val="00DF73D4"/>
    <w:rsid w:val="00DF740C"/>
    <w:rsid w:val="00DF74E2"/>
    <w:rsid w:val="00DF7799"/>
    <w:rsid w:val="00DF79B5"/>
    <w:rsid w:val="00DF7C3D"/>
    <w:rsid w:val="00E013CE"/>
    <w:rsid w:val="00E01546"/>
    <w:rsid w:val="00E01578"/>
    <w:rsid w:val="00E01DA5"/>
    <w:rsid w:val="00E02293"/>
    <w:rsid w:val="00E02552"/>
    <w:rsid w:val="00E03206"/>
    <w:rsid w:val="00E033A2"/>
    <w:rsid w:val="00E03B15"/>
    <w:rsid w:val="00E03E0F"/>
    <w:rsid w:val="00E05379"/>
    <w:rsid w:val="00E06690"/>
    <w:rsid w:val="00E06735"/>
    <w:rsid w:val="00E06894"/>
    <w:rsid w:val="00E068FE"/>
    <w:rsid w:val="00E06E7A"/>
    <w:rsid w:val="00E073CB"/>
    <w:rsid w:val="00E07879"/>
    <w:rsid w:val="00E105B1"/>
    <w:rsid w:val="00E10758"/>
    <w:rsid w:val="00E10F81"/>
    <w:rsid w:val="00E118D2"/>
    <w:rsid w:val="00E1192F"/>
    <w:rsid w:val="00E1273A"/>
    <w:rsid w:val="00E127B2"/>
    <w:rsid w:val="00E12D49"/>
    <w:rsid w:val="00E12DB6"/>
    <w:rsid w:val="00E12DDA"/>
    <w:rsid w:val="00E137FC"/>
    <w:rsid w:val="00E13980"/>
    <w:rsid w:val="00E1519B"/>
    <w:rsid w:val="00E15F4C"/>
    <w:rsid w:val="00E16CE9"/>
    <w:rsid w:val="00E1726D"/>
    <w:rsid w:val="00E1770A"/>
    <w:rsid w:val="00E17E9F"/>
    <w:rsid w:val="00E17FF6"/>
    <w:rsid w:val="00E2032C"/>
    <w:rsid w:val="00E20A23"/>
    <w:rsid w:val="00E21C92"/>
    <w:rsid w:val="00E2244B"/>
    <w:rsid w:val="00E22AA8"/>
    <w:rsid w:val="00E22EAD"/>
    <w:rsid w:val="00E23E94"/>
    <w:rsid w:val="00E24143"/>
    <w:rsid w:val="00E248A4"/>
    <w:rsid w:val="00E24E7C"/>
    <w:rsid w:val="00E2508B"/>
    <w:rsid w:val="00E25767"/>
    <w:rsid w:val="00E25D69"/>
    <w:rsid w:val="00E275CF"/>
    <w:rsid w:val="00E27609"/>
    <w:rsid w:val="00E277D9"/>
    <w:rsid w:val="00E30A2D"/>
    <w:rsid w:val="00E30E6C"/>
    <w:rsid w:val="00E30EEA"/>
    <w:rsid w:val="00E30F18"/>
    <w:rsid w:val="00E31812"/>
    <w:rsid w:val="00E3267B"/>
    <w:rsid w:val="00E32AFF"/>
    <w:rsid w:val="00E33B65"/>
    <w:rsid w:val="00E33BCB"/>
    <w:rsid w:val="00E3471F"/>
    <w:rsid w:val="00E354F5"/>
    <w:rsid w:val="00E3684E"/>
    <w:rsid w:val="00E36B2B"/>
    <w:rsid w:val="00E404E3"/>
    <w:rsid w:val="00E41ECE"/>
    <w:rsid w:val="00E42042"/>
    <w:rsid w:val="00E42808"/>
    <w:rsid w:val="00E43160"/>
    <w:rsid w:val="00E43300"/>
    <w:rsid w:val="00E4442D"/>
    <w:rsid w:val="00E445FD"/>
    <w:rsid w:val="00E44989"/>
    <w:rsid w:val="00E44ECD"/>
    <w:rsid w:val="00E45024"/>
    <w:rsid w:val="00E453AD"/>
    <w:rsid w:val="00E45DBD"/>
    <w:rsid w:val="00E47FD2"/>
    <w:rsid w:val="00E50AC4"/>
    <w:rsid w:val="00E50E1F"/>
    <w:rsid w:val="00E51076"/>
    <w:rsid w:val="00E51437"/>
    <w:rsid w:val="00E515CF"/>
    <w:rsid w:val="00E51BF3"/>
    <w:rsid w:val="00E51EE2"/>
    <w:rsid w:val="00E5298F"/>
    <w:rsid w:val="00E52A59"/>
    <w:rsid w:val="00E56307"/>
    <w:rsid w:val="00E563B9"/>
    <w:rsid w:val="00E56952"/>
    <w:rsid w:val="00E56A43"/>
    <w:rsid w:val="00E57034"/>
    <w:rsid w:val="00E57248"/>
    <w:rsid w:val="00E60C03"/>
    <w:rsid w:val="00E61B73"/>
    <w:rsid w:val="00E61D16"/>
    <w:rsid w:val="00E6228B"/>
    <w:rsid w:val="00E626E6"/>
    <w:rsid w:val="00E62A27"/>
    <w:rsid w:val="00E62C3E"/>
    <w:rsid w:val="00E62E26"/>
    <w:rsid w:val="00E6486C"/>
    <w:rsid w:val="00E64B5B"/>
    <w:rsid w:val="00E65109"/>
    <w:rsid w:val="00E6510A"/>
    <w:rsid w:val="00E65B3C"/>
    <w:rsid w:val="00E6651B"/>
    <w:rsid w:val="00E66622"/>
    <w:rsid w:val="00E66A52"/>
    <w:rsid w:val="00E671DF"/>
    <w:rsid w:val="00E67248"/>
    <w:rsid w:val="00E67283"/>
    <w:rsid w:val="00E67A72"/>
    <w:rsid w:val="00E67DFD"/>
    <w:rsid w:val="00E7008F"/>
    <w:rsid w:val="00E70250"/>
    <w:rsid w:val="00E71355"/>
    <w:rsid w:val="00E71B50"/>
    <w:rsid w:val="00E71B9C"/>
    <w:rsid w:val="00E71F8A"/>
    <w:rsid w:val="00E72617"/>
    <w:rsid w:val="00E72AAB"/>
    <w:rsid w:val="00E72BC6"/>
    <w:rsid w:val="00E734BD"/>
    <w:rsid w:val="00E73C45"/>
    <w:rsid w:val="00E73E27"/>
    <w:rsid w:val="00E74367"/>
    <w:rsid w:val="00E7446F"/>
    <w:rsid w:val="00E75A4D"/>
    <w:rsid w:val="00E760BA"/>
    <w:rsid w:val="00E76155"/>
    <w:rsid w:val="00E763CD"/>
    <w:rsid w:val="00E76927"/>
    <w:rsid w:val="00E76E0C"/>
    <w:rsid w:val="00E770F2"/>
    <w:rsid w:val="00E800F2"/>
    <w:rsid w:val="00E801C0"/>
    <w:rsid w:val="00E803A0"/>
    <w:rsid w:val="00E8096E"/>
    <w:rsid w:val="00E81EAF"/>
    <w:rsid w:val="00E8282A"/>
    <w:rsid w:val="00E84943"/>
    <w:rsid w:val="00E84B9D"/>
    <w:rsid w:val="00E85CDF"/>
    <w:rsid w:val="00E8625A"/>
    <w:rsid w:val="00E863F9"/>
    <w:rsid w:val="00E8673E"/>
    <w:rsid w:val="00E874E6"/>
    <w:rsid w:val="00E87EA7"/>
    <w:rsid w:val="00E90510"/>
    <w:rsid w:val="00E90642"/>
    <w:rsid w:val="00E90A32"/>
    <w:rsid w:val="00E90B72"/>
    <w:rsid w:val="00E914E2"/>
    <w:rsid w:val="00E9150F"/>
    <w:rsid w:val="00E917DA"/>
    <w:rsid w:val="00E91AEE"/>
    <w:rsid w:val="00E9344C"/>
    <w:rsid w:val="00E93DA0"/>
    <w:rsid w:val="00E9420A"/>
    <w:rsid w:val="00E9421C"/>
    <w:rsid w:val="00E95559"/>
    <w:rsid w:val="00E96D48"/>
    <w:rsid w:val="00E972E0"/>
    <w:rsid w:val="00E97727"/>
    <w:rsid w:val="00E97F36"/>
    <w:rsid w:val="00EA0DE4"/>
    <w:rsid w:val="00EA10B7"/>
    <w:rsid w:val="00EA1726"/>
    <w:rsid w:val="00EA1728"/>
    <w:rsid w:val="00EA2B8E"/>
    <w:rsid w:val="00EA444C"/>
    <w:rsid w:val="00EA4599"/>
    <w:rsid w:val="00EA562E"/>
    <w:rsid w:val="00EA5956"/>
    <w:rsid w:val="00EA5AAA"/>
    <w:rsid w:val="00EA6237"/>
    <w:rsid w:val="00EB0E03"/>
    <w:rsid w:val="00EB12AA"/>
    <w:rsid w:val="00EB1F0E"/>
    <w:rsid w:val="00EB212C"/>
    <w:rsid w:val="00EB21BA"/>
    <w:rsid w:val="00EB274E"/>
    <w:rsid w:val="00EB29F8"/>
    <w:rsid w:val="00EB302F"/>
    <w:rsid w:val="00EB3DA0"/>
    <w:rsid w:val="00EB3F8E"/>
    <w:rsid w:val="00EB4748"/>
    <w:rsid w:val="00EB4A3E"/>
    <w:rsid w:val="00EB4D20"/>
    <w:rsid w:val="00EB5AFC"/>
    <w:rsid w:val="00EB618A"/>
    <w:rsid w:val="00EB690C"/>
    <w:rsid w:val="00EB6A08"/>
    <w:rsid w:val="00EB6C6B"/>
    <w:rsid w:val="00EB6D6D"/>
    <w:rsid w:val="00EB7912"/>
    <w:rsid w:val="00EB7CC5"/>
    <w:rsid w:val="00EB7D35"/>
    <w:rsid w:val="00EC0AFE"/>
    <w:rsid w:val="00EC0FB0"/>
    <w:rsid w:val="00EC2531"/>
    <w:rsid w:val="00EC2841"/>
    <w:rsid w:val="00EC2AEE"/>
    <w:rsid w:val="00EC313E"/>
    <w:rsid w:val="00EC33DC"/>
    <w:rsid w:val="00EC380E"/>
    <w:rsid w:val="00EC3FDF"/>
    <w:rsid w:val="00EC44AA"/>
    <w:rsid w:val="00EC6090"/>
    <w:rsid w:val="00EC690B"/>
    <w:rsid w:val="00EC6A54"/>
    <w:rsid w:val="00EC6EF4"/>
    <w:rsid w:val="00EC792B"/>
    <w:rsid w:val="00EC7B1C"/>
    <w:rsid w:val="00ED006B"/>
    <w:rsid w:val="00ED073C"/>
    <w:rsid w:val="00ED0BF1"/>
    <w:rsid w:val="00ED0C98"/>
    <w:rsid w:val="00ED0F6D"/>
    <w:rsid w:val="00ED1CEF"/>
    <w:rsid w:val="00ED247D"/>
    <w:rsid w:val="00ED2785"/>
    <w:rsid w:val="00ED4709"/>
    <w:rsid w:val="00ED49EE"/>
    <w:rsid w:val="00ED50AF"/>
    <w:rsid w:val="00ED56E6"/>
    <w:rsid w:val="00ED570A"/>
    <w:rsid w:val="00ED677A"/>
    <w:rsid w:val="00ED6C8C"/>
    <w:rsid w:val="00ED6F5C"/>
    <w:rsid w:val="00ED7BF4"/>
    <w:rsid w:val="00ED7F46"/>
    <w:rsid w:val="00EE01CF"/>
    <w:rsid w:val="00EE048F"/>
    <w:rsid w:val="00EE0AFA"/>
    <w:rsid w:val="00EE1317"/>
    <w:rsid w:val="00EE193B"/>
    <w:rsid w:val="00EE193C"/>
    <w:rsid w:val="00EE1E38"/>
    <w:rsid w:val="00EE2141"/>
    <w:rsid w:val="00EE2F0D"/>
    <w:rsid w:val="00EE2FDE"/>
    <w:rsid w:val="00EE3765"/>
    <w:rsid w:val="00EE4A72"/>
    <w:rsid w:val="00EE4DAA"/>
    <w:rsid w:val="00EE5FB2"/>
    <w:rsid w:val="00EE655E"/>
    <w:rsid w:val="00EE65E5"/>
    <w:rsid w:val="00EE70B9"/>
    <w:rsid w:val="00EF07E0"/>
    <w:rsid w:val="00EF08B7"/>
    <w:rsid w:val="00EF0CAA"/>
    <w:rsid w:val="00EF15A5"/>
    <w:rsid w:val="00EF188A"/>
    <w:rsid w:val="00EF19D6"/>
    <w:rsid w:val="00EF248B"/>
    <w:rsid w:val="00EF35E6"/>
    <w:rsid w:val="00EF37DA"/>
    <w:rsid w:val="00EF3B7D"/>
    <w:rsid w:val="00EF3CDC"/>
    <w:rsid w:val="00EF52C3"/>
    <w:rsid w:val="00EF5B6C"/>
    <w:rsid w:val="00EF5F7E"/>
    <w:rsid w:val="00EF6B12"/>
    <w:rsid w:val="00EF731D"/>
    <w:rsid w:val="00EF7548"/>
    <w:rsid w:val="00EF7D1D"/>
    <w:rsid w:val="00EF7D20"/>
    <w:rsid w:val="00F0036A"/>
    <w:rsid w:val="00F00877"/>
    <w:rsid w:val="00F01624"/>
    <w:rsid w:val="00F01E3D"/>
    <w:rsid w:val="00F021A0"/>
    <w:rsid w:val="00F02313"/>
    <w:rsid w:val="00F03271"/>
    <w:rsid w:val="00F034A9"/>
    <w:rsid w:val="00F0356E"/>
    <w:rsid w:val="00F039DF"/>
    <w:rsid w:val="00F042C2"/>
    <w:rsid w:val="00F04563"/>
    <w:rsid w:val="00F04609"/>
    <w:rsid w:val="00F04D1B"/>
    <w:rsid w:val="00F04F32"/>
    <w:rsid w:val="00F05C3A"/>
    <w:rsid w:val="00F0614D"/>
    <w:rsid w:val="00F064DB"/>
    <w:rsid w:val="00F066A6"/>
    <w:rsid w:val="00F0726B"/>
    <w:rsid w:val="00F100ED"/>
    <w:rsid w:val="00F10731"/>
    <w:rsid w:val="00F11BF8"/>
    <w:rsid w:val="00F11CF9"/>
    <w:rsid w:val="00F12301"/>
    <w:rsid w:val="00F1233C"/>
    <w:rsid w:val="00F12723"/>
    <w:rsid w:val="00F12733"/>
    <w:rsid w:val="00F1534B"/>
    <w:rsid w:val="00F15866"/>
    <w:rsid w:val="00F16089"/>
    <w:rsid w:val="00F16196"/>
    <w:rsid w:val="00F16394"/>
    <w:rsid w:val="00F16C0F"/>
    <w:rsid w:val="00F17100"/>
    <w:rsid w:val="00F1715A"/>
    <w:rsid w:val="00F21158"/>
    <w:rsid w:val="00F2144B"/>
    <w:rsid w:val="00F21561"/>
    <w:rsid w:val="00F21709"/>
    <w:rsid w:val="00F218EB"/>
    <w:rsid w:val="00F22224"/>
    <w:rsid w:val="00F225AB"/>
    <w:rsid w:val="00F22841"/>
    <w:rsid w:val="00F2324A"/>
    <w:rsid w:val="00F2453B"/>
    <w:rsid w:val="00F250D4"/>
    <w:rsid w:val="00F2531C"/>
    <w:rsid w:val="00F256D3"/>
    <w:rsid w:val="00F25BBE"/>
    <w:rsid w:val="00F25DD5"/>
    <w:rsid w:val="00F25DF1"/>
    <w:rsid w:val="00F26827"/>
    <w:rsid w:val="00F26F43"/>
    <w:rsid w:val="00F27134"/>
    <w:rsid w:val="00F27425"/>
    <w:rsid w:val="00F27CFE"/>
    <w:rsid w:val="00F3004E"/>
    <w:rsid w:val="00F300DF"/>
    <w:rsid w:val="00F304D3"/>
    <w:rsid w:val="00F306FD"/>
    <w:rsid w:val="00F30E81"/>
    <w:rsid w:val="00F3123A"/>
    <w:rsid w:val="00F31435"/>
    <w:rsid w:val="00F31976"/>
    <w:rsid w:val="00F320E9"/>
    <w:rsid w:val="00F335DE"/>
    <w:rsid w:val="00F33CB8"/>
    <w:rsid w:val="00F34120"/>
    <w:rsid w:val="00F35433"/>
    <w:rsid w:val="00F35B01"/>
    <w:rsid w:val="00F37143"/>
    <w:rsid w:val="00F37216"/>
    <w:rsid w:val="00F37358"/>
    <w:rsid w:val="00F401D7"/>
    <w:rsid w:val="00F40BD3"/>
    <w:rsid w:val="00F40E77"/>
    <w:rsid w:val="00F41085"/>
    <w:rsid w:val="00F41345"/>
    <w:rsid w:val="00F415E6"/>
    <w:rsid w:val="00F415E7"/>
    <w:rsid w:val="00F41F28"/>
    <w:rsid w:val="00F426CE"/>
    <w:rsid w:val="00F4349F"/>
    <w:rsid w:val="00F43532"/>
    <w:rsid w:val="00F43964"/>
    <w:rsid w:val="00F43BDA"/>
    <w:rsid w:val="00F43C91"/>
    <w:rsid w:val="00F44218"/>
    <w:rsid w:val="00F44900"/>
    <w:rsid w:val="00F44CDB"/>
    <w:rsid w:val="00F45857"/>
    <w:rsid w:val="00F4650D"/>
    <w:rsid w:val="00F465BB"/>
    <w:rsid w:val="00F46FCC"/>
    <w:rsid w:val="00F470D8"/>
    <w:rsid w:val="00F47125"/>
    <w:rsid w:val="00F47330"/>
    <w:rsid w:val="00F479DC"/>
    <w:rsid w:val="00F47EFE"/>
    <w:rsid w:val="00F503EA"/>
    <w:rsid w:val="00F506A7"/>
    <w:rsid w:val="00F50759"/>
    <w:rsid w:val="00F511F4"/>
    <w:rsid w:val="00F51291"/>
    <w:rsid w:val="00F51FB0"/>
    <w:rsid w:val="00F51FB2"/>
    <w:rsid w:val="00F52288"/>
    <w:rsid w:val="00F534D7"/>
    <w:rsid w:val="00F53CA8"/>
    <w:rsid w:val="00F53EFD"/>
    <w:rsid w:val="00F544D9"/>
    <w:rsid w:val="00F54508"/>
    <w:rsid w:val="00F56327"/>
    <w:rsid w:val="00F5763B"/>
    <w:rsid w:val="00F57789"/>
    <w:rsid w:val="00F57D13"/>
    <w:rsid w:val="00F61423"/>
    <w:rsid w:val="00F618DA"/>
    <w:rsid w:val="00F61B39"/>
    <w:rsid w:val="00F61E4B"/>
    <w:rsid w:val="00F61ED4"/>
    <w:rsid w:val="00F61F21"/>
    <w:rsid w:val="00F623A5"/>
    <w:rsid w:val="00F62932"/>
    <w:rsid w:val="00F63062"/>
    <w:rsid w:val="00F64180"/>
    <w:rsid w:val="00F6435B"/>
    <w:rsid w:val="00F64692"/>
    <w:rsid w:val="00F65178"/>
    <w:rsid w:val="00F66349"/>
    <w:rsid w:val="00F6645A"/>
    <w:rsid w:val="00F6653C"/>
    <w:rsid w:val="00F667F5"/>
    <w:rsid w:val="00F66B17"/>
    <w:rsid w:val="00F66DCA"/>
    <w:rsid w:val="00F67014"/>
    <w:rsid w:val="00F713D1"/>
    <w:rsid w:val="00F71DFA"/>
    <w:rsid w:val="00F72C82"/>
    <w:rsid w:val="00F73081"/>
    <w:rsid w:val="00F74475"/>
    <w:rsid w:val="00F7557D"/>
    <w:rsid w:val="00F75DE8"/>
    <w:rsid w:val="00F75E31"/>
    <w:rsid w:val="00F76111"/>
    <w:rsid w:val="00F771FA"/>
    <w:rsid w:val="00F7770B"/>
    <w:rsid w:val="00F77D17"/>
    <w:rsid w:val="00F77F20"/>
    <w:rsid w:val="00F80070"/>
    <w:rsid w:val="00F804B7"/>
    <w:rsid w:val="00F806C7"/>
    <w:rsid w:val="00F8180C"/>
    <w:rsid w:val="00F821D1"/>
    <w:rsid w:val="00F825AE"/>
    <w:rsid w:val="00F82ADF"/>
    <w:rsid w:val="00F83041"/>
    <w:rsid w:val="00F832FB"/>
    <w:rsid w:val="00F84221"/>
    <w:rsid w:val="00F84AE5"/>
    <w:rsid w:val="00F84F3D"/>
    <w:rsid w:val="00F85408"/>
    <w:rsid w:val="00F85534"/>
    <w:rsid w:val="00F85B09"/>
    <w:rsid w:val="00F8615C"/>
    <w:rsid w:val="00F8626A"/>
    <w:rsid w:val="00F86D0A"/>
    <w:rsid w:val="00F86ED3"/>
    <w:rsid w:val="00F87BD9"/>
    <w:rsid w:val="00F87F67"/>
    <w:rsid w:val="00F905F2"/>
    <w:rsid w:val="00F9077B"/>
    <w:rsid w:val="00F90B97"/>
    <w:rsid w:val="00F910C5"/>
    <w:rsid w:val="00F9174E"/>
    <w:rsid w:val="00F9246D"/>
    <w:rsid w:val="00F92AFC"/>
    <w:rsid w:val="00F92CAF"/>
    <w:rsid w:val="00F9368A"/>
    <w:rsid w:val="00F94AD8"/>
    <w:rsid w:val="00F95989"/>
    <w:rsid w:val="00F95BF8"/>
    <w:rsid w:val="00F95CAE"/>
    <w:rsid w:val="00F95E3A"/>
    <w:rsid w:val="00F96108"/>
    <w:rsid w:val="00F964E3"/>
    <w:rsid w:val="00F9769A"/>
    <w:rsid w:val="00FA0238"/>
    <w:rsid w:val="00FA13CA"/>
    <w:rsid w:val="00FA153B"/>
    <w:rsid w:val="00FA1E95"/>
    <w:rsid w:val="00FA356E"/>
    <w:rsid w:val="00FA3621"/>
    <w:rsid w:val="00FA3BBE"/>
    <w:rsid w:val="00FA4398"/>
    <w:rsid w:val="00FA52BF"/>
    <w:rsid w:val="00FA5641"/>
    <w:rsid w:val="00FA5D55"/>
    <w:rsid w:val="00FA6B02"/>
    <w:rsid w:val="00FA7179"/>
    <w:rsid w:val="00FA73A6"/>
    <w:rsid w:val="00FB012E"/>
    <w:rsid w:val="00FB105D"/>
    <w:rsid w:val="00FB1D14"/>
    <w:rsid w:val="00FB2798"/>
    <w:rsid w:val="00FB2CD2"/>
    <w:rsid w:val="00FB37CC"/>
    <w:rsid w:val="00FB3815"/>
    <w:rsid w:val="00FB39BF"/>
    <w:rsid w:val="00FB45C8"/>
    <w:rsid w:val="00FB46B3"/>
    <w:rsid w:val="00FB46EB"/>
    <w:rsid w:val="00FB47CD"/>
    <w:rsid w:val="00FB4F9F"/>
    <w:rsid w:val="00FB587A"/>
    <w:rsid w:val="00FB592B"/>
    <w:rsid w:val="00FB5D5A"/>
    <w:rsid w:val="00FB5E0B"/>
    <w:rsid w:val="00FB63F6"/>
    <w:rsid w:val="00FB6637"/>
    <w:rsid w:val="00FC05CF"/>
    <w:rsid w:val="00FC17B8"/>
    <w:rsid w:val="00FC1E39"/>
    <w:rsid w:val="00FC2432"/>
    <w:rsid w:val="00FC2552"/>
    <w:rsid w:val="00FC32AD"/>
    <w:rsid w:val="00FC4052"/>
    <w:rsid w:val="00FC41A1"/>
    <w:rsid w:val="00FC4AC8"/>
    <w:rsid w:val="00FC629B"/>
    <w:rsid w:val="00FC772D"/>
    <w:rsid w:val="00FC7791"/>
    <w:rsid w:val="00FC7CBA"/>
    <w:rsid w:val="00FC7F0A"/>
    <w:rsid w:val="00FD0192"/>
    <w:rsid w:val="00FD0485"/>
    <w:rsid w:val="00FD075B"/>
    <w:rsid w:val="00FD11B6"/>
    <w:rsid w:val="00FD1F7E"/>
    <w:rsid w:val="00FD2FBD"/>
    <w:rsid w:val="00FD2FDB"/>
    <w:rsid w:val="00FD3507"/>
    <w:rsid w:val="00FD4445"/>
    <w:rsid w:val="00FD4702"/>
    <w:rsid w:val="00FD4A7E"/>
    <w:rsid w:val="00FD669B"/>
    <w:rsid w:val="00FD6AB2"/>
    <w:rsid w:val="00FD726D"/>
    <w:rsid w:val="00FD7971"/>
    <w:rsid w:val="00FE05D4"/>
    <w:rsid w:val="00FE0992"/>
    <w:rsid w:val="00FE1105"/>
    <w:rsid w:val="00FE188A"/>
    <w:rsid w:val="00FE1DAF"/>
    <w:rsid w:val="00FE255C"/>
    <w:rsid w:val="00FE328B"/>
    <w:rsid w:val="00FE346D"/>
    <w:rsid w:val="00FE3786"/>
    <w:rsid w:val="00FE3893"/>
    <w:rsid w:val="00FE3A02"/>
    <w:rsid w:val="00FE3D3C"/>
    <w:rsid w:val="00FE5289"/>
    <w:rsid w:val="00FE5865"/>
    <w:rsid w:val="00FE5D37"/>
    <w:rsid w:val="00FE7AD3"/>
    <w:rsid w:val="00FE7B56"/>
    <w:rsid w:val="00FF0CEC"/>
    <w:rsid w:val="00FF1B5B"/>
    <w:rsid w:val="00FF23EA"/>
    <w:rsid w:val="00FF296C"/>
    <w:rsid w:val="00FF31AA"/>
    <w:rsid w:val="00FF35CD"/>
    <w:rsid w:val="00FF35E5"/>
    <w:rsid w:val="00FF3C8B"/>
    <w:rsid w:val="00FF4684"/>
    <w:rsid w:val="00FF4AC5"/>
    <w:rsid w:val="00FF4B74"/>
    <w:rsid w:val="00FF4CA8"/>
    <w:rsid w:val="00FF4F7E"/>
    <w:rsid w:val="00FF50E5"/>
    <w:rsid w:val="00FF512C"/>
    <w:rsid w:val="00FF51D2"/>
    <w:rsid w:val="00FF5A57"/>
    <w:rsid w:val="00FF5E40"/>
    <w:rsid w:val="00FF746E"/>
    <w:rsid w:val="00FF75EC"/>
    <w:rsid w:val="00FF7C0F"/>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08EA94A8"/>
  <w15:docId w15:val="{4C95A669-2821-4B42-BDF9-F3DB3B89A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235C"/>
    <w:pPr>
      <w:spacing w:line="360" w:lineRule="auto"/>
    </w:pPr>
  </w:style>
  <w:style w:type="paragraph" w:styleId="Heading1">
    <w:name w:val="heading 1"/>
    <w:basedOn w:val="Normal"/>
    <w:next w:val="Normal"/>
    <w:link w:val="Heading1Char"/>
    <w:uiPriority w:val="9"/>
    <w:qFormat/>
    <w:rsid w:val="009433B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35BBA"/>
    <w:pPr>
      <w:spacing w:before="200" w:after="0" w:line="271" w:lineRule="auto"/>
      <w:outlineLvl w:val="1"/>
    </w:pPr>
    <w:rPr>
      <w:rFonts w:asciiTheme="majorHAnsi" w:eastAsiaTheme="majorEastAsia" w:hAnsiTheme="majorHAnsi" w:cstheme="majorBidi"/>
      <w:smallCap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35BBA"/>
    <w:rPr>
      <w:rFonts w:asciiTheme="majorHAnsi" w:eastAsiaTheme="majorEastAsia" w:hAnsiTheme="majorHAnsi" w:cstheme="majorBidi"/>
      <w:smallCaps/>
      <w:sz w:val="28"/>
      <w:szCs w:val="28"/>
      <w:lang w:val="en-GB"/>
    </w:rPr>
  </w:style>
  <w:style w:type="table" w:styleId="TableGrid">
    <w:name w:val="Table Grid"/>
    <w:basedOn w:val="TableNormal"/>
    <w:uiPriority w:val="39"/>
    <w:rsid w:val="002445D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25EFE"/>
    <w:rPr>
      <w:color w:val="0000FF" w:themeColor="hyperlink"/>
      <w:u w:val="single"/>
    </w:rPr>
  </w:style>
  <w:style w:type="character" w:styleId="CommentReference">
    <w:name w:val="annotation reference"/>
    <w:basedOn w:val="DefaultParagraphFont"/>
    <w:uiPriority w:val="99"/>
    <w:semiHidden/>
    <w:unhideWhenUsed/>
    <w:rsid w:val="00C002C4"/>
    <w:rPr>
      <w:sz w:val="16"/>
      <w:szCs w:val="16"/>
    </w:rPr>
  </w:style>
  <w:style w:type="paragraph" w:styleId="CommentText">
    <w:name w:val="annotation text"/>
    <w:basedOn w:val="Normal"/>
    <w:link w:val="CommentTextChar2"/>
    <w:uiPriority w:val="99"/>
    <w:unhideWhenUsed/>
    <w:rsid w:val="00C002C4"/>
    <w:pPr>
      <w:spacing w:line="240" w:lineRule="auto"/>
    </w:pPr>
    <w:rPr>
      <w:sz w:val="20"/>
      <w:szCs w:val="20"/>
    </w:rPr>
  </w:style>
  <w:style w:type="character" w:customStyle="1" w:styleId="CommentTextChar2">
    <w:name w:val="Comment Text Char2"/>
    <w:basedOn w:val="DefaultParagraphFont"/>
    <w:link w:val="CommentText"/>
    <w:uiPriority w:val="99"/>
    <w:rsid w:val="00C002C4"/>
    <w:rPr>
      <w:sz w:val="20"/>
      <w:szCs w:val="20"/>
    </w:rPr>
  </w:style>
  <w:style w:type="paragraph" w:styleId="CommentSubject">
    <w:name w:val="annotation subject"/>
    <w:basedOn w:val="CommentText"/>
    <w:next w:val="CommentText"/>
    <w:link w:val="CommentSubjectChar"/>
    <w:uiPriority w:val="99"/>
    <w:semiHidden/>
    <w:unhideWhenUsed/>
    <w:rsid w:val="00C002C4"/>
    <w:rPr>
      <w:b/>
      <w:bCs/>
    </w:rPr>
  </w:style>
  <w:style w:type="character" w:customStyle="1" w:styleId="CommentSubjectChar">
    <w:name w:val="Comment Subject Char"/>
    <w:basedOn w:val="CommentTextChar2"/>
    <w:link w:val="CommentSubject"/>
    <w:uiPriority w:val="99"/>
    <w:semiHidden/>
    <w:rsid w:val="00C002C4"/>
    <w:rPr>
      <w:b/>
      <w:bCs/>
      <w:sz w:val="20"/>
      <w:szCs w:val="20"/>
    </w:rPr>
  </w:style>
  <w:style w:type="paragraph" w:styleId="BalloonText">
    <w:name w:val="Balloon Text"/>
    <w:basedOn w:val="Normal"/>
    <w:link w:val="BalloonTextChar"/>
    <w:uiPriority w:val="99"/>
    <w:semiHidden/>
    <w:unhideWhenUsed/>
    <w:rsid w:val="00C002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02C4"/>
    <w:rPr>
      <w:rFonts w:ascii="Tahoma" w:hAnsi="Tahoma" w:cs="Tahoma"/>
      <w:sz w:val="16"/>
      <w:szCs w:val="16"/>
    </w:rPr>
  </w:style>
  <w:style w:type="character" w:customStyle="1" w:styleId="Heading1Char">
    <w:name w:val="Heading 1 Char"/>
    <w:basedOn w:val="DefaultParagraphFont"/>
    <w:link w:val="Heading1"/>
    <w:uiPriority w:val="9"/>
    <w:rsid w:val="009433BB"/>
    <w:rPr>
      <w:rFonts w:asciiTheme="majorHAnsi" w:eastAsiaTheme="majorEastAsia" w:hAnsiTheme="majorHAnsi" w:cstheme="majorBidi"/>
      <w:b/>
      <w:bCs/>
      <w:color w:val="365F91" w:themeColor="accent1" w:themeShade="BF"/>
      <w:sz w:val="28"/>
      <w:szCs w:val="28"/>
    </w:rPr>
  </w:style>
  <w:style w:type="paragraph" w:styleId="NoSpacing">
    <w:name w:val="No Spacing"/>
    <w:link w:val="NoSpacingChar"/>
    <w:uiPriority w:val="1"/>
    <w:qFormat/>
    <w:rsid w:val="0049397B"/>
    <w:pPr>
      <w:spacing w:after="0" w:line="240" w:lineRule="auto"/>
    </w:pPr>
  </w:style>
  <w:style w:type="paragraph" w:styleId="HTMLPreformatted">
    <w:name w:val="HTML Preformatted"/>
    <w:basedOn w:val="Normal"/>
    <w:link w:val="HTMLPreformattedChar"/>
    <w:uiPriority w:val="99"/>
    <w:unhideWhenUsed/>
    <w:rsid w:val="004B79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fr-FR"/>
    </w:rPr>
  </w:style>
  <w:style w:type="character" w:customStyle="1" w:styleId="HTMLPreformattedChar">
    <w:name w:val="HTML Preformatted Char"/>
    <w:basedOn w:val="DefaultParagraphFont"/>
    <w:link w:val="HTMLPreformatted"/>
    <w:uiPriority w:val="99"/>
    <w:rsid w:val="004B798B"/>
    <w:rPr>
      <w:rFonts w:ascii="Courier New" w:eastAsia="Times New Roman" w:hAnsi="Courier New" w:cs="Courier New"/>
      <w:sz w:val="20"/>
      <w:szCs w:val="20"/>
      <w:lang w:eastAsia="fr-FR"/>
    </w:rPr>
  </w:style>
  <w:style w:type="character" w:customStyle="1" w:styleId="current-selection">
    <w:name w:val="current-selection"/>
    <w:basedOn w:val="DefaultParagraphFont"/>
    <w:rsid w:val="00783C45"/>
  </w:style>
  <w:style w:type="character" w:customStyle="1" w:styleId="a">
    <w:name w:val="_"/>
    <w:basedOn w:val="DefaultParagraphFont"/>
    <w:rsid w:val="00783C45"/>
  </w:style>
  <w:style w:type="paragraph" w:styleId="HTMLAddress">
    <w:name w:val="HTML Address"/>
    <w:basedOn w:val="Normal"/>
    <w:link w:val="HTMLAddressChar"/>
    <w:uiPriority w:val="99"/>
    <w:semiHidden/>
    <w:unhideWhenUsed/>
    <w:rsid w:val="00783C45"/>
    <w:pPr>
      <w:spacing w:after="0" w:line="240" w:lineRule="auto"/>
    </w:pPr>
    <w:rPr>
      <w:rFonts w:ascii="Times New Roman" w:eastAsia="Times New Roman" w:hAnsi="Times New Roman" w:cs="Times New Roman"/>
      <w:i/>
      <w:iCs/>
      <w:sz w:val="24"/>
      <w:szCs w:val="24"/>
      <w:lang w:eastAsia="fr-FR"/>
    </w:rPr>
  </w:style>
  <w:style w:type="character" w:customStyle="1" w:styleId="HTMLAddressChar">
    <w:name w:val="HTML Address Char"/>
    <w:basedOn w:val="DefaultParagraphFont"/>
    <w:link w:val="HTMLAddress"/>
    <w:uiPriority w:val="99"/>
    <w:semiHidden/>
    <w:rsid w:val="00783C45"/>
    <w:rPr>
      <w:rFonts w:ascii="Times New Roman" w:eastAsia="Times New Roman" w:hAnsi="Times New Roman" w:cs="Times New Roman"/>
      <w:i/>
      <w:iCs/>
      <w:sz w:val="24"/>
      <w:szCs w:val="24"/>
      <w:lang w:eastAsia="fr-FR"/>
    </w:rPr>
  </w:style>
  <w:style w:type="character" w:customStyle="1" w:styleId="institution">
    <w:name w:val="institution"/>
    <w:basedOn w:val="DefaultParagraphFont"/>
    <w:rsid w:val="00783C45"/>
  </w:style>
  <w:style w:type="character" w:customStyle="1" w:styleId="addr-line">
    <w:name w:val="addr-line"/>
    <w:basedOn w:val="DefaultParagraphFont"/>
    <w:rsid w:val="00783C45"/>
  </w:style>
  <w:style w:type="paragraph" w:styleId="Header">
    <w:name w:val="header"/>
    <w:basedOn w:val="Normal"/>
    <w:link w:val="HeaderChar"/>
    <w:uiPriority w:val="99"/>
    <w:unhideWhenUsed/>
    <w:rsid w:val="005E0357"/>
    <w:pPr>
      <w:tabs>
        <w:tab w:val="center" w:pos="4536"/>
        <w:tab w:val="right" w:pos="9072"/>
      </w:tabs>
      <w:spacing w:after="0" w:line="240" w:lineRule="auto"/>
    </w:pPr>
  </w:style>
  <w:style w:type="character" w:customStyle="1" w:styleId="HeaderChar">
    <w:name w:val="Header Char"/>
    <w:basedOn w:val="DefaultParagraphFont"/>
    <w:link w:val="Header"/>
    <w:uiPriority w:val="99"/>
    <w:rsid w:val="005E0357"/>
  </w:style>
  <w:style w:type="paragraph" w:styleId="Footer">
    <w:name w:val="footer"/>
    <w:basedOn w:val="Normal"/>
    <w:link w:val="FooterChar"/>
    <w:uiPriority w:val="99"/>
    <w:unhideWhenUsed/>
    <w:rsid w:val="005E0357"/>
    <w:pPr>
      <w:tabs>
        <w:tab w:val="center" w:pos="4536"/>
        <w:tab w:val="right" w:pos="9072"/>
      </w:tabs>
      <w:spacing w:after="0" w:line="240" w:lineRule="auto"/>
    </w:pPr>
  </w:style>
  <w:style w:type="character" w:customStyle="1" w:styleId="FooterChar">
    <w:name w:val="Footer Char"/>
    <w:basedOn w:val="DefaultParagraphFont"/>
    <w:link w:val="Footer"/>
    <w:uiPriority w:val="99"/>
    <w:rsid w:val="005E0357"/>
  </w:style>
  <w:style w:type="paragraph" w:styleId="ListParagraph">
    <w:name w:val="List Paragraph"/>
    <w:basedOn w:val="Normal"/>
    <w:uiPriority w:val="34"/>
    <w:qFormat/>
    <w:rsid w:val="00D37A3F"/>
    <w:pPr>
      <w:ind w:left="720"/>
      <w:contextualSpacing/>
    </w:pPr>
  </w:style>
  <w:style w:type="character" w:customStyle="1" w:styleId="stix">
    <w:name w:val="stix"/>
    <w:basedOn w:val="DefaultParagraphFont"/>
    <w:rsid w:val="00A85284"/>
  </w:style>
  <w:style w:type="character" w:customStyle="1" w:styleId="highlight">
    <w:name w:val="highlight"/>
    <w:basedOn w:val="DefaultParagraphFont"/>
    <w:rsid w:val="00B3152C"/>
  </w:style>
  <w:style w:type="character" w:styleId="PlaceholderText">
    <w:name w:val="Placeholder Text"/>
    <w:basedOn w:val="DefaultParagraphFont"/>
    <w:uiPriority w:val="99"/>
    <w:semiHidden/>
    <w:rsid w:val="00D26870"/>
    <w:rPr>
      <w:color w:val="808080"/>
    </w:rPr>
  </w:style>
  <w:style w:type="paragraph" w:styleId="PlainText">
    <w:name w:val="Plain Text"/>
    <w:basedOn w:val="Normal"/>
    <w:link w:val="PlainTextChar"/>
    <w:uiPriority w:val="99"/>
    <w:semiHidden/>
    <w:unhideWhenUsed/>
    <w:rsid w:val="00E9555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E95559"/>
    <w:rPr>
      <w:rFonts w:ascii="Consolas" w:hAnsi="Consolas"/>
      <w:sz w:val="21"/>
      <w:szCs w:val="21"/>
    </w:rPr>
  </w:style>
  <w:style w:type="paragraph" w:customStyle="1" w:styleId="Default">
    <w:name w:val="Default"/>
    <w:rsid w:val="0096621F"/>
    <w:pPr>
      <w:autoSpaceDE w:val="0"/>
      <w:autoSpaceDN w:val="0"/>
      <w:adjustRightInd w:val="0"/>
      <w:spacing w:after="0" w:line="240" w:lineRule="auto"/>
    </w:pPr>
    <w:rPr>
      <w:rFonts w:ascii="Arial" w:hAnsi="Arial" w:cs="Arial"/>
      <w:color w:val="000000"/>
      <w:sz w:val="24"/>
      <w:szCs w:val="24"/>
    </w:rPr>
  </w:style>
  <w:style w:type="paragraph" w:styleId="Caption">
    <w:name w:val="caption"/>
    <w:basedOn w:val="Normal"/>
    <w:next w:val="Normal"/>
    <w:uiPriority w:val="35"/>
    <w:unhideWhenUsed/>
    <w:qFormat/>
    <w:rsid w:val="007C0CF4"/>
    <w:pPr>
      <w:widowControl w:val="0"/>
      <w:autoSpaceDE w:val="0"/>
      <w:autoSpaceDN w:val="0"/>
      <w:adjustRightInd w:val="0"/>
      <w:spacing w:after="120"/>
      <w:ind w:left="640" w:hanging="640"/>
    </w:pPr>
    <w:rPr>
      <w:b/>
      <w:color w:val="000000"/>
      <w:shd w:val="clear" w:color="auto" w:fill="FFFFFF"/>
      <w:lang w:val="en-US"/>
    </w:rPr>
  </w:style>
  <w:style w:type="character" w:styleId="Emphasis">
    <w:name w:val="Emphasis"/>
    <w:basedOn w:val="DefaultParagraphFont"/>
    <w:uiPriority w:val="20"/>
    <w:qFormat/>
    <w:rsid w:val="008263DD"/>
    <w:rPr>
      <w:i/>
      <w:iCs/>
    </w:rPr>
  </w:style>
  <w:style w:type="table" w:customStyle="1" w:styleId="TableGridLight1">
    <w:name w:val="Table Grid Light1"/>
    <w:basedOn w:val="TableNormal"/>
    <w:uiPriority w:val="40"/>
    <w:rsid w:val="00AA5F0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gnkrckgcgsb">
    <w:name w:val="gnkrckgcgsb"/>
    <w:basedOn w:val="DefaultParagraphFont"/>
    <w:rsid w:val="00A41A1B"/>
  </w:style>
  <w:style w:type="paragraph" w:styleId="Revision">
    <w:name w:val="Revision"/>
    <w:hidden/>
    <w:uiPriority w:val="99"/>
    <w:semiHidden/>
    <w:rsid w:val="00635D9B"/>
    <w:pPr>
      <w:spacing w:after="0" w:line="240" w:lineRule="auto"/>
    </w:pPr>
  </w:style>
  <w:style w:type="paragraph" w:customStyle="1" w:styleId="EndNoteBibliography">
    <w:name w:val="EndNote Bibliography"/>
    <w:basedOn w:val="Normal"/>
    <w:rsid w:val="008311F6"/>
    <w:pPr>
      <w:spacing w:after="0" w:line="240" w:lineRule="auto"/>
    </w:pPr>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887D6B"/>
    <w:rPr>
      <w:color w:val="605E5C"/>
      <w:shd w:val="clear" w:color="auto" w:fill="E1DFDD"/>
    </w:rPr>
  </w:style>
  <w:style w:type="character" w:styleId="FollowedHyperlink">
    <w:name w:val="FollowedHyperlink"/>
    <w:basedOn w:val="DefaultParagraphFont"/>
    <w:uiPriority w:val="99"/>
    <w:semiHidden/>
    <w:unhideWhenUsed/>
    <w:rsid w:val="00303959"/>
    <w:rPr>
      <w:color w:val="800080" w:themeColor="followedHyperlink"/>
      <w:u w:val="single"/>
    </w:rPr>
  </w:style>
  <w:style w:type="character" w:customStyle="1" w:styleId="CommentTextChar">
    <w:name w:val="Comment Text Char"/>
    <w:basedOn w:val="DefaultParagraphFont"/>
    <w:uiPriority w:val="99"/>
    <w:rsid w:val="00EF19D6"/>
    <w:rPr>
      <w:sz w:val="20"/>
      <w:szCs w:val="20"/>
    </w:rPr>
  </w:style>
  <w:style w:type="character" w:customStyle="1" w:styleId="CommentTextChar1">
    <w:name w:val="Comment Text Char1"/>
    <w:basedOn w:val="DefaultParagraphFont"/>
    <w:uiPriority w:val="99"/>
    <w:rsid w:val="005D1F1D"/>
    <w:rPr>
      <w:sz w:val="20"/>
      <w:szCs w:val="20"/>
    </w:rPr>
  </w:style>
  <w:style w:type="character" w:customStyle="1" w:styleId="NoSpacingChar">
    <w:name w:val="No Spacing Char"/>
    <w:basedOn w:val="DefaultParagraphFont"/>
    <w:link w:val="NoSpacing"/>
    <w:uiPriority w:val="1"/>
    <w:locked/>
    <w:rsid w:val="00A13BBF"/>
  </w:style>
  <w:style w:type="character" w:styleId="LineNumber">
    <w:name w:val="line number"/>
    <w:basedOn w:val="DefaultParagraphFont"/>
    <w:uiPriority w:val="99"/>
    <w:semiHidden/>
    <w:unhideWhenUsed/>
    <w:rsid w:val="00A86A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82835">
      <w:bodyDiv w:val="1"/>
      <w:marLeft w:val="0"/>
      <w:marRight w:val="0"/>
      <w:marTop w:val="0"/>
      <w:marBottom w:val="0"/>
      <w:divBdr>
        <w:top w:val="none" w:sz="0" w:space="0" w:color="auto"/>
        <w:left w:val="none" w:sz="0" w:space="0" w:color="auto"/>
        <w:bottom w:val="none" w:sz="0" w:space="0" w:color="auto"/>
        <w:right w:val="none" w:sz="0" w:space="0" w:color="auto"/>
      </w:divBdr>
      <w:divsChild>
        <w:div w:id="1610507745">
          <w:marLeft w:val="274"/>
          <w:marRight w:val="0"/>
          <w:marTop w:val="150"/>
          <w:marBottom w:val="0"/>
          <w:divBdr>
            <w:top w:val="none" w:sz="0" w:space="0" w:color="auto"/>
            <w:left w:val="none" w:sz="0" w:space="0" w:color="auto"/>
            <w:bottom w:val="none" w:sz="0" w:space="0" w:color="auto"/>
            <w:right w:val="none" w:sz="0" w:space="0" w:color="auto"/>
          </w:divBdr>
        </w:div>
      </w:divsChild>
    </w:div>
    <w:div w:id="45303537">
      <w:bodyDiv w:val="1"/>
      <w:marLeft w:val="0"/>
      <w:marRight w:val="0"/>
      <w:marTop w:val="0"/>
      <w:marBottom w:val="0"/>
      <w:divBdr>
        <w:top w:val="none" w:sz="0" w:space="0" w:color="auto"/>
        <w:left w:val="none" w:sz="0" w:space="0" w:color="auto"/>
        <w:bottom w:val="none" w:sz="0" w:space="0" w:color="auto"/>
        <w:right w:val="none" w:sz="0" w:space="0" w:color="auto"/>
      </w:divBdr>
    </w:div>
    <w:div w:id="82802721">
      <w:bodyDiv w:val="1"/>
      <w:marLeft w:val="0"/>
      <w:marRight w:val="0"/>
      <w:marTop w:val="0"/>
      <w:marBottom w:val="0"/>
      <w:divBdr>
        <w:top w:val="none" w:sz="0" w:space="0" w:color="auto"/>
        <w:left w:val="none" w:sz="0" w:space="0" w:color="auto"/>
        <w:bottom w:val="none" w:sz="0" w:space="0" w:color="auto"/>
        <w:right w:val="none" w:sz="0" w:space="0" w:color="auto"/>
      </w:divBdr>
    </w:div>
    <w:div w:id="98767099">
      <w:bodyDiv w:val="1"/>
      <w:marLeft w:val="0"/>
      <w:marRight w:val="0"/>
      <w:marTop w:val="0"/>
      <w:marBottom w:val="0"/>
      <w:divBdr>
        <w:top w:val="none" w:sz="0" w:space="0" w:color="auto"/>
        <w:left w:val="none" w:sz="0" w:space="0" w:color="auto"/>
        <w:bottom w:val="none" w:sz="0" w:space="0" w:color="auto"/>
        <w:right w:val="none" w:sz="0" w:space="0" w:color="auto"/>
      </w:divBdr>
      <w:divsChild>
        <w:div w:id="784812311">
          <w:marLeft w:val="0"/>
          <w:marRight w:val="0"/>
          <w:marTop w:val="0"/>
          <w:marBottom w:val="0"/>
          <w:divBdr>
            <w:top w:val="none" w:sz="0" w:space="0" w:color="auto"/>
            <w:left w:val="none" w:sz="0" w:space="0" w:color="auto"/>
            <w:bottom w:val="none" w:sz="0" w:space="0" w:color="auto"/>
            <w:right w:val="none" w:sz="0" w:space="0" w:color="auto"/>
          </w:divBdr>
        </w:div>
      </w:divsChild>
    </w:div>
    <w:div w:id="182062144">
      <w:bodyDiv w:val="1"/>
      <w:marLeft w:val="0"/>
      <w:marRight w:val="0"/>
      <w:marTop w:val="0"/>
      <w:marBottom w:val="0"/>
      <w:divBdr>
        <w:top w:val="none" w:sz="0" w:space="0" w:color="auto"/>
        <w:left w:val="none" w:sz="0" w:space="0" w:color="auto"/>
        <w:bottom w:val="none" w:sz="0" w:space="0" w:color="auto"/>
        <w:right w:val="none" w:sz="0" w:space="0" w:color="auto"/>
      </w:divBdr>
    </w:div>
    <w:div w:id="311565611">
      <w:bodyDiv w:val="1"/>
      <w:marLeft w:val="0"/>
      <w:marRight w:val="0"/>
      <w:marTop w:val="0"/>
      <w:marBottom w:val="0"/>
      <w:divBdr>
        <w:top w:val="none" w:sz="0" w:space="0" w:color="auto"/>
        <w:left w:val="none" w:sz="0" w:space="0" w:color="auto"/>
        <w:bottom w:val="none" w:sz="0" w:space="0" w:color="auto"/>
        <w:right w:val="none" w:sz="0" w:space="0" w:color="auto"/>
      </w:divBdr>
      <w:divsChild>
        <w:div w:id="454524342">
          <w:marLeft w:val="274"/>
          <w:marRight w:val="0"/>
          <w:marTop w:val="150"/>
          <w:marBottom w:val="0"/>
          <w:divBdr>
            <w:top w:val="none" w:sz="0" w:space="0" w:color="auto"/>
            <w:left w:val="none" w:sz="0" w:space="0" w:color="auto"/>
            <w:bottom w:val="none" w:sz="0" w:space="0" w:color="auto"/>
            <w:right w:val="none" w:sz="0" w:space="0" w:color="auto"/>
          </w:divBdr>
        </w:div>
        <w:div w:id="922110238">
          <w:marLeft w:val="533"/>
          <w:marRight w:val="0"/>
          <w:marTop w:val="75"/>
          <w:marBottom w:val="0"/>
          <w:divBdr>
            <w:top w:val="none" w:sz="0" w:space="0" w:color="auto"/>
            <w:left w:val="none" w:sz="0" w:space="0" w:color="auto"/>
            <w:bottom w:val="none" w:sz="0" w:space="0" w:color="auto"/>
            <w:right w:val="none" w:sz="0" w:space="0" w:color="auto"/>
          </w:divBdr>
        </w:div>
        <w:div w:id="971524082">
          <w:marLeft w:val="274"/>
          <w:marRight w:val="0"/>
          <w:marTop w:val="150"/>
          <w:marBottom w:val="0"/>
          <w:divBdr>
            <w:top w:val="none" w:sz="0" w:space="0" w:color="auto"/>
            <w:left w:val="none" w:sz="0" w:space="0" w:color="auto"/>
            <w:bottom w:val="none" w:sz="0" w:space="0" w:color="auto"/>
            <w:right w:val="none" w:sz="0" w:space="0" w:color="auto"/>
          </w:divBdr>
        </w:div>
        <w:div w:id="1154645937">
          <w:marLeft w:val="274"/>
          <w:marRight w:val="0"/>
          <w:marTop w:val="150"/>
          <w:marBottom w:val="0"/>
          <w:divBdr>
            <w:top w:val="none" w:sz="0" w:space="0" w:color="auto"/>
            <w:left w:val="none" w:sz="0" w:space="0" w:color="auto"/>
            <w:bottom w:val="none" w:sz="0" w:space="0" w:color="auto"/>
            <w:right w:val="none" w:sz="0" w:space="0" w:color="auto"/>
          </w:divBdr>
        </w:div>
        <w:div w:id="1753156828">
          <w:marLeft w:val="533"/>
          <w:marRight w:val="0"/>
          <w:marTop w:val="75"/>
          <w:marBottom w:val="0"/>
          <w:divBdr>
            <w:top w:val="none" w:sz="0" w:space="0" w:color="auto"/>
            <w:left w:val="none" w:sz="0" w:space="0" w:color="auto"/>
            <w:bottom w:val="none" w:sz="0" w:space="0" w:color="auto"/>
            <w:right w:val="none" w:sz="0" w:space="0" w:color="auto"/>
          </w:divBdr>
        </w:div>
        <w:div w:id="1944145441">
          <w:marLeft w:val="274"/>
          <w:marRight w:val="0"/>
          <w:marTop w:val="150"/>
          <w:marBottom w:val="0"/>
          <w:divBdr>
            <w:top w:val="none" w:sz="0" w:space="0" w:color="auto"/>
            <w:left w:val="none" w:sz="0" w:space="0" w:color="auto"/>
            <w:bottom w:val="none" w:sz="0" w:space="0" w:color="auto"/>
            <w:right w:val="none" w:sz="0" w:space="0" w:color="auto"/>
          </w:divBdr>
        </w:div>
      </w:divsChild>
    </w:div>
    <w:div w:id="361320379">
      <w:bodyDiv w:val="1"/>
      <w:marLeft w:val="0"/>
      <w:marRight w:val="0"/>
      <w:marTop w:val="0"/>
      <w:marBottom w:val="0"/>
      <w:divBdr>
        <w:top w:val="none" w:sz="0" w:space="0" w:color="auto"/>
        <w:left w:val="none" w:sz="0" w:space="0" w:color="auto"/>
        <w:bottom w:val="none" w:sz="0" w:space="0" w:color="auto"/>
        <w:right w:val="none" w:sz="0" w:space="0" w:color="auto"/>
      </w:divBdr>
    </w:div>
    <w:div w:id="522524409">
      <w:bodyDiv w:val="1"/>
      <w:marLeft w:val="0"/>
      <w:marRight w:val="0"/>
      <w:marTop w:val="0"/>
      <w:marBottom w:val="0"/>
      <w:divBdr>
        <w:top w:val="none" w:sz="0" w:space="0" w:color="auto"/>
        <w:left w:val="none" w:sz="0" w:space="0" w:color="auto"/>
        <w:bottom w:val="none" w:sz="0" w:space="0" w:color="auto"/>
        <w:right w:val="none" w:sz="0" w:space="0" w:color="auto"/>
      </w:divBdr>
    </w:div>
    <w:div w:id="556016641">
      <w:bodyDiv w:val="1"/>
      <w:marLeft w:val="0"/>
      <w:marRight w:val="0"/>
      <w:marTop w:val="0"/>
      <w:marBottom w:val="0"/>
      <w:divBdr>
        <w:top w:val="none" w:sz="0" w:space="0" w:color="auto"/>
        <w:left w:val="none" w:sz="0" w:space="0" w:color="auto"/>
        <w:bottom w:val="none" w:sz="0" w:space="0" w:color="auto"/>
        <w:right w:val="none" w:sz="0" w:space="0" w:color="auto"/>
      </w:divBdr>
    </w:div>
    <w:div w:id="576331003">
      <w:bodyDiv w:val="1"/>
      <w:marLeft w:val="0"/>
      <w:marRight w:val="0"/>
      <w:marTop w:val="0"/>
      <w:marBottom w:val="0"/>
      <w:divBdr>
        <w:top w:val="none" w:sz="0" w:space="0" w:color="auto"/>
        <w:left w:val="none" w:sz="0" w:space="0" w:color="auto"/>
        <w:bottom w:val="none" w:sz="0" w:space="0" w:color="auto"/>
        <w:right w:val="none" w:sz="0" w:space="0" w:color="auto"/>
      </w:divBdr>
    </w:div>
    <w:div w:id="650209475">
      <w:bodyDiv w:val="1"/>
      <w:marLeft w:val="0"/>
      <w:marRight w:val="0"/>
      <w:marTop w:val="0"/>
      <w:marBottom w:val="0"/>
      <w:divBdr>
        <w:top w:val="none" w:sz="0" w:space="0" w:color="auto"/>
        <w:left w:val="none" w:sz="0" w:space="0" w:color="auto"/>
        <w:bottom w:val="none" w:sz="0" w:space="0" w:color="auto"/>
        <w:right w:val="none" w:sz="0" w:space="0" w:color="auto"/>
      </w:divBdr>
    </w:div>
    <w:div w:id="783306793">
      <w:bodyDiv w:val="1"/>
      <w:marLeft w:val="0"/>
      <w:marRight w:val="0"/>
      <w:marTop w:val="0"/>
      <w:marBottom w:val="0"/>
      <w:divBdr>
        <w:top w:val="none" w:sz="0" w:space="0" w:color="auto"/>
        <w:left w:val="none" w:sz="0" w:space="0" w:color="auto"/>
        <w:bottom w:val="none" w:sz="0" w:space="0" w:color="auto"/>
        <w:right w:val="none" w:sz="0" w:space="0" w:color="auto"/>
      </w:divBdr>
    </w:div>
    <w:div w:id="835539592">
      <w:bodyDiv w:val="1"/>
      <w:marLeft w:val="0"/>
      <w:marRight w:val="0"/>
      <w:marTop w:val="0"/>
      <w:marBottom w:val="0"/>
      <w:divBdr>
        <w:top w:val="none" w:sz="0" w:space="0" w:color="auto"/>
        <w:left w:val="none" w:sz="0" w:space="0" w:color="auto"/>
        <w:bottom w:val="none" w:sz="0" w:space="0" w:color="auto"/>
        <w:right w:val="none" w:sz="0" w:space="0" w:color="auto"/>
      </w:divBdr>
    </w:div>
    <w:div w:id="880481914">
      <w:bodyDiv w:val="1"/>
      <w:marLeft w:val="0"/>
      <w:marRight w:val="0"/>
      <w:marTop w:val="0"/>
      <w:marBottom w:val="0"/>
      <w:divBdr>
        <w:top w:val="none" w:sz="0" w:space="0" w:color="auto"/>
        <w:left w:val="none" w:sz="0" w:space="0" w:color="auto"/>
        <w:bottom w:val="none" w:sz="0" w:space="0" w:color="auto"/>
        <w:right w:val="none" w:sz="0" w:space="0" w:color="auto"/>
      </w:divBdr>
    </w:div>
    <w:div w:id="889727092">
      <w:bodyDiv w:val="1"/>
      <w:marLeft w:val="0"/>
      <w:marRight w:val="0"/>
      <w:marTop w:val="0"/>
      <w:marBottom w:val="0"/>
      <w:divBdr>
        <w:top w:val="none" w:sz="0" w:space="0" w:color="auto"/>
        <w:left w:val="none" w:sz="0" w:space="0" w:color="auto"/>
        <w:bottom w:val="none" w:sz="0" w:space="0" w:color="auto"/>
        <w:right w:val="none" w:sz="0" w:space="0" w:color="auto"/>
      </w:divBdr>
    </w:div>
    <w:div w:id="905603807">
      <w:bodyDiv w:val="1"/>
      <w:marLeft w:val="0"/>
      <w:marRight w:val="0"/>
      <w:marTop w:val="0"/>
      <w:marBottom w:val="0"/>
      <w:divBdr>
        <w:top w:val="none" w:sz="0" w:space="0" w:color="auto"/>
        <w:left w:val="none" w:sz="0" w:space="0" w:color="auto"/>
        <w:bottom w:val="none" w:sz="0" w:space="0" w:color="auto"/>
        <w:right w:val="none" w:sz="0" w:space="0" w:color="auto"/>
      </w:divBdr>
    </w:div>
    <w:div w:id="935937992">
      <w:bodyDiv w:val="1"/>
      <w:marLeft w:val="0"/>
      <w:marRight w:val="0"/>
      <w:marTop w:val="0"/>
      <w:marBottom w:val="0"/>
      <w:divBdr>
        <w:top w:val="none" w:sz="0" w:space="0" w:color="auto"/>
        <w:left w:val="none" w:sz="0" w:space="0" w:color="auto"/>
        <w:bottom w:val="none" w:sz="0" w:space="0" w:color="auto"/>
        <w:right w:val="none" w:sz="0" w:space="0" w:color="auto"/>
      </w:divBdr>
    </w:div>
    <w:div w:id="955411084">
      <w:bodyDiv w:val="1"/>
      <w:marLeft w:val="0"/>
      <w:marRight w:val="0"/>
      <w:marTop w:val="0"/>
      <w:marBottom w:val="0"/>
      <w:divBdr>
        <w:top w:val="none" w:sz="0" w:space="0" w:color="auto"/>
        <w:left w:val="none" w:sz="0" w:space="0" w:color="auto"/>
        <w:bottom w:val="none" w:sz="0" w:space="0" w:color="auto"/>
        <w:right w:val="none" w:sz="0" w:space="0" w:color="auto"/>
      </w:divBdr>
    </w:div>
    <w:div w:id="985864186">
      <w:bodyDiv w:val="1"/>
      <w:marLeft w:val="0"/>
      <w:marRight w:val="0"/>
      <w:marTop w:val="0"/>
      <w:marBottom w:val="0"/>
      <w:divBdr>
        <w:top w:val="none" w:sz="0" w:space="0" w:color="auto"/>
        <w:left w:val="none" w:sz="0" w:space="0" w:color="auto"/>
        <w:bottom w:val="none" w:sz="0" w:space="0" w:color="auto"/>
        <w:right w:val="none" w:sz="0" w:space="0" w:color="auto"/>
      </w:divBdr>
    </w:div>
    <w:div w:id="996150576">
      <w:bodyDiv w:val="1"/>
      <w:marLeft w:val="0"/>
      <w:marRight w:val="0"/>
      <w:marTop w:val="0"/>
      <w:marBottom w:val="0"/>
      <w:divBdr>
        <w:top w:val="none" w:sz="0" w:space="0" w:color="auto"/>
        <w:left w:val="none" w:sz="0" w:space="0" w:color="auto"/>
        <w:bottom w:val="none" w:sz="0" w:space="0" w:color="auto"/>
        <w:right w:val="none" w:sz="0" w:space="0" w:color="auto"/>
      </w:divBdr>
    </w:div>
    <w:div w:id="1024359206">
      <w:bodyDiv w:val="1"/>
      <w:marLeft w:val="0"/>
      <w:marRight w:val="0"/>
      <w:marTop w:val="0"/>
      <w:marBottom w:val="0"/>
      <w:divBdr>
        <w:top w:val="none" w:sz="0" w:space="0" w:color="auto"/>
        <w:left w:val="none" w:sz="0" w:space="0" w:color="auto"/>
        <w:bottom w:val="none" w:sz="0" w:space="0" w:color="auto"/>
        <w:right w:val="none" w:sz="0" w:space="0" w:color="auto"/>
      </w:divBdr>
    </w:div>
    <w:div w:id="1045257367">
      <w:bodyDiv w:val="1"/>
      <w:marLeft w:val="0"/>
      <w:marRight w:val="0"/>
      <w:marTop w:val="0"/>
      <w:marBottom w:val="0"/>
      <w:divBdr>
        <w:top w:val="none" w:sz="0" w:space="0" w:color="auto"/>
        <w:left w:val="none" w:sz="0" w:space="0" w:color="auto"/>
        <w:bottom w:val="none" w:sz="0" w:space="0" w:color="auto"/>
        <w:right w:val="none" w:sz="0" w:space="0" w:color="auto"/>
      </w:divBdr>
    </w:div>
    <w:div w:id="1235815462">
      <w:bodyDiv w:val="1"/>
      <w:marLeft w:val="0"/>
      <w:marRight w:val="0"/>
      <w:marTop w:val="0"/>
      <w:marBottom w:val="0"/>
      <w:divBdr>
        <w:top w:val="none" w:sz="0" w:space="0" w:color="auto"/>
        <w:left w:val="none" w:sz="0" w:space="0" w:color="auto"/>
        <w:bottom w:val="none" w:sz="0" w:space="0" w:color="auto"/>
        <w:right w:val="none" w:sz="0" w:space="0" w:color="auto"/>
      </w:divBdr>
    </w:div>
    <w:div w:id="1296376229">
      <w:bodyDiv w:val="1"/>
      <w:marLeft w:val="0"/>
      <w:marRight w:val="0"/>
      <w:marTop w:val="0"/>
      <w:marBottom w:val="0"/>
      <w:divBdr>
        <w:top w:val="none" w:sz="0" w:space="0" w:color="auto"/>
        <w:left w:val="none" w:sz="0" w:space="0" w:color="auto"/>
        <w:bottom w:val="none" w:sz="0" w:space="0" w:color="auto"/>
        <w:right w:val="none" w:sz="0" w:space="0" w:color="auto"/>
      </w:divBdr>
    </w:div>
    <w:div w:id="1297418577">
      <w:bodyDiv w:val="1"/>
      <w:marLeft w:val="0"/>
      <w:marRight w:val="0"/>
      <w:marTop w:val="0"/>
      <w:marBottom w:val="0"/>
      <w:divBdr>
        <w:top w:val="none" w:sz="0" w:space="0" w:color="auto"/>
        <w:left w:val="none" w:sz="0" w:space="0" w:color="auto"/>
        <w:bottom w:val="none" w:sz="0" w:space="0" w:color="auto"/>
        <w:right w:val="none" w:sz="0" w:space="0" w:color="auto"/>
      </w:divBdr>
    </w:div>
    <w:div w:id="1340959468">
      <w:bodyDiv w:val="1"/>
      <w:marLeft w:val="0"/>
      <w:marRight w:val="0"/>
      <w:marTop w:val="0"/>
      <w:marBottom w:val="0"/>
      <w:divBdr>
        <w:top w:val="none" w:sz="0" w:space="0" w:color="auto"/>
        <w:left w:val="none" w:sz="0" w:space="0" w:color="auto"/>
        <w:bottom w:val="none" w:sz="0" w:space="0" w:color="auto"/>
        <w:right w:val="none" w:sz="0" w:space="0" w:color="auto"/>
      </w:divBdr>
    </w:div>
    <w:div w:id="1349719901">
      <w:bodyDiv w:val="1"/>
      <w:marLeft w:val="0"/>
      <w:marRight w:val="0"/>
      <w:marTop w:val="0"/>
      <w:marBottom w:val="0"/>
      <w:divBdr>
        <w:top w:val="none" w:sz="0" w:space="0" w:color="auto"/>
        <w:left w:val="none" w:sz="0" w:space="0" w:color="auto"/>
        <w:bottom w:val="none" w:sz="0" w:space="0" w:color="auto"/>
        <w:right w:val="none" w:sz="0" w:space="0" w:color="auto"/>
      </w:divBdr>
    </w:div>
    <w:div w:id="1432893434">
      <w:bodyDiv w:val="1"/>
      <w:marLeft w:val="0"/>
      <w:marRight w:val="0"/>
      <w:marTop w:val="0"/>
      <w:marBottom w:val="0"/>
      <w:divBdr>
        <w:top w:val="none" w:sz="0" w:space="0" w:color="auto"/>
        <w:left w:val="none" w:sz="0" w:space="0" w:color="auto"/>
        <w:bottom w:val="none" w:sz="0" w:space="0" w:color="auto"/>
        <w:right w:val="none" w:sz="0" w:space="0" w:color="auto"/>
      </w:divBdr>
    </w:div>
    <w:div w:id="1435782322">
      <w:bodyDiv w:val="1"/>
      <w:marLeft w:val="0"/>
      <w:marRight w:val="0"/>
      <w:marTop w:val="0"/>
      <w:marBottom w:val="0"/>
      <w:divBdr>
        <w:top w:val="none" w:sz="0" w:space="0" w:color="auto"/>
        <w:left w:val="none" w:sz="0" w:space="0" w:color="auto"/>
        <w:bottom w:val="none" w:sz="0" w:space="0" w:color="auto"/>
        <w:right w:val="none" w:sz="0" w:space="0" w:color="auto"/>
      </w:divBdr>
    </w:div>
    <w:div w:id="1460224475">
      <w:bodyDiv w:val="1"/>
      <w:marLeft w:val="0"/>
      <w:marRight w:val="0"/>
      <w:marTop w:val="0"/>
      <w:marBottom w:val="0"/>
      <w:divBdr>
        <w:top w:val="none" w:sz="0" w:space="0" w:color="auto"/>
        <w:left w:val="none" w:sz="0" w:space="0" w:color="auto"/>
        <w:bottom w:val="none" w:sz="0" w:space="0" w:color="auto"/>
        <w:right w:val="none" w:sz="0" w:space="0" w:color="auto"/>
      </w:divBdr>
    </w:div>
    <w:div w:id="1515918204">
      <w:bodyDiv w:val="1"/>
      <w:marLeft w:val="0"/>
      <w:marRight w:val="0"/>
      <w:marTop w:val="0"/>
      <w:marBottom w:val="0"/>
      <w:divBdr>
        <w:top w:val="none" w:sz="0" w:space="0" w:color="auto"/>
        <w:left w:val="none" w:sz="0" w:space="0" w:color="auto"/>
        <w:bottom w:val="none" w:sz="0" w:space="0" w:color="auto"/>
        <w:right w:val="none" w:sz="0" w:space="0" w:color="auto"/>
      </w:divBdr>
    </w:div>
    <w:div w:id="1533952902">
      <w:bodyDiv w:val="1"/>
      <w:marLeft w:val="0"/>
      <w:marRight w:val="0"/>
      <w:marTop w:val="0"/>
      <w:marBottom w:val="0"/>
      <w:divBdr>
        <w:top w:val="none" w:sz="0" w:space="0" w:color="auto"/>
        <w:left w:val="none" w:sz="0" w:space="0" w:color="auto"/>
        <w:bottom w:val="none" w:sz="0" w:space="0" w:color="auto"/>
        <w:right w:val="none" w:sz="0" w:space="0" w:color="auto"/>
      </w:divBdr>
    </w:div>
    <w:div w:id="1537934305">
      <w:bodyDiv w:val="1"/>
      <w:marLeft w:val="0"/>
      <w:marRight w:val="0"/>
      <w:marTop w:val="0"/>
      <w:marBottom w:val="0"/>
      <w:divBdr>
        <w:top w:val="none" w:sz="0" w:space="0" w:color="auto"/>
        <w:left w:val="none" w:sz="0" w:space="0" w:color="auto"/>
        <w:bottom w:val="none" w:sz="0" w:space="0" w:color="auto"/>
        <w:right w:val="none" w:sz="0" w:space="0" w:color="auto"/>
      </w:divBdr>
      <w:divsChild>
        <w:div w:id="387530605">
          <w:marLeft w:val="720"/>
          <w:marRight w:val="0"/>
          <w:marTop w:val="0"/>
          <w:marBottom w:val="0"/>
          <w:divBdr>
            <w:top w:val="none" w:sz="0" w:space="0" w:color="auto"/>
            <w:left w:val="none" w:sz="0" w:space="0" w:color="auto"/>
            <w:bottom w:val="none" w:sz="0" w:space="0" w:color="auto"/>
            <w:right w:val="none" w:sz="0" w:space="0" w:color="auto"/>
          </w:divBdr>
        </w:div>
      </w:divsChild>
    </w:div>
    <w:div w:id="1584602736">
      <w:bodyDiv w:val="1"/>
      <w:marLeft w:val="0"/>
      <w:marRight w:val="0"/>
      <w:marTop w:val="0"/>
      <w:marBottom w:val="0"/>
      <w:divBdr>
        <w:top w:val="none" w:sz="0" w:space="0" w:color="auto"/>
        <w:left w:val="none" w:sz="0" w:space="0" w:color="auto"/>
        <w:bottom w:val="none" w:sz="0" w:space="0" w:color="auto"/>
        <w:right w:val="none" w:sz="0" w:space="0" w:color="auto"/>
      </w:divBdr>
    </w:div>
    <w:div w:id="1600681575">
      <w:bodyDiv w:val="1"/>
      <w:marLeft w:val="0"/>
      <w:marRight w:val="0"/>
      <w:marTop w:val="0"/>
      <w:marBottom w:val="0"/>
      <w:divBdr>
        <w:top w:val="none" w:sz="0" w:space="0" w:color="auto"/>
        <w:left w:val="none" w:sz="0" w:space="0" w:color="auto"/>
        <w:bottom w:val="none" w:sz="0" w:space="0" w:color="auto"/>
        <w:right w:val="none" w:sz="0" w:space="0" w:color="auto"/>
      </w:divBdr>
    </w:div>
    <w:div w:id="1639266326">
      <w:bodyDiv w:val="1"/>
      <w:marLeft w:val="0"/>
      <w:marRight w:val="0"/>
      <w:marTop w:val="0"/>
      <w:marBottom w:val="0"/>
      <w:divBdr>
        <w:top w:val="none" w:sz="0" w:space="0" w:color="auto"/>
        <w:left w:val="none" w:sz="0" w:space="0" w:color="auto"/>
        <w:bottom w:val="none" w:sz="0" w:space="0" w:color="auto"/>
        <w:right w:val="none" w:sz="0" w:space="0" w:color="auto"/>
      </w:divBdr>
    </w:div>
    <w:div w:id="1649088223">
      <w:bodyDiv w:val="1"/>
      <w:marLeft w:val="0"/>
      <w:marRight w:val="0"/>
      <w:marTop w:val="0"/>
      <w:marBottom w:val="0"/>
      <w:divBdr>
        <w:top w:val="none" w:sz="0" w:space="0" w:color="auto"/>
        <w:left w:val="none" w:sz="0" w:space="0" w:color="auto"/>
        <w:bottom w:val="none" w:sz="0" w:space="0" w:color="auto"/>
        <w:right w:val="none" w:sz="0" w:space="0" w:color="auto"/>
      </w:divBdr>
    </w:div>
    <w:div w:id="1682126449">
      <w:bodyDiv w:val="1"/>
      <w:marLeft w:val="0"/>
      <w:marRight w:val="0"/>
      <w:marTop w:val="0"/>
      <w:marBottom w:val="0"/>
      <w:divBdr>
        <w:top w:val="none" w:sz="0" w:space="0" w:color="auto"/>
        <w:left w:val="none" w:sz="0" w:space="0" w:color="auto"/>
        <w:bottom w:val="none" w:sz="0" w:space="0" w:color="auto"/>
        <w:right w:val="none" w:sz="0" w:space="0" w:color="auto"/>
      </w:divBdr>
    </w:div>
    <w:div w:id="1776168889">
      <w:bodyDiv w:val="1"/>
      <w:marLeft w:val="0"/>
      <w:marRight w:val="0"/>
      <w:marTop w:val="0"/>
      <w:marBottom w:val="0"/>
      <w:divBdr>
        <w:top w:val="none" w:sz="0" w:space="0" w:color="auto"/>
        <w:left w:val="none" w:sz="0" w:space="0" w:color="auto"/>
        <w:bottom w:val="none" w:sz="0" w:space="0" w:color="auto"/>
        <w:right w:val="none" w:sz="0" w:space="0" w:color="auto"/>
      </w:divBdr>
    </w:div>
    <w:div w:id="1857423253">
      <w:bodyDiv w:val="1"/>
      <w:marLeft w:val="0"/>
      <w:marRight w:val="0"/>
      <w:marTop w:val="0"/>
      <w:marBottom w:val="0"/>
      <w:divBdr>
        <w:top w:val="none" w:sz="0" w:space="0" w:color="auto"/>
        <w:left w:val="none" w:sz="0" w:space="0" w:color="auto"/>
        <w:bottom w:val="none" w:sz="0" w:space="0" w:color="auto"/>
        <w:right w:val="none" w:sz="0" w:space="0" w:color="auto"/>
      </w:divBdr>
    </w:div>
    <w:div w:id="1874295843">
      <w:bodyDiv w:val="1"/>
      <w:marLeft w:val="0"/>
      <w:marRight w:val="0"/>
      <w:marTop w:val="0"/>
      <w:marBottom w:val="0"/>
      <w:divBdr>
        <w:top w:val="none" w:sz="0" w:space="0" w:color="auto"/>
        <w:left w:val="none" w:sz="0" w:space="0" w:color="auto"/>
        <w:bottom w:val="none" w:sz="0" w:space="0" w:color="auto"/>
        <w:right w:val="none" w:sz="0" w:space="0" w:color="auto"/>
      </w:divBdr>
    </w:div>
    <w:div w:id="1964993853">
      <w:bodyDiv w:val="1"/>
      <w:marLeft w:val="0"/>
      <w:marRight w:val="0"/>
      <w:marTop w:val="0"/>
      <w:marBottom w:val="0"/>
      <w:divBdr>
        <w:top w:val="none" w:sz="0" w:space="0" w:color="auto"/>
        <w:left w:val="none" w:sz="0" w:space="0" w:color="auto"/>
        <w:bottom w:val="none" w:sz="0" w:space="0" w:color="auto"/>
        <w:right w:val="none" w:sz="0" w:space="0" w:color="auto"/>
      </w:divBdr>
    </w:div>
    <w:div w:id="1997565496">
      <w:bodyDiv w:val="1"/>
      <w:marLeft w:val="0"/>
      <w:marRight w:val="0"/>
      <w:marTop w:val="0"/>
      <w:marBottom w:val="0"/>
      <w:divBdr>
        <w:top w:val="none" w:sz="0" w:space="0" w:color="auto"/>
        <w:left w:val="none" w:sz="0" w:space="0" w:color="auto"/>
        <w:bottom w:val="none" w:sz="0" w:space="0" w:color="auto"/>
        <w:right w:val="none" w:sz="0" w:space="0" w:color="auto"/>
      </w:divBdr>
    </w:div>
    <w:div w:id="2030062053">
      <w:bodyDiv w:val="1"/>
      <w:marLeft w:val="0"/>
      <w:marRight w:val="0"/>
      <w:marTop w:val="0"/>
      <w:marBottom w:val="0"/>
      <w:divBdr>
        <w:top w:val="none" w:sz="0" w:space="0" w:color="auto"/>
        <w:left w:val="none" w:sz="0" w:space="0" w:color="auto"/>
        <w:bottom w:val="none" w:sz="0" w:space="0" w:color="auto"/>
        <w:right w:val="none" w:sz="0" w:space="0" w:color="auto"/>
      </w:divBdr>
      <w:divsChild>
        <w:div w:id="2126002960">
          <w:marLeft w:val="0"/>
          <w:marRight w:val="0"/>
          <w:marTop w:val="0"/>
          <w:marBottom w:val="0"/>
          <w:divBdr>
            <w:top w:val="none" w:sz="0" w:space="0" w:color="auto"/>
            <w:left w:val="none" w:sz="0" w:space="0" w:color="auto"/>
            <w:bottom w:val="none" w:sz="0" w:space="0" w:color="auto"/>
            <w:right w:val="none" w:sz="0" w:space="0" w:color="auto"/>
          </w:divBdr>
        </w:div>
      </w:divsChild>
    </w:div>
    <w:div w:id="2079549436">
      <w:bodyDiv w:val="1"/>
      <w:marLeft w:val="0"/>
      <w:marRight w:val="0"/>
      <w:marTop w:val="0"/>
      <w:marBottom w:val="0"/>
      <w:divBdr>
        <w:top w:val="none" w:sz="0" w:space="0" w:color="auto"/>
        <w:left w:val="none" w:sz="0" w:space="0" w:color="auto"/>
        <w:bottom w:val="none" w:sz="0" w:space="0" w:color="auto"/>
        <w:right w:val="none" w:sz="0" w:space="0" w:color="auto"/>
      </w:divBdr>
    </w:div>
    <w:div w:id="2101483558">
      <w:bodyDiv w:val="1"/>
      <w:marLeft w:val="0"/>
      <w:marRight w:val="0"/>
      <w:marTop w:val="0"/>
      <w:marBottom w:val="0"/>
      <w:divBdr>
        <w:top w:val="none" w:sz="0" w:space="0" w:color="auto"/>
        <w:left w:val="none" w:sz="0" w:space="0" w:color="auto"/>
        <w:bottom w:val="none" w:sz="0" w:space="0" w:color="auto"/>
        <w:right w:val="none" w:sz="0" w:space="0" w:color="auto"/>
      </w:divBdr>
      <w:divsChild>
        <w:div w:id="421494366">
          <w:marLeft w:val="0"/>
          <w:marRight w:val="0"/>
          <w:marTop w:val="0"/>
          <w:marBottom w:val="0"/>
          <w:divBdr>
            <w:top w:val="none" w:sz="0" w:space="0" w:color="auto"/>
            <w:left w:val="none" w:sz="0" w:space="0" w:color="auto"/>
            <w:bottom w:val="none" w:sz="0" w:space="0" w:color="auto"/>
            <w:right w:val="none" w:sz="0" w:space="0" w:color="auto"/>
          </w:divBdr>
        </w:div>
        <w:div w:id="438909746">
          <w:marLeft w:val="0"/>
          <w:marRight w:val="0"/>
          <w:marTop w:val="0"/>
          <w:marBottom w:val="0"/>
          <w:divBdr>
            <w:top w:val="none" w:sz="0" w:space="0" w:color="auto"/>
            <w:left w:val="none" w:sz="0" w:space="0" w:color="auto"/>
            <w:bottom w:val="none" w:sz="0" w:space="0" w:color="auto"/>
            <w:right w:val="none" w:sz="0" w:space="0" w:color="auto"/>
          </w:divBdr>
        </w:div>
      </w:divsChild>
    </w:div>
    <w:div w:id="2118716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3280C-1BE5-4942-8777-D03DF966C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38714</Words>
  <Characters>220670</Characters>
  <Application>Microsoft Office Word</Application>
  <DocSecurity>0</DocSecurity>
  <Lines>1838</Lines>
  <Paragraphs>517</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
      <vt:lpstr/>
      <vt:lpstr/>
    </vt:vector>
  </TitlesOfParts>
  <Company>Hewlett-Packard Company</Company>
  <LinksUpToDate>false</LinksUpToDate>
  <CharactersWithSpaces>258867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guest730802</dc:creator>
  <cp:keywords/>
  <dc:description/>
  <cp:lastModifiedBy>Buckley, Christine L L</cp:lastModifiedBy>
  <cp:revision>2</cp:revision>
  <cp:lastPrinted>2018-11-09T11:12:00Z</cp:lastPrinted>
  <dcterms:created xsi:type="dcterms:W3CDTF">2019-08-27T12:49:00Z</dcterms:created>
  <dcterms:modified xsi:type="dcterms:W3CDTF">2019-08-27T12:49:00Z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be272bec-2769-3573-935a-6f31a1a5dd49</vt:lpwstr>
  </property>
  <property fmtid="{D5CDD505-2E9C-101B-9397-08002B2CF9AE}" pid="4" name="Mendeley Recent Style Id 0_1">
    <vt:lpwstr>http://www.zotero.org/styles/american-journal-of-respiratory-and-critical-care-medicine</vt:lpwstr>
  </property>
  <property fmtid="{D5CDD505-2E9C-101B-9397-08002B2CF9AE}" pid="5" name="Mendeley Recent Style Name 0_1">
    <vt:lpwstr>American Journal of Respiratory and Critical Care Medicine</vt:lpwstr>
  </property>
  <property fmtid="{D5CDD505-2E9C-101B-9397-08002B2CF9AE}" pid="6" name="Mendeley Recent Style Id 1_1">
    <vt:lpwstr>http://www.zotero.org/styles/american-medical-association</vt:lpwstr>
  </property>
  <property fmtid="{D5CDD505-2E9C-101B-9397-08002B2CF9AE}" pid="7" name="Mendeley Recent Style Name 1_1">
    <vt:lpwstr>American Medical Association</vt:lpwstr>
  </property>
  <property fmtid="{D5CDD505-2E9C-101B-9397-08002B2CF9AE}" pid="8" name="Mendeley Recent Style Id 2_1">
    <vt:lpwstr>http://www.zotero.org/styles/american-political-science-association</vt:lpwstr>
  </property>
  <property fmtid="{D5CDD505-2E9C-101B-9397-08002B2CF9AE}" pid="9" name="Mendeley Recent Style Name 2_1">
    <vt:lpwstr>American Political Science Association</vt:lpwstr>
  </property>
  <property fmtid="{D5CDD505-2E9C-101B-9397-08002B2CF9AE}" pid="10" name="Mendeley Recent Style Id 3_1">
    <vt:lpwstr>http://www.zotero.org/styles/apa</vt:lpwstr>
  </property>
  <property fmtid="{D5CDD505-2E9C-101B-9397-08002B2CF9AE}" pid="11" name="Mendeley Recent Style Name 3_1">
    <vt:lpwstr>American Psychological Association 6th edition</vt:lpwstr>
  </property>
  <property fmtid="{D5CDD505-2E9C-101B-9397-08002B2CF9AE}" pid="12" name="Mendeley Recent Style Id 4_1">
    <vt:lpwstr>http://www.zotero.org/styles/american-sociological-association</vt:lpwstr>
  </property>
  <property fmtid="{D5CDD505-2E9C-101B-9397-08002B2CF9AE}" pid="13" name="Mendeley Recent Style Name 4_1">
    <vt:lpwstr>American Sociological Association</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http://www.zotero.org/styles/european-respiratory-journal</vt:lpwstr>
  </property>
  <property fmtid="{D5CDD505-2E9C-101B-9397-08002B2CF9AE}" pid="17" name="Mendeley Recent Style Name 6_1">
    <vt:lpwstr>European Respiratory Journal</vt:lpwstr>
  </property>
  <property fmtid="{D5CDD505-2E9C-101B-9397-08002B2CF9AE}" pid="18" name="Mendeley Recent Style Id 7_1">
    <vt:lpwstr>http://www.zotero.org/styles/ieee</vt:lpwstr>
  </property>
  <property fmtid="{D5CDD505-2E9C-101B-9397-08002B2CF9AE}" pid="19" name="Mendeley Recent Style Name 7_1">
    <vt:lpwstr>IEEE</vt:lpwstr>
  </property>
  <property fmtid="{D5CDD505-2E9C-101B-9397-08002B2CF9AE}" pid="20" name="Mendeley Recent Style Id 8_1">
    <vt:lpwstr>http://www.zotero.org/styles/nature</vt:lpwstr>
  </property>
  <property fmtid="{D5CDD505-2E9C-101B-9397-08002B2CF9AE}" pid="21" name="Mendeley Recent Style Name 8_1">
    <vt:lpwstr>Nature</vt:lpwstr>
  </property>
  <property fmtid="{D5CDD505-2E9C-101B-9397-08002B2CF9AE}" pid="22" name="Mendeley Recent Style Id 9_1">
    <vt:lpwstr>http://www.zotero.org/styles/vancouver</vt:lpwstr>
  </property>
  <property fmtid="{D5CDD505-2E9C-101B-9397-08002B2CF9AE}" pid="23" name="Mendeley Recent Style Name 9_1">
    <vt:lpwstr>Vancouver</vt:lpwstr>
  </property>
  <property fmtid="{D5CDD505-2E9C-101B-9397-08002B2CF9AE}" pid="24" name="Mendeley Citation Style_1">
    <vt:lpwstr>http://www.zotero.org/styles/european-respiratory-journal</vt:lpwstr>
  </property>
</Properties>
</file>