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3DDB6" w14:textId="77777777" w:rsidR="004E199A" w:rsidRPr="00736B8A" w:rsidRDefault="004E199A" w:rsidP="007E5442">
      <w:pPr>
        <w:spacing w:line="360" w:lineRule="auto"/>
        <w:jc w:val="center"/>
        <w:rPr>
          <w:b/>
          <w:sz w:val="36"/>
          <w:szCs w:val="36"/>
          <w:lang w:val="en-US"/>
        </w:rPr>
      </w:pPr>
    </w:p>
    <w:p w14:paraId="4CAB89E1" w14:textId="0768F8C2" w:rsidR="002A5E8D" w:rsidRDefault="002A5E8D" w:rsidP="002A5E8D">
      <w:pPr>
        <w:spacing w:line="360" w:lineRule="auto"/>
        <w:jc w:val="center"/>
        <w:rPr>
          <w:b/>
          <w:sz w:val="36"/>
          <w:szCs w:val="36"/>
        </w:rPr>
      </w:pPr>
    </w:p>
    <w:p w14:paraId="6B345271" w14:textId="7C6D1E95" w:rsidR="002A5E8D" w:rsidRPr="00625778" w:rsidRDefault="002A5E8D" w:rsidP="002A5E8D">
      <w:pPr>
        <w:spacing w:line="360" w:lineRule="auto"/>
        <w:jc w:val="center"/>
        <w:rPr>
          <w:b/>
          <w:sz w:val="36"/>
          <w:szCs w:val="36"/>
        </w:rPr>
      </w:pPr>
      <w:r w:rsidRPr="00625778">
        <w:rPr>
          <w:b/>
          <w:sz w:val="36"/>
          <w:szCs w:val="36"/>
        </w:rPr>
        <w:t xml:space="preserve">More tropical cyclones are </w:t>
      </w:r>
      <w:r>
        <w:rPr>
          <w:b/>
          <w:sz w:val="36"/>
          <w:szCs w:val="36"/>
        </w:rPr>
        <w:t>striking coasts with major intensities at landfall</w:t>
      </w:r>
    </w:p>
    <w:p w14:paraId="4F35E522" w14:textId="77777777" w:rsidR="002A5E8D" w:rsidRPr="00625778" w:rsidRDefault="002A5E8D" w:rsidP="007E5442">
      <w:pPr>
        <w:spacing w:line="360" w:lineRule="auto"/>
        <w:jc w:val="center"/>
        <w:rPr>
          <w:b/>
          <w:sz w:val="36"/>
          <w:szCs w:val="36"/>
        </w:rPr>
      </w:pPr>
    </w:p>
    <w:p w14:paraId="326898E3" w14:textId="77777777" w:rsidR="00AD7967" w:rsidRPr="00625778" w:rsidRDefault="00AD7967" w:rsidP="007E5442">
      <w:pPr>
        <w:spacing w:line="360" w:lineRule="auto"/>
        <w:jc w:val="center"/>
      </w:pPr>
    </w:p>
    <w:p w14:paraId="71BE072A" w14:textId="77777777" w:rsidR="00AD7967" w:rsidRPr="00625778" w:rsidRDefault="00173897" w:rsidP="007E5442">
      <w:pPr>
        <w:spacing w:line="360" w:lineRule="auto"/>
        <w:jc w:val="center"/>
        <w:rPr>
          <w:vertAlign w:val="superscript"/>
        </w:rPr>
      </w:pPr>
      <w:r w:rsidRPr="00625778">
        <w:t>S. Wang</w:t>
      </w:r>
      <w:r w:rsidRPr="00625778">
        <w:rPr>
          <w:vertAlign w:val="superscript"/>
        </w:rPr>
        <w:t>1*</w:t>
      </w:r>
      <w:r w:rsidRPr="00625778">
        <w:t xml:space="preserve"> and R. Toumi</w:t>
      </w:r>
      <w:r w:rsidRPr="00625778">
        <w:rPr>
          <w:vertAlign w:val="superscript"/>
        </w:rPr>
        <w:t>1</w:t>
      </w:r>
    </w:p>
    <w:p w14:paraId="2225DA22" w14:textId="77777777" w:rsidR="00AD7967" w:rsidRPr="00625778" w:rsidRDefault="00173897" w:rsidP="007E5442">
      <w:pPr>
        <w:spacing w:line="360" w:lineRule="auto"/>
        <w:jc w:val="center"/>
      </w:pPr>
      <w:r w:rsidRPr="00625778">
        <w:rPr>
          <w:vertAlign w:val="superscript"/>
        </w:rPr>
        <w:t>1</w:t>
      </w:r>
      <w:r w:rsidRPr="00625778">
        <w:t>Department of Physics, Imperial College London, London, SW7 2AZ, UK</w:t>
      </w:r>
    </w:p>
    <w:p w14:paraId="212E1834" w14:textId="77777777" w:rsidR="00AD7967" w:rsidRPr="00625778" w:rsidRDefault="00AD7967" w:rsidP="007E5442">
      <w:pPr>
        <w:spacing w:line="360" w:lineRule="auto"/>
      </w:pPr>
    </w:p>
    <w:p w14:paraId="0063522B" w14:textId="77777777" w:rsidR="00AD7967" w:rsidRPr="00625778" w:rsidRDefault="00173897" w:rsidP="007E5442">
      <w:pPr>
        <w:spacing w:line="360" w:lineRule="auto"/>
      </w:pPr>
      <w:r w:rsidRPr="00625778">
        <w:t>*Correspondence to: shuai.wang@imperial.ac.uk</w:t>
      </w:r>
    </w:p>
    <w:p w14:paraId="7D53F5D6" w14:textId="77777777" w:rsidR="00AD7967" w:rsidRPr="00625778" w:rsidRDefault="00AD7967" w:rsidP="007E5442">
      <w:pPr>
        <w:spacing w:line="360" w:lineRule="auto"/>
      </w:pPr>
    </w:p>
    <w:p w14:paraId="59A9050C" w14:textId="37D6E317" w:rsidR="00AD7967" w:rsidRDefault="00AD7967" w:rsidP="007E5442">
      <w:pPr>
        <w:spacing w:line="360" w:lineRule="auto"/>
      </w:pPr>
    </w:p>
    <w:p w14:paraId="49D2C2D2" w14:textId="3588C77C" w:rsidR="007F21A0" w:rsidRDefault="007F21A0" w:rsidP="007E5442">
      <w:pPr>
        <w:spacing w:line="360" w:lineRule="auto"/>
      </w:pPr>
    </w:p>
    <w:p w14:paraId="5B59A7AD" w14:textId="19828A91" w:rsidR="007F21A0" w:rsidRDefault="007F21A0" w:rsidP="007E5442">
      <w:pPr>
        <w:spacing w:line="360" w:lineRule="auto"/>
      </w:pPr>
    </w:p>
    <w:p w14:paraId="400A93AC" w14:textId="70D013C2" w:rsidR="007F21A0" w:rsidRDefault="007F21A0" w:rsidP="007E5442">
      <w:pPr>
        <w:spacing w:line="360" w:lineRule="auto"/>
      </w:pPr>
    </w:p>
    <w:p w14:paraId="7992F75A" w14:textId="16283DE5" w:rsidR="007F21A0" w:rsidRDefault="007F21A0" w:rsidP="007E5442">
      <w:pPr>
        <w:spacing w:line="360" w:lineRule="auto"/>
      </w:pPr>
    </w:p>
    <w:p w14:paraId="20DB39F5" w14:textId="154B3596" w:rsidR="007F21A0" w:rsidRDefault="007F21A0" w:rsidP="007E5442">
      <w:pPr>
        <w:spacing w:line="360" w:lineRule="auto"/>
      </w:pPr>
    </w:p>
    <w:p w14:paraId="01537D35" w14:textId="7AF71931" w:rsidR="007F21A0" w:rsidRDefault="007F21A0" w:rsidP="007E5442">
      <w:pPr>
        <w:spacing w:line="360" w:lineRule="auto"/>
      </w:pPr>
    </w:p>
    <w:p w14:paraId="748E5CD1" w14:textId="148BB896" w:rsidR="007F21A0" w:rsidRDefault="007F21A0" w:rsidP="007E5442">
      <w:pPr>
        <w:spacing w:line="360" w:lineRule="auto"/>
      </w:pPr>
    </w:p>
    <w:p w14:paraId="4F35134E" w14:textId="423275BF" w:rsidR="007F21A0" w:rsidRDefault="007F21A0" w:rsidP="007E5442">
      <w:pPr>
        <w:spacing w:line="360" w:lineRule="auto"/>
      </w:pPr>
    </w:p>
    <w:p w14:paraId="24DBF522" w14:textId="2557DD8A" w:rsidR="007F21A0" w:rsidRDefault="007F21A0" w:rsidP="007E5442">
      <w:pPr>
        <w:spacing w:line="360" w:lineRule="auto"/>
      </w:pPr>
    </w:p>
    <w:p w14:paraId="36DAB5D9" w14:textId="7F7F20F1" w:rsidR="007F21A0" w:rsidRDefault="007F21A0" w:rsidP="007E5442">
      <w:pPr>
        <w:spacing w:line="360" w:lineRule="auto"/>
      </w:pPr>
    </w:p>
    <w:p w14:paraId="4B1FB8F5" w14:textId="1B076F24" w:rsidR="007F21A0" w:rsidRDefault="007F21A0" w:rsidP="007E5442">
      <w:pPr>
        <w:spacing w:line="360" w:lineRule="auto"/>
      </w:pPr>
    </w:p>
    <w:p w14:paraId="073F6D48" w14:textId="27501549" w:rsidR="007F21A0" w:rsidRDefault="007F21A0" w:rsidP="007E5442">
      <w:pPr>
        <w:spacing w:line="360" w:lineRule="auto"/>
      </w:pPr>
    </w:p>
    <w:p w14:paraId="464D58DA" w14:textId="20567A0A" w:rsidR="007F21A0" w:rsidRDefault="007F21A0" w:rsidP="007E5442">
      <w:pPr>
        <w:spacing w:line="360" w:lineRule="auto"/>
      </w:pPr>
    </w:p>
    <w:p w14:paraId="3094991E" w14:textId="4FC2D250" w:rsidR="007F21A0" w:rsidRDefault="007F21A0" w:rsidP="007E5442">
      <w:pPr>
        <w:spacing w:line="360" w:lineRule="auto"/>
      </w:pPr>
    </w:p>
    <w:p w14:paraId="000B2CAB" w14:textId="47BD5B49" w:rsidR="007F21A0" w:rsidRDefault="007F21A0" w:rsidP="007E5442">
      <w:pPr>
        <w:spacing w:line="360" w:lineRule="auto"/>
      </w:pPr>
    </w:p>
    <w:p w14:paraId="4663DE15" w14:textId="004B9596" w:rsidR="007F21A0" w:rsidRDefault="007F21A0" w:rsidP="007E5442">
      <w:pPr>
        <w:spacing w:line="360" w:lineRule="auto"/>
      </w:pPr>
    </w:p>
    <w:p w14:paraId="6EB659AE" w14:textId="649B5F46" w:rsidR="007F21A0" w:rsidRDefault="007F21A0" w:rsidP="007E5442">
      <w:pPr>
        <w:spacing w:line="360" w:lineRule="auto"/>
      </w:pPr>
    </w:p>
    <w:p w14:paraId="37A2DA6B" w14:textId="7DA21A7A" w:rsidR="007F21A0" w:rsidRDefault="007F21A0" w:rsidP="007E5442">
      <w:pPr>
        <w:spacing w:line="360" w:lineRule="auto"/>
      </w:pPr>
    </w:p>
    <w:p w14:paraId="4EDEB1D5" w14:textId="5059076D" w:rsidR="007F21A0" w:rsidRDefault="007F21A0" w:rsidP="007E5442">
      <w:pPr>
        <w:spacing w:line="360" w:lineRule="auto"/>
      </w:pPr>
    </w:p>
    <w:p w14:paraId="44338882" w14:textId="07473EFF" w:rsidR="00AD7967" w:rsidRPr="008C2537" w:rsidRDefault="008C2537" w:rsidP="007E5442">
      <w:pPr>
        <w:spacing w:line="360" w:lineRule="auto"/>
        <w:rPr>
          <w:b/>
          <w:bCs/>
        </w:rPr>
      </w:pPr>
      <w:r w:rsidRPr="008C2537">
        <w:rPr>
          <w:b/>
          <w:bCs/>
        </w:rPr>
        <w:lastRenderedPageBreak/>
        <w:t>Abstract</w:t>
      </w:r>
      <w:r w:rsidR="0078041B">
        <w:rPr>
          <w:b/>
          <w:bCs/>
        </w:rPr>
        <w:t xml:space="preserve"> </w:t>
      </w:r>
    </w:p>
    <w:p w14:paraId="52A35B20" w14:textId="5D624110" w:rsidR="008C2537" w:rsidRDefault="00594557" w:rsidP="7B605AE3">
      <w:pPr>
        <w:spacing w:after="120" w:line="360" w:lineRule="auto"/>
      </w:pPr>
      <w:r>
        <w:t>In this study</w:t>
      </w:r>
      <w:r w:rsidR="00173897">
        <w:t xml:space="preserve"> we show that the </w:t>
      </w:r>
      <w:r w:rsidR="28F35D69">
        <w:t>number</w:t>
      </w:r>
      <w:r w:rsidR="00173897">
        <w:t xml:space="preserve"> </w:t>
      </w:r>
      <w:r w:rsidR="28F35D69">
        <w:t xml:space="preserve">of </w:t>
      </w:r>
      <w:r w:rsidR="00173897">
        <w:t xml:space="preserve">annual </w:t>
      </w:r>
      <w:r w:rsidR="00521E4F">
        <w:t>global</w:t>
      </w:r>
      <w:r w:rsidR="007813BF">
        <w:t xml:space="preserve"> tropical cyclone (TC)</w:t>
      </w:r>
      <w:r w:rsidR="00173897">
        <w:t xml:space="preserve"> landfalls</w:t>
      </w:r>
      <w:r>
        <w:t xml:space="preserve"> with</w:t>
      </w:r>
      <w:r w:rsidR="00173897">
        <w:t xml:space="preserve"> major </w:t>
      </w:r>
      <w:r w:rsidR="00460D9E">
        <w:t xml:space="preserve">landfall </w:t>
      </w:r>
      <w:r>
        <w:t>intensity</w:t>
      </w:r>
      <w:r w:rsidR="000D32A5">
        <w:t xml:space="preserve"> (</w:t>
      </w:r>
      <w:r w:rsidR="00460D9E">
        <w:t>LI</w:t>
      </w:r>
      <w:r w:rsidR="000D32A5">
        <w:t>≥50 m s</w:t>
      </w:r>
      <w:r w:rsidR="000D32A5" w:rsidRPr="4580AB2B">
        <w:rPr>
          <w:vertAlign w:val="superscript"/>
        </w:rPr>
        <w:t>-1</w:t>
      </w:r>
      <w:r w:rsidR="000D32A5">
        <w:t>)</w:t>
      </w:r>
      <w:r w:rsidR="00D67B18">
        <w:t xml:space="preserve"> </w:t>
      </w:r>
      <w:r>
        <w:t>ha</w:t>
      </w:r>
      <w:r w:rsidR="58D841EE">
        <w:t>s</w:t>
      </w:r>
      <w:r w:rsidR="00173897">
        <w:t xml:space="preserve"> nearly doubled</w:t>
      </w:r>
      <w:r w:rsidR="00B2200C">
        <w:t xml:space="preserve"> </w:t>
      </w:r>
      <w:r w:rsidR="00EE5113">
        <w:t>from 1982 to 20</w:t>
      </w:r>
      <w:r w:rsidR="00FE0808">
        <w:t>20</w:t>
      </w:r>
      <w:r w:rsidR="00173897">
        <w:t>.</w:t>
      </w:r>
      <w:r w:rsidR="00204A18">
        <w:t xml:space="preserve"> </w:t>
      </w:r>
      <w:r w:rsidR="3D59F5DF">
        <w:t xml:space="preserve">The </w:t>
      </w:r>
      <w:r w:rsidR="6E12B664">
        <w:t xml:space="preserve">lifetime maximum intensity (LMI) of </w:t>
      </w:r>
      <w:r w:rsidR="00204A18">
        <w:t xml:space="preserve">global major </w:t>
      </w:r>
      <w:r w:rsidR="000B4395">
        <w:t xml:space="preserve">landfalling </w:t>
      </w:r>
      <w:r w:rsidR="00204A18">
        <w:t>TCs</w:t>
      </w:r>
      <w:r w:rsidR="0029083B">
        <w:t xml:space="preserve"> </w:t>
      </w:r>
      <w:r w:rsidR="0D20D7D2">
        <w:t>has been increasing</w:t>
      </w:r>
      <w:r w:rsidR="005C6A74">
        <w:t xml:space="preserve"> </w:t>
      </w:r>
      <w:r w:rsidR="2549FB07">
        <w:t xml:space="preserve">by </w:t>
      </w:r>
      <w:r w:rsidR="00213FAC">
        <w:t>0.8</w:t>
      </w:r>
      <w:r w:rsidR="005C6A74">
        <w:t xml:space="preserve"> m s</w:t>
      </w:r>
      <w:r w:rsidR="005C6A74" w:rsidRPr="4580AB2B">
        <w:rPr>
          <w:vertAlign w:val="superscript"/>
        </w:rPr>
        <w:t>-1</w:t>
      </w:r>
      <w:r w:rsidR="005C6A74">
        <w:t xml:space="preserve"> per decade</w:t>
      </w:r>
      <w:r w:rsidR="7027940F">
        <w:t xml:space="preserve"> (</w:t>
      </w:r>
      <w:r w:rsidR="005C6A74" w:rsidRPr="4580AB2B">
        <w:rPr>
          <w:i/>
          <w:iCs/>
        </w:rPr>
        <w:t>p</w:t>
      </w:r>
      <w:r w:rsidR="005C6A74">
        <w:t>&lt;0.05),</w:t>
      </w:r>
      <w:r w:rsidR="00747FE2">
        <w:t xml:space="preserve"> </w:t>
      </w:r>
      <w:r w:rsidR="43B9F4CD">
        <w:t xml:space="preserve">but </w:t>
      </w:r>
      <w:r w:rsidR="005C6A74">
        <w:t>this significance of intensity change disappears at landfall (0.</w:t>
      </w:r>
      <w:r w:rsidR="00213FAC">
        <w:t>3</w:t>
      </w:r>
      <w:r w:rsidR="005C6A74">
        <w:t xml:space="preserve"> m s</w:t>
      </w:r>
      <w:r w:rsidR="005C6A74" w:rsidRPr="4580AB2B">
        <w:rPr>
          <w:vertAlign w:val="superscript"/>
        </w:rPr>
        <w:t>-1</w:t>
      </w:r>
      <w:r w:rsidR="005C6A74">
        <w:t xml:space="preserve"> per decade, </w:t>
      </w:r>
      <w:r w:rsidR="005C6A74" w:rsidRPr="4580AB2B">
        <w:rPr>
          <w:i/>
          <w:iCs/>
        </w:rPr>
        <w:t>p</w:t>
      </w:r>
      <w:r w:rsidR="005C6A74">
        <w:t>=0.</w:t>
      </w:r>
      <w:r w:rsidR="00213FAC">
        <w:t>69</w:t>
      </w:r>
      <w:r w:rsidR="005C6A74">
        <w:t>).</w:t>
      </w:r>
      <w:r w:rsidR="00877CC4">
        <w:t xml:space="preserve"> </w:t>
      </w:r>
      <w:r w:rsidR="000D32A5">
        <w:t xml:space="preserve">The lack of </w:t>
      </w:r>
      <w:r w:rsidR="6D62BB70">
        <w:t xml:space="preserve">a </w:t>
      </w:r>
      <w:r w:rsidR="000D32A5">
        <w:t xml:space="preserve">significant LI trend is </w:t>
      </w:r>
      <w:r w:rsidR="27D98E5B">
        <w:t>caused by</w:t>
      </w:r>
      <w:r w:rsidR="000D32A5">
        <w:t xml:space="preserve"> </w:t>
      </w:r>
      <w:r w:rsidR="7AA62386">
        <w:t>the</w:t>
      </w:r>
      <w:r w:rsidR="00877CC4">
        <w:t xml:space="preserve"> </w:t>
      </w:r>
      <w:r w:rsidR="09913926">
        <w:t xml:space="preserve">much </w:t>
      </w:r>
      <w:r w:rsidR="00877CC4">
        <w:t>larger</w:t>
      </w:r>
      <w:r w:rsidR="0651C147">
        <w:t xml:space="preserve"> variance of</w:t>
      </w:r>
      <w:r w:rsidR="00877CC4">
        <w:t xml:space="preserve"> </w:t>
      </w:r>
      <w:r w:rsidR="000D32A5">
        <w:t xml:space="preserve">LI </w:t>
      </w:r>
      <w:r w:rsidR="00877CC4">
        <w:t>than that of LMI in all basins</w:t>
      </w:r>
      <w:r w:rsidR="47BCE648">
        <w:t xml:space="preserve"> and </w:t>
      </w:r>
      <w:r w:rsidR="000D32A5">
        <w:t>explain</w:t>
      </w:r>
      <w:r w:rsidR="7765DA3D">
        <w:t>s</w:t>
      </w:r>
      <w:r w:rsidR="000D32A5">
        <w:t xml:space="preserve"> </w:t>
      </w:r>
      <w:r w:rsidR="670CA24C">
        <w:t>why</w:t>
      </w:r>
      <w:r w:rsidR="006757D5">
        <w:t xml:space="preserve"> a significant count change </w:t>
      </w:r>
      <w:r w:rsidR="3DBA2CC1">
        <w:t xml:space="preserve">of TCs </w:t>
      </w:r>
      <w:r w:rsidR="006757D5">
        <w:t>with major</w:t>
      </w:r>
      <w:r w:rsidR="56B84CD6">
        <w:t xml:space="preserve"> </w:t>
      </w:r>
      <w:r w:rsidR="077FCBE1">
        <w:t xml:space="preserve">intensity at </w:t>
      </w:r>
      <w:r w:rsidR="56B84CD6">
        <w:t>landfall</w:t>
      </w:r>
      <w:r w:rsidR="006757D5">
        <w:t xml:space="preserve"> </w:t>
      </w:r>
      <w:r w:rsidR="48A54FCD">
        <w:t xml:space="preserve">has only now </w:t>
      </w:r>
      <w:r w:rsidR="006757D5">
        <w:t>emerge</w:t>
      </w:r>
      <w:r w:rsidR="1818BDF8">
        <w:t>d</w:t>
      </w:r>
      <w:r w:rsidR="00A36638">
        <w:t xml:space="preserve">. </w:t>
      </w:r>
      <w:r w:rsidR="1DD7B3FA">
        <w:t>Basin</w:t>
      </w:r>
      <w:r w:rsidR="00ED5F4E">
        <w:t>-</w:t>
      </w:r>
      <w:r w:rsidR="1DD7B3FA">
        <w:t>wide</w:t>
      </w:r>
      <w:r w:rsidR="000D32A5">
        <w:t xml:space="preserve"> TC trends </w:t>
      </w:r>
      <w:r w:rsidR="2E4537AE">
        <w:t>of</w:t>
      </w:r>
      <w:r w:rsidR="000D32A5">
        <w:t xml:space="preserve"> intensity and spatial distribution have been reported, but this long-term </w:t>
      </w:r>
      <w:r w:rsidR="002C1589">
        <w:t xml:space="preserve">major </w:t>
      </w:r>
      <w:r w:rsidR="000D32A5">
        <w:t xml:space="preserve">TC landfall </w:t>
      </w:r>
      <w:r w:rsidR="0D4199ED">
        <w:t xml:space="preserve">count </w:t>
      </w:r>
      <w:r w:rsidR="000D32A5">
        <w:t>change may</w:t>
      </w:r>
      <w:r w:rsidR="17C562D2">
        <w:t xml:space="preserve"> be the most socio-economic significant</w:t>
      </w:r>
      <w:r w:rsidR="372866FC">
        <w:t xml:space="preserve">. </w:t>
      </w:r>
    </w:p>
    <w:p w14:paraId="105C3FFE" w14:textId="77777777" w:rsidR="007F21A0" w:rsidRDefault="007F21A0" w:rsidP="0DF24974">
      <w:pPr>
        <w:spacing w:after="120" w:line="360" w:lineRule="auto"/>
      </w:pPr>
    </w:p>
    <w:p w14:paraId="455E8B04" w14:textId="4F568EE2" w:rsidR="008C2537" w:rsidRDefault="008C2537" w:rsidP="0DF24974">
      <w:pPr>
        <w:spacing w:after="120" w:line="360" w:lineRule="auto"/>
      </w:pPr>
      <w:r w:rsidRPr="008C2537">
        <w:rPr>
          <w:b/>
          <w:bCs/>
        </w:rPr>
        <w:t>Keywords</w:t>
      </w:r>
      <w:r>
        <w:t xml:space="preserve">: tropical cyclone, landfall frequency, </w:t>
      </w:r>
      <w:r w:rsidR="00104186">
        <w:t>landfall intensity, lifetime maximum intensity</w:t>
      </w:r>
    </w:p>
    <w:p w14:paraId="5F547510" w14:textId="77777777" w:rsidR="0072477C" w:rsidRDefault="0072477C" w:rsidP="0DF24974">
      <w:pPr>
        <w:spacing w:after="120" w:line="360" w:lineRule="auto"/>
      </w:pPr>
    </w:p>
    <w:p w14:paraId="42C55DF3" w14:textId="616E6C89" w:rsidR="008C2537" w:rsidRPr="008C2537" w:rsidRDefault="008C2537" w:rsidP="001F4D7F">
      <w:pPr>
        <w:spacing w:after="120" w:line="360" w:lineRule="auto"/>
        <w:rPr>
          <w:b/>
          <w:bCs/>
        </w:rPr>
      </w:pPr>
      <w:r w:rsidRPr="008C2537">
        <w:rPr>
          <w:b/>
          <w:bCs/>
        </w:rPr>
        <w:t>Introduction</w:t>
      </w:r>
    </w:p>
    <w:p w14:paraId="1C8F06CC" w14:textId="1AE5CD50" w:rsidR="002272A9" w:rsidRDefault="00173897" w:rsidP="007B2471">
      <w:pPr>
        <w:spacing w:after="120" w:line="360" w:lineRule="auto"/>
      </w:pPr>
      <w:r>
        <w:t>Tropical cyclones (TC</w:t>
      </w:r>
      <w:r w:rsidR="00CE43EF">
        <w:t>s</w:t>
      </w:r>
      <w:r>
        <w:t>) are one of the major global natural hazards. The landfall intensity (LI) dominates its destructive potential in coastal regions</w:t>
      </w:r>
      <w:r w:rsidR="008C2537">
        <w:t xml:space="preserve"> </w:t>
      </w:r>
      <w:r>
        <w:fldChar w:fldCharType="begin" w:fldLock="1"/>
      </w:r>
      <w:r w:rsidR="00FD69AD">
        <w:instrText>ADDIN CSL_CITATION {"citationItems":[{"id":"ITEM-1","itemData":{"DOI":"10.1088/1748-9326/11/11/114005","ISBN":"8605118563","ISSN":"1748-9326","abstract":"It is challenging to identify metrics that best capture hurricane destructive potential and costs. Although it has been found that the sea surface temperature and vertical wind shear can both make considerable changes to the hurricane destructive potential metrics, it is still unknown which plays a more important role. Here we present a new method to reconstruct the historical wind structure of hurricanes that allows us, for the first time, to calculate the correlation of damage with integrated power dissipation and integrated kinetic energy of all hurricanes at landfall since 1988. We find that those metrics, which include the horizontal wind structure, rather than just maximum intensity, are much better correlated with the hurricane cost. The vertical wind shear over the main development region of hurricanes plays a more dominant role than the sea surface temperature in controlling these metrics and therefore also ultimately the cost of hurricanes. © 2016 IOP Publishing Ltd.","author":[{"dropping-particle":"","family":"Wang","given":"Shuai","non-dropping-particle":"","parse-names":false,"suffix":""},{"dropping-particle":"","family":"Toumi","given":"Ralf","non-dropping-particle":"","parse-names":false,"suffix":""}],"container-title":"Environmental Research Letters","id":"ITEM-1","issue":"11","issued":{"date-parts":[["2016","11","1"]]},"page":"114005","title":"On the relationship between hurricane cost and the integrated wind profile","type":"article-journal","volume":"11"},"uris":["http://www.mendeley.com/documents/?uuid=1dc7c774-bb34-31c4-87fd-a459267835a8"]},{"id":"ITEM-2","itemData":{"DOI":"10.1175/BAMS-D-17-0184.1","ISSN":"00030007","author":[{"dropping-particle":"","family":"Klotzbach","given":"Phili P.J.","non-dropping-particle":"","parse-names":false,"suffix":""},{"dropping-particle":"","family":"Bowen","given":"Steven G.","non-dropping-particle":"","parse-names":false,"suffix":""},{"dropping-particle":"","family":"PielKe","given":"Ro Ge R.","non-dropping-particle":"","parse-names":false,"suffix":""},{"dropping-particle":"","family":"Bell","given":"Michael","non-dropping-particle":"","parse-names":false,"suffix":""}],"container-title":"Bulletin of the American Meteorological Society","id":"ITEM-2","issue":"7","issued":{"date-parts":[["2018"]]},"page":"1359-1376","title":"Continental U.S. hurricane landfall frequency and associated damage: Observations and future risks","type":"article-journal","volume":"99"},"uris":["http://www.mendeley.com/documents/?uuid=453ca719-5ad5-403d-b392-52531321298e"]}],"mendeley":{"formattedCitation":"&lt;sup&gt;1,2&lt;/sup&gt;","plainTextFormattedCitation":"1,2","previouslyFormattedCitation":"&lt;sup&gt;1,2&lt;/sup&gt;"},"properties":{"noteIndex":0},"schema":"https://github.com/citation-style-language/schema/raw/master/csl-citation.json"}</w:instrText>
      </w:r>
      <w:r>
        <w:fldChar w:fldCharType="separate"/>
      </w:r>
      <w:r w:rsidR="00FD69AD" w:rsidRPr="00FD69AD">
        <w:rPr>
          <w:noProof/>
          <w:vertAlign w:val="superscript"/>
        </w:rPr>
        <w:t>1,2</w:t>
      </w:r>
      <w:r>
        <w:fldChar w:fldCharType="end"/>
      </w:r>
      <w:r>
        <w:t>. The TC intensity is conventionally measured by the maximum sustained surface wind</w:t>
      </w:r>
      <w:r w:rsidR="00883F27">
        <w:t xml:space="preserve"> and is categorised</w:t>
      </w:r>
      <w:r w:rsidR="009773B2">
        <w:t xml:space="preserve"> as a major </w:t>
      </w:r>
      <w:r w:rsidR="008D4809">
        <w:t>TC</w:t>
      </w:r>
      <w:r w:rsidR="009773B2">
        <w:t xml:space="preserve"> when its </w:t>
      </w:r>
      <w:r w:rsidR="001F2C37">
        <w:t xml:space="preserve">sustained </w:t>
      </w:r>
      <w:r w:rsidR="00F2281F">
        <w:t>maximum</w:t>
      </w:r>
      <w:r w:rsidR="00883F27" w:rsidRPr="00883F27">
        <w:t xml:space="preserve"> </w:t>
      </w:r>
      <w:r w:rsidR="00883F27">
        <w:t>is more than 50 m s</w:t>
      </w:r>
      <w:r w:rsidR="00883F27" w:rsidRPr="0DF24974">
        <w:rPr>
          <w:vertAlign w:val="superscript"/>
        </w:rPr>
        <w:t>-1</w:t>
      </w:r>
      <w:r w:rsidR="00F2281F">
        <w:t xml:space="preserve"> </w:t>
      </w:r>
      <w:r w:rsidR="005A1998">
        <w:t>(Saffir-Simpson categories 3 to 5</w:t>
      </w:r>
      <w:r w:rsidR="00D20C56">
        <w:t>).</w:t>
      </w:r>
      <w:r w:rsidR="008B3544">
        <w:t xml:space="preserve"> </w:t>
      </w:r>
      <w:r>
        <w:t>Thermodynamic theories of an upper</w:t>
      </w:r>
      <w:r w:rsidR="00590B77">
        <w:t xml:space="preserve"> intensity</w:t>
      </w:r>
      <w:r>
        <w:t xml:space="preserve"> limit</w:t>
      </w:r>
      <w:r w:rsidR="008C2537">
        <w:t xml:space="preserve"> </w:t>
      </w:r>
      <w:r>
        <w:fldChar w:fldCharType="begin" w:fldLock="1"/>
      </w:r>
      <w:r w:rsidR="00FD69AD">
        <w:instrText>ADDIN CSL_CITATION {"citationItems":[{"id":"ITEM-1","itemData":{"ISBN":"1520-0469","author":[{"dropping-particle":"","family":"Emanuel","given":"Kerry","non-dropping-particle":"","parse-names":false,"suffix":""}],"container-title":"Journal of the Atmospheric Sciences","id":"ITEM-1","issue":"22","issued":{"date-parts":[["1995"]]},"page":"3969-3976","title":"Sensitivity of Tropical Cyclones to Surface Exchange Coefficients and a Revised Steady-State Model Incorporating Eye Dynamics","type":"article-journal","volume":"52"},"uris":["http://www.mendeley.com/documents/?uuid=09cd91e3-b7db-42de-8915-4675b57f15d7"]},{"id":"ITEM-2","itemData":{"ISBN":"1520-0469","author":[{"dropping-particle":"","family":"Holland","given":"Greg J","non-dropping-particle":"","parse-names":false,"suffix":""}],"container-title":"Journal of the Atmospheric Sciences","id":"ITEM-2","issue":"21","issued":{"date-parts":[["1997"]]},"page":"2519-2541","title":"The Maximum Potential Intensity of Tropical Cyclones","type":"article-journal","volume":"54"},"uris":["http://www.mendeley.com/documents/?uuid=6b026673-230d-4edb-b462-2edad32c12ef"]}],"mendeley":{"formattedCitation":"&lt;sup&gt;3,4&lt;/sup&gt;","plainTextFormattedCitation":"3,4","previouslyFormattedCitation":"&lt;sup&gt;3,4&lt;/sup&gt;"},"properties":{"noteIndex":0},"schema":"https://github.com/citation-style-language/schema/raw/master/csl-citation.json"}</w:instrText>
      </w:r>
      <w:r>
        <w:fldChar w:fldCharType="separate"/>
      </w:r>
      <w:r w:rsidR="00FD69AD" w:rsidRPr="00FD69AD">
        <w:rPr>
          <w:noProof/>
          <w:vertAlign w:val="superscript"/>
        </w:rPr>
        <w:t>3,4</w:t>
      </w:r>
      <w:r>
        <w:fldChar w:fldCharType="end"/>
      </w:r>
      <w:r>
        <w:t xml:space="preserve"> and its environmental controls</w:t>
      </w:r>
      <w:r w:rsidR="008C2537">
        <w:t xml:space="preserve"> </w:t>
      </w:r>
      <w:r>
        <w:fldChar w:fldCharType="begin" w:fldLock="1"/>
      </w:r>
      <w:r w:rsidR="00FD69AD">
        <w:instrText>ADDIN CSL_CITATION {"citationItems":[{"id":"ITEM-1","itemData":{"DOI":"10.1175/1520-0469(2004)061&lt;0843:ECOTCI&gt;2.0.CO;2","ISSN":"0022-4928","author":[{"dropping-particle":"","family":"Emanuel","given":"Kerry","non-dropping-particle":"","parse-names":false,"suffix":""},{"dropping-particle":"","family":"DesAutels","given":"Christopher","non-dropping-particle":"","parse-names":false,"suffix":""},{"dropping-particle":"","family":"Holloway","given":"Christopher","non-dropping-particle":"","parse-names":false,"suffix":""},{"dropping-particle":"","family":"Korty","given":"Robert","non-dropping-particle":"","parse-names":false,"suffix":""}],"container-title":"Journal of the Atmospheric Sciences","id":"ITEM-1","issue":"7","issued":{"date-parts":[["2004"]]},"page":"843-858","title":"Environmental Control of Tropical Cyclone Intensity","type":"article-journal","volume":"61"},"uris":["http://www.mendeley.com/documents/?uuid=c79ac93b-8067-4ee4-9b09-557b82b2dd74"]},{"id":"ITEM-2","itemData":{"DOI":"10.1175/2010JAS3318.1","ISSN":"0022-4928","author":[{"dropping-particle":"","family":"Tang","given":"Brian","non-dropping-particle":"","parse-names":false,"suffix":""},{"dropping-particle":"","family":"Emanuel","given":"Kerry","non-dropping-particle":"","parse-names":false,"suffix":""}],"container-title":"Journal of the Atmospheric Sciences","id":"ITEM-2","issue":"6","issued":{"date-parts":[["2010"]]},"page":"1817-1830","title":"Midlevel Ventilation’s Constraint on Tropical Cyclone Intensity","type":"article-journal","volume":"67"},"uris":["http://www.mendeley.com/documents/?uuid=de18a71f-24ce-4ab2-94ef-f1115f0eef07"]}],"mendeley":{"formattedCitation":"&lt;sup&gt;5,6&lt;/sup&gt;","plainTextFormattedCitation":"5,6","previouslyFormattedCitation":"&lt;sup&gt;5,6&lt;/sup&gt;"},"properties":{"noteIndex":0},"schema":"https://github.com/citation-style-language/schema/raw/master/csl-citation.json"}</w:instrText>
      </w:r>
      <w:r>
        <w:fldChar w:fldCharType="separate"/>
      </w:r>
      <w:r w:rsidR="00FD69AD" w:rsidRPr="00FD69AD">
        <w:rPr>
          <w:noProof/>
          <w:vertAlign w:val="superscript"/>
        </w:rPr>
        <w:t>5,6</w:t>
      </w:r>
      <w:r>
        <w:fldChar w:fldCharType="end"/>
      </w:r>
      <w:r w:rsidR="00884603">
        <w:t xml:space="preserve"> </w:t>
      </w:r>
      <w:r>
        <w:t>have advanced TC intensity understanding and prediction. The lifetime maximum intensity (LMI) of a TC is the intensity closest to its theoretical upper limit and has received much more attention than the intensity in any other period of its lifecycle. However, the location of LMI is usually hundreds of kilometres away from land</w:t>
      </w:r>
      <w:r w:rsidR="008C2537">
        <w:t xml:space="preserve"> </w:t>
      </w:r>
      <w:r>
        <w:fldChar w:fldCharType="begin" w:fldLock="1"/>
      </w:r>
      <w:r w:rsidR="00FD69AD">
        <w:instrText>ADDIN CSL_CITATION {"citationItems":[{"id":"ITEM-1","itemData":{"DOI":"10.1126/science.abb9038","ISBN":"1223326500","ISSN":"0036-8075","PMID":"33510027","abstract":"Poleward migrations of tropical cyclones have been observed globally, but their impact on coastal areas remains unclear. We investigated the change in global tropical cyclone activity in coastal regions over the period 1982–2018. We found that the distance of tropical cyclone maximum intensity to land has decreased by about 30 kilometers per decade, and that the annual frequency of global tropical cyclones increases with proximity to land by about two additional cyclones per decade. Trend analysis reveals a robust migration of tropical cyclone activity toward coasts, concurrent with poleward migration of cyclone locations as well as a statistically significant westward shift. This zonal shift of tropical cyclone tracks may be mainly driven by global zonal changes in environmental steering flow.","author":[{"dropping-particle":"","family":"Wang","given":"Shuai","non-dropping-particle":"","parse-names":false,"suffix":""},{"dropping-particle":"","family":"Toumi","given":"Ralf","non-dropping-particle":"","parse-names":false,"suffix":""}],"container-title":"Science","id":"ITEM-1","issue":"6528","issued":{"date-parts":[["2021","1","29"]]},"page":"514-517","title":"Recent migration of tropical cyclones toward coasts","type":"article-journal","volume":"371"},"uris":["http://www.mendeley.com/documents/?uuid=1aaca1f5-cfcb-41b0-b408-59bd9b1e37bc"]}],"mendeley":{"formattedCitation":"&lt;sup&gt;7&lt;/sup&gt;","plainTextFormattedCitation":"7","previouslyFormattedCitation":"&lt;sup&gt;7&lt;/sup&gt;"},"properties":{"noteIndex":0},"schema":"https://github.com/citation-style-language/schema/raw/master/csl-citation.json"}</w:instrText>
      </w:r>
      <w:r>
        <w:fldChar w:fldCharType="separate"/>
      </w:r>
      <w:r w:rsidR="00FD69AD" w:rsidRPr="00FD69AD">
        <w:rPr>
          <w:noProof/>
          <w:vertAlign w:val="superscript"/>
        </w:rPr>
        <w:t>7</w:t>
      </w:r>
      <w:r>
        <w:fldChar w:fldCharType="end"/>
      </w:r>
      <w:r w:rsidR="00EC1223">
        <w:t xml:space="preserve">, and an intensity decay from the LMI to LI frequently occur before landfall </w:t>
      </w:r>
      <w:r w:rsidR="00EC1223">
        <w:fldChar w:fldCharType="begin" w:fldLock="1"/>
      </w:r>
      <w:r w:rsidR="00FD69AD">
        <w:instrText>ADDIN CSL_CITATION {"citationItems":[{"id":"ITEM-1","itemData":{"author":[{"dropping-particle":"","family":"Wang","given":"Shuai","non-dropping-particle":"","parse-names":false,"suffix":""},{"dropping-particle":"","family":"Toumi","given":"Ralf","non-dropping-particle":"","parse-names":false,"suffix":""}],"container-title":"Scientific Reports","id":"ITEM-1","issued":{"date-parts":[["2022"]]},"page":"Under review.","title":"On the intensity decay of tropical cyclones before landfall","type":"article-journal"},"uris":["http://www.mendeley.com/documents/?uuid=709f1ab8-d83e-49a7-b5ef-cb8de3be59b8"]}],"mendeley":{"formattedCitation":"&lt;sup&gt;8&lt;/sup&gt;","plainTextFormattedCitation":"8","previouslyFormattedCitation":"&lt;sup&gt;8&lt;/sup&gt;"},"properties":{"noteIndex":0},"schema":"https://github.com/citation-style-language/schema/raw/master/csl-citation.json"}</w:instrText>
      </w:r>
      <w:r w:rsidR="00EC1223">
        <w:fldChar w:fldCharType="separate"/>
      </w:r>
      <w:r w:rsidR="00FD69AD" w:rsidRPr="00FD69AD">
        <w:rPr>
          <w:noProof/>
          <w:vertAlign w:val="superscript"/>
        </w:rPr>
        <w:t>8</w:t>
      </w:r>
      <w:r w:rsidR="00EC1223">
        <w:fldChar w:fldCharType="end"/>
      </w:r>
      <w:r w:rsidR="00EC1223">
        <w:t>.</w:t>
      </w:r>
      <w:r>
        <w:t xml:space="preserve"> </w:t>
      </w:r>
      <w:r w:rsidR="007E07EF">
        <w:t>The</w:t>
      </w:r>
      <w:r w:rsidR="00BA7D7E">
        <w:t xml:space="preserve"> long-term</w:t>
      </w:r>
      <w:r w:rsidR="007E07EF">
        <w:t xml:space="preserve"> TC socio-economic impact is ultimately driven by the number of intense storms making landfall.</w:t>
      </w:r>
    </w:p>
    <w:p w14:paraId="022106B9" w14:textId="501128AC" w:rsidR="00AE3142" w:rsidRDefault="0068332A" w:rsidP="007B2471">
      <w:pPr>
        <w:spacing w:after="120" w:line="360" w:lineRule="auto"/>
      </w:pPr>
      <w:r>
        <w:t>Major TCs at landfall (LI≥50 m s</w:t>
      </w:r>
      <w:r w:rsidRPr="0DF24974">
        <w:rPr>
          <w:vertAlign w:val="superscript"/>
        </w:rPr>
        <w:t>-1</w:t>
      </w:r>
      <w:r>
        <w:t>) are of particular interest as they account for most of the</w:t>
      </w:r>
      <w:r w:rsidR="000A4082">
        <w:t xml:space="preserve"> TC-related</w:t>
      </w:r>
      <w:r>
        <w:t xml:space="preserve"> damage</w:t>
      </w:r>
      <w:r w:rsidR="00924E28">
        <w:t xml:space="preserve"> </w:t>
      </w:r>
      <w:r w:rsidR="00173897">
        <w:fldChar w:fldCharType="begin" w:fldLock="1"/>
      </w:r>
      <w:r w:rsidR="00FD69AD">
        <w:instrText>ADDIN CSL_CITATION {"citationItems":[{"id":"ITEM-1","itemData":{"ISSN":"0882-8156","abstract":"Hurricanes are the costliest natural disasters in the United States. Understanding how both hurricane frequencies and intensities vary from year to year as well as how this is manifested in changes in damages that occur is a topic of great interest to meteorologists, public and private decision makers, and the general public alike. Previous research into long-term trends in hurricane-caused damage along the U.S. coast has suggested that damage has been quickly increasing within the last two decades, even after considering inflation. However, to best capture the year-to-year variability in tropical cyclone damage, consideration must also be given toward two additional factors: coastal population changes and changes in wealth. Both population and wealth have increased dramatically over the last several decades and act to enhance the recent hurricane damages preferentially over those occurring previously. More appropriate trends in the United States hurricane damages can be calculated when a normalization of the damages are done to take into account inflation and changes in coastal population and wealth. With this normalization, the trend of increasing damage amounts in recent decades disappears. Instead, substantial multidecadal variations in normalized damages are observed: the 1970s and 1980s actually incurred less damages than in the preceding few decades. Only during the early 1990s does damage approach the high level of impact seen back in the 1940s through the 1960s, showing that what has been observed recently is not unprecedented. Over the long term, the average annual impact of damages in the continental United States is about $4.8 billion (1995 $), substantially more than previous estimates. Of these damages, over 83% are accounted for by the intense hurricanes (Saffir–Simpson categories 3, 4, and 5), yet these make up only 21% of the U.S.-landfalling tropical cyclones.","author":[{"dropping-particle":"","family":"Pielke","given":"Roger A.","non-dropping-particle":"","parse-names":false,"suffix":""},{"dropping-particle":"","family":"Landsea","given":"Christopher W.","non-dropping-particle":"","parse-names":false,"suffix":""}],"container-title":"Weather and Forecasting","id":"ITEM-1","issue":"3","issued":{"date-parts":[["1998","9"]]},"page":"621-631","title":"Normalized Hurricane Damages in the United States: 1925–95","type":"article-journal","volume":"13"},"uris":["http://www.mendeley.com/documents/?uuid=267eb3fa-42fb-49f7-ba7e-8a575cceaed0"]}],"mendeley":{"formattedCitation":"&lt;sup&gt;9&lt;/sup&gt;","plainTextFormattedCitation":"9","previouslyFormattedCitation":"&lt;sup&gt;9&lt;/sup&gt;"},"properties":{"noteIndex":0},"schema":"https://github.com/citation-style-language/schema/raw/master/csl-citation.json"}</w:instrText>
      </w:r>
      <w:r w:rsidR="00173897">
        <w:fldChar w:fldCharType="separate"/>
      </w:r>
      <w:r w:rsidR="00FD69AD" w:rsidRPr="00FD69AD">
        <w:rPr>
          <w:noProof/>
          <w:vertAlign w:val="superscript"/>
        </w:rPr>
        <w:t>9</w:t>
      </w:r>
      <w:r w:rsidR="00173897">
        <w:fldChar w:fldCharType="end"/>
      </w:r>
      <w:r>
        <w:t>.</w:t>
      </w:r>
      <w:r w:rsidR="00164BEB">
        <w:t xml:space="preserve"> </w:t>
      </w:r>
      <w:r w:rsidR="00173897">
        <w:t>To date, no firm evidence has been found for a global</w:t>
      </w:r>
      <w:r w:rsidR="00BA7D7E">
        <w:t>ly</w:t>
      </w:r>
      <w:r w:rsidR="00173897">
        <w:t xml:space="preserve"> significant trend of the </w:t>
      </w:r>
      <w:r w:rsidR="00F226FA">
        <w:t xml:space="preserve">TC </w:t>
      </w:r>
      <w:r w:rsidR="00173897">
        <w:t>landfall intensity</w:t>
      </w:r>
      <w:r w:rsidR="00884603">
        <w:t xml:space="preserve"> or </w:t>
      </w:r>
      <w:r w:rsidR="00F226FA">
        <w:t>frequency above a</w:t>
      </w:r>
      <w:r w:rsidR="00BA7D7E">
        <w:t>n</w:t>
      </w:r>
      <w:r w:rsidR="00F226FA">
        <w:t xml:space="preserve"> intensity threshold</w:t>
      </w:r>
      <w:r w:rsidR="008C2537">
        <w:t xml:space="preserve"> </w:t>
      </w:r>
      <w:r w:rsidR="00173897">
        <w:fldChar w:fldCharType="begin" w:fldLock="1"/>
      </w:r>
      <w:r w:rsidR="00FD69AD">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landfalls","type":"article-journal","volume":"25"},"uris":["http://www.mendeley.com/documents/?uuid=0d8ccdb6-09c5-3e5b-9c11-de612a1c74c3"]},{"id":"ITEM-2","itemData":{"DOI":"10.1175/BAMS-D-18-0189.1","ISSN":"0003-0007","abstract":"An assessment was made of whether detectable changes in tropical cyclone (TC) activity are identifiable in observations and whether any changes can be attributed to anthropogenic climate change. Overall, historical data suggest detectable TC activity changes in some regions associated with TC track changes, while data quality and quantity issues create greater challenges for analyses based on TC intensity and frequency. A number of specific published conclusions (case studies) about possible detectable anthropogenic influence on TCs were assessed using the conventional approach of preferentially avoiding type I errors (i.e., overstating anthropogenic influence or detection). We conclude there is at least low to medium confidence that the observed poleward migration of the latitude of maximum intensity in the western North Pacific is detectable, or highly unusual compared to expected natural variability. Opinion on the author team was divided on whether any observed TC changes demonstrate discernible anthropogenic influence, or whether any other observed changes represent detectable changes. The issue was then reframed by assessing evidence for detectable anthropogenic influence while seeking to reduce the chance of type II errors (i.e., missing or understating anthropogenic influence or detection). For this purpose, we used a much weaker “balance of evidence” criterion for assessment. This leads to a number of more speculative TC detection and/or attribution statements, which we recognize have substantial potential for being false alarms (i.e., overstating anthropogenic influence or detection) but which may be useful for risk assessment. Several examples of these alternative statements, derived using this approach, are presented in the report.","author":[{"dropping-particle":"","family":"Knutson","given":"Thomas R.","non-dropping-particle":"","parse-names":false,"suffix":""},{"dropping-particle":"","family":"Camargo","given":"Suzana J.","non-dropping-particle":"","parse-names":false,"suffix":""},{"dropping-particle":"","family":"Chan","given":"Johnny C L","non-dropping-particle":"","parse-names":false,"suffix":""},{"dropping-particle":"","family":"Emanuel","given":"Kerry","non-dropping-particle":"","parse-names":false,"suffix":""},{"dropping-particle":"","family":"Ho","given":"Chang-Hoi","non-dropping-particle":"","parse-names":false,"suffix":""},{"dropping-particle":"","family":"Kossin","given":"James","non-dropping-particle":"","parse-names":false,"suffix":""},{"dropping-particle":"","family":"Mohapatra","given":"Mrutyunjay","non-dropping-particle":"","parse-names":false,"suffix":""},{"dropping-particle":"","family":"Satoh","given":"Masaki","non-dropping-particle":"","parse-names":false,"suffix":""},{"dropping-particle":"","family":"Sugi","given":"Masato","non-dropping-particle":"","parse-names":false,"suffix":""},{"dropping-particle":"","family":"Walsh","given":"Kevin","non-dropping-particle":"","parse-names":false,"suffix":""},{"dropping-particle":"","family":"Wu","given":"Liguang","non-dropping-particle":"","parse-names":false,"suffix":""}],"container-title":"Bulletin of the American Meteorological Society","id":"ITEM-2","issue":"10","issued":{"date-parts":[["2019","10"]]},"page":"1987-2007","title":"Tropical Cyclones and Climate Change Assessment: Part I: Detection and Attribution","type":"article-journal","volume":"100"},"uris":["http://www.mendeley.com/documents/?uuid=e1d28dab-087d-3b9b-a35e-5553b4780381"]}],"mendeley":{"formattedCitation":"&lt;sup&gt;10,11&lt;/sup&gt;","plainTextFormattedCitation":"10,11","previouslyFormattedCitation":"&lt;sup&gt;10,11&lt;/sup&gt;"},"properties":{"noteIndex":0},"schema":"https://github.com/citation-style-language/schema/raw/master/csl-citation.json"}</w:instrText>
      </w:r>
      <w:r w:rsidR="00173897">
        <w:fldChar w:fldCharType="separate"/>
      </w:r>
      <w:r w:rsidR="00FD69AD" w:rsidRPr="00FD69AD">
        <w:rPr>
          <w:noProof/>
          <w:vertAlign w:val="superscript"/>
        </w:rPr>
        <w:t>10,11</w:t>
      </w:r>
      <w:r w:rsidR="00173897">
        <w:fldChar w:fldCharType="end"/>
      </w:r>
      <w:r w:rsidR="00173897">
        <w:t>. However, over ocean</w:t>
      </w:r>
      <w:r w:rsidR="0000402A">
        <w:t>s</w:t>
      </w:r>
      <w:r w:rsidR="00173897">
        <w:t xml:space="preserve"> the fraction of major TCs and their LMI have both increased</w:t>
      </w:r>
      <w:r w:rsidR="008C2537">
        <w:t xml:space="preserve"> </w:t>
      </w:r>
      <w:r w:rsidR="00173897">
        <w:fldChar w:fldCharType="begin" w:fldLock="1"/>
      </w:r>
      <w:r w:rsidR="00FD69AD">
        <w:instrText>ADDIN CSL_CITATION {"citationItems":[{"id":"ITEM-1","itemData":{"DOI":"10.1073/pnas.1920849117","ISSN":"10916490","PMID":"32424081","abstract":"Theoretical understanding of the thermodynamic controls on tropical cyclone (TC) wind intensity, as well as numerical simulations, implies a positive trend in TC intensity in a warming world. The global instrumental record of TC intensity, however, is known to be heterogeneous in both space and time and is generally unsuitable for global trend analysis. To address this, a homogenized data record based on satellite data was previously created for the period 1982-2009. The 28-y homogenized record exhibited increasing global TC intensity trends, but they were not statistically significant at the 95% confidence level. Based on observed trends in the thermodynamic mean state of the tropical environment during this period, however, it was argued that the 28-y period was likely close to, but shorter than, the time required for a statistically significant positive global TC intensity trend to appear. Here the homogenized global TC intensity record is extended to the 39-y period 1979-2017, and statistically significant (at the 95% confidence level) increases are identified. Increases and trends are found in the exceedance probability and proportion of major (Saffir−Simpson categories 3 to 5) TC intensities, which is consistent with expectations based on theoretical understanding and trends identified in numerical simulations in warming scenarios. Major TCs pose, by far, the greatest threat to lives and property. Between the early and latter halves of the time period, the major TC exceedance probability increases by about 8% per decade, with a 95% CI of 2 to 15% per decade.","author":[{"dropping-particle":"","family":"Kossin","given":"James P.","non-dropping-particle":"","parse-names":false,"suffix":""},{"dropping-particle":"","family":"Knapp","given":"Kenneth R.","non-dropping-particle":"","parse-names":false,"suffix":""},{"dropping-particle":"","family":"Olander","given":"Timothy L.","non-dropping-particle":"","parse-names":false,"suffix":""},{"dropping-particle":"","family":"Velden","given":"Christopher S.","non-dropping-particle":"","parse-names":false,"suffix":""}],"container-title":"Proceedings of the National Academy of Sciences of the United States of America","id":"ITEM-1","issue":"22","issued":{"date-parts":[["2020"]]},"title":"Global increase in major tropical cyclone exceedance probability over the past four decades","type":"article-journal","volume":"117"},"uris":["http://www.mendeley.com/documents/?uuid=fd58e0e8-42c7-471c-ad9f-55529a326161"]},{"id":"ITEM-2","itemData":{"DOI":"10.1029/2020GL088589","ISSN":"0094-8276","author":[{"dropping-particle":"","family":"Wang","given":"Shuai","non-dropping-particle":"","parse-names":false,"suffix":""},{"dropping-particle":"","family":"Rashid","given":"T.","non-dropping-particle":"","parse-names":false,"suffix":""},{"dropping-particle":"","family":"Throp","given":"H.","non-dropping-particle":"","parse-names":false,"suffix":""},{"dropping-particle":"","family":"Toumi","given":"R.","non-dropping-particle":"","parse-names":false,"suffix":""}],"container-title":"Geophysical Research Letters","id":"ITEM-2","issue":"14","issued":{"date-parts":[["2020","7","28"]]},"title":"A Shortening of the Life Cycle of Major Tropical Cyclones","type":"article-journal","volume":"47"},"uris":["http://www.mendeley.com/documents/?uuid=bb8a78b5-9f1c-4ef7-9138-9de823681500"]}],"mendeley":{"formattedCitation":"&lt;sup&gt;12,13&lt;/sup&gt;","plainTextFormattedCitation":"12,13","previouslyFormattedCitation":"&lt;sup&gt;12,13&lt;/sup&gt;"},"properties":{"noteIndex":0},"schema":"https://github.com/citation-style-language/schema/raw/master/csl-citation.json"}</w:instrText>
      </w:r>
      <w:r w:rsidR="00173897">
        <w:fldChar w:fldCharType="separate"/>
      </w:r>
      <w:r w:rsidR="00FD69AD" w:rsidRPr="00FD69AD">
        <w:rPr>
          <w:noProof/>
          <w:vertAlign w:val="superscript"/>
        </w:rPr>
        <w:t>12,13</w:t>
      </w:r>
      <w:r w:rsidR="00173897">
        <w:fldChar w:fldCharType="end"/>
      </w:r>
      <w:r w:rsidR="00173897">
        <w:t>. The global LMI location is</w:t>
      </w:r>
      <w:r w:rsidR="000744C8">
        <w:t xml:space="preserve"> also</w:t>
      </w:r>
      <w:r w:rsidR="00173897">
        <w:t xml:space="preserve"> migrating towards the coasts</w:t>
      </w:r>
      <w:r w:rsidR="008C2537">
        <w:t xml:space="preserve"> </w:t>
      </w:r>
      <w:r w:rsidR="00173897">
        <w:fldChar w:fldCharType="begin" w:fldLock="1"/>
      </w:r>
      <w:r w:rsidR="00FD69AD">
        <w:instrText>ADDIN CSL_CITATION {"citationItems":[{"id":"ITEM-1","itemData":{"DOI":"10.1126/science.abb9038","ISBN":"1223326500","ISSN":"0036-8075","PMID":"33510027","abstract":"Poleward migrations of tropical cyclones have been observed globally, but their impact on coastal areas remains unclear. We investigated the change in global tropical cyclone activity in coastal regions over the period 1982–2018. We found that the distance of tropical cyclone maximum intensity to land has decreased by about 30 kilometers per decade, and that the annual frequency of global tropical cyclones increases with proximity to land by about two additional cyclones per decade. Trend analysis reveals a robust migration of tropical cyclone activity toward coasts, concurrent with poleward migration of cyclone locations as well as a statistically significant westward shift. This zonal shift of tropical cyclone tracks may be mainly driven by global zonal changes in environmental steering flow.","author":[{"dropping-particle":"","family":"Wang","given":"Shuai","non-dropping-particle":"","parse-names":false,"suffix":""},{"dropping-particle":"","family":"Toumi","given":"Ralf","non-dropping-particle":"","parse-names":false,"suffix":""}],"container-title":"Science","id":"ITEM-1","issue":"6528","issued":{"date-parts":[["2021","1","29"]]},"page":"514-517","title":"Recent migration of tropical cyclones toward coasts","type":"article-journal","volume":"371"},"uris":["http://www.mendeley.com/documents/?uuid=1aaca1f5-cfcb-41b0-b408-59bd9b1e37bc"]}],"mendeley":{"formattedCitation":"&lt;sup&gt;7&lt;/sup&gt;","plainTextFormattedCitation":"7","previouslyFormattedCitation":"&lt;sup&gt;7&lt;/sup&gt;"},"properties":{"noteIndex":0},"schema":"https://github.com/citation-style-language/schema/raw/master/csl-citation.json"}</w:instrText>
      </w:r>
      <w:r w:rsidR="00173897">
        <w:fldChar w:fldCharType="separate"/>
      </w:r>
      <w:r w:rsidR="00FD69AD" w:rsidRPr="00FD69AD">
        <w:rPr>
          <w:noProof/>
          <w:vertAlign w:val="superscript"/>
        </w:rPr>
        <w:t>7</w:t>
      </w:r>
      <w:r w:rsidR="00173897">
        <w:fldChar w:fldCharType="end"/>
      </w:r>
      <w:r w:rsidR="00173897">
        <w:t>.</w:t>
      </w:r>
      <w:r w:rsidR="00883F27" w:rsidRPr="00883F27">
        <w:t xml:space="preserve"> </w:t>
      </w:r>
      <w:r w:rsidR="00883F27">
        <w:t>Why have the landfall changes of TCs been so small making them difficult to detect?</w:t>
      </w:r>
    </w:p>
    <w:p w14:paraId="5538D54D" w14:textId="071DBF51" w:rsidR="00D82E13" w:rsidRDefault="00173897" w:rsidP="007B2471">
      <w:pPr>
        <w:spacing w:after="120" w:line="360" w:lineRule="auto"/>
      </w:pPr>
      <w:r>
        <w:lastRenderedPageBreak/>
        <w:t xml:space="preserve">Here we present a new analysis of global </w:t>
      </w:r>
      <w:r w:rsidR="00F226FA">
        <w:t xml:space="preserve">TC </w:t>
      </w:r>
      <w:r>
        <w:t xml:space="preserve">landfall </w:t>
      </w:r>
      <w:r w:rsidR="002F6742">
        <w:t>changes</w:t>
      </w:r>
      <w:r w:rsidR="00BA7D7E">
        <w:t>.</w:t>
      </w:r>
      <w:r w:rsidR="002767C7">
        <w:t xml:space="preserve"> </w:t>
      </w:r>
      <w:r w:rsidR="00AE3142" w:rsidRPr="00AE3142">
        <w:t>The major landfall count and the intensity change of major TCs are the foci of this study. For clarity the following terms are used in the rest of the study, unless otherwise indicated: “</w:t>
      </w:r>
      <w:r w:rsidR="00AE3142" w:rsidRPr="00AE3142">
        <w:rPr>
          <w:b/>
          <w:bCs/>
        </w:rPr>
        <w:t>landfall</w:t>
      </w:r>
      <w:r w:rsidR="00AE3142" w:rsidRPr="00AE3142">
        <w:t>” is for major landfall events with LIs of at least major intensity (</w:t>
      </w:r>
      <w:r w:rsidR="00AE3142">
        <w:t xml:space="preserve">i.e., LI </w:t>
      </w:r>
      <w:r w:rsidR="00AE3142" w:rsidRPr="00AE3142">
        <w:t>≥ 50 m s</w:t>
      </w:r>
      <w:r w:rsidR="00AE3142" w:rsidRPr="00AE3142">
        <w:rPr>
          <w:vertAlign w:val="superscript"/>
        </w:rPr>
        <w:t>-1</w:t>
      </w:r>
      <w:r w:rsidR="00AE3142" w:rsidRPr="00AE3142">
        <w:t>) and “</w:t>
      </w:r>
      <w:r w:rsidR="00AE3142" w:rsidRPr="00AE3142">
        <w:rPr>
          <w:b/>
          <w:bCs/>
        </w:rPr>
        <w:t>TC</w:t>
      </w:r>
      <w:r w:rsidR="00AE3142" w:rsidRPr="00AE3142">
        <w:t>” is for landfalling cyclones with LMIs of at least major intensity</w:t>
      </w:r>
      <w:r w:rsidR="00AE3142">
        <w:t xml:space="preserve"> (i.e., LMI ≥ 50 m s</w:t>
      </w:r>
      <w:r w:rsidR="00AE3142">
        <w:rPr>
          <w:vertAlign w:val="superscript"/>
        </w:rPr>
        <w:t>-1</w:t>
      </w:r>
      <w:r w:rsidR="00AE3142">
        <w:t>)</w:t>
      </w:r>
      <w:r w:rsidR="00AE3142" w:rsidRPr="00AE3142">
        <w:t>.</w:t>
      </w:r>
      <w:r w:rsidR="00BA7D7E">
        <w:t xml:space="preserve"> We will</w:t>
      </w:r>
      <w:r w:rsidR="005336EE">
        <w:t xml:space="preserve"> show</w:t>
      </w:r>
      <w:r w:rsidR="00A974C8">
        <w:t xml:space="preserve"> that </w:t>
      </w:r>
      <w:r w:rsidR="005336EE">
        <w:t xml:space="preserve">the annual global number of landfalls has </w:t>
      </w:r>
      <w:r w:rsidR="00AE2AD9">
        <w:t xml:space="preserve">increased </w:t>
      </w:r>
      <w:r w:rsidR="005336EE">
        <w:t>significantly from 1982 to 20</w:t>
      </w:r>
      <w:r w:rsidR="00AE2AD9">
        <w:t>20</w:t>
      </w:r>
      <w:r>
        <w:t xml:space="preserve">. </w:t>
      </w:r>
    </w:p>
    <w:p w14:paraId="7CD02866" w14:textId="77777777" w:rsidR="00DC677F" w:rsidRDefault="00DC677F" w:rsidP="00DC677F">
      <w:pPr>
        <w:pBdr>
          <w:top w:val="nil"/>
          <w:left w:val="nil"/>
          <w:bottom w:val="nil"/>
          <w:right w:val="nil"/>
          <w:between w:val="nil"/>
        </w:pBdr>
        <w:spacing w:after="120" w:line="360" w:lineRule="auto"/>
        <w:rPr>
          <w:b/>
          <w:bCs/>
        </w:rPr>
      </w:pPr>
    </w:p>
    <w:p w14:paraId="30238E9C" w14:textId="2D8906A1" w:rsidR="00AD7967" w:rsidRPr="00DC677F" w:rsidRDefault="00173897" w:rsidP="00DC677F">
      <w:pPr>
        <w:pBdr>
          <w:top w:val="nil"/>
          <w:left w:val="nil"/>
          <w:bottom w:val="nil"/>
          <w:right w:val="nil"/>
          <w:between w:val="nil"/>
        </w:pBdr>
        <w:spacing w:after="120" w:line="360" w:lineRule="auto"/>
        <w:rPr>
          <w:color w:val="000000"/>
        </w:rPr>
      </w:pPr>
      <w:r w:rsidRPr="00625778">
        <w:rPr>
          <w:b/>
        </w:rPr>
        <w:t>Results</w:t>
      </w:r>
    </w:p>
    <w:p w14:paraId="5AA9F859" w14:textId="2690E624" w:rsidR="00A152A0" w:rsidRPr="00917B57" w:rsidRDefault="00173897" w:rsidP="00A80B9A">
      <w:pPr>
        <w:spacing w:after="120" w:line="360" w:lineRule="auto"/>
      </w:pPr>
      <w:r w:rsidRPr="4DB3E4A3">
        <w:rPr>
          <w:rFonts w:eastAsia="Gungsuh"/>
        </w:rPr>
        <w:t>Fig. 1</w:t>
      </w:r>
      <w:r w:rsidR="00590013" w:rsidRPr="4DB3E4A3">
        <w:rPr>
          <w:rFonts w:eastAsia="Gungsuh"/>
        </w:rPr>
        <w:t>a</w:t>
      </w:r>
      <w:r w:rsidRPr="4DB3E4A3">
        <w:rPr>
          <w:rFonts w:eastAsia="Gungsuh"/>
        </w:rPr>
        <w:t xml:space="preserve"> shows an increase in the global number of </w:t>
      </w:r>
      <w:r w:rsidR="001E2D57" w:rsidRPr="4DB3E4A3">
        <w:rPr>
          <w:rFonts w:eastAsia="Gungsuh"/>
        </w:rPr>
        <w:t>landfalls</w:t>
      </w:r>
      <w:r>
        <w:t xml:space="preserve"> </w:t>
      </w:r>
      <w:r w:rsidR="00590013">
        <w:t>with</w:t>
      </w:r>
      <w:r w:rsidR="00097D25" w:rsidRPr="4DB3E4A3">
        <w:rPr>
          <w:rFonts w:eastAsia="Gungsuh"/>
        </w:rPr>
        <w:t xml:space="preserve"> a doubling time</w:t>
      </w:r>
      <w:r w:rsidR="00D70F66">
        <w:rPr>
          <w:rFonts w:eastAsia="Gungsuh"/>
        </w:rPr>
        <w:t xml:space="preserve"> (see Methods)</w:t>
      </w:r>
      <w:r w:rsidR="00097D25" w:rsidRPr="4DB3E4A3">
        <w:rPr>
          <w:rFonts w:eastAsia="Gungsuh"/>
        </w:rPr>
        <w:t xml:space="preserve"> of </w:t>
      </w:r>
      <w:r w:rsidR="002B5956" w:rsidRPr="4DB3E4A3">
        <w:rPr>
          <w:rFonts w:eastAsia="Gungsuh"/>
        </w:rPr>
        <w:t>46</w:t>
      </w:r>
      <w:r w:rsidR="00097D25" w:rsidRPr="4DB3E4A3">
        <w:rPr>
          <w:rFonts w:eastAsia="Gungsuh"/>
        </w:rPr>
        <w:t xml:space="preserve"> years</w:t>
      </w:r>
      <w:r w:rsidR="00A61D0E" w:rsidRPr="4DB3E4A3">
        <w:rPr>
          <w:rFonts w:eastAsia="Gungsuh"/>
        </w:rPr>
        <w:t xml:space="preserve"> (</w:t>
      </w:r>
      <w:r w:rsidR="00A61D0E" w:rsidRPr="4DB3E4A3">
        <w:rPr>
          <w:rFonts w:eastAsia="Gungsuh"/>
          <w:i/>
          <w:iCs/>
        </w:rPr>
        <w:t>p</w:t>
      </w:r>
      <w:r w:rsidR="00A61D0E" w:rsidRPr="4DB3E4A3">
        <w:rPr>
          <w:rFonts w:eastAsia="Gungsuh"/>
        </w:rPr>
        <w:t>&lt;0.05)</w:t>
      </w:r>
      <w:r w:rsidR="0082747F" w:rsidRPr="4DB3E4A3">
        <w:rPr>
          <w:rFonts w:eastAsia="Gungsuh"/>
        </w:rPr>
        <w:t>.</w:t>
      </w:r>
      <w:r w:rsidRPr="4DB3E4A3">
        <w:rPr>
          <w:rFonts w:eastAsia="Gungsuh"/>
        </w:rPr>
        <w:t xml:space="preserve"> </w:t>
      </w:r>
      <w:r w:rsidR="03B61A3A" w:rsidRPr="4DB3E4A3">
        <w:rPr>
          <w:rFonts w:eastAsia="Gungsuh"/>
        </w:rPr>
        <w:t xml:space="preserve">There has been an </w:t>
      </w:r>
      <w:r w:rsidRPr="4DB3E4A3">
        <w:rPr>
          <w:rFonts w:eastAsia="Gungsuh"/>
        </w:rPr>
        <w:t xml:space="preserve">approximately doubling of </w:t>
      </w:r>
      <w:r w:rsidR="00DA2908" w:rsidRPr="4DB3E4A3">
        <w:rPr>
          <w:rFonts w:eastAsia="Gungsuh"/>
        </w:rPr>
        <w:t>landfall</w:t>
      </w:r>
      <w:r w:rsidR="00DD6AFD" w:rsidRPr="4DB3E4A3">
        <w:rPr>
          <w:rFonts w:eastAsia="Gungsuh"/>
        </w:rPr>
        <w:t>s</w:t>
      </w:r>
      <w:r w:rsidR="00DA2908" w:rsidRPr="4DB3E4A3">
        <w:rPr>
          <w:rFonts w:eastAsia="Gungsuh"/>
        </w:rPr>
        <w:t xml:space="preserve"> </w:t>
      </w:r>
      <w:r w:rsidRPr="4DB3E4A3">
        <w:rPr>
          <w:rFonts w:eastAsia="Gungsuh"/>
        </w:rPr>
        <w:t xml:space="preserve">from about </w:t>
      </w:r>
      <w:r w:rsidR="00DD6AFD" w:rsidRPr="4DB3E4A3">
        <w:rPr>
          <w:rFonts w:eastAsia="Gungsuh"/>
        </w:rPr>
        <w:t xml:space="preserve">four </w:t>
      </w:r>
      <w:r w:rsidRPr="4DB3E4A3">
        <w:rPr>
          <w:rFonts w:eastAsia="Gungsuh"/>
        </w:rPr>
        <w:t xml:space="preserve">to </w:t>
      </w:r>
      <w:r w:rsidR="00DD6AFD" w:rsidRPr="4DB3E4A3">
        <w:rPr>
          <w:rFonts w:eastAsia="Gungsuh"/>
        </w:rPr>
        <w:t>seven</w:t>
      </w:r>
      <w:r w:rsidRPr="4DB3E4A3">
        <w:rPr>
          <w:rFonts w:eastAsia="Gungsuh"/>
        </w:rPr>
        <w:t xml:space="preserve"> annually over the last forty years.</w:t>
      </w:r>
      <w:r w:rsidR="007A3CD4" w:rsidRPr="4DB3E4A3">
        <w:rPr>
          <w:rFonts w:eastAsia="Gungsuh"/>
        </w:rPr>
        <w:t xml:space="preserve"> However, this significant increase of </w:t>
      </w:r>
      <w:r w:rsidR="00B35471" w:rsidRPr="4DB3E4A3">
        <w:rPr>
          <w:rFonts w:eastAsia="Gungsuh"/>
        </w:rPr>
        <w:t>landfall</w:t>
      </w:r>
      <w:r w:rsidR="003749E1" w:rsidRPr="4DB3E4A3">
        <w:rPr>
          <w:rFonts w:eastAsia="Gungsuh"/>
        </w:rPr>
        <w:t>s</w:t>
      </w:r>
      <w:r w:rsidR="007A3CD4" w:rsidRPr="4DB3E4A3">
        <w:rPr>
          <w:rFonts w:eastAsia="Gungsuh"/>
        </w:rPr>
        <w:t xml:space="preserve"> is only observed at the global scale (Table 1).</w:t>
      </w:r>
      <w:r w:rsidR="00F7453C" w:rsidRPr="4DB3E4A3">
        <w:rPr>
          <w:rFonts w:eastAsia="Gungsuh"/>
        </w:rPr>
        <w:t xml:space="preserve"> </w:t>
      </w:r>
      <w:r w:rsidR="00CA3C70" w:rsidRPr="4DB3E4A3">
        <w:rPr>
          <w:rFonts w:eastAsia="Gungsuh"/>
        </w:rPr>
        <w:t>There is also an increase in the global number of TC</w:t>
      </w:r>
      <w:r w:rsidR="000E5BDC" w:rsidRPr="4DB3E4A3">
        <w:rPr>
          <w:rFonts w:eastAsia="Gungsuh"/>
        </w:rPr>
        <w:t>s</w:t>
      </w:r>
      <w:r w:rsidR="00CA3C70" w:rsidRPr="4DB3E4A3">
        <w:rPr>
          <w:rFonts w:eastAsia="Gungsuh"/>
        </w:rPr>
        <w:t xml:space="preserve"> (Fig. 1b)</w:t>
      </w:r>
      <w:r w:rsidR="00CA3C70" w:rsidRPr="4DB3E4A3">
        <w:rPr>
          <w:rFonts w:eastAsia="Gungsuh"/>
          <w:lang w:val="en-US"/>
        </w:rPr>
        <w:t>, showing</w:t>
      </w:r>
      <w:r w:rsidR="00CA3C70" w:rsidRPr="4DB3E4A3">
        <w:rPr>
          <w:rFonts w:eastAsia="Gungsuh"/>
        </w:rPr>
        <w:t xml:space="preserve"> a </w:t>
      </w:r>
      <w:r w:rsidR="00C66BA7" w:rsidRPr="4DB3E4A3">
        <w:rPr>
          <w:rFonts w:eastAsia="Gungsuh"/>
        </w:rPr>
        <w:t>consistent and</w:t>
      </w:r>
      <w:r w:rsidR="00CA3C70" w:rsidRPr="4DB3E4A3">
        <w:rPr>
          <w:rFonts w:eastAsia="Gungsuh"/>
        </w:rPr>
        <w:t xml:space="preserve"> significant doubling time of </w:t>
      </w:r>
      <w:r w:rsidR="00C66BA7" w:rsidRPr="4DB3E4A3">
        <w:rPr>
          <w:rFonts w:eastAsia="Gungsuh"/>
        </w:rPr>
        <w:t>47</w:t>
      </w:r>
      <w:r w:rsidR="00CA3C70" w:rsidRPr="4DB3E4A3">
        <w:rPr>
          <w:rFonts w:eastAsia="Gungsuh"/>
        </w:rPr>
        <w:t xml:space="preserve"> years (</w:t>
      </w:r>
      <w:r w:rsidR="00CA3C70" w:rsidRPr="4DB3E4A3">
        <w:rPr>
          <w:rFonts w:eastAsia="Gungsuh"/>
          <w:i/>
          <w:iCs/>
        </w:rPr>
        <w:t>p</w:t>
      </w:r>
      <w:r w:rsidR="00CA3C70" w:rsidRPr="4DB3E4A3">
        <w:rPr>
          <w:rFonts w:eastAsia="Gungsuh"/>
        </w:rPr>
        <w:t>&lt;0.05).</w:t>
      </w:r>
      <w:r w:rsidR="00DC365C" w:rsidRPr="4DB3E4A3">
        <w:rPr>
          <w:rFonts w:eastAsia="Gungsuh"/>
        </w:rPr>
        <w:t xml:space="preserve"> </w:t>
      </w:r>
      <w:r w:rsidR="004F5D1F" w:rsidRPr="4DB3E4A3">
        <w:rPr>
          <w:rFonts w:eastAsia="Gungsuh"/>
        </w:rPr>
        <w:t xml:space="preserve">A </w:t>
      </w:r>
      <w:r w:rsidR="00DC365C" w:rsidRPr="4DB3E4A3">
        <w:rPr>
          <w:rFonts w:eastAsia="Gungsuh"/>
        </w:rPr>
        <w:t>long</w:t>
      </w:r>
      <w:r w:rsidR="000D57EB">
        <w:rPr>
          <w:rFonts w:eastAsia="Gungsuh"/>
        </w:rPr>
        <w:t>er</w:t>
      </w:r>
      <w:r w:rsidR="00DC365C" w:rsidRPr="4DB3E4A3">
        <w:rPr>
          <w:rFonts w:eastAsia="Gungsuh"/>
        </w:rPr>
        <w:t xml:space="preserve"> but still </w:t>
      </w:r>
      <w:r w:rsidR="004F5D1F" w:rsidRPr="4DB3E4A3">
        <w:rPr>
          <w:rFonts w:eastAsia="Gungsuh"/>
        </w:rPr>
        <w:t>significant doubling of 5</w:t>
      </w:r>
      <w:r w:rsidR="00DC365C" w:rsidRPr="4DB3E4A3">
        <w:rPr>
          <w:rFonts w:eastAsia="Gungsuh"/>
        </w:rPr>
        <w:t>6</w:t>
      </w:r>
      <w:r w:rsidR="004F5D1F" w:rsidRPr="4DB3E4A3">
        <w:rPr>
          <w:rFonts w:eastAsia="Gungsuh"/>
        </w:rPr>
        <w:t xml:space="preserve"> years is also observed in the</w:t>
      </w:r>
      <w:r w:rsidR="00D704DF">
        <w:rPr>
          <w:rFonts w:eastAsia="Gungsuh"/>
        </w:rPr>
        <w:t xml:space="preserve"> West Pacific</w:t>
      </w:r>
      <w:r w:rsidR="004F5D1F" w:rsidRPr="4DB3E4A3">
        <w:rPr>
          <w:rFonts w:eastAsia="Gungsuh"/>
        </w:rPr>
        <w:t xml:space="preserve"> </w:t>
      </w:r>
      <w:r w:rsidR="00D704DF">
        <w:rPr>
          <w:rFonts w:eastAsia="Gungsuh"/>
        </w:rPr>
        <w:t>(</w:t>
      </w:r>
      <w:r w:rsidR="004F5D1F" w:rsidRPr="4DB3E4A3">
        <w:rPr>
          <w:rFonts w:eastAsia="Gungsuh"/>
        </w:rPr>
        <w:t>WPAC</w:t>
      </w:r>
      <w:r w:rsidR="00716EDD">
        <w:rPr>
          <w:rFonts w:eastAsia="Gungsuh"/>
        </w:rPr>
        <w:t xml:space="preserve">, </w:t>
      </w:r>
      <w:r w:rsidR="00D84DD7" w:rsidRPr="4DB3E4A3">
        <w:rPr>
          <w:rFonts w:eastAsia="Gungsuh"/>
        </w:rPr>
        <w:t>Table 1)</w:t>
      </w:r>
      <w:r w:rsidR="004F5D1F" w:rsidRPr="4DB3E4A3">
        <w:rPr>
          <w:rFonts w:eastAsia="Gungsuh"/>
        </w:rPr>
        <w:t>.</w:t>
      </w:r>
      <w:r w:rsidR="0004103F" w:rsidRPr="4DB3E4A3">
        <w:rPr>
          <w:rFonts w:eastAsia="Gungsuh"/>
        </w:rPr>
        <w:t xml:space="preserve"> The significant increase of TC</w:t>
      </w:r>
      <w:r w:rsidR="00C945D4" w:rsidRPr="4DB3E4A3">
        <w:rPr>
          <w:rFonts w:eastAsia="Gungsuh"/>
        </w:rPr>
        <w:t>s and landfalls</w:t>
      </w:r>
      <w:r w:rsidR="0004103F" w:rsidRPr="4DB3E4A3">
        <w:rPr>
          <w:rFonts w:eastAsia="Gungsuh"/>
        </w:rPr>
        <w:t xml:space="preserve"> </w:t>
      </w:r>
      <w:r w:rsidR="003B1261" w:rsidRPr="4DB3E4A3">
        <w:rPr>
          <w:rFonts w:eastAsia="Gungsuh"/>
        </w:rPr>
        <w:t>in Fig. 1</w:t>
      </w:r>
      <w:r w:rsidR="0004103F" w:rsidRPr="4DB3E4A3">
        <w:rPr>
          <w:rFonts w:eastAsia="Gungsuh"/>
        </w:rPr>
        <w:t xml:space="preserve"> is not sensitive to the choice of the regression model</w:t>
      </w:r>
      <w:r w:rsidR="00DC677F">
        <w:rPr>
          <w:rFonts w:eastAsia="Gungsuh"/>
        </w:rPr>
        <w:t xml:space="preserve"> (see Methods)</w:t>
      </w:r>
      <w:r w:rsidR="00C4648D" w:rsidRPr="4DB3E4A3">
        <w:rPr>
          <w:rFonts w:eastAsia="Gungsuh"/>
        </w:rPr>
        <w:t>. Linear trend a</w:t>
      </w:r>
      <w:r w:rsidR="004E459D" w:rsidRPr="4DB3E4A3">
        <w:rPr>
          <w:rFonts w:eastAsia="Gungsuh"/>
        </w:rPr>
        <w:t xml:space="preserve">nalysis </w:t>
      </w:r>
      <w:r w:rsidR="00C63557" w:rsidRPr="4DB3E4A3">
        <w:rPr>
          <w:rFonts w:eastAsia="Gungsuh"/>
        </w:rPr>
        <w:t>also</w:t>
      </w:r>
      <w:r w:rsidR="004E459D" w:rsidRPr="4DB3E4A3">
        <w:rPr>
          <w:rFonts w:eastAsia="Gungsuh"/>
        </w:rPr>
        <w:t xml:space="preserve"> shows </w:t>
      </w:r>
      <w:r w:rsidR="00A92D12" w:rsidRPr="4DB3E4A3">
        <w:rPr>
          <w:rFonts w:eastAsia="Gungsuh"/>
        </w:rPr>
        <w:t xml:space="preserve">a </w:t>
      </w:r>
      <w:r w:rsidR="004E459D" w:rsidRPr="4DB3E4A3">
        <w:rPr>
          <w:rFonts w:eastAsia="Gungsuh"/>
        </w:rPr>
        <w:t>significant increase in the annual</w:t>
      </w:r>
      <w:r w:rsidR="000B40F7" w:rsidRPr="4DB3E4A3">
        <w:rPr>
          <w:rFonts w:eastAsia="Gungsuh"/>
        </w:rPr>
        <w:t xml:space="preserve"> </w:t>
      </w:r>
      <w:r w:rsidR="007D1DDE" w:rsidRPr="4DB3E4A3">
        <w:rPr>
          <w:rFonts w:eastAsia="Gungsuh"/>
        </w:rPr>
        <w:t xml:space="preserve">number of </w:t>
      </w:r>
      <w:r w:rsidR="008E1780" w:rsidRPr="4DB3E4A3">
        <w:rPr>
          <w:rFonts w:eastAsia="Gungsuh"/>
        </w:rPr>
        <w:t>landfalls</w:t>
      </w:r>
      <w:r w:rsidR="007D1DDE" w:rsidRPr="4DB3E4A3">
        <w:rPr>
          <w:rFonts w:eastAsia="Gungsuh"/>
        </w:rPr>
        <w:t xml:space="preserve"> </w:t>
      </w:r>
      <w:r w:rsidR="004E459D" w:rsidRPr="4DB3E4A3">
        <w:rPr>
          <w:rFonts w:eastAsia="Gungsuh"/>
        </w:rPr>
        <w:t xml:space="preserve">(Fig. 1a, </w:t>
      </w:r>
      <w:r w:rsidR="00C63557" w:rsidRPr="4DB3E4A3">
        <w:rPr>
          <w:rFonts w:eastAsia="Gungsuh"/>
        </w:rPr>
        <w:t>+</w:t>
      </w:r>
      <w:r w:rsidR="00CB0C24" w:rsidRPr="4DB3E4A3">
        <w:rPr>
          <w:rFonts w:eastAsia="Gungsuh"/>
        </w:rPr>
        <w:t>0.</w:t>
      </w:r>
      <w:r w:rsidR="00134CB0" w:rsidRPr="4DB3E4A3">
        <w:rPr>
          <w:rFonts w:eastAsia="Gungsuh"/>
        </w:rPr>
        <w:t>8</w:t>
      </w:r>
      <w:r w:rsidR="00A260F4" w:rsidRPr="4DB3E4A3">
        <w:rPr>
          <w:rFonts w:eastAsia="Gungsuh"/>
        </w:rPr>
        <w:t xml:space="preserve"> count</w:t>
      </w:r>
      <w:r w:rsidR="004E459D" w:rsidRPr="4DB3E4A3">
        <w:rPr>
          <w:rFonts w:eastAsia="Gungsuh"/>
        </w:rPr>
        <w:t xml:space="preserve"> per decade</w:t>
      </w:r>
      <w:r w:rsidR="00A260F4" w:rsidRPr="4DB3E4A3">
        <w:rPr>
          <w:rFonts w:eastAsia="Gungsuh"/>
        </w:rPr>
        <w:t xml:space="preserve">, </w:t>
      </w:r>
      <w:r w:rsidR="00A260F4" w:rsidRPr="4DB3E4A3">
        <w:rPr>
          <w:rFonts w:eastAsia="Gungsuh"/>
          <w:i/>
          <w:iCs/>
        </w:rPr>
        <w:t>p</w:t>
      </w:r>
      <w:r w:rsidR="00A260F4" w:rsidRPr="4DB3E4A3">
        <w:rPr>
          <w:rFonts w:eastAsia="Gungsuh"/>
        </w:rPr>
        <w:t>&lt;0.05</w:t>
      </w:r>
      <w:r w:rsidR="004E459D" w:rsidRPr="4DB3E4A3">
        <w:rPr>
          <w:rFonts w:eastAsia="Gungsuh"/>
        </w:rPr>
        <w:t>) and</w:t>
      </w:r>
      <w:r w:rsidR="000B40F7" w:rsidRPr="4DB3E4A3">
        <w:rPr>
          <w:rFonts w:eastAsia="Gungsuh"/>
        </w:rPr>
        <w:t xml:space="preserve"> </w:t>
      </w:r>
      <w:r w:rsidR="006542B6" w:rsidRPr="4DB3E4A3">
        <w:rPr>
          <w:rFonts w:eastAsia="Gungsuh"/>
        </w:rPr>
        <w:t xml:space="preserve">TCs </w:t>
      </w:r>
      <w:r w:rsidR="000B40F7" w:rsidRPr="4DB3E4A3">
        <w:rPr>
          <w:rFonts w:eastAsia="Gungsuh"/>
        </w:rPr>
        <w:t xml:space="preserve">(Fig. 1b, </w:t>
      </w:r>
      <w:r w:rsidR="00C63557" w:rsidRPr="4DB3E4A3">
        <w:rPr>
          <w:rFonts w:eastAsia="Gungsuh"/>
        </w:rPr>
        <w:t>+</w:t>
      </w:r>
      <w:r w:rsidR="00C84EA3" w:rsidRPr="4DB3E4A3">
        <w:rPr>
          <w:rFonts w:eastAsia="Gungsuh"/>
        </w:rPr>
        <w:t>1.</w:t>
      </w:r>
      <w:r w:rsidR="00134CB0" w:rsidRPr="4DB3E4A3">
        <w:rPr>
          <w:rFonts w:eastAsia="Gungsuh"/>
        </w:rPr>
        <w:t>6</w:t>
      </w:r>
      <w:r w:rsidR="008B1AB0" w:rsidRPr="4DB3E4A3">
        <w:rPr>
          <w:rFonts w:eastAsia="Gungsuh"/>
        </w:rPr>
        <w:t xml:space="preserve"> </w:t>
      </w:r>
      <w:r w:rsidR="00A260F4" w:rsidRPr="4DB3E4A3">
        <w:rPr>
          <w:rFonts w:eastAsia="Gungsuh"/>
          <w:lang w:val="en-US"/>
        </w:rPr>
        <w:t>count</w:t>
      </w:r>
      <w:r w:rsidR="000B40F7" w:rsidRPr="4DB3E4A3">
        <w:rPr>
          <w:rFonts w:eastAsia="Gungsuh"/>
        </w:rPr>
        <w:t xml:space="preserve"> per decade</w:t>
      </w:r>
      <w:r w:rsidR="00A260F4" w:rsidRPr="4DB3E4A3">
        <w:rPr>
          <w:rFonts w:eastAsia="Gungsuh"/>
        </w:rPr>
        <w:t xml:space="preserve">, </w:t>
      </w:r>
      <w:r w:rsidR="00A260F4" w:rsidRPr="4DB3E4A3">
        <w:rPr>
          <w:rFonts w:eastAsia="Gungsuh"/>
          <w:i/>
          <w:iCs/>
        </w:rPr>
        <w:t>p</w:t>
      </w:r>
      <w:r w:rsidR="00A260F4" w:rsidRPr="4DB3E4A3">
        <w:rPr>
          <w:rFonts w:eastAsia="Gungsuh"/>
        </w:rPr>
        <w:t>&lt;0.05</w:t>
      </w:r>
      <w:r w:rsidR="000B40F7" w:rsidRPr="4DB3E4A3">
        <w:rPr>
          <w:rFonts w:eastAsia="Gungsuh"/>
        </w:rPr>
        <w:t>).</w:t>
      </w:r>
      <w:r w:rsidR="008A45BA" w:rsidRPr="4DB3E4A3">
        <w:rPr>
          <w:rFonts w:eastAsia="Gungsuh"/>
        </w:rPr>
        <w:t xml:space="preserve"> </w:t>
      </w:r>
      <w:r w:rsidR="00A75522" w:rsidRPr="4DB3E4A3">
        <w:rPr>
          <w:rFonts w:eastAsia="Gungsuh"/>
        </w:rPr>
        <w:t>Fig. 1c shows that about</w:t>
      </w:r>
      <w:r w:rsidR="00972204" w:rsidRPr="4DB3E4A3">
        <w:rPr>
          <w:rFonts w:eastAsia="Gungsuh"/>
        </w:rPr>
        <w:t xml:space="preserve"> </w:t>
      </w:r>
      <w:r w:rsidR="008C0C2B" w:rsidRPr="4DB3E4A3">
        <w:rPr>
          <w:rFonts w:eastAsia="Gungsuh"/>
        </w:rPr>
        <w:t>45</w:t>
      </w:r>
      <w:r w:rsidR="00972204" w:rsidRPr="4DB3E4A3">
        <w:rPr>
          <w:rFonts w:eastAsia="Gungsuh"/>
        </w:rPr>
        <w:t>% of</w:t>
      </w:r>
      <w:r w:rsidR="008A45BA" w:rsidRPr="4DB3E4A3">
        <w:rPr>
          <w:rFonts w:eastAsia="Gungsuh"/>
        </w:rPr>
        <w:t xml:space="preserve"> TCs </w:t>
      </w:r>
      <w:r w:rsidR="00944A91" w:rsidRPr="4DB3E4A3">
        <w:rPr>
          <w:rFonts w:eastAsia="Gungsuh"/>
        </w:rPr>
        <w:t>maintains the major intensity to land</w:t>
      </w:r>
      <w:r w:rsidR="00972204" w:rsidRPr="4DB3E4A3">
        <w:rPr>
          <w:rFonts w:eastAsia="Gungsuh"/>
        </w:rPr>
        <w:t xml:space="preserve">, and this fraction has not changed significantly </w:t>
      </w:r>
      <w:r w:rsidR="00CA128B" w:rsidRPr="4DB3E4A3">
        <w:rPr>
          <w:rFonts w:eastAsia="Gungsuh"/>
        </w:rPr>
        <w:t>(</w:t>
      </w:r>
      <w:r w:rsidR="00CA128B" w:rsidRPr="4DB3E4A3">
        <w:rPr>
          <w:rFonts w:eastAsia="Gungsuh"/>
          <w:i/>
          <w:iCs/>
        </w:rPr>
        <w:t>p</w:t>
      </w:r>
      <w:r w:rsidR="00CA128B" w:rsidRPr="4DB3E4A3">
        <w:rPr>
          <w:rFonts w:eastAsia="Gungsuh"/>
        </w:rPr>
        <w:t>=0.</w:t>
      </w:r>
      <w:r w:rsidR="002F3BB7" w:rsidRPr="4DB3E4A3">
        <w:rPr>
          <w:rFonts w:eastAsia="Gungsuh"/>
        </w:rPr>
        <w:t>52</w:t>
      </w:r>
      <w:r w:rsidR="00CA128B" w:rsidRPr="4DB3E4A3">
        <w:rPr>
          <w:rFonts w:eastAsia="Gungsuh"/>
        </w:rPr>
        <w:t>) for 1982-20</w:t>
      </w:r>
      <w:r w:rsidR="002F3BB7" w:rsidRPr="4DB3E4A3">
        <w:rPr>
          <w:rFonts w:eastAsia="Gungsuh"/>
        </w:rPr>
        <w:t>20</w:t>
      </w:r>
      <w:r w:rsidR="00944A91" w:rsidRPr="4DB3E4A3">
        <w:rPr>
          <w:rFonts w:eastAsia="Gungsuh"/>
        </w:rPr>
        <w:t>.</w:t>
      </w:r>
      <w:r w:rsidR="00EB2AC9" w:rsidRPr="4DB3E4A3">
        <w:rPr>
          <w:rFonts w:eastAsia="Gungsuh"/>
        </w:rPr>
        <w:t xml:space="preserve"> </w:t>
      </w:r>
      <w:r w:rsidR="00996AFB" w:rsidRPr="4DB3E4A3">
        <w:rPr>
          <w:rFonts w:eastAsia="Gungsuh"/>
        </w:rPr>
        <w:t xml:space="preserve">All the significant changes shown in Fig. 1 </w:t>
      </w:r>
      <w:r w:rsidR="0070613A" w:rsidRPr="4DB3E4A3">
        <w:rPr>
          <w:rFonts w:eastAsia="Gungsuh"/>
        </w:rPr>
        <w:t>remain</w:t>
      </w:r>
      <w:r w:rsidR="00632B8E">
        <w:rPr>
          <w:rFonts w:eastAsia="Gungsuh"/>
        </w:rPr>
        <w:t xml:space="preserve"> for the period</w:t>
      </w:r>
      <w:r w:rsidR="00996AFB" w:rsidRPr="4DB3E4A3">
        <w:rPr>
          <w:rFonts w:eastAsia="Gungsuh"/>
        </w:rPr>
        <w:t xml:space="preserve"> 1970-2020</w:t>
      </w:r>
      <w:r w:rsidR="0006649F" w:rsidRPr="4DB3E4A3">
        <w:rPr>
          <w:rFonts w:eastAsia="Gungsuh"/>
        </w:rPr>
        <w:t xml:space="preserve"> (Fig. S</w:t>
      </w:r>
      <w:r w:rsidR="006A2CB5">
        <w:rPr>
          <w:rFonts w:eastAsia="Gungsuh"/>
        </w:rPr>
        <w:t>1</w:t>
      </w:r>
      <w:r w:rsidR="0006649F" w:rsidRPr="4DB3E4A3">
        <w:rPr>
          <w:rFonts w:eastAsia="Gungsuh"/>
        </w:rPr>
        <w:t>)</w:t>
      </w:r>
      <w:r w:rsidR="00996AFB" w:rsidRPr="4DB3E4A3">
        <w:rPr>
          <w:rFonts w:eastAsia="Gungsuh"/>
        </w:rPr>
        <w:t>.</w:t>
      </w:r>
    </w:p>
    <w:p w14:paraId="5F22BF33" w14:textId="706AE8D3" w:rsidR="00AD7967" w:rsidRPr="00A152A0" w:rsidRDefault="004F5ED8" w:rsidP="00CF18BE">
      <w:pPr>
        <w:spacing w:after="120" w:line="360" w:lineRule="auto"/>
      </w:pPr>
      <w:r>
        <w:rPr>
          <w:rFonts w:eastAsia="Gungsuh"/>
        </w:rPr>
        <w:t>The significant increase</w:t>
      </w:r>
      <w:r w:rsidR="00DB156A">
        <w:rPr>
          <w:rFonts w:eastAsia="Gungsuh"/>
        </w:rPr>
        <w:t>s</w:t>
      </w:r>
      <w:r>
        <w:rPr>
          <w:rFonts w:eastAsia="Gungsuh"/>
        </w:rPr>
        <w:t xml:space="preserve"> of TC </w:t>
      </w:r>
      <w:r w:rsidR="00DB156A">
        <w:rPr>
          <w:rFonts w:eastAsia="Gungsuh"/>
        </w:rPr>
        <w:t xml:space="preserve">and landfall counts </w:t>
      </w:r>
      <w:r>
        <w:rPr>
          <w:rFonts w:eastAsia="Gungsuh"/>
        </w:rPr>
        <w:t xml:space="preserve">in Fig.1 </w:t>
      </w:r>
      <w:r w:rsidR="00DB156A">
        <w:rPr>
          <w:rFonts w:eastAsia="Gungsuh"/>
        </w:rPr>
        <w:t>are</w:t>
      </w:r>
      <w:r>
        <w:rPr>
          <w:rFonts w:eastAsia="Gungsuh"/>
        </w:rPr>
        <w:t xml:space="preserve"> </w:t>
      </w:r>
      <w:r w:rsidR="00123544">
        <w:rPr>
          <w:rFonts w:eastAsia="Gungsuh"/>
        </w:rPr>
        <w:t>calculated</w:t>
      </w:r>
      <w:r w:rsidR="00F63AE2">
        <w:rPr>
          <w:rFonts w:eastAsia="Gungsuh"/>
        </w:rPr>
        <w:t xml:space="preserve"> </w:t>
      </w:r>
      <w:r w:rsidR="007E240D">
        <w:rPr>
          <w:rFonts w:eastAsia="Gungsuh"/>
        </w:rPr>
        <w:t>based on the</w:t>
      </w:r>
      <w:r w:rsidR="008C23DE">
        <w:rPr>
          <w:rFonts w:eastAsia="Gungsuh"/>
        </w:rPr>
        <w:t xml:space="preserve"> </w:t>
      </w:r>
      <w:r w:rsidR="00623D66">
        <w:rPr>
          <w:rFonts w:eastAsia="Gungsuh"/>
        </w:rPr>
        <w:t xml:space="preserve">wind </w:t>
      </w:r>
      <w:r w:rsidR="008C23DE">
        <w:rPr>
          <w:rFonts w:eastAsia="Gungsuh"/>
        </w:rPr>
        <w:t>threshold</w:t>
      </w:r>
      <w:r w:rsidR="00623D66">
        <w:rPr>
          <w:rFonts w:eastAsia="Gungsuh"/>
        </w:rPr>
        <w:t xml:space="preserve"> of 50 m</w:t>
      </w:r>
      <w:r w:rsidR="00123544">
        <w:rPr>
          <w:rFonts w:eastAsia="Gungsuh"/>
        </w:rPr>
        <w:t xml:space="preserve"> </w:t>
      </w:r>
      <w:r w:rsidR="00623D66">
        <w:rPr>
          <w:rFonts w:eastAsia="Gungsuh"/>
        </w:rPr>
        <w:t>s</w:t>
      </w:r>
      <w:r w:rsidR="00623D66">
        <w:rPr>
          <w:rFonts w:eastAsia="Gungsuh"/>
          <w:vertAlign w:val="superscript"/>
        </w:rPr>
        <w:t>-1</w:t>
      </w:r>
      <w:r w:rsidR="007E240D">
        <w:rPr>
          <w:rFonts w:eastAsia="Gungsuh"/>
        </w:rPr>
        <w:t xml:space="preserve"> </w:t>
      </w:r>
      <w:r w:rsidR="0063261E">
        <w:rPr>
          <w:rFonts w:eastAsia="Gungsuh"/>
        </w:rPr>
        <w:t xml:space="preserve">to define </w:t>
      </w:r>
      <w:r w:rsidR="0079393F">
        <w:rPr>
          <w:rFonts w:eastAsia="Gungsuh"/>
        </w:rPr>
        <w:t xml:space="preserve">a </w:t>
      </w:r>
      <w:r w:rsidR="007E240D">
        <w:rPr>
          <w:rFonts w:eastAsia="Gungsuh"/>
        </w:rPr>
        <w:t>major intensity</w:t>
      </w:r>
      <w:r w:rsidR="00F63AE2">
        <w:rPr>
          <w:rFonts w:eastAsia="Gungsuh"/>
        </w:rPr>
        <w:t xml:space="preserve">. It is important to </w:t>
      </w:r>
      <w:r w:rsidR="00252C65">
        <w:rPr>
          <w:rFonts w:eastAsia="Gungsuh"/>
        </w:rPr>
        <w:t>examine</w:t>
      </w:r>
      <w:r w:rsidR="00F63AE2">
        <w:rPr>
          <w:rFonts w:eastAsia="Gungsuh"/>
        </w:rPr>
        <w:t xml:space="preserve"> the sensitivity of these </w:t>
      </w:r>
      <w:r w:rsidR="00252C65">
        <w:rPr>
          <w:rFonts w:eastAsia="Gungsuh"/>
        </w:rPr>
        <w:t>statistical</w:t>
      </w:r>
      <w:r w:rsidR="00F63AE2">
        <w:rPr>
          <w:rFonts w:eastAsia="Gungsuh"/>
        </w:rPr>
        <w:t xml:space="preserve"> significan</w:t>
      </w:r>
      <w:r w:rsidR="00252C65">
        <w:rPr>
          <w:rFonts w:eastAsia="Gungsuh"/>
        </w:rPr>
        <w:t>ce</w:t>
      </w:r>
      <w:r w:rsidR="00F63AE2">
        <w:rPr>
          <w:rFonts w:eastAsia="Gungsuh"/>
        </w:rPr>
        <w:t xml:space="preserve"> to the choice of intensity threshold</w:t>
      </w:r>
      <w:r w:rsidR="00665D2E">
        <w:rPr>
          <w:rFonts w:eastAsia="Gungsuh"/>
        </w:rPr>
        <w:t>s</w:t>
      </w:r>
      <w:r w:rsidR="00F63AE2">
        <w:rPr>
          <w:rFonts w:eastAsia="Gungsuh"/>
        </w:rPr>
        <w:t>.</w:t>
      </w:r>
      <w:r w:rsidR="003C74DB">
        <w:rPr>
          <w:rFonts w:eastAsia="Gungsuh"/>
        </w:rPr>
        <w:t xml:space="preserve"> Fig. 2 shows that the</w:t>
      </w:r>
      <w:r w:rsidR="007E240D">
        <w:rPr>
          <w:rFonts w:eastAsia="Gungsuh"/>
        </w:rPr>
        <w:t xml:space="preserve"> </w:t>
      </w:r>
      <w:r w:rsidR="003C74DB">
        <w:rPr>
          <w:rFonts w:eastAsia="Gungsuh"/>
        </w:rPr>
        <w:t>s</w:t>
      </w:r>
      <w:r w:rsidR="00A152A0">
        <w:rPr>
          <w:rFonts w:eastAsia="Gungsuh"/>
        </w:rPr>
        <w:t>ignificant long-term changes</w:t>
      </w:r>
      <w:r w:rsidR="00A152A0" w:rsidRPr="0DF24974">
        <w:rPr>
          <w:rFonts w:eastAsia="Gungsuh"/>
        </w:rPr>
        <w:t xml:space="preserve"> </w:t>
      </w:r>
      <w:r w:rsidR="003C74DB">
        <w:rPr>
          <w:rFonts w:eastAsia="Gungsuh"/>
        </w:rPr>
        <w:t xml:space="preserve">can </w:t>
      </w:r>
      <w:r w:rsidR="00123544">
        <w:rPr>
          <w:rFonts w:eastAsia="Gungsuh"/>
        </w:rPr>
        <w:t>still</w:t>
      </w:r>
      <w:r w:rsidR="003C74DB">
        <w:rPr>
          <w:rFonts w:eastAsia="Gungsuh"/>
        </w:rPr>
        <w:t xml:space="preserve"> be</w:t>
      </w:r>
      <w:r w:rsidR="00A152A0" w:rsidRPr="0DF24974">
        <w:rPr>
          <w:rFonts w:eastAsia="Gungsuh"/>
        </w:rPr>
        <w:t xml:space="preserve"> </w:t>
      </w:r>
      <w:r w:rsidR="00DF0A20">
        <w:rPr>
          <w:rFonts w:eastAsia="Gungsuh"/>
        </w:rPr>
        <w:t>detected</w:t>
      </w:r>
      <w:r w:rsidR="00A152A0" w:rsidRPr="0DF24974">
        <w:rPr>
          <w:rFonts w:eastAsia="Gungsuh"/>
        </w:rPr>
        <w:t xml:space="preserve"> for</w:t>
      </w:r>
      <w:r w:rsidR="003C74DB">
        <w:rPr>
          <w:rFonts w:eastAsia="Gungsuh"/>
        </w:rPr>
        <w:t xml:space="preserve"> intensity</w:t>
      </w:r>
      <w:r w:rsidR="00A152A0" w:rsidRPr="0DF24974">
        <w:rPr>
          <w:rFonts w:eastAsia="Gungsuh"/>
        </w:rPr>
        <w:t xml:space="preserve"> thresholds </w:t>
      </w:r>
      <w:r w:rsidR="007D7BC3">
        <w:rPr>
          <w:rFonts w:eastAsia="Gungsuh"/>
        </w:rPr>
        <w:t xml:space="preserve">above </w:t>
      </w:r>
      <w:r w:rsidR="00DF0A20">
        <w:rPr>
          <w:rFonts w:eastAsia="Gungsuh"/>
        </w:rPr>
        <w:t>50 m s</w:t>
      </w:r>
      <w:r w:rsidR="00DF0A20">
        <w:rPr>
          <w:rFonts w:eastAsia="Gungsuh"/>
          <w:vertAlign w:val="superscript"/>
        </w:rPr>
        <w:t>-1</w:t>
      </w:r>
      <w:r w:rsidR="00A152A0">
        <w:rPr>
          <w:rFonts w:eastAsia="Gungsuh"/>
        </w:rPr>
        <w:t xml:space="preserve"> with Poisson </w:t>
      </w:r>
      <w:r w:rsidR="00115CB4">
        <w:rPr>
          <w:rFonts w:eastAsia="Gungsuh"/>
        </w:rPr>
        <w:t xml:space="preserve">and linear (not shown) </w:t>
      </w:r>
      <w:r w:rsidR="00A152A0">
        <w:rPr>
          <w:rFonts w:eastAsia="Gungsuh"/>
        </w:rPr>
        <w:t>regression</w:t>
      </w:r>
      <w:r w:rsidR="00115CB4">
        <w:rPr>
          <w:rFonts w:eastAsia="Gungsuh"/>
        </w:rPr>
        <w:t>s</w:t>
      </w:r>
      <w:r w:rsidR="00A152A0" w:rsidRPr="0DF24974">
        <w:rPr>
          <w:rFonts w:eastAsia="Gungsuh"/>
        </w:rPr>
        <w:t>.</w:t>
      </w:r>
      <w:r w:rsidR="00A152A0">
        <w:t xml:space="preserve"> </w:t>
      </w:r>
      <w:r w:rsidR="00CD2356">
        <w:t xml:space="preserve">We do not find any </w:t>
      </w:r>
      <w:r w:rsidR="00EB42FB">
        <w:t xml:space="preserve">significant </w:t>
      </w:r>
      <w:r w:rsidR="00C9486A">
        <w:t xml:space="preserve">poleward migration trend </w:t>
      </w:r>
      <w:r w:rsidR="00CD2356">
        <w:t>for either</w:t>
      </w:r>
      <w:r w:rsidR="00C9486A">
        <w:t xml:space="preserve"> </w:t>
      </w:r>
      <w:r w:rsidR="00311F14">
        <w:t>the</w:t>
      </w:r>
      <w:r w:rsidR="009149EF">
        <w:t xml:space="preserve"> annual mean</w:t>
      </w:r>
      <w:r w:rsidR="00B2468C">
        <w:t xml:space="preserve"> latitude</w:t>
      </w:r>
      <w:r w:rsidR="00311F14">
        <w:t xml:space="preserve"> of </w:t>
      </w:r>
      <w:r w:rsidR="00883F27">
        <w:t>landfalling</w:t>
      </w:r>
      <w:r w:rsidR="2D723A88">
        <w:t xml:space="preserve"> </w:t>
      </w:r>
      <w:r w:rsidR="00311F14">
        <w:t xml:space="preserve">LMI </w:t>
      </w:r>
      <w:r w:rsidR="00CD2356">
        <w:t>or</w:t>
      </w:r>
      <w:r w:rsidR="00311F14">
        <w:t xml:space="preserve"> landfall</w:t>
      </w:r>
      <w:r w:rsidR="007B279E">
        <w:t xml:space="preserve"> locations</w:t>
      </w:r>
      <w:r w:rsidR="00E5208E">
        <w:t xml:space="preserve"> (Fig. S</w:t>
      </w:r>
      <w:r w:rsidR="006A2CB5">
        <w:t>2</w:t>
      </w:r>
      <w:r w:rsidR="00E5208E">
        <w:t>)</w:t>
      </w:r>
      <w:r w:rsidR="006C420B">
        <w:t>.</w:t>
      </w:r>
      <w:r w:rsidR="002A05B4">
        <w:t xml:space="preserve"> </w:t>
      </w:r>
      <w:r w:rsidR="00F30E9C">
        <w:t>In our analysis w</w:t>
      </w:r>
      <w:r w:rsidR="002A05B4">
        <w:t>e</w:t>
      </w:r>
      <w:r w:rsidR="00B2468C">
        <w:t xml:space="preserve"> consider </w:t>
      </w:r>
      <w:r w:rsidR="00802D5E">
        <w:t>storm activities</w:t>
      </w:r>
      <w:r w:rsidR="002A05B4">
        <w:t xml:space="preserve"> within 40</w:t>
      </w:r>
      <w:r w:rsidR="002A05B4" w:rsidRPr="0DF24974">
        <w:rPr>
          <w:vertAlign w:val="superscript"/>
        </w:rPr>
        <w:t>o</w:t>
      </w:r>
      <w:r w:rsidR="002A05B4">
        <w:t>N/S</w:t>
      </w:r>
      <w:r w:rsidR="007B279E">
        <w:t>,</w:t>
      </w:r>
      <w:r w:rsidR="002A05B4">
        <w:t xml:space="preserve"> </w:t>
      </w:r>
      <w:r w:rsidR="00B2468C">
        <w:t>but</w:t>
      </w:r>
      <w:r w:rsidR="0072175D">
        <w:t xml:space="preserve"> we also find</w:t>
      </w:r>
      <w:r w:rsidR="00C37665">
        <w:t xml:space="preserve"> </w:t>
      </w:r>
      <w:r w:rsidR="003B0054">
        <w:t>count increase</w:t>
      </w:r>
      <w:r w:rsidR="00426C74">
        <w:t xml:space="preserve"> of annual landfall</w:t>
      </w:r>
      <w:r w:rsidR="003B0054">
        <w:t>s</w:t>
      </w:r>
      <w:r w:rsidR="00426C74">
        <w:t xml:space="preserve"> </w:t>
      </w:r>
      <w:r w:rsidR="00540EB3">
        <w:t xml:space="preserve">beyond </w:t>
      </w:r>
      <w:r w:rsidR="008A0B9A">
        <w:t>40</w:t>
      </w:r>
      <w:r w:rsidR="008A0B9A" w:rsidRPr="0DF24974">
        <w:rPr>
          <w:vertAlign w:val="superscript"/>
        </w:rPr>
        <w:t>o</w:t>
      </w:r>
      <w:r w:rsidR="008A0B9A">
        <w:t>N/S,</w:t>
      </w:r>
      <w:r w:rsidR="00C37665">
        <w:t xml:space="preserve"> particular</w:t>
      </w:r>
      <w:r w:rsidR="008A0B9A">
        <w:t>ly</w:t>
      </w:r>
      <w:r w:rsidR="00C37665">
        <w:t xml:space="preserve"> for</w:t>
      </w:r>
      <w:r w:rsidR="008A0B9A">
        <w:t xml:space="preserve"> </w:t>
      </w:r>
      <w:r w:rsidR="00C37665">
        <w:t>hurricane</w:t>
      </w:r>
      <w:r w:rsidR="008A0B9A">
        <w:t>s</w:t>
      </w:r>
      <w:r w:rsidR="00C37665">
        <w:t xml:space="preserve"> </w:t>
      </w:r>
      <w:r w:rsidR="008A0B9A">
        <w:t>making landfall</w:t>
      </w:r>
      <w:r w:rsidR="00C37665">
        <w:t xml:space="preserve"> in</w:t>
      </w:r>
      <w:r w:rsidR="008A0B9A">
        <w:t xml:space="preserve"> the</w:t>
      </w:r>
      <w:r w:rsidR="00C37665">
        <w:t xml:space="preserve"> US and Europe</w:t>
      </w:r>
      <w:r w:rsidR="008A0B9A">
        <w:t xml:space="preserve"> (Fig. S</w:t>
      </w:r>
      <w:r w:rsidR="006A2CB5">
        <w:t>3</w:t>
      </w:r>
      <w:r w:rsidR="008A0B9A">
        <w:t>)</w:t>
      </w:r>
      <w:r w:rsidR="00C37665">
        <w:t>.</w:t>
      </w:r>
    </w:p>
    <w:p w14:paraId="1B93E699" w14:textId="12091095" w:rsidR="00444E2E" w:rsidRDefault="00B0725D" w:rsidP="00790E22">
      <w:pPr>
        <w:spacing w:after="120" w:line="360" w:lineRule="auto"/>
      </w:pPr>
      <w:r>
        <w:t xml:space="preserve">Not only is there a </w:t>
      </w:r>
      <w:r w:rsidR="0006649F">
        <w:t xml:space="preserve">TC </w:t>
      </w:r>
      <w:r>
        <w:t xml:space="preserve">frequency increase, but the </w:t>
      </w:r>
      <w:r w:rsidR="00F02510">
        <w:t xml:space="preserve">TC </w:t>
      </w:r>
      <w:r>
        <w:t>LMI has also increased by +0.8 m s</w:t>
      </w:r>
      <w:r w:rsidRPr="11BF2B4E">
        <w:rPr>
          <w:vertAlign w:val="superscript"/>
        </w:rPr>
        <w:t>-1</w:t>
      </w:r>
      <w:r>
        <w:t xml:space="preserve"> per decade globally (</w:t>
      </w:r>
      <w:r w:rsidRPr="11BF2B4E">
        <w:rPr>
          <w:i/>
          <w:iCs/>
        </w:rPr>
        <w:t>p</w:t>
      </w:r>
      <w:r>
        <w:t>&lt;0.05</w:t>
      </w:r>
      <w:r w:rsidR="00284F78">
        <w:t>, Fig. 3a</w:t>
      </w:r>
      <w:r>
        <w:t>)</w:t>
      </w:r>
      <w:r w:rsidR="00B1552A">
        <w:t>,</w:t>
      </w:r>
      <w:r w:rsidR="00451CDF">
        <w:t xml:space="preserve"> even though this trend is not significant in any of the </w:t>
      </w:r>
      <w:r w:rsidR="00451CDF">
        <w:lastRenderedPageBreak/>
        <w:t>individual basins</w:t>
      </w:r>
      <w:r w:rsidR="008606ED">
        <w:t xml:space="preserve"> (Table 1)</w:t>
      </w:r>
      <w:r w:rsidR="00FB3F62">
        <w:t>.</w:t>
      </w:r>
      <w:r w:rsidR="004E35C2">
        <w:t xml:space="preserve"> </w:t>
      </w:r>
      <w:r w:rsidR="008F593C">
        <w:rPr>
          <w:lang w:val="en-US"/>
        </w:rPr>
        <w:t>T</w:t>
      </w:r>
      <w:r w:rsidR="00173897">
        <w:rPr>
          <w:rFonts w:hint="eastAsia"/>
        </w:rPr>
        <w:t>h</w:t>
      </w:r>
      <w:r w:rsidR="00173897">
        <w:t xml:space="preserve">is </w:t>
      </w:r>
      <w:r w:rsidR="00BF537B">
        <w:t xml:space="preserve">global </w:t>
      </w:r>
      <w:r w:rsidR="00173897">
        <w:t>LMI increase</w:t>
      </w:r>
      <w:r w:rsidR="000744C8">
        <w:t xml:space="preserve"> has</w:t>
      </w:r>
      <w:r w:rsidR="00BF537B">
        <w:t xml:space="preserve"> also</w:t>
      </w:r>
      <w:r w:rsidR="000744C8">
        <w:t xml:space="preserve"> </w:t>
      </w:r>
      <w:r w:rsidR="001F4A34">
        <w:t xml:space="preserve">not been </w:t>
      </w:r>
      <w:r w:rsidR="000744C8">
        <w:t>directly translated to</w:t>
      </w:r>
      <w:r w:rsidR="00F7453C">
        <w:t xml:space="preserve"> detectable</w:t>
      </w:r>
      <w:r w:rsidR="000744C8">
        <w:t xml:space="preserve"> LI increase</w:t>
      </w:r>
      <w:r w:rsidR="008606ED">
        <w:t xml:space="preserve"> either globally or in any basin</w:t>
      </w:r>
      <w:r w:rsidR="000744C8">
        <w:t>.</w:t>
      </w:r>
      <w:r w:rsidR="00173897">
        <w:t xml:space="preserve"> </w:t>
      </w:r>
      <w:r w:rsidR="005A3553">
        <w:t>T</w:t>
      </w:r>
      <w:r w:rsidR="00173897">
        <w:t>he LI</w:t>
      </w:r>
      <w:r w:rsidR="007E246F">
        <w:t xml:space="preserve"> </w:t>
      </w:r>
      <w:r w:rsidR="001A1EFE">
        <w:t xml:space="preserve">linear </w:t>
      </w:r>
      <w:r w:rsidR="007E246F">
        <w:t>trend</w:t>
      </w:r>
      <w:r w:rsidR="00941E1C">
        <w:t xml:space="preserve"> </w:t>
      </w:r>
      <w:r w:rsidR="00BF4800">
        <w:t>(+0.</w:t>
      </w:r>
      <w:r w:rsidR="008C3CED">
        <w:t>3</w:t>
      </w:r>
      <w:r w:rsidR="00BF4800">
        <w:t xml:space="preserve"> m s</w:t>
      </w:r>
      <w:r w:rsidR="00BF4800" w:rsidRPr="11BF2B4E">
        <w:rPr>
          <w:vertAlign w:val="superscript"/>
        </w:rPr>
        <w:t>-1</w:t>
      </w:r>
      <w:r w:rsidR="00BF4800">
        <w:t xml:space="preserve"> per decade</w:t>
      </w:r>
      <w:r w:rsidR="00272F6F">
        <w:t>,</w:t>
      </w:r>
      <w:r w:rsidR="00BF4800">
        <w:t xml:space="preserve"> Fig. 3</w:t>
      </w:r>
      <w:r w:rsidR="00116963">
        <w:t>a</w:t>
      </w:r>
      <w:r w:rsidR="00BF4800">
        <w:t>)</w:t>
      </w:r>
      <w:r w:rsidR="00941E1C">
        <w:t xml:space="preserve"> </w:t>
      </w:r>
      <w:r w:rsidR="00FB5413">
        <w:t xml:space="preserve">is </w:t>
      </w:r>
      <w:r w:rsidR="00DA2CFC">
        <w:t xml:space="preserve">less than </w:t>
      </w:r>
      <w:r w:rsidR="00FB5413">
        <w:t>half of the LMI trend</w:t>
      </w:r>
      <w:r w:rsidR="009D6B85">
        <w:t xml:space="preserve"> (+</w:t>
      </w:r>
      <w:r w:rsidR="00DA2CFC">
        <w:t>0.8</w:t>
      </w:r>
      <w:r w:rsidR="009D6B85">
        <w:t xml:space="preserve"> m s</w:t>
      </w:r>
      <w:r w:rsidR="009D6B85" w:rsidRPr="11BF2B4E">
        <w:rPr>
          <w:vertAlign w:val="superscript"/>
        </w:rPr>
        <w:t>-1</w:t>
      </w:r>
      <w:r w:rsidR="009D6B85">
        <w:t xml:space="preserve"> per decade, Fig. 3a)</w:t>
      </w:r>
      <w:r w:rsidR="00FB5413">
        <w:t xml:space="preserve"> and </w:t>
      </w:r>
      <w:r w:rsidR="00173897">
        <w:t>has not changed significantly</w:t>
      </w:r>
      <w:r w:rsidR="00272F6F">
        <w:t xml:space="preserve"> (</w:t>
      </w:r>
      <w:r w:rsidR="00272F6F" w:rsidRPr="11BF2B4E">
        <w:rPr>
          <w:i/>
          <w:iCs/>
        </w:rPr>
        <w:t>p</w:t>
      </w:r>
      <w:r w:rsidR="00272F6F">
        <w:t>=0.</w:t>
      </w:r>
      <w:r w:rsidR="00DA2CFC">
        <w:t>69</w:t>
      </w:r>
      <w:r w:rsidR="00272F6F">
        <w:t>)</w:t>
      </w:r>
      <w:r w:rsidR="00173897">
        <w:t>.</w:t>
      </w:r>
      <w:r w:rsidR="00222620" w:rsidRPr="00222620">
        <w:t xml:space="preserve"> </w:t>
      </w:r>
      <w:r w:rsidR="00222620">
        <w:t>Fig. 3b shows that t</w:t>
      </w:r>
      <w:r w:rsidR="00222620" w:rsidRPr="00BB6D17">
        <w:t>he LI trend can be</w:t>
      </w:r>
      <w:r w:rsidR="00222620">
        <w:t xml:space="preserve"> </w:t>
      </w:r>
      <w:r w:rsidR="00222620">
        <w:rPr>
          <w:rFonts w:hint="eastAsia"/>
        </w:rPr>
        <w:t>partly</w:t>
      </w:r>
      <w:r w:rsidR="00222620" w:rsidRPr="00BB6D17">
        <w:t xml:space="preserve"> understood as proportional to the LMI trend</w:t>
      </w:r>
      <w:r w:rsidR="00222620">
        <w:t xml:space="preserve"> with a stabilized ratio (annual mean LI relative to LMI) of about 0.7.</w:t>
      </w:r>
    </w:p>
    <w:p w14:paraId="0C91DBCA" w14:textId="6167F8C5" w:rsidR="00CD0D89" w:rsidRDefault="000F373E" w:rsidP="008E2388">
      <w:pPr>
        <w:spacing w:after="120" w:line="360" w:lineRule="auto"/>
      </w:pPr>
      <w:r>
        <w:t xml:space="preserve">If </w:t>
      </w:r>
      <w:r w:rsidR="00427907">
        <w:t xml:space="preserve">the </w:t>
      </w:r>
      <w:r w:rsidR="005E6A62">
        <w:rPr>
          <w:lang w:val="en-US"/>
        </w:rPr>
        <w:t xml:space="preserve">TC </w:t>
      </w:r>
      <w:r w:rsidR="00D34AC6">
        <w:t>LI</w:t>
      </w:r>
      <w:r w:rsidR="00427907">
        <w:t xml:space="preserve"> were simply</w:t>
      </w:r>
      <w:r w:rsidR="0013366E">
        <w:t xml:space="preserve"> a </w:t>
      </w:r>
      <w:r w:rsidR="00587A62">
        <w:t>stabilised</w:t>
      </w:r>
      <w:r w:rsidR="0013366E">
        <w:t xml:space="preserve"> fraction of </w:t>
      </w:r>
      <w:r w:rsidR="005E6A62">
        <w:t xml:space="preserve">TC </w:t>
      </w:r>
      <w:r w:rsidR="0013366E">
        <w:t>LMI,</w:t>
      </w:r>
      <w:r w:rsidR="00FF1046">
        <w:t xml:space="preserve"> from a statistical perspective,</w:t>
      </w:r>
      <w:r w:rsidR="0013366E">
        <w:t xml:space="preserve"> </w:t>
      </w:r>
      <w:r w:rsidR="008E2388">
        <w:rPr>
          <w:lang w:val="en-US"/>
        </w:rPr>
        <w:t xml:space="preserve">the LI </w:t>
      </w:r>
      <w:r w:rsidR="007A79C6">
        <w:rPr>
          <w:rFonts w:hint="eastAsia"/>
          <w:lang w:val="en-US"/>
        </w:rPr>
        <w:t>trend</w:t>
      </w:r>
      <w:r w:rsidR="007A79C6">
        <w:rPr>
          <w:lang w:val="en-US"/>
        </w:rPr>
        <w:t xml:space="preserve"> </w:t>
      </w:r>
      <w:r w:rsidR="002D6372">
        <w:t xml:space="preserve">might </w:t>
      </w:r>
      <w:r w:rsidR="00A264CD">
        <w:rPr>
          <w:rFonts w:hint="eastAsia"/>
        </w:rPr>
        <w:t>inherit</w:t>
      </w:r>
      <w:r w:rsidR="00A264CD">
        <w:rPr>
          <w:lang w:val="en-US"/>
        </w:rPr>
        <w:t xml:space="preserve"> </w:t>
      </w:r>
      <w:r w:rsidR="00236383">
        <w:t>the</w:t>
      </w:r>
      <w:r w:rsidR="00F07A34">
        <w:t xml:space="preserve"> </w:t>
      </w:r>
      <w:r w:rsidR="00A16A75">
        <w:t>trend</w:t>
      </w:r>
      <w:r w:rsidR="00236383">
        <w:t xml:space="preserve"> significance</w:t>
      </w:r>
      <w:r w:rsidR="005C373B">
        <w:t xml:space="preserve"> </w:t>
      </w:r>
      <w:r w:rsidR="00021138">
        <w:t>from</w:t>
      </w:r>
      <w:r w:rsidR="005C373B">
        <w:t xml:space="preserve"> LMI</w:t>
      </w:r>
      <w:r w:rsidR="00236383">
        <w:t>.</w:t>
      </w:r>
      <w:r w:rsidR="0003115C">
        <w:t xml:space="preserve"> </w:t>
      </w:r>
      <w:r w:rsidR="00B67001">
        <w:t>A more important</w:t>
      </w:r>
      <w:r w:rsidR="00CD0D89">
        <w:t xml:space="preserve"> reason for the lack of significance for the</w:t>
      </w:r>
      <w:r w:rsidR="00271EA3">
        <w:t xml:space="preserve"> TC</w:t>
      </w:r>
      <w:r w:rsidR="00CD0D89">
        <w:t xml:space="preserve"> LI trend</w:t>
      </w:r>
      <w:r w:rsidR="00ED3912">
        <w:t xml:space="preserve"> in Fig.3a</w:t>
      </w:r>
      <w:r w:rsidR="00CD0D89">
        <w:t xml:space="preserve"> is </w:t>
      </w:r>
      <w:r w:rsidR="6F848194">
        <w:t xml:space="preserve">that not only is the </w:t>
      </w:r>
      <w:r w:rsidR="00DB1D79">
        <w:t>trend</w:t>
      </w:r>
      <w:r w:rsidR="6F848194">
        <w:t xml:space="preserve"> signal </w:t>
      </w:r>
      <w:r w:rsidR="005113C3">
        <w:t>smaller,</w:t>
      </w:r>
      <w:r w:rsidR="6F848194">
        <w:t xml:space="preserve"> but the noise is also larger.</w:t>
      </w:r>
      <w:r w:rsidR="00FE4CE7">
        <w:t xml:space="preserve"> </w:t>
      </w:r>
      <w:r w:rsidR="005D6547">
        <w:t>For example</w:t>
      </w:r>
      <w:r w:rsidR="00F632C8">
        <w:t>, t</w:t>
      </w:r>
      <w:r w:rsidR="00FE4CE7">
        <w:t>he</w:t>
      </w:r>
      <w:r w:rsidR="005D6547">
        <w:t xml:space="preserve"> TC</w:t>
      </w:r>
      <w:r w:rsidR="009036C4">
        <w:t xml:space="preserve"> </w:t>
      </w:r>
      <w:r w:rsidR="00F22353">
        <w:t xml:space="preserve">LI </w:t>
      </w:r>
      <w:r w:rsidR="004113F4">
        <w:t>range</w:t>
      </w:r>
      <w:r w:rsidR="009036C4">
        <w:t xml:space="preserve"> </w:t>
      </w:r>
      <w:r w:rsidR="00AE2D1D">
        <w:t>from the 5</w:t>
      </w:r>
      <w:r w:rsidR="00AE2D1D" w:rsidRPr="11BF2B4E">
        <w:rPr>
          <w:vertAlign w:val="superscript"/>
        </w:rPr>
        <w:t>th</w:t>
      </w:r>
      <w:r w:rsidR="00AE2D1D">
        <w:t xml:space="preserve"> to 95</w:t>
      </w:r>
      <w:r w:rsidR="00AE2D1D" w:rsidRPr="11BF2B4E">
        <w:rPr>
          <w:vertAlign w:val="superscript"/>
        </w:rPr>
        <w:t>th</w:t>
      </w:r>
      <w:r w:rsidR="00AE2D1D">
        <w:t xml:space="preserve"> percentiles </w:t>
      </w:r>
      <w:r w:rsidR="6D4E376F">
        <w:t xml:space="preserve">of </w:t>
      </w:r>
      <w:r w:rsidR="00E44F7C">
        <w:t>5</w:t>
      </w:r>
      <w:r w:rsidR="6D4E376F">
        <w:t>4 m s</w:t>
      </w:r>
      <w:r w:rsidR="6D4E376F" w:rsidRPr="11BF2B4E">
        <w:rPr>
          <w:vertAlign w:val="superscript"/>
        </w:rPr>
        <w:t>-1</w:t>
      </w:r>
      <w:r w:rsidR="6CCE4BF7">
        <w:t xml:space="preserve"> </w:t>
      </w:r>
      <w:r w:rsidR="00E208A1">
        <w:t>(</w:t>
      </w:r>
      <w:r w:rsidR="004D125B">
        <w:t>6</w:t>
      </w:r>
      <w:r w:rsidR="00B5573C">
        <w:t>9</w:t>
      </w:r>
      <w:r w:rsidR="00694788">
        <w:t>-1</w:t>
      </w:r>
      <w:r w:rsidR="00B5573C">
        <w:t>5</w:t>
      </w:r>
      <w:r w:rsidR="00E208A1">
        <w:t xml:space="preserve"> m s</w:t>
      </w:r>
      <w:r w:rsidR="00E208A1" w:rsidRPr="11BF2B4E">
        <w:rPr>
          <w:vertAlign w:val="superscript"/>
        </w:rPr>
        <w:t>-1</w:t>
      </w:r>
      <w:r w:rsidR="00E208A1">
        <w:t>) is</w:t>
      </w:r>
      <w:r w:rsidR="00085112">
        <w:t xml:space="preserve"> </w:t>
      </w:r>
      <w:r w:rsidR="00B2649B">
        <w:t>almost double</w:t>
      </w:r>
      <w:r w:rsidR="00AF6946">
        <w:t xml:space="preserve">d </w:t>
      </w:r>
      <w:r w:rsidR="0079023A">
        <w:t xml:space="preserve">relative </w:t>
      </w:r>
      <w:r w:rsidR="00AF6946">
        <w:t>to</w:t>
      </w:r>
      <w:r w:rsidR="00B2649B">
        <w:t xml:space="preserve"> the range </w:t>
      </w:r>
      <w:r w:rsidR="00FE70EB">
        <w:t>of</w:t>
      </w:r>
      <w:r w:rsidR="00E208A1">
        <w:t xml:space="preserve"> </w:t>
      </w:r>
      <w:r w:rsidR="002008B4">
        <w:t xml:space="preserve">TC </w:t>
      </w:r>
      <w:r w:rsidR="00E208A1">
        <w:t xml:space="preserve">LMI </w:t>
      </w:r>
      <w:r w:rsidR="0970E8E2">
        <w:t>(</w:t>
      </w:r>
      <w:r w:rsidR="27B7C58F">
        <w:t>29</w:t>
      </w:r>
      <w:r w:rsidR="002C5076">
        <w:t xml:space="preserve"> </w:t>
      </w:r>
      <w:r w:rsidR="00E208A1">
        <w:t>m s</w:t>
      </w:r>
      <w:r w:rsidR="00E208A1" w:rsidRPr="11BF2B4E">
        <w:rPr>
          <w:vertAlign w:val="superscript"/>
        </w:rPr>
        <w:t>-1</w:t>
      </w:r>
      <w:r w:rsidR="27B7C58F" w:rsidRPr="00F76DFF">
        <w:t xml:space="preserve">; </w:t>
      </w:r>
      <w:r w:rsidR="7F320514">
        <w:t>80-51</w:t>
      </w:r>
      <w:r w:rsidR="00E208A1">
        <w:t>m s</w:t>
      </w:r>
      <w:r w:rsidR="00E208A1" w:rsidRPr="6EF0AA30">
        <w:rPr>
          <w:vertAlign w:val="superscript"/>
        </w:rPr>
        <w:t>-1</w:t>
      </w:r>
      <w:r w:rsidR="00E208A1">
        <w:t>).</w:t>
      </w:r>
      <w:r w:rsidR="00455824">
        <w:t xml:space="preserve"> </w:t>
      </w:r>
      <w:r w:rsidR="005D4835">
        <w:t>The standard deviation of LI is also larger than that of LMI globally and by regions (Table 1).</w:t>
      </w:r>
      <w:r w:rsidR="003B76E6">
        <w:t xml:space="preserve"> Therefore, the </w:t>
      </w:r>
      <w:r w:rsidR="676CEB90">
        <w:t xml:space="preserve">mean </w:t>
      </w:r>
      <w:r w:rsidR="00A909A2">
        <w:t>r</w:t>
      </w:r>
      <w:r w:rsidR="676CEB90">
        <w:t xml:space="preserve">eduction </w:t>
      </w:r>
      <w:r w:rsidR="00A909A2">
        <w:t xml:space="preserve">of </w:t>
      </w:r>
      <w:r w:rsidR="00853438">
        <w:t xml:space="preserve">LI </w:t>
      </w:r>
      <w:r w:rsidR="7D2D29E7">
        <w:t>from</w:t>
      </w:r>
      <w:r w:rsidR="00853438">
        <w:t xml:space="preserve"> LMI and </w:t>
      </w:r>
      <w:r w:rsidR="4D25AF95">
        <w:t>the</w:t>
      </w:r>
      <w:r w:rsidR="00853438">
        <w:t xml:space="preserve"> much larger variance of LI </w:t>
      </w:r>
      <w:r w:rsidR="5231E98A">
        <w:t xml:space="preserve">both </w:t>
      </w:r>
      <w:r w:rsidR="00853438">
        <w:t>lead to a weaker and not significant LI trend.</w:t>
      </w:r>
    </w:p>
    <w:p w14:paraId="6CBF8CD5" w14:textId="4DE0223B" w:rsidR="00A1289C" w:rsidRDefault="00A1289C" w:rsidP="008E2388">
      <w:pPr>
        <w:spacing w:after="120" w:line="360" w:lineRule="auto"/>
      </w:pPr>
      <w:r>
        <w:t>To further illustrate this point, we simulate LI trends and landfall count changes (Fig. 3c and 3d). We generate 1000 synthetic LI time series for 1982-2020 by multiplying the observed LMI of each TC by a reduction factor (LI/LMI ratio) randomly sampled from the observed distribution of the factor. The mean and standard deviation of the synthetic LI trends are both 0.6 m s</w:t>
      </w:r>
      <w:r w:rsidRPr="4580AB2B">
        <w:rPr>
          <w:vertAlign w:val="superscript"/>
        </w:rPr>
        <w:t>-1</w:t>
      </w:r>
      <w:r>
        <w:t xml:space="preserve"> per decade </w:t>
      </w:r>
      <w:r w:rsidR="001F593B">
        <w:t>and the observed mean trend (Fig. 3a)</w:t>
      </w:r>
      <w:r>
        <w:t xml:space="preserve"> is within the</w:t>
      </w:r>
      <w:r w:rsidR="001F593B">
        <w:t xml:space="preserve"> simulated</w:t>
      </w:r>
      <w:r>
        <w:t xml:space="preserve"> range. The mean synthetic landfall doubling time is 45 hours</w:t>
      </w:r>
      <w:r w:rsidR="00DC3826">
        <w:t xml:space="preserve"> (F</w:t>
      </w:r>
      <w:r w:rsidR="00AD6BBA">
        <w:t>i</w:t>
      </w:r>
      <w:r w:rsidR="00DC3826">
        <w:t>g. 3d)</w:t>
      </w:r>
      <w:r>
        <w:t>, which is in excellent agreement with the observation (Fig. 1a). About 90% of the synthetic LI trends are not significant (</w:t>
      </w:r>
      <w:r w:rsidRPr="00396382">
        <w:rPr>
          <w:i/>
          <w:iCs/>
        </w:rPr>
        <w:t>p</w:t>
      </w:r>
      <w:r>
        <w:t>&lt;0.05</w:t>
      </w:r>
      <w:r w:rsidR="001F593B">
        <w:t>, Fig. 3c</w:t>
      </w:r>
      <w:r>
        <w:t>)</w:t>
      </w:r>
      <w:r w:rsidR="001F593B">
        <w:t>.</w:t>
      </w:r>
      <w:r>
        <w:t xml:space="preserve"> However, 75% of the synthetic landfall doubling times are statistically significant</w:t>
      </w:r>
      <w:r w:rsidR="001F593B">
        <w:t xml:space="preserve"> (Fig. 3d)</w:t>
      </w:r>
      <w:r>
        <w:t xml:space="preserve">. </w:t>
      </w:r>
      <w:r w:rsidRPr="00DB03B1">
        <w:t xml:space="preserve">The annual mean reduction factor has been stationary (Fig 3b), </w:t>
      </w:r>
      <w:r>
        <w:t>and LI values</w:t>
      </w:r>
      <w:r w:rsidRPr="00DB03B1">
        <w:t xml:space="preserve"> are highly variable (Table 1</w:t>
      </w:r>
      <w:r w:rsidRPr="00983107">
        <w:t>)</w:t>
      </w:r>
      <w:r>
        <w:t xml:space="preserve">. Thus, the simulations show that it is more likely than not that the increase in LMI has increased the number of landfalls as major TCs, while their mean intensity at landfall has not changed.  </w:t>
      </w:r>
    </w:p>
    <w:p w14:paraId="5C6D44A3" w14:textId="54CE759B" w:rsidR="00DC677F" w:rsidRDefault="00C72194" w:rsidP="00885227">
      <w:pPr>
        <w:spacing w:after="120" w:line="360" w:lineRule="auto"/>
      </w:pPr>
      <w:r>
        <w:t xml:space="preserve">Further analysis </w:t>
      </w:r>
      <w:r w:rsidR="17A70FA5">
        <w:t xml:space="preserve">also reveals </w:t>
      </w:r>
      <w:r w:rsidR="00CD0A4B">
        <w:t>a</w:t>
      </w:r>
      <w:r w:rsidR="7B278DF5">
        <w:t xml:space="preserve"> weak relationship </w:t>
      </w:r>
      <w:r w:rsidR="00173897">
        <w:t>between global</w:t>
      </w:r>
      <w:r w:rsidR="00CC7F5E">
        <w:t xml:space="preserve"> annual mean</w:t>
      </w:r>
      <w:r w:rsidR="00173897">
        <w:t xml:space="preserve"> LMI and LI</w:t>
      </w:r>
      <w:r w:rsidR="00E20CB8">
        <w:t xml:space="preserve"> of all</w:t>
      </w:r>
      <w:r w:rsidR="008830E5">
        <w:t xml:space="preserve"> </w:t>
      </w:r>
      <w:r w:rsidR="0044693C">
        <w:t xml:space="preserve">the </w:t>
      </w:r>
      <w:r w:rsidR="00413E52">
        <w:t>selected landfall</w:t>
      </w:r>
      <w:r w:rsidR="00CC3F77">
        <w:t>ing</w:t>
      </w:r>
      <w:r w:rsidR="00E20CB8">
        <w:t xml:space="preserve"> </w:t>
      </w:r>
      <w:r w:rsidR="00506D9E">
        <w:t>storm</w:t>
      </w:r>
      <w:r w:rsidR="00E20CB8">
        <w:t>s</w:t>
      </w:r>
      <w:r w:rsidR="00173897">
        <w:t xml:space="preserve"> (</w:t>
      </w:r>
      <w:r w:rsidR="00A85B6D">
        <w:t>LMI</w:t>
      </w:r>
      <w:r w:rsidR="00CC3F77">
        <w:t>≥33 m s</w:t>
      </w:r>
      <w:r w:rsidR="00CC3F77" w:rsidRPr="4580AB2B">
        <w:rPr>
          <w:vertAlign w:val="superscript"/>
        </w:rPr>
        <w:t>-1</w:t>
      </w:r>
      <w:r w:rsidR="00CC3F77">
        <w:t xml:space="preserve">, </w:t>
      </w:r>
      <w:r w:rsidR="00173897" w:rsidRPr="4580AB2B">
        <w:rPr>
          <w:i/>
          <w:iCs/>
        </w:rPr>
        <w:t>r</w:t>
      </w:r>
      <w:r w:rsidR="00173897">
        <w:t xml:space="preserve">=0.23, </w:t>
      </w:r>
      <w:r w:rsidR="00173897" w:rsidRPr="4580AB2B">
        <w:rPr>
          <w:i/>
          <w:iCs/>
        </w:rPr>
        <w:t>p</w:t>
      </w:r>
      <w:r w:rsidR="00173897">
        <w:t>=0.16</w:t>
      </w:r>
      <w:r w:rsidR="006F75A7">
        <w:t>)</w:t>
      </w:r>
      <w:r w:rsidR="54095C8F">
        <w:t>.</w:t>
      </w:r>
      <w:r w:rsidR="00CC7F5E">
        <w:t xml:space="preserve"> </w:t>
      </w:r>
      <w:r w:rsidR="001D5BAC">
        <w:t xml:space="preserve">Significant decadal correlation is found </w:t>
      </w:r>
      <w:r w:rsidR="7C072077">
        <w:t>only</w:t>
      </w:r>
      <w:r w:rsidR="001D5BAC">
        <w:t xml:space="preserve"> when applying a </w:t>
      </w:r>
      <w:proofErr w:type="spellStart"/>
      <w:r w:rsidR="001D5BAC">
        <w:t>Lanczos</w:t>
      </w:r>
      <w:proofErr w:type="spellEnd"/>
      <w:r w:rsidR="001D5BAC">
        <w:t xml:space="preserve"> filter</w:t>
      </w:r>
      <w:r w:rsidR="00835A73">
        <w:t xml:space="preserve"> </w:t>
      </w:r>
      <w:r>
        <w:fldChar w:fldCharType="begin" w:fldLock="1"/>
      </w:r>
      <w:r w:rsidR="00FD69AD">
        <w:instrText>ADDIN CSL_CITATION {"citationItems":[{"id":"ITEM-1","itemData":{"DOI":"10.1175/1520-0450(1979)018&lt;1016:LFIOAT&gt;2.0.CO;2","ISSN":"0021-8952","abstract":"يكي از اعتقادات مهم مسيحيان، اعتقاد به گناه ذاتي است. براساس اين اعتقاد، حضرت آدم(ع) از ميوة شجرة معرفت نيك و بد خورد، در‌حالي‌كه خداوند او را از خوردن آن نهي كرده بود. اين عمل و گناه، نه‌تنها موجب سقوط آدم(ع) گرديد، بلكه همة ذرية او را نيز آلوده كرد. آگوستين و پلاگيوس دو تن از دانشمندان بزرگ مسيحيت و از مهم‌ترين نظريه‌پردازان در زمينة گناه ذاتي هستند كه تقابل ديدگاه‌هاي آنان در اين زمينه مي‌تواند بسيار جالب توجه باشد. اين مقاله با رويكرد تحليل محتوا،‌ بررسي اين آموزه را بر‌اساس ديدگاه آگوستين و پلاگيوس بر عهده دارد.","author":[{"dropping-particle":"","family":"Duchon","given":"Claude E.","non-dropping-particle":"","parse-names":false,"suffix":""}],"container-title":"Journal of Applied Meteorology","id":"ITEM-1","issue":"8","issued":{"date-parts":[["1979","8"]]},"page":"1016-1022","title":"Lanczos Filtering in One and Two Dimensions","type":"article-journal","volume":"18"},"uris":["http://www.mendeley.com/documents/?uuid=52b36d99-45ab-47ec-b5bd-47b94a2716d2"]}],"mendeley":{"formattedCitation":"&lt;sup&gt;14&lt;/sup&gt;","plainTextFormattedCitation":"14","previouslyFormattedCitation":"&lt;sup&gt;14&lt;/sup&gt;"},"properties":{"noteIndex":0},"schema":"https://github.com/citation-style-language/schema/raw/master/csl-citation.json"}</w:instrText>
      </w:r>
      <w:r>
        <w:fldChar w:fldCharType="separate"/>
      </w:r>
      <w:r w:rsidR="00FD69AD" w:rsidRPr="00FD69AD">
        <w:rPr>
          <w:noProof/>
          <w:vertAlign w:val="superscript"/>
        </w:rPr>
        <w:t>14</w:t>
      </w:r>
      <w:r>
        <w:fldChar w:fldCharType="end"/>
      </w:r>
      <w:r w:rsidR="00835A73">
        <w:t xml:space="preserve"> with 9-year low-pass filtering</w:t>
      </w:r>
      <w:r w:rsidR="001D5BAC">
        <w:t xml:space="preserve"> (</w:t>
      </w:r>
      <w:r w:rsidR="001D5BAC" w:rsidRPr="4580AB2B">
        <w:rPr>
          <w:i/>
          <w:iCs/>
        </w:rPr>
        <w:t>r</w:t>
      </w:r>
      <w:r w:rsidR="001D5BAC">
        <w:t xml:space="preserve">=0.35, </w:t>
      </w:r>
      <w:r w:rsidR="001D5BAC" w:rsidRPr="4580AB2B">
        <w:rPr>
          <w:i/>
          <w:iCs/>
        </w:rPr>
        <w:t>p</w:t>
      </w:r>
      <w:r w:rsidR="00B84E55">
        <w:t>&lt;</w:t>
      </w:r>
      <w:r w:rsidR="001D5BAC">
        <w:t>0.0</w:t>
      </w:r>
      <w:r w:rsidR="00B84E55">
        <w:t>5</w:t>
      </w:r>
      <w:r w:rsidR="001D5BAC">
        <w:t>)</w:t>
      </w:r>
      <w:r w:rsidR="00835A73">
        <w:t>,</w:t>
      </w:r>
      <w:r w:rsidR="001D5BAC">
        <w:t xml:space="preserve"> but not for a box linear</w:t>
      </w:r>
      <w:r w:rsidR="00B84E55">
        <w:t xml:space="preserve"> 9-year running mean</w:t>
      </w:r>
      <w:r w:rsidR="001D5BAC">
        <w:t xml:space="preserve"> filter (</w:t>
      </w:r>
      <w:r w:rsidR="001D5BAC" w:rsidRPr="4580AB2B">
        <w:rPr>
          <w:i/>
          <w:iCs/>
        </w:rPr>
        <w:t>r</w:t>
      </w:r>
      <w:r w:rsidR="001D5BAC">
        <w:t xml:space="preserve">=0.32, </w:t>
      </w:r>
      <w:r w:rsidR="001D5BAC" w:rsidRPr="4580AB2B">
        <w:rPr>
          <w:i/>
          <w:iCs/>
        </w:rPr>
        <w:t>p</w:t>
      </w:r>
      <w:r w:rsidR="001D5BAC">
        <w:t>=0.09)</w:t>
      </w:r>
      <w:r w:rsidR="00846757">
        <w:t>.</w:t>
      </w:r>
      <w:r w:rsidR="008C20D5">
        <w:t xml:space="preserve"> </w:t>
      </w:r>
      <w:r w:rsidR="001A5898">
        <w:t>Considering the</w:t>
      </w:r>
      <w:r w:rsidR="00846757">
        <w:t xml:space="preserve"> small</w:t>
      </w:r>
      <w:r w:rsidR="001A5898">
        <w:t xml:space="preserve"> </w:t>
      </w:r>
      <w:r w:rsidR="00522D89">
        <w:t>sample size</w:t>
      </w:r>
      <w:r w:rsidR="001A5898">
        <w:t xml:space="preserve"> in individual basins, we calculated the mean </w:t>
      </w:r>
      <w:r w:rsidR="00AC0A1A">
        <w:t>LMI and LI</w:t>
      </w:r>
      <w:r w:rsidR="001A5898">
        <w:t xml:space="preserve"> </w:t>
      </w:r>
      <w:r w:rsidR="00EC0685">
        <w:t>change</w:t>
      </w:r>
      <w:r w:rsidR="00AC0A1A">
        <w:t>s</w:t>
      </w:r>
      <w:r w:rsidR="00E20CB8">
        <w:t xml:space="preserve"> of </w:t>
      </w:r>
      <w:r w:rsidR="00F632C8">
        <w:t xml:space="preserve">all </w:t>
      </w:r>
      <w:r w:rsidR="00BD65FC">
        <w:t xml:space="preserve">the </w:t>
      </w:r>
      <w:r w:rsidR="00F632C8">
        <w:t>selected landfall</w:t>
      </w:r>
      <w:r w:rsidR="004E3D7A">
        <w:t>ing</w:t>
      </w:r>
      <w:r w:rsidR="00F632C8">
        <w:t xml:space="preserve"> storms </w:t>
      </w:r>
      <w:r w:rsidR="001A5898">
        <w:t>between two epochs (2001-20</w:t>
      </w:r>
      <w:r w:rsidR="0024225B">
        <w:t>20</w:t>
      </w:r>
      <w:r w:rsidR="001A5898">
        <w:t xml:space="preserve"> minus 1982-2000)</w:t>
      </w:r>
      <w:r w:rsidR="006469E1">
        <w:t xml:space="preserve">. </w:t>
      </w:r>
      <w:r w:rsidR="00846757">
        <w:t xml:space="preserve">The epochal analysis confirms the weak relationship between LI and LMI changes in </w:t>
      </w:r>
      <w:r w:rsidR="00846757">
        <w:lastRenderedPageBreak/>
        <w:t xml:space="preserve">all the basins </w:t>
      </w:r>
      <w:r w:rsidR="00173897">
        <w:t>(Table S</w:t>
      </w:r>
      <w:r w:rsidR="006A2CB5">
        <w:t>1</w:t>
      </w:r>
      <w:r w:rsidR="00173897">
        <w:t xml:space="preserve">). The </w:t>
      </w:r>
      <w:r w:rsidR="00CB01DF" w:rsidRPr="4580AB2B">
        <w:rPr>
          <w:lang w:val="en-US"/>
        </w:rPr>
        <w:t xml:space="preserve">epochal </w:t>
      </w:r>
      <w:r w:rsidR="005651BF" w:rsidRPr="4580AB2B">
        <w:rPr>
          <w:lang w:val="en-US"/>
        </w:rPr>
        <w:t xml:space="preserve">absolute </w:t>
      </w:r>
      <w:r w:rsidR="00CB01DF" w:rsidRPr="4580AB2B">
        <w:rPr>
          <w:lang w:val="en-US"/>
        </w:rPr>
        <w:t xml:space="preserve">change of </w:t>
      </w:r>
      <w:r w:rsidR="008941F9" w:rsidRPr="4580AB2B">
        <w:rPr>
          <w:lang w:val="en-US"/>
        </w:rPr>
        <w:t xml:space="preserve">the </w:t>
      </w:r>
      <w:r w:rsidR="00337E04" w:rsidRPr="4580AB2B">
        <w:rPr>
          <w:lang w:val="en-US"/>
        </w:rPr>
        <w:t xml:space="preserve">regional mean </w:t>
      </w:r>
      <w:r w:rsidR="00CB01DF" w:rsidRPr="4580AB2B">
        <w:rPr>
          <w:lang w:val="en-US"/>
        </w:rPr>
        <w:t xml:space="preserve">LI </w:t>
      </w:r>
      <w:r w:rsidR="00173897">
        <w:t xml:space="preserve">is </w:t>
      </w:r>
      <w:r w:rsidR="00846757">
        <w:t xml:space="preserve">less than that of </w:t>
      </w:r>
      <w:r w:rsidR="00173897">
        <w:t>LMI in the West Pacific, East Pacific and North Atlantic, which account for 75% of global landfall counts.</w:t>
      </w:r>
      <w:r w:rsidR="00B7143E">
        <w:t xml:space="preserve"> The </w:t>
      </w:r>
      <w:r w:rsidR="001D637B">
        <w:t>epochal change</w:t>
      </w:r>
      <w:r w:rsidR="00D7796E">
        <w:t>s</w:t>
      </w:r>
      <w:r w:rsidR="001D637B">
        <w:t xml:space="preserve"> of LI and LM</w:t>
      </w:r>
      <w:r w:rsidR="00F40178">
        <w:t xml:space="preserve">I </w:t>
      </w:r>
      <w:r w:rsidR="00846757">
        <w:t xml:space="preserve">even have opposite </w:t>
      </w:r>
      <w:r w:rsidR="00F40178">
        <w:t xml:space="preserve">signs </w:t>
      </w:r>
      <w:r w:rsidR="00D7796E">
        <w:t>in the Indian Ocean basins.</w:t>
      </w:r>
      <w:r w:rsidR="00173897">
        <w:t xml:space="preserve"> The South Pacific is the only basin with a significant positive </w:t>
      </w:r>
      <w:r w:rsidR="00CB01DF">
        <w:t xml:space="preserve">epochal </w:t>
      </w:r>
      <w:r w:rsidR="00173897">
        <w:t xml:space="preserve">LI </w:t>
      </w:r>
      <w:r w:rsidR="00CB01DF">
        <w:t>change</w:t>
      </w:r>
      <w:r w:rsidR="00173897">
        <w:t>.</w:t>
      </w:r>
      <w:r w:rsidR="000B6294">
        <w:t xml:space="preserve"> The decoupling of LI and LMI</w:t>
      </w:r>
      <w:r w:rsidR="003822FC">
        <w:t xml:space="preserve"> of all major and minor storms with landfalls</w:t>
      </w:r>
      <w:r w:rsidR="000B6294">
        <w:t xml:space="preserve"> </w:t>
      </w:r>
      <w:r w:rsidR="005651BF">
        <w:t xml:space="preserve">in Table S1 </w:t>
      </w:r>
      <w:r w:rsidR="000B6294">
        <w:t xml:space="preserve">echoes the much larger variation of </w:t>
      </w:r>
      <w:r w:rsidR="0021518F">
        <w:t xml:space="preserve">TC </w:t>
      </w:r>
      <w:r w:rsidR="000B6294">
        <w:t xml:space="preserve">LI compared to that of </w:t>
      </w:r>
      <w:r w:rsidR="0021518F">
        <w:t xml:space="preserve">TC </w:t>
      </w:r>
      <w:r w:rsidR="000B6294">
        <w:t xml:space="preserve">LMI shown in </w:t>
      </w:r>
      <w:r w:rsidR="007D7E1E">
        <w:t>Table 1.</w:t>
      </w:r>
    </w:p>
    <w:p w14:paraId="5DAF3E03" w14:textId="77777777" w:rsidR="001F593B" w:rsidRPr="001F593B" w:rsidRDefault="001F593B" w:rsidP="00885227">
      <w:pPr>
        <w:spacing w:after="120" w:line="360" w:lineRule="auto"/>
      </w:pPr>
    </w:p>
    <w:p w14:paraId="67818BC9" w14:textId="0AE05D70" w:rsidR="00AD7967" w:rsidRPr="00625778" w:rsidRDefault="00173897" w:rsidP="00885227">
      <w:pPr>
        <w:spacing w:after="120" w:line="360" w:lineRule="auto"/>
        <w:rPr>
          <w:b/>
        </w:rPr>
      </w:pPr>
      <w:r w:rsidRPr="00625778">
        <w:rPr>
          <w:b/>
        </w:rPr>
        <w:t>Discussion and conclusions</w:t>
      </w:r>
    </w:p>
    <w:p w14:paraId="115358B3" w14:textId="30B9BB93" w:rsidR="000128D5" w:rsidRDefault="000128D5" w:rsidP="00392E69">
      <w:pPr>
        <w:spacing w:after="120" w:line="360" w:lineRule="auto"/>
        <w:rPr>
          <w:lang w:val="en-US"/>
        </w:rPr>
      </w:pPr>
      <w:r w:rsidRPr="4DB3E4A3">
        <w:rPr>
          <w:lang w:val="en-US"/>
        </w:rPr>
        <w:t xml:space="preserve">The long-term change of landfalls was previously analyzed by </w:t>
      </w:r>
      <w:r w:rsidR="00FD69AD">
        <w:rPr>
          <w:lang w:val="en-US"/>
        </w:rPr>
        <w:t xml:space="preserve">ref. </w:t>
      </w:r>
      <w:r w:rsidR="00FD69AD">
        <w:rPr>
          <w:lang w:val="en-US"/>
        </w:rPr>
        <w:fldChar w:fldCharType="begin" w:fldLock="1"/>
      </w:r>
      <w:r w:rsidR="00FD69AD">
        <w:rPr>
          <w:lang w:val="en-US"/>
        </w:rPr>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10</w:t>
      </w:r>
      <w:r w:rsidR="00FD69AD">
        <w:rPr>
          <w:lang w:val="en-US"/>
        </w:rPr>
        <w:fldChar w:fldCharType="end"/>
      </w:r>
      <w:r w:rsidRPr="4DB3E4A3">
        <w:rPr>
          <w:lang w:val="en-US"/>
        </w:rPr>
        <w:t xml:space="preserve"> for 1970-2010 and extended to 2017 in</w:t>
      </w:r>
      <w:r w:rsidR="00FD69AD">
        <w:rPr>
          <w:lang w:val="en-US"/>
        </w:rPr>
        <w:t xml:space="preserve"> ref.</w:t>
      </w:r>
      <w:r w:rsidR="00FD69AD">
        <w:rPr>
          <w:lang w:val="en-US"/>
        </w:rPr>
        <w:fldChar w:fldCharType="begin" w:fldLock="1"/>
      </w:r>
      <w:r w:rsidR="00FD69AD">
        <w:rPr>
          <w:lang w:val="en-US"/>
        </w:rPr>
        <w:instrText>ADDIN CSL_CITATION {"citationItems":[{"id":"ITEM-1","itemData":{"DOI":"10.1175/BAMS-D-18-0189.1","ISSN":"0003-0007","abstract":"An assessment was made of whether detectable changes in tropical cyclone (TC) activity are identifiable in observations and whether any changes can be attributed to anthropogenic climate change. Overall, historical data suggest detectable TC activity changes in some regions associated with TC track changes, while data quality and quantity issues create greater challenges for analyses based on TC intensity and frequency. A number of specific published conclusions (case studies) about possible detectable anthropogenic influence on TCs were assessed using the conventional approach of preferentially avoiding type I errors (i.e., overstating anthropogenic influence or detection). We conclude there is at least low to medium confidence that the observed poleward migration of the latitude of maximum intensity in the western North Pacific is detectable, or highly unusual compared to expected natural variability. Opinion on the author team was divided on whether any observed TC changes demonstrate discernible anthropogenic influence, or whether any other observed changes represent detectable changes. The issue was then reframed by assessing evidence for detectable anthropogenic influence while seeking to reduce the chance of type II errors (i.e., missing or understating anthropogenic influence or detection). For this purpose, we used a much weaker “balance of evidence” criterion for assessment. This leads to a number of more speculative TC detection and/or attribution statements, which we recognize have substantial potential for being false alarms (i.e., overstating anthropogenic influence or detection) but which may be useful for risk assessment. Several examples of these alternative statements, derived using this approach, are presented in the report.","author":[{"dropping-particle":"","family":"Knutson","given":"Thomas R.","non-dropping-particle":"","parse-names":false,"suffix":""},{"dropping-particle":"","family":"Camargo","given":"Suzana J.","non-dropping-particle":"","parse-names":false,"suffix":""},{"dropping-particle":"","family":"Chan","given":"Johnny C L","non-dropping-particle":"","parse-names":false,"suffix":""},{"dropping-particle":"","family":"Emanuel","given":"Kerry","non-dropping-particle":"","parse-names":false,"suffix":""},{"dropping-particle":"","family":"Ho","given":"Chang-Hoi","non-dropping-particle":"","parse-names":false,"suffix":""},{"dropping-particle":"","family":"Kossin","given":"James","non-dropping-particle":"","parse-names":false,"suffix":""},{"dropping-particle":"","family":"Mohapatra","given":"Mrutyunjay","non-dropping-particle":"","parse-names":false,"suffix":""},{"dropping-particle":"","family":"Satoh","given":"Masaki","non-dropping-particle":"","parse-names":false,"suffix":""},{"dropping-particle":"","family":"Sugi","given":"Masato","non-dropping-particle":"","parse-names":false,"suffix":""},{"dropping-particle":"","family":"Walsh","given":"Kevin","non-dropping-particle":"","parse-names":false,"suffix":""},{"dropping-particle":"","family":"Wu","given":"Liguang","non-dropping-particle":"","parse-names":false,"suffix":""}],"container-title":"Bulletin of the American Meteorological Society","id":"ITEM-1","issue":"10","issued":{"date-parts":[["2019","10"]]},"page":"1987-2007","title":"Tropical Cyclones and Climate Change Assessment: Part I: Detection and Attribution","type":"article-journal","volume":"100"},"uris":["http://www.mendeley.com/documents/?uuid=e1d28dab-087d-3b9b-a35e-5553b4780381"]}],"mendeley":{"formattedCitation":"&lt;sup&gt;11&lt;/sup&gt;","plainTextFormattedCitation":"11","previouslyFormattedCitation":"&lt;sup&gt;11&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11</w:t>
      </w:r>
      <w:r w:rsidR="00FD69AD">
        <w:rPr>
          <w:lang w:val="en-US"/>
        </w:rPr>
        <w:fldChar w:fldCharType="end"/>
      </w:r>
      <w:r w:rsidRPr="4DB3E4A3">
        <w:rPr>
          <w:lang w:val="en-US"/>
        </w:rPr>
        <w:t>. Both studies</w:t>
      </w:r>
      <w:r w:rsidR="00FD69AD">
        <w:rPr>
          <w:lang w:val="en-US"/>
        </w:rPr>
        <w:t xml:space="preserve"> </w:t>
      </w:r>
      <w:r w:rsidR="00FD69AD">
        <w:rPr>
          <w:lang w:val="en-US"/>
        </w:rPr>
        <w:fldChar w:fldCharType="begin" w:fldLock="1"/>
      </w:r>
      <w:r w:rsidR="00FD69AD">
        <w:rPr>
          <w:lang w:val="en-US"/>
        </w:rPr>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landfalls","type":"article-journal","volume":"25"},"uris":["http://www.mendeley.com/documents/?uuid=0d8ccdb6-09c5-3e5b-9c11-de612a1c74c3"]},{"id":"ITEM-2","itemData":{"DOI":"10.1175/BAMS-D-18-0189.1","ISSN":"0003-0007","abstract":"An assessment was made of whether detectable changes in tropical cyclone (TC) activity are identifiable in observations and whether any changes can be attributed to anthropogenic climate change. Overall, historical data suggest detectable TC activity changes in some regions associated with TC track changes, while data quality and quantity issues create greater challenges for analyses based on TC intensity and frequency. A number of specific published conclusions (case studies) about possible detectable anthropogenic influence on TCs were assessed using the conventional approach of preferentially avoiding type I errors (i.e., overstating anthropogenic influence or detection). We conclude there is at least low to medium confidence that the observed poleward migration of the latitude of maximum intensity in the western North Pacific is detectable, or highly unusual compared to expected natural variability. Opinion on the author team was divided on whether any observed TC changes demonstrate discernible anthropogenic influence, or whether any other observed changes represent detectable changes. The issue was then reframed by assessing evidence for detectable anthropogenic influence while seeking to reduce the chance of type II errors (i.e., missing or understating anthropogenic influence or detection). For this purpose, we used a much weaker “balance of evidence” criterion for assessment. This leads to a number of more speculative TC detection and/or attribution statements, which we recognize have substantial potential for being false alarms (i.e., overstating anthropogenic influence or detection) but which may be useful for risk assessment. Several examples of these alternative statements, derived using this approach, are presented in the report.","author":[{"dropping-particle":"","family":"Knutson","given":"Thomas R.","non-dropping-particle":"","parse-names":false,"suffix":""},{"dropping-particle":"","family":"Camargo","given":"Suzana J.","non-dropping-particle":"","parse-names":false,"suffix":""},{"dropping-particle":"","family":"Chan","given":"Johnny C L","non-dropping-particle":"","parse-names":false,"suffix":""},{"dropping-particle":"","family":"Emanuel","given":"Kerry","non-dropping-particle":"","parse-names":false,"suffix":""},{"dropping-particle":"","family":"Ho","given":"Chang-Hoi","non-dropping-particle":"","parse-names":false,"suffix":""},{"dropping-particle":"","family":"Kossin","given":"James","non-dropping-particle":"","parse-names":false,"suffix":""},{"dropping-particle":"","family":"Mohapatra","given":"Mrutyunjay","non-dropping-particle":"","parse-names":false,"suffix":""},{"dropping-particle":"","family":"Satoh","given":"Masaki","non-dropping-particle":"","parse-names":false,"suffix":""},{"dropping-particle":"","family":"Sugi","given":"Masato","non-dropping-particle":"","parse-names":false,"suffix":""},{"dropping-particle":"","family":"Walsh","given":"Kevin","non-dropping-particle":"","parse-names":false,"suffix":""},{"dropping-particle":"","family":"Wu","given":"Liguang","non-dropping-particle":"","parse-names":false,"suffix":""}],"container-title":"Bulletin of the American Meteorological Society","id":"ITEM-2","issue":"10","issued":{"date-parts":[["2019","10"]]},"page":"1987-2007","title":"Tropical Cyclones and Climate Change Assessment: Part I: Detection and Attribution","type":"article-journal","volume":"100"},"uris":["http://www.mendeley.com/documents/?uuid=e1d28dab-087d-3b9b-a35e-5553b4780381"]}],"mendeley":{"formattedCitation":"&lt;sup&gt;10,11&lt;/sup&gt;","plainTextFormattedCitation":"10,11","previouslyFormattedCitation":"&lt;sup&gt;10,11&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10,11</w:t>
      </w:r>
      <w:r w:rsidR="00FD69AD">
        <w:rPr>
          <w:lang w:val="en-US"/>
        </w:rPr>
        <w:fldChar w:fldCharType="end"/>
      </w:r>
      <w:r w:rsidRPr="4DB3E4A3">
        <w:rPr>
          <w:lang w:val="en-US"/>
        </w:rPr>
        <w:t xml:space="preserve"> found that the global linear trend was close to be significant, e.g., with a </w:t>
      </w:r>
      <w:r w:rsidRPr="4DB3E4A3">
        <w:rPr>
          <w:i/>
          <w:iCs/>
          <w:lang w:val="en-US"/>
        </w:rPr>
        <w:t>p</w:t>
      </w:r>
      <w:r w:rsidR="0028602A">
        <w:rPr>
          <w:lang w:val="en-US"/>
        </w:rPr>
        <w:t>-</w:t>
      </w:r>
      <w:r w:rsidRPr="4DB3E4A3">
        <w:rPr>
          <w:lang w:val="en-US"/>
        </w:rPr>
        <w:t xml:space="preserve">value of 0.06 for 1970-2010. Their conclusions </w:t>
      </w:r>
      <w:r w:rsidR="00E22396" w:rsidRPr="4DB3E4A3">
        <w:rPr>
          <w:lang w:val="en-US"/>
        </w:rPr>
        <w:t>were</w:t>
      </w:r>
      <w:r w:rsidRPr="4DB3E4A3">
        <w:rPr>
          <w:lang w:val="en-US"/>
        </w:rPr>
        <w:t xml:space="preserve"> based on a finer land mask</w:t>
      </w:r>
      <w:r w:rsidR="00243793">
        <w:rPr>
          <w:lang w:val="en-US"/>
        </w:rPr>
        <w:t xml:space="preserve"> (see Methods)</w:t>
      </w:r>
      <w:r w:rsidRPr="4DB3E4A3">
        <w:rPr>
          <w:lang w:val="en-US"/>
        </w:rPr>
        <w:t xml:space="preserve"> and conventional linear trend test.</w:t>
      </w:r>
      <w:r w:rsidR="00662185" w:rsidRPr="4DB3E4A3">
        <w:rPr>
          <w:lang w:val="en-US"/>
        </w:rPr>
        <w:t xml:space="preserve"> </w:t>
      </w:r>
      <w:r w:rsidR="00E63FAD" w:rsidRPr="4DB3E4A3">
        <w:rPr>
          <w:lang w:val="en-US"/>
        </w:rPr>
        <w:t>The counts are small</w:t>
      </w:r>
      <w:r w:rsidR="005F62DD" w:rsidRPr="4DB3E4A3">
        <w:rPr>
          <w:lang w:val="en-US"/>
        </w:rPr>
        <w:t xml:space="preserve">, and this makes it difficult </w:t>
      </w:r>
      <w:r w:rsidR="00E84B8E" w:rsidRPr="4DB3E4A3">
        <w:rPr>
          <w:lang w:val="en-US"/>
        </w:rPr>
        <w:t xml:space="preserve">to </w:t>
      </w:r>
      <w:r w:rsidR="00AE2F4B" w:rsidRPr="4DB3E4A3">
        <w:rPr>
          <w:lang w:val="en-US"/>
        </w:rPr>
        <w:t>assume Gaussian</w:t>
      </w:r>
      <w:r w:rsidR="00C34E7C">
        <w:rPr>
          <w:lang w:val="en-US"/>
        </w:rPr>
        <w:t xml:space="preserve"> errors and determine significance levels</w:t>
      </w:r>
      <w:r w:rsidR="00DE5F30" w:rsidRPr="4DB3E4A3">
        <w:rPr>
          <w:lang w:val="en-US"/>
        </w:rPr>
        <w:t xml:space="preserve"> </w:t>
      </w:r>
      <w:r w:rsidR="003E5242" w:rsidRPr="4DB3E4A3">
        <w:rPr>
          <w:lang w:val="en-US"/>
        </w:rPr>
        <w:t>for</w:t>
      </w:r>
      <w:r w:rsidR="00DE5F30" w:rsidRPr="4DB3E4A3">
        <w:rPr>
          <w:lang w:val="en-US"/>
        </w:rPr>
        <w:t xml:space="preserve"> simple linear regression</w:t>
      </w:r>
      <w:r w:rsidR="00C34E7C">
        <w:rPr>
          <w:lang w:val="en-US"/>
        </w:rPr>
        <w:t xml:space="preserve"> </w:t>
      </w:r>
      <w:r w:rsidRPr="4DB3E4A3">
        <w:rPr>
          <w:lang w:val="en-US"/>
        </w:rPr>
        <w:fldChar w:fldCharType="begin" w:fldLock="1"/>
      </w:r>
      <w:r w:rsidR="00FD69AD">
        <w:rPr>
          <w:lang w:val="en-US"/>
        </w:rPr>
        <w:instrText>ADDIN CSL_CITATION {"citationItems":[{"id":"ITEM-1","itemData":{"ISBN":"0123850223","author":[{"dropping-particle":"","family":"Wilks","given":"Daniel S","non-dropping-particle":"","parse-names":false,"suffix":""}],"id":"ITEM-1","issued":{"date-parts":[["2011"]]},"publisher":"Academic press","title":"Statistical methods in the atmospheric sciences","type":"book","volume":"100"},"uris":["http://www.mendeley.com/documents/?uuid=3176a3e4-f7b3-4ca9-823e-6fbe09333d34"]}],"mendeley":{"formattedCitation":"&lt;sup&gt;15&lt;/sup&gt;","plainTextFormattedCitation":"15","previouslyFormattedCitation":"&lt;sup&gt;15&lt;/sup&gt;"},"properties":{"noteIndex":0},"schema":"https://github.com/citation-style-language/schema/raw/master/csl-citation.json"}</w:instrText>
      </w:r>
      <w:r w:rsidRPr="4DB3E4A3">
        <w:rPr>
          <w:lang w:val="en-US"/>
        </w:rPr>
        <w:fldChar w:fldCharType="separate"/>
      </w:r>
      <w:r w:rsidR="00FD69AD" w:rsidRPr="00FD69AD">
        <w:rPr>
          <w:noProof/>
          <w:vertAlign w:val="superscript"/>
          <w:lang w:val="en-US"/>
        </w:rPr>
        <w:t>15</w:t>
      </w:r>
      <w:r w:rsidRPr="4DB3E4A3">
        <w:rPr>
          <w:lang w:val="en-US"/>
        </w:rPr>
        <w:fldChar w:fldCharType="end"/>
      </w:r>
      <w:r w:rsidR="00F82A8F" w:rsidRPr="4DB3E4A3">
        <w:rPr>
          <w:lang w:val="en-US"/>
        </w:rPr>
        <w:t>.</w:t>
      </w:r>
      <w:r w:rsidR="00DA23F5" w:rsidRPr="4DB3E4A3">
        <w:rPr>
          <w:lang w:val="en-US"/>
        </w:rPr>
        <w:t xml:space="preserve"> </w:t>
      </w:r>
      <w:r w:rsidR="00C47F11" w:rsidRPr="4DB3E4A3">
        <w:rPr>
          <w:lang w:val="en-US"/>
        </w:rPr>
        <w:t xml:space="preserve">A Poisson process is </w:t>
      </w:r>
      <w:r w:rsidR="007540AC">
        <w:rPr>
          <w:lang w:val="en-US"/>
        </w:rPr>
        <w:t xml:space="preserve">a </w:t>
      </w:r>
      <w:r w:rsidR="00C47F11" w:rsidRPr="4DB3E4A3">
        <w:rPr>
          <w:lang w:val="en-US"/>
        </w:rPr>
        <w:t>pre</w:t>
      </w:r>
      <w:r w:rsidR="00E73E19" w:rsidRPr="4DB3E4A3">
        <w:rPr>
          <w:lang w:val="en-US"/>
        </w:rPr>
        <w:t>ferred tool for landfall events</w:t>
      </w:r>
      <w:r w:rsidR="009D2505">
        <w:rPr>
          <w:lang w:val="en-US"/>
        </w:rPr>
        <w:t xml:space="preserve"> </w:t>
      </w:r>
      <w:r w:rsidR="009D2505">
        <w:rPr>
          <w:lang w:val="en-US"/>
        </w:rPr>
        <w:fldChar w:fldCharType="begin" w:fldLock="1"/>
      </w:r>
      <w:r w:rsidR="00FD69AD">
        <w:rPr>
          <w:lang w:val="en-US"/>
        </w:rPr>
        <w:instrText>ADDIN CSL_CITATION {"citationItems":[{"id":"ITEM-1","itemData":{"DOI":"10.1175/1520-0477(1998)079&lt;2477:EOENOO&gt;2.0.CO;2","ISSN":"0003-0007","abstract":"Changes in the frequency of U.S. landfalling hurricanes with respect to the El Niño-Southern Oscillation (ENSO) cycle are assessed. Ninety-eight years (1900-97) of U.S. landfalling hurricanes are classified, using sea surface temperature anomaly data from the equatorial Pacific Ocean, as occurring during an El Niño (anomalously warm tropical Pacific waters), La Niña (anomalously cold tropical Pacific waters), or neither (neutral). The mean and variance of U.S. landfalling hurricanes are determined for each ENSO phase. Each grouping is then tested for Poisson distribution using a chi-squared test. Resampling using a \"bootstrap\" technique is then used to determine the 5% and 95% confidence limits of the results. Last, the frequency of major U.S. landfalling hurricanes (sustained winds of 96 kt or more) with respect to ENSO phase is assessed empirically. The results indicated that El Niño events show a reduction in the probability of a U.S. landfalling hurricane, while La Niña shows an increase in the chance of a U.S. hurricane strike. Quantitatively, the probability of two or more landfalling U.S. hurricanes during an El Niño is 28%, of two or more landfalls during neutral conditions is 48%, and of two or more landfalls during La Niña is 66%. The frequencies of landfalling major hurricanes show similar results. The probability of one or more major hurricane landfall during El Niño is 23% but is 58% during neutral conditions and 63% during La Niña.","author":[{"dropping-particle":"","family":"Bove","given":"Mark C.","non-dropping-particle":"","parse-names":false,"suffix":""},{"dropping-particle":"","family":"O'Brien","given":"James J.","non-dropping-particle":"","parse-names":false,"suffix":""},{"dropping-particle":"","family":"Eisner","given":"James B.","non-dropping-particle":"","parse-names":false,"suffix":""},{"dropping-particle":"","family":"Landsea","given":"Chris W.","non-dropping-particle":"","parse-names":false,"suffix":""},{"dropping-particle":"","family":"Niu","given":"Xufeng","non-dropping-particle":"","parse-names":false,"suffix":""}],"container-title":"Bulletin of the American Meteorological Society","id":"ITEM-1","issue":"11","issued":{"date-parts":[["1998","11"]]},"page":"2477-2482","title":"Effect of El Niño on U.S. Landfalling Hurricanes, Revisited","type":"article-journal","volume":"79"},"uris":["http://www.mendeley.com/documents/?uuid=0002dc1d-9518-42bb-8d7a-f5041fa36ed6"]},{"id":"ITEM-2","itemData":{"ISBN":"0195125088","author":[{"dropping-particle":"","family":"Elsner","given":"James B","non-dropping-particle":"","parse-names":false,"suffix":""},{"dropping-particle":"","family":"Elsner","given":"Geography James B","non-dropping-particle":"","parse-names":false,"suffix":""},{"dropping-particle":"","family":"Kara","given":"A Birol","non-dropping-particle":"","parse-names":false,"suffix":""}],"id":"ITEM-2","issued":{"date-parts":[["1999"]]},"publisher":"Oxford University Press on Demand","title":"Hurricanes of the North Atlantic: Climate and society","type":"book"},"uris":["http://www.mendeley.com/documents/?uuid=d7b04d51-2627-4b56-b08b-1de617245957"]},{"id":"ITEM-3","itemData":{"DOI":"10.1175/1520-0442(2000)013&lt;3696:TFATIA&gt;2.0.CO;2","ISSN":"08948755","abstract":"The record of annual counts of basinwide North Atlantic hurricanes is incomplete prior to 1946. This has restricted efforts to identify a long-term trend in hurricane activity to the postwar period. In contrast, the complete record of U.S. landfalling hurricanes extends back to 1930 or earlier. Under the assumption that the proportion of basinwide hurricanes that make landfall is constant over time, it is possible to use the record of landfalling hurricanes to extend a test for trend in basinwide hurricane activity beyond the postwar period. This note describes and illustrates a method for doing this. The results suggest that there has been a significant reduction in basinwide hurricane activity over the period 1930-98.","author":[{"dropping-particle":"","family":"Solow","given":"A. R.","non-dropping-particle":"","parse-names":false,"suffix":""},{"dropping-particle":"","family":"Moore","given":"L.","non-dropping-particle":"","parse-names":false,"suffix":""}],"container-title":"Journal of Climate","id":"ITEM-3","issue":"20","issued":{"date-parts":[["2000"]]},"page":"3696-3699","title":"Testing for a trend in a partially incomplete hurricane record","type":"article-journal","volume":"13"},"uris":["http://www.mendeley.com/documents/?uuid=a823f810-2a10-4492-aec1-59a9804e0abb"]},{"id":"ITEM-4","itemData":{"DOI":"10.1029/2001GL013669","ISSN":"00948276","abstract":"Analysis of the statistical relationship between annual U.S. hurricane activity and the El Niño-Southern oscillation (ENSO) is performed. The legitimacy of considering annual U.S. hurricane counts as a Poisson process is checked. Then, Poisson regression is used to model the ENSO-U.S. hurricane connection. A bivariate regression model verifies a significant negative correspondence between tropical Pacific sea-surface temperature (SST) and U.S. hurricane activity. When equatorial SSTs are cold, U.S. hurricanes are more likely. Secular changes to the ENSO-U.S. hurricane relationship are examined using moving regressions. A nonlinear downward trend in the relationship's strength is evident. Variations in sea-level pressures over the extra-tropical North Atlantic Ocean during months immediately prior to the hurricane season provide an explanation for a portion of this secular variability. Atmospheric synoptic conditions associated with the North Atlantic oscillation (NAO) result in hurricanes tracking parallel to southern latitudes en route to the United States.","author":[{"dropping-particle":"","family":"Elsner","given":"James B.","non-dropping-particle":"","parse-names":false,"suffix":""},{"dropping-particle":"","family":"Bossak","given":"Brian H.","non-dropping-particle":"","parse-names":false,"suffix":""},{"dropping-particle":"","family":"Niu","given":"Xu Feng","non-dropping-particle":"","parse-names":false,"suffix":""}],"container-title":"Geophysical Research Letters","id":"ITEM-4","issue":"21","issued":{"date-parts":[["2001"]]},"page":"4123-4126","title":"Secular changes to the ENSO-U.S. hurricane relationship","type":"article-journal","volume":"28"},"uris":["http://www.mendeley.com/documents/?uuid=388b5631-1d49-4192-8086-f76ba8a1fca3"]},{"id":"ITEM-5","itemData":{"DOI":"10.1175/2007JCLI1772.1","ISSN":"08948755","abstract":"This note estimates return periods of Atlantic basin hurricanes striking the continental United States. With Hurricane Katrina fresh on the public's mind, there is considerable interest in this topic. The return periods are estimated from historical data from the 1900 to 2006 period via extreme value methods and Poisson regression techniques. Despite the recent active 2004 and 2005 hurricane seasons, the authors do not find evidence of an increasing trend in hurricane strike frequencies. © 2008 American Meteorological Society.","author":[{"dropping-particle":"","family":"Parisi","given":"Francis","non-dropping-particle":"","parse-names":false,"suffix":""},{"dropping-particle":"","family":"Lund","given":"Robert","non-dropping-particle":"","parse-names":false,"suffix":""}],"container-title":"Journal of Climate","id":"ITEM-5","issue":"2","issued":{"date-parts":[["2008"]]},"page":"403-410","title":"Return periods of continental U.S. hurricanes","type":"article-journal","volume":"21"},"uris":["http://www.mendeley.com/documents/?uuid=c1f15365-b36f-44ba-b20e-f832320f009a"]},{"id":"ITEM-6","itemData":{"DOI":"10.1038/s41467-021-27364-8","ISBN":"4146702127","ISSN":"2041-1723","abstract":"Historical records of Atlantic hurricane activity, extending back to 1851, show increasing activity over time, but much or all of this trend has been attributed to lack of observations in the early portion of the record. Here we use a tropical cyclone downscaling model driven by three global climate analyses that are based mostly on sea surface temperature and surface pressure data. The results support earlier statistically-based inferences that storms were undercounted in the 19 th century, but in contrast to earlier work, show increasing tropical cyclone activity through the period, interrupted by a prominent hurricane drought in the 1970s and 80 s that we attribute to anthropogenic aerosols. In agreement with earlier work, we show that most of the variability of North Atlantic tropical cyclone activity over the last century was directly related to regional rather than global climate change. Most metrics of tropical cyclones downscaled over all the tropics show weak and/or insignificant trends over the last century, illustrating the special nature of North Atlantic tropical cyclone climatology.","author":[{"dropping-particle":"","family":"Emanuel","given":"Kerry","non-dropping-particle":"","parse-names":false,"suffix":""}],"container-title":"Nature Communications","id":"ITEM-6","issue":"1","issued":{"date-parts":[["2021","12","2"]]},"page":"7027","publisher":"Springer US","title":"Atlantic tropical cyclones downscaled from climate reanalyses show increasing activity over past 150 years","type":"article-journal","volume":"12"},"uris":["http://www.mendeley.com/documents/?uuid=31ec0a46-50b0-414a-9ec4-f3b7586589c9"]}],"mendeley":{"formattedCitation":"&lt;sup&gt;16–21&lt;/sup&gt;","plainTextFormattedCitation":"16–21","previouslyFormattedCitation":"&lt;sup&gt;16–21&lt;/sup&gt;"},"properties":{"noteIndex":0},"schema":"https://github.com/citation-style-language/schema/raw/master/csl-citation.json"}</w:instrText>
      </w:r>
      <w:r w:rsidR="009D2505">
        <w:rPr>
          <w:lang w:val="en-US"/>
        </w:rPr>
        <w:fldChar w:fldCharType="separate"/>
      </w:r>
      <w:r w:rsidR="00FD69AD" w:rsidRPr="00FD69AD">
        <w:rPr>
          <w:noProof/>
          <w:vertAlign w:val="superscript"/>
          <w:lang w:val="en-US"/>
        </w:rPr>
        <w:t>16–21</w:t>
      </w:r>
      <w:r w:rsidR="009D2505">
        <w:rPr>
          <w:lang w:val="en-US"/>
        </w:rPr>
        <w:fldChar w:fldCharType="end"/>
      </w:r>
      <w:r w:rsidR="00E73E19" w:rsidRPr="4DB3E4A3">
        <w:rPr>
          <w:lang w:val="en-US"/>
        </w:rPr>
        <w:t>.</w:t>
      </w:r>
      <w:r w:rsidRPr="4DB3E4A3">
        <w:rPr>
          <w:lang w:val="en-US"/>
        </w:rPr>
        <w:t xml:space="preserve"> </w:t>
      </w:r>
      <w:r w:rsidR="00CF287A" w:rsidRPr="4DB3E4A3">
        <w:rPr>
          <w:lang w:val="en-US"/>
        </w:rPr>
        <w:t>B</w:t>
      </w:r>
      <w:r w:rsidRPr="4DB3E4A3">
        <w:rPr>
          <w:lang w:val="en-US"/>
        </w:rPr>
        <w:t xml:space="preserve">y fitting </w:t>
      </w:r>
      <w:r w:rsidR="00CF287A" w:rsidRPr="4DB3E4A3">
        <w:rPr>
          <w:lang w:val="en-US"/>
        </w:rPr>
        <w:t>the</w:t>
      </w:r>
      <w:r w:rsidRPr="4DB3E4A3">
        <w:rPr>
          <w:lang w:val="en-US"/>
        </w:rPr>
        <w:t xml:space="preserve"> landfall</w:t>
      </w:r>
      <w:r w:rsidR="00C31E91" w:rsidRPr="4DB3E4A3">
        <w:rPr>
          <w:lang w:val="en-US"/>
        </w:rPr>
        <w:t xml:space="preserve"> counts</w:t>
      </w:r>
      <w:r w:rsidR="007540AC">
        <w:rPr>
          <w:lang w:val="en-US"/>
        </w:rPr>
        <w:t xml:space="preserve"> reported by</w:t>
      </w:r>
      <w:r w:rsidR="00FD69AD">
        <w:rPr>
          <w:lang w:val="en-US"/>
        </w:rPr>
        <w:t xml:space="preserve"> ref.</w:t>
      </w:r>
      <w:r w:rsidR="00FD69AD">
        <w:rPr>
          <w:lang w:val="en-US"/>
        </w:rPr>
        <w:fldChar w:fldCharType="begin" w:fldLock="1"/>
      </w:r>
      <w:r w:rsidR="00FD69AD">
        <w:rPr>
          <w:lang w:val="en-US"/>
        </w:rPr>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10</w:t>
      </w:r>
      <w:r w:rsidR="00FD69AD">
        <w:rPr>
          <w:lang w:val="en-US"/>
        </w:rPr>
        <w:fldChar w:fldCharType="end"/>
      </w:r>
      <w:r w:rsidR="00FD69AD">
        <w:rPr>
          <w:lang w:val="en-US"/>
        </w:rPr>
        <w:t xml:space="preserve"> (their Fig. 2a) </w:t>
      </w:r>
      <w:r w:rsidR="00C31E91" w:rsidRPr="4DB3E4A3">
        <w:rPr>
          <w:lang w:val="en-US"/>
        </w:rPr>
        <w:t>and</w:t>
      </w:r>
      <w:r w:rsidR="00FD69AD">
        <w:rPr>
          <w:lang w:val="en-US"/>
        </w:rPr>
        <w:t xml:space="preserve"> ref.</w:t>
      </w:r>
      <w:r w:rsidR="00FD69AD">
        <w:rPr>
          <w:lang w:val="en-US"/>
        </w:rPr>
        <w:fldChar w:fldCharType="begin" w:fldLock="1"/>
      </w:r>
      <w:r w:rsidR="00FD69AD">
        <w:rPr>
          <w:lang w:val="en-US"/>
        </w:rPr>
        <w:instrText>ADDIN CSL_CITATION {"citationItems":[{"id":"ITEM-1","itemData":{"DOI":"10.1175/BAMS-D-18-0189.1","ISSN":"0003-0007","abstract":"An assessment was made of whether detectable changes in tropical cyclone (TC) activity are identifiable in observations and whether any changes can be attributed to anthropogenic climate change. Overall, historical data suggest detectable TC activity changes in some regions associated with TC track changes, while data quality and quantity issues create greater challenges for analyses based on TC intensity and frequency. A number of specific published conclusions (case studies) about possible detectable anthropogenic influence on TCs were assessed using the conventional approach of preferentially avoiding type I errors (i.e., overstating anthropogenic influence or detection). We conclude there is at least low to medium confidence that the observed poleward migration of the latitude of maximum intensity in the western North Pacific is detectable, or highly unusual compared to expected natural variability. Opinion on the author team was divided on whether any observed TC changes demonstrate discernible anthropogenic influence, or whether any other observed changes represent detectable changes. The issue was then reframed by assessing evidence for detectable anthropogenic influence while seeking to reduce the chance of type II errors (i.e., missing or understating anthropogenic influence or detection). For this purpose, we used a much weaker “balance of evidence” criterion for assessment. This leads to a number of more speculative TC detection and/or attribution statements, which we recognize have substantial potential for being false alarms (i.e., overstating anthropogenic influence or detection) but which may be useful for risk assessment. Several examples of these alternative statements, derived using this approach, are presented in the report.","author":[{"dropping-particle":"","family":"Knutson","given":"Thomas R.","non-dropping-particle":"","parse-names":false,"suffix":""},{"dropping-particle":"","family":"Camargo","given":"Suzana J.","non-dropping-particle":"","parse-names":false,"suffix":""},{"dropping-particle":"","family":"Chan","given":"Johnny C L","non-dropping-particle":"","parse-names":false,"suffix":""},{"dropping-particle":"","family":"Emanuel","given":"Kerry","non-dropping-particle":"","parse-names":false,"suffix":""},{"dropping-particle":"","family":"Ho","given":"Chang-Hoi","non-dropping-particle":"","parse-names":false,"suffix":""},{"dropping-particle":"","family":"Kossin","given":"James","non-dropping-particle":"","parse-names":false,"suffix":""},{"dropping-particle":"","family":"Mohapatra","given":"Mrutyunjay","non-dropping-particle":"","parse-names":false,"suffix":""},{"dropping-particle":"","family":"Satoh","given":"Masaki","non-dropping-particle":"","parse-names":false,"suffix":""},{"dropping-particle":"","family":"Sugi","given":"Masato","non-dropping-particle":"","parse-names":false,"suffix":""},{"dropping-particle":"","family":"Walsh","given":"Kevin","non-dropping-particle":"","parse-names":false,"suffix":""},{"dropping-particle":"","family":"Wu","given":"Liguang","non-dropping-particle":"","parse-names":false,"suffix":""}],"container-title":"Bulletin of the American Meteorological Society","id":"ITEM-1","issue":"10","issued":{"date-parts":[["2019","10"]]},"page":"1987-2007","title":"Tropical Cyclones and Climate Change Assessment: Part I: Detection and Attribution","type":"article-journal","volume":"100"},"uris":["http://www.mendeley.com/documents/?uuid=e1d28dab-087d-3b9b-a35e-5553b4780381"]}],"mendeley":{"formattedCitation":"&lt;sup&gt;11&lt;/sup&gt;","plainTextFormattedCitation":"11","previouslyFormattedCitation":"&lt;sup&gt;11&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11</w:t>
      </w:r>
      <w:r w:rsidR="00FD69AD">
        <w:rPr>
          <w:lang w:val="en-US"/>
        </w:rPr>
        <w:fldChar w:fldCharType="end"/>
      </w:r>
      <w:r w:rsidR="00FD69AD">
        <w:rPr>
          <w:lang w:val="en-US"/>
        </w:rPr>
        <w:t xml:space="preserve"> (their Fig. 1i)</w:t>
      </w:r>
      <w:r w:rsidR="00C31E91" w:rsidRPr="4DB3E4A3">
        <w:rPr>
          <w:lang w:val="en-US"/>
        </w:rPr>
        <w:t xml:space="preserve"> </w:t>
      </w:r>
      <w:r w:rsidRPr="4DB3E4A3">
        <w:rPr>
          <w:lang w:val="en-US"/>
        </w:rPr>
        <w:t>with a Poisson regression, we find a doubling time of 48 years (</w:t>
      </w:r>
      <w:r w:rsidRPr="4DB3E4A3">
        <w:rPr>
          <w:i/>
          <w:iCs/>
          <w:lang w:val="en-US"/>
        </w:rPr>
        <w:t>p</w:t>
      </w:r>
      <w:r w:rsidRPr="4DB3E4A3">
        <w:rPr>
          <w:lang w:val="en-US"/>
        </w:rPr>
        <w:t>=0.02) for 1970-2010 and 70 years (</w:t>
      </w:r>
      <w:r w:rsidRPr="4DB3E4A3">
        <w:rPr>
          <w:i/>
          <w:iCs/>
          <w:lang w:val="en-US"/>
        </w:rPr>
        <w:t>p</w:t>
      </w:r>
      <w:r w:rsidRPr="4DB3E4A3">
        <w:rPr>
          <w:lang w:val="en-US"/>
        </w:rPr>
        <w:t>=0.03) for 1970-2017</w:t>
      </w:r>
      <w:r w:rsidR="00466E72">
        <w:rPr>
          <w:lang w:val="en-US"/>
        </w:rPr>
        <w:t>.</w:t>
      </w:r>
      <w:r w:rsidR="00CE5D9C">
        <w:rPr>
          <w:lang w:val="en-US"/>
        </w:rPr>
        <w:t xml:space="preserve"> </w:t>
      </w:r>
      <w:r w:rsidR="00466E72">
        <w:rPr>
          <w:lang w:val="en-US"/>
        </w:rPr>
        <w:t xml:space="preserve">This </w:t>
      </w:r>
      <w:r w:rsidR="00CE5D9C">
        <w:rPr>
          <w:lang w:val="en-US"/>
        </w:rPr>
        <w:t>is</w:t>
      </w:r>
      <w:r w:rsidR="00466E72">
        <w:rPr>
          <w:lang w:val="en-US"/>
        </w:rPr>
        <w:t xml:space="preserve"> consistent with</w:t>
      </w:r>
      <w:r w:rsidR="36211718" w:rsidRPr="1F44FA19">
        <w:rPr>
          <w:lang w:val="en-US"/>
        </w:rPr>
        <w:t xml:space="preserve"> </w:t>
      </w:r>
      <w:r w:rsidRPr="4DB3E4A3">
        <w:rPr>
          <w:lang w:val="en-US"/>
        </w:rPr>
        <w:t>the</w:t>
      </w:r>
      <w:r w:rsidR="00C3541D">
        <w:rPr>
          <w:lang w:val="en-US"/>
        </w:rPr>
        <w:t xml:space="preserve"> significant</w:t>
      </w:r>
      <w:r w:rsidRPr="4DB3E4A3">
        <w:rPr>
          <w:lang w:val="en-US"/>
        </w:rPr>
        <w:t xml:space="preserve"> landfall increase </w:t>
      </w:r>
      <w:r w:rsidR="00AF2CF7">
        <w:rPr>
          <w:lang w:val="en-US"/>
        </w:rPr>
        <w:t>in our analysis</w:t>
      </w:r>
      <w:r w:rsidR="75F64438" w:rsidRPr="1F44FA19">
        <w:rPr>
          <w:lang w:val="en-US"/>
        </w:rPr>
        <w:t xml:space="preserve"> for 1982-2020</w:t>
      </w:r>
      <w:r w:rsidR="00AF2CF7">
        <w:rPr>
          <w:lang w:val="en-US"/>
        </w:rPr>
        <w:t xml:space="preserve"> and 1970-2020</w:t>
      </w:r>
      <w:r w:rsidR="00723F5B">
        <w:rPr>
          <w:lang w:val="en-US"/>
        </w:rPr>
        <w:t xml:space="preserve"> with a</w:t>
      </w:r>
      <w:r w:rsidR="00120586">
        <w:rPr>
          <w:lang w:val="en-US"/>
        </w:rPr>
        <w:t xml:space="preserve"> </w:t>
      </w:r>
      <w:r w:rsidR="00120586" w:rsidRPr="1F44FA19">
        <w:rPr>
          <w:lang w:val="en-US"/>
        </w:rPr>
        <w:t>courser land mask</w:t>
      </w:r>
      <w:r w:rsidR="3CBB6711" w:rsidRPr="1F44FA19">
        <w:rPr>
          <w:lang w:val="en-US"/>
        </w:rPr>
        <w:t>.</w:t>
      </w:r>
      <w:r w:rsidR="008C4324">
        <w:rPr>
          <w:lang w:val="en-US"/>
        </w:rPr>
        <w:t xml:space="preserve"> The significant </w:t>
      </w:r>
      <w:r w:rsidR="008C4324" w:rsidRPr="4DB3E4A3">
        <w:rPr>
          <w:lang w:val="en-US"/>
        </w:rPr>
        <w:t xml:space="preserve">increase of </w:t>
      </w:r>
      <w:r w:rsidR="008C4324">
        <w:rPr>
          <w:lang w:val="en-US"/>
        </w:rPr>
        <w:t xml:space="preserve">global </w:t>
      </w:r>
      <w:r w:rsidR="008C4324" w:rsidRPr="4DB3E4A3">
        <w:rPr>
          <w:lang w:val="en-US"/>
        </w:rPr>
        <w:t>landfalls based on a Poisson regression is</w:t>
      </w:r>
      <w:r w:rsidR="008C4324">
        <w:rPr>
          <w:lang w:val="en-US"/>
        </w:rPr>
        <w:t xml:space="preserve"> therefore</w:t>
      </w:r>
      <w:r w:rsidR="008C4324" w:rsidRPr="4DB3E4A3">
        <w:rPr>
          <w:lang w:val="en-US"/>
        </w:rPr>
        <w:t xml:space="preserve"> not sensitive to the period examined or how landfall is defined. </w:t>
      </w:r>
      <w:r w:rsidR="00C94710" w:rsidRPr="00B049D5">
        <w:rPr>
          <w:lang w:val="en-US"/>
        </w:rPr>
        <w:t>T</w:t>
      </w:r>
      <w:r w:rsidR="009F34A5" w:rsidRPr="00B049D5">
        <w:rPr>
          <w:lang w:val="en-US"/>
        </w:rPr>
        <w:t xml:space="preserve">here is </w:t>
      </w:r>
      <w:r w:rsidR="00C94710" w:rsidRPr="00B049D5">
        <w:rPr>
          <w:lang w:val="en-US"/>
        </w:rPr>
        <w:t xml:space="preserve">still </w:t>
      </w:r>
      <w:r w:rsidR="009F34A5" w:rsidRPr="0032245B">
        <w:rPr>
          <w:lang w:val="en-US"/>
        </w:rPr>
        <w:t>a lack of significant trend</w:t>
      </w:r>
      <w:r w:rsidR="00904533" w:rsidRPr="00483813">
        <w:rPr>
          <w:lang w:val="en-US"/>
        </w:rPr>
        <w:t xml:space="preserve"> by b</w:t>
      </w:r>
      <w:r w:rsidR="00904533" w:rsidRPr="00746809">
        <w:rPr>
          <w:lang w:val="en-US"/>
        </w:rPr>
        <w:t>asin</w:t>
      </w:r>
      <w:r w:rsidR="009F34A5" w:rsidRPr="00746809">
        <w:rPr>
          <w:lang w:val="en-US"/>
        </w:rPr>
        <w:t xml:space="preserve"> for the period 1970-2020, which is in line with</w:t>
      </w:r>
      <w:r w:rsidR="00FD69AD">
        <w:rPr>
          <w:lang w:val="en-US"/>
        </w:rPr>
        <w:t xml:space="preserve"> ref.</w:t>
      </w:r>
      <w:r w:rsidR="00FD69AD">
        <w:rPr>
          <w:lang w:val="en-US"/>
        </w:rPr>
        <w:fldChar w:fldCharType="begin" w:fldLock="1"/>
      </w:r>
      <w:r w:rsidR="00B53CCC">
        <w:rPr>
          <w:lang w:val="en-US"/>
        </w:rPr>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FD69AD">
        <w:rPr>
          <w:lang w:val="en-US"/>
        </w:rPr>
        <w:fldChar w:fldCharType="separate"/>
      </w:r>
      <w:r w:rsidR="00FD69AD" w:rsidRPr="00FD69AD">
        <w:rPr>
          <w:noProof/>
          <w:vertAlign w:val="superscript"/>
          <w:lang w:val="en-US"/>
        </w:rPr>
        <w:t>10</w:t>
      </w:r>
      <w:r w:rsidR="00FD69AD">
        <w:rPr>
          <w:lang w:val="en-US"/>
        </w:rPr>
        <w:fldChar w:fldCharType="end"/>
      </w:r>
      <w:r w:rsidR="009F34A5" w:rsidRPr="00746809">
        <w:rPr>
          <w:lang w:val="en-US"/>
        </w:rPr>
        <w:t xml:space="preserve"> </w:t>
      </w:r>
      <w:r w:rsidR="00B17FB0" w:rsidRPr="00B049D5">
        <w:rPr>
          <w:lang w:val="en-US"/>
        </w:rPr>
        <w:t xml:space="preserve">and may be due to a large </w:t>
      </w:r>
      <w:r w:rsidR="008F0322" w:rsidRPr="00B049D5">
        <w:rPr>
          <w:lang w:val="en-US"/>
        </w:rPr>
        <w:t>inter</w:t>
      </w:r>
      <w:r w:rsidR="003A3E34" w:rsidRPr="00B049D5">
        <w:rPr>
          <w:lang w:val="en-US"/>
        </w:rPr>
        <w:t>-</w:t>
      </w:r>
      <w:r w:rsidR="00085D7E" w:rsidRPr="0032245B">
        <w:rPr>
          <w:lang w:val="en-US"/>
        </w:rPr>
        <w:t xml:space="preserve">basin </w:t>
      </w:r>
      <w:r w:rsidR="00A6357C" w:rsidRPr="00B049D5">
        <w:rPr>
          <w:lang w:val="en-US"/>
        </w:rPr>
        <w:t>variability</w:t>
      </w:r>
      <w:r w:rsidR="00085D7E" w:rsidRPr="00B049D5">
        <w:rPr>
          <w:lang w:val="en-US"/>
        </w:rPr>
        <w:t>, e.g., the US major landfall “drought”</w:t>
      </w:r>
      <w:r w:rsidR="00085D7E" w:rsidRPr="0032245B">
        <w:rPr>
          <w:lang w:val="en-US"/>
        </w:rPr>
        <w:t xml:space="preserve"> </w:t>
      </w:r>
      <w:r w:rsidR="00085D7E" w:rsidRPr="00483813">
        <w:rPr>
          <w:lang w:val="en-US"/>
        </w:rPr>
        <w:t>for 2006-</w:t>
      </w:r>
      <w:r w:rsidR="00B97329" w:rsidRPr="00746809">
        <w:rPr>
          <w:lang w:val="en-US"/>
        </w:rPr>
        <w:t>2016</w:t>
      </w:r>
      <w:r w:rsidR="009F34A5" w:rsidRPr="00746809">
        <w:rPr>
          <w:lang w:val="en-US"/>
        </w:rPr>
        <w:t>.</w:t>
      </w:r>
      <w:r w:rsidR="009F34A5" w:rsidRPr="4DB3E4A3">
        <w:rPr>
          <w:lang w:val="en-US"/>
        </w:rPr>
        <w:t xml:space="preserve"> </w:t>
      </w:r>
      <w:r w:rsidR="000B6884" w:rsidRPr="4DB3E4A3">
        <w:rPr>
          <w:lang w:val="en-US"/>
        </w:rPr>
        <w:t xml:space="preserve">With the current analysis it is difficult to </w:t>
      </w:r>
      <w:r w:rsidR="003F1F39" w:rsidRPr="4DB3E4A3">
        <w:rPr>
          <w:lang w:val="en-US"/>
        </w:rPr>
        <w:t>answer</w:t>
      </w:r>
      <w:r w:rsidR="00FB5CB6">
        <w:rPr>
          <w:lang w:val="en-US"/>
        </w:rPr>
        <w:t xml:space="preserve"> the question: is</w:t>
      </w:r>
      <w:r w:rsidR="000B6884" w:rsidRPr="4DB3E4A3">
        <w:rPr>
          <w:lang w:val="en-US"/>
        </w:rPr>
        <w:t xml:space="preserve"> the increase of landfall count</w:t>
      </w:r>
      <w:r w:rsidR="009510E4" w:rsidRPr="4DB3E4A3">
        <w:rPr>
          <w:lang w:val="en-US"/>
        </w:rPr>
        <w:t>s</w:t>
      </w:r>
      <w:r w:rsidR="003F1F39" w:rsidRPr="4DB3E4A3">
        <w:rPr>
          <w:lang w:val="en-US"/>
        </w:rPr>
        <w:t xml:space="preserve"> associated </w:t>
      </w:r>
      <w:r w:rsidR="000B6884" w:rsidRPr="4DB3E4A3">
        <w:rPr>
          <w:lang w:val="en-US"/>
        </w:rPr>
        <w:t>with anthropogenic climate change</w:t>
      </w:r>
      <w:r w:rsidR="0089119F">
        <w:rPr>
          <w:lang w:val="en-US"/>
        </w:rPr>
        <w:t xml:space="preserve"> or due to </w:t>
      </w:r>
      <w:r w:rsidR="0089119F" w:rsidRPr="4DB3E4A3">
        <w:rPr>
          <w:lang w:val="en-US"/>
        </w:rPr>
        <w:t xml:space="preserve">multidecadal </w:t>
      </w:r>
      <w:r w:rsidR="00D704DF">
        <w:rPr>
          <w:lang w:val="en-US"/>
        </w:rPr>
        <w:t>internal</w:t>
      </w:r>
      <w:r w:rsidR="00D704DF" w:rsidRPr="4DB3E4A3">
        <w:rPr>
          <w:lang w:val="en-US"/>
        </w:rPr>
        <w:t xml:space="preserve"> </w:t>
      </w:r>
      <w:r w:rsidR="0089119F" w:rsidRPr="4DB3E4A3">
        <w:rPr>
          <w:lang w:val="en-US"/>
        </w:rPr>
        <w:t>variability of the climate system</w:t>
      </w:r>
      <w:r w:rsidR="00FB5CB6">
        <w:rPr>
          <w:lang w:val="en-US"/>
        </w:rPr>
        <w:t>?</w:t>
      </w:r>
      <w:r w:rsidR="009D2505">
        <w:rPr>
          <w:lang w:val="en-US"/>
        </w:rPr>
        <w:t xml:space="preserve"> The synthetic TC tracks downscaled from global climate analys</w:t>
      </w:r>
      <w:r w:rsidR="00FB5CB6">
        <w:rPr>
          <w:lang w:val="en-US"/>
        </w:rPr>
        <w:t>e</w:t>
      </w:r>
      <w:r w:rsidR="009D2505">
        <w:rPr>
          <w:lang w:val="en-US"/>
        </w:rPr>
        <w:t xml:space="preserve">s </w:t>
      </w:r>
      <w:r w:rsidR="00FB5CB6">
        <w:rPr>
          <w:lang w:val="en-US"/>
        </w:rPr>
        <w:t xml:space="preserve">back to the nineteenth century can be useful to answer this question in future analysis </w:t>
      </w:r>
      <w:r w:rsidR="00FB5CB6">
        <w:rPr>
          <w:lang w:val="en-US"/>
        </w:rPr>
        <w:fldChar w:fldCharType="begin" w:fldLock="1"/>
      </w:r>
      <w:r w:rsidR="00FD69AD">
        <w:rPr>
          <w:lang w:val="en-US"/>
        </w:rPr>
        <w:instrText>ADDIN CSL_CITATION {"citationItems":[{"id":"ITEM-1","itemData":{"DOI":"10.1038/s41467-021-27364-8","ISBN":"4146702127","ISSN":"2041-1723","abstract":"Historical records of Atlantic hurricane activity, extending back to 1851, show increasing activity over time, but much or all of this trend has been attributed to lack of observations in the early portion of the record. Here we use a tropical cyclone downscaling model driven by three global climate analyses that are based mostly on sea surface temperature and surface pressure data. The results support earlier statistically-based inferences that storms were undercounted in the 19 th century, but in contrast to earlier work, show increasing tropical cyclone activity through the period, interrupted by a prominent hurricane drought in the 1970s and 80 s that we attribute to anthropogenic aerosols. In agreement with earlier work, we show that most of the variability of North Atlantic tropical cyclone activity over the last century was directly related to regional rather than global climate change. Most metrics of tropical cyclones downscaled over all the tropics show weak and/or insignificant trends over the last century, illustrating the special nature of North Atlantic tropical cyclone climatology.","author":[{"dropping-particle":"","family":"Emanuel","given":"Kerry","non-dropping-particle":"","parse-names":false,"suffix":""}],"container-title":"Nature Communications","id":"ITEM-1","issue":"1","issued":{"date-parts":[["2021","12","2"]]},"page":"7027","publisher":"Springer US","title":"Atlantic tropical cyclones downscaled from climate reanalyses show increasing activity over past 150 years","type":"article-journal","volume":"12"},"uris":["http://www.mendeley.com/documents/?uuid=31ec0a46-50b0-414a-9ec4-f3b7586589c9"]}],"mendeley":{"formattedCitation":"&lt;sup&gt;21&lt;/sup&gt;","plainTextFormattedCitation":"21","previouslyFormattedCitation":"&lt;sup&gt;21&lt;/sup&gt;"},"properties":{"noteIndex":0},"schema":"https://github.com/citation-style-language/schema/raw/master/csl-citation.json"}</w:instrText>
      </w:r>
      <w:r w:rsidR="00FB5CB6">
        <w:rPr>
          <w:lang w:val="en-US"/>
        </w:rPr>
        <w:fldChar w:fldCharType="separate"/>
      </w:r>
      <w:r w:rsidR="00FD69AD" w:rsidRPr="00FD69AD">
        <w:rPr>
          <w:noProof/>
          <w:vertAlign w:val="superscript"/>
          <w:lang w:val="en-US"/>
        </w:rPr>
        <w:t>21</w:t>
      </w:r>
      <w:r w:rsidR="00FB5CB6">
        <w:rPr>
          <w:lang w:val="en-US"/>
        </w:rPr>
        <w:fldChar w:fldCharType="end"/>
      </w:r>
      <w:r w:rsidR="00FB5CB6">
        <w:rPr>
          <w:lang w:val="en-US"/>
        </w:rPr>
        <w:t>.</w:t>
      </w:r>
    </w:p>
    <w:p w14:paraId="18F267F1" w14:textId="77777777" w:rsidR="00857A65" w:rsidRDefault="009217D4" w:rsidP="00641952">
      <w:pPr>
        <w:spacing w:after="120" w:line="360" w:lineRule="auto"/>
        <w:rPr>
          <w:lang w:val="en-US"/>
        </w:rPr>
      </w:pPr>
      <w:r>
        <w:t>T</w:t>
      </w:r>
      <w:r w:rsidR="00324513">
        <w:t>he LI trend can be partly understood as proportional to the LMI trend with a stabilized ratio</w:t>
      </w:r>
      <w:r w:rsidR="00324513" w:rsidRPr="4580AB2B">
        <w:rPr>
          <w:lang w:val="en-US"/>
        </w:rPr>
        <w:t xml:space="preserve">. Since the LMI is expected to increase in a warming climate </w:t>
      </w:r>
      <w:r w:rsidRPr="4580AB2B">
        <w:rPr>
          <w:lang w:val="en-US"/>
        </w:rPr>
        <w:fldChar w:fldCharType="begin" w:fldLock="1"/>
      </w:r>
      <w:r w:rsidR="00FD69AD">
        <w:rPr>
          <w:lang w:val="en-US"/>
        </w:rPr>
        <w:instrText>ADDIN CSL_CITATION {"citationItems":[{"id":"ITEM-1","itemData":{"DOI":"10.1175/BAMS-D-18-0194.1","ISSN":"0003-0007","abstract":"Model projections of tropical cyclone (TC) activity response to anthropogenic warming in climate models are assessed. Observations, theory, and models, with increasing robustness, indicate rising global TC risk for some metrics that are projected to impact multiple regions. A 2°C anthropogenic global warming is projected to impact TC activity as follows. 1) The most confident TC-related projection is that sea level rise accompanying the warming will lead to higher storm inundation levels, assuming all other factors are unchanged. 2) For TC precipitation rates, there is at least medium-to-high confidence in an increase globally, with a median projected increase of 14%, or close to the rate of tropical water vapor increase with warming, at constant relative humidity. 3) For TC intensity, 10 of 11 authors had at least medium-to-high confidence that the global average will increase. The median projected increase in lifetime maximum surface wind speeds is about 5% (range: 1%–10%) in available higher-resolution studies. 4) For the global proportion (as opposed to frequency) of TCs that reach very intense (category 4–5) levels, there is at least medium-to-high confidence in an increase, with a median projected change of +13%. Author opinion was more mixed and confidence levels lower for the following projections: 5) a further poleward expansion of the latitude of maximum TC intensity in the western North Pacific; 6) a decrease of global TC frequency, as projected in most studies; 7) an increase in global very intense TC frequency (category 4–5), seen most prominently in higher-resolution models; and 8) a slowdown in TC translation speed.","author":[{"dropping-particle":"","family":"Knutson","given":"Thomas","non-dropping-particle":"","parse-names":false,"suffix":""},{"dropping-particle":"","family":"Camargo","given":"Suzana J.","non-dropping-particle":"","parse-names":false,"suffix":""},{"dropping-particle":"","family":"Chan","given":"Johnny C. L.","non-dropping-particle":"","parse-names":false,"suffix":""},{"dropping-particle":"","family":"Emanuel","given":"Kerry","non-dropping-particle":"","parse-names":false,"suffix":""},{"dropping-particle":"","family":"Ho","given":"Chang-Hoi","non-dropping-particle":"","parse-names":false,"suffix":""},{"dropping-particle":"","family":"Kossin","given":"James","non-dropping-particle":"","parse-names":false,"suffix":""},{"dropping-particle":"","family":"Mohapatra","given":"Mrutyunjay","non-dropping-particle":"","parse-names":false,"suffix":""},{"dropping-particle":"","family":"Satoh","given":"Masaki","non-dropping-particle":"","parse-names":false,"suffix":""},{"dropping-particle":"","family":"Sugi","given":"Masato","non-dropping-particle":"","parse-names":false,"suffix":""},{"dropping-particle":"","family":"Walsh","given":"Kevin","non-dropping-particle":"","parse-names":false,"suffix":""},{"dropping-particle":"","family":"Wu","given":"Liguang","non-dropping-particle":"","parse-names":false,"suffix":""}],"container-title":"Bulletin of the American Meteorological Society","id":"ITEM-1","issue":"3","issued":{"date-parts":[["2020","3","1"]]},"page":"E303-E322","title":"Tropical Cyclones and Climate Change Assessment: Part II: Projected Response to Anthropogenic Warming","type":"article-journal","volume":"101"},"uris":["http://www.mendeley.com/documents/?uuid=cc27f4bc-ab23-4e8f-91f8-753cd49c3aee"]}],"mendeley":{"formattedCitation":"&lt;sup&gt;22&lt;/sup&gt;","plainTextFormattedCitation":"22","previouslyFormattedCitation":"&lt;sup&gt;22&lt;/sup&gt;"},"properties":{"noteIndex":0},"schema":"https://github.com/citation-style-language/schema/raw/master/csl-citation.json"}</w:instrText>
      </w:r>
      <w:r w:rsidRPr="4580AB2B">
        <w:rPr>
          <w:lang w:val="en-US"/>
        </w:rPr>
        <w:fldChar w:fldCharType="separate"/>
      </w:r>
      <w:r w:rsidR="00FD69AD" w:rsidRPr="00FD69AD">
        <w:rPr>
          <w:noProof/>
          <w:vertAlign w:val="superscript"/>
          <w:lang w:val="en-US"/>
        </w:rPr>
        <w:t>22</w:t>
      </w:r>
      <w:r w:rsidRPr="4580AB2B">
        <w:rPr>
          <w:lang w:val="en-US"/>
        </w:rPr>
        <w:fldChar w:fldCharType="end"/>
      </w:r>
      <w:r w:rsidR="00324513" w:rsidRPr="4580AB2B">
        <w:rPr>
          <w:lang w:val="en-US"/>
        </w:rPr>
        <w:t xml:space="preserve"> it is plausible that the LI should also proportionally increase with LMI</w:t>
      </w:r>
      <w:r w:rsidR="00A072D1" w:rsidRPr="4580AB2B">
        <w:rPr>
          <w:lang w:val="en-US"/>
        </w:rPr>
        <w:t xml:space="preserve"> and lead to an increase of landfall number</w:t>
      </w:r>
      <w:r w:rsidR="00A1289C">
        <w:rPr>
          <w:lang w:val="en-US"/>
        </w:rPr>
        <w:t xml:space="preserve">. </w:t>
      </w:r>
      <w:r w:rsidR="00A1289C" w:rsidRPr="4580AB2B">
        <w:rPr>
          <w:lang w:val="en-US"/>
        </w:rPr>
        <w:t xml:space="preserve">This is supported by our simulations of </w:t>
      </w:r>
      <w:r w:rsidR="00A1289C" w:rsidRPr="1941ECAA">
        <w:rPr>
          <w:lang w:val="en-US"/>
        </w:rPr>
        <w:t>the landfall</w:t>
      </w:r>
      <w:r w:rsidR="00A1289C" w:rsidRPr="4580AB2B">
        <w:rPr>
          <w:lang w:val="en-US"/>
        </w:rPr>
        <w:t xml:space="preserve"> number trends</w:t>
      </w:r>
      <w:r w:rsidR="00324513" w:rsidRPr="4580AB2B">
        <w:rPr>
          <w:lang w:val="en-US"/>
        </w:rPr>
        <w:t>.</w:t>
      </w:r>
      <w:r w:rsidR="00A1289C">
        <w:rPr>
          <w:lang w:val="en-US"/>
        </w:rPr>
        <w:t xml:space="preserve"> </w:t>
      </w:r>
    </w:p>
    <w:p w14:paraId="6BB83B86" w14:textId="669C6598" w:rsidR="00037FC7" w:rsidRDefault="008922F3" w:rsidP="00641952">
      <w:pPr>
        <w:spacing w:after="120" w:line="360" w:lineRule="auto"/>
      </w:pPr>
      <w:r w:rsidRPr="4580AB2B">
        <w:rPr>
          <w:lang w:val="en-US"/>
        </w:rPr>
        <w:lastRenderedPageBreak/>
        <w:t>However, c</w:t>
      </w:r>
      <w:r w:rsidR="00682F70" w:rsidRPr="4580AB2B">
        <w:rPr>
          <w:lang w:val="en-US"/>
        </w:rPr>
        <w:t>ompared to the LMI trend, a</w:t>
      </w:r>
      <w:r w:rsidR="002B50EB" w:rsidRPr="4580AB2B">
        <w:rPr>
          <w:lang w:val="en-US"/>
        </w:rPr>
        <w:t xml:space="preserve"> reduced mean trend of LI </w:t>
      </w:r>
      <w:r w:rsidR="001825F3" w:rsidRPr="4580AB2B">
        <w:rPr>
          <w:lang w:val="en-US"/>
        </w:rPr>
        <w:t>makes it</w:t>
      </w:r>
      <w:r w:rsidR="004B6811" w:rsidRPr="4580AB2B">
        <w:rPr>
          <w:lang w:val="en-US"/>
        </w:rPr>
        <w:t xml:space="preserve"> more</w:t>
      </w:r>
      <w:r w:rsidR="001825F3" w:rsidRPr="4580AB2B">
        <w:rPr>
          <w:lang w:val="en-US"/>
        </w:rPr>
        <w:t xml:space="preserve"> challenging </w:t>
      </w:r>
      <w:r w:rsidR="007559DC" w:rsidRPr="4580AB2B">
        <w:rPr>
          <w:lang w:val="en-US"/>
        </w:rPr>
        <w:t>to be detected</w:t>
      </w:r>
      <w:r w:rsidR="002B50EB" w:rsidRPr="4580AB2B">
        <w:rPr>
          <w:lang w:val="en-US"/>
        </w:rPr>
        <w:t xml:space="preserve">. The detection problem is enhanced because of the much larger variability of LI compared to that of LMI. This larger variability of LI may be caused by a combined effect of multiple internal and environmental factors, for example, the progressive self-weakening process post LMI </w:t>
      </w:r>
      <w:r w:rsidRPr="4580AB2B">
        <w:rPr>
          <w:lang w:val="en-US"/>
        </w:rPr>
        <w:fldChar w:fldCharType="begin" w:fldLock="1"/>
      </w:r>
      <w:r w:rsidR="00FD69AD">
        <w:rPr>
          <w:lang w:val="en-US"/>
        </w:rPr>
        <w:instrText>ADDIN CSL_CITATION {"citationItems":[{"id":"ITEM-1","itemData":{"author":[{"dropping-particle":"","family":"Kilroy","given":"Gerard","non-dropping-particle":"","parse-names":false,"suffix":""},{"dropping-particle":"","family":"Smith","given":"Roger K","non-dropping-particle":"","parse-names":false,"suffix":""},{"dropping-particle":"","family":"Montgomery","given":"Michael T","non-dropping-particle":"","parse-names":false,"suffix":""}],"container-title":"Journal of the Atmospheric Sciences","id":"ITEM-1","issued":{"date-parts":[["2016","10","6"]]},"page":"467-503","title":"Why Do Model Tropical Cyclones Grow Progressively in Size and Decay in Intensity after Reaching Maturity?","type":"article-journal","volume":"73"},"uris":["http://www.mendeley.com/documents/?uuid=d1bb6f66-eda1-4a47-b473-95646df7097a"]},{"id":"ITEM-2","itemData":{"DOI":"10.1002/joc.5374","ISSN":"08998418","abstract":"The characteristics of tropical cyclone intensity and size during the mature stage are presented. Rooted in the classic description by Herbert Riehl, the mature stage is identified as the period from the time of lifetime maximum intensity to the time of lifetime maximum size. This study is the first to analyse the global climatology of the mature stage of tropical cyclones in detail. Three basic features at the mature stage are observed: the reduction of intensity, the outward expansion of the eyewall, and the increase of tangential wind in the outer primary circulation. Globally, about a quarter of tropical cyclones undergo the mature stage. High intensity at the end of the immature stage favours the likelihood of the occurrence of the mature stage. The intensity reduction during the mature stage is considerable with nearly three-quarters of cyclones decreasing by more than 10%, which makes the conventional 'steady-state' presumption questionable. The increase in the radius of damaging-force wind is typically about 50 km, while the decrease in maximum wind speed is typically 20% at the mature stage. However, the average integrated kinetic energy and hence destructive potential increases substantially by about 70%. This is consistent with our finding that most of the highly damaging landfalling hurricanes undergo a mature stage. Intensity downgrades during the mature stage may be misinterpreted as they are mostly not accompanied by an overall danger reduction.","author":[{"dropping-particle":"","family":"Wang","given":"Shuai","non-dropping-particle":"","parse-names":false,"suffix":""},{"dropping-particle":"","family":"Toumi","given":"Ralf","non-dropping-particle":"","parse-names":false,"suffix":""}],"container-title":"International Journal of Climatology","id":"ITEM-2","issue":"5","issued":{"date-parts":[["2018","4"]]},"page":"2490-2505","publisher":"Wiley-Blackwell","title":"A historical analysis of the mature stage of tropical cyclones","type":"article-journal","volume":"38"},"uris":["http://www.mendeley.com/documents/?uuid=f1e74a55-0e74-33f2-9e0b-996b5240f394"]}],"mendeley":{"formattedCitation":"&lt;sup&gt;23,24&lt;/sup&gt;","plainTextFormattedCitation":"23,24","previouslyFormattedCitation":"&lt;sup&gt;23,24&lt;/sup&gt;"},"properties":{"noteIndex":0},"schema":"https://github.com/citation-style-language/schema/raw/master/csl-citation.json"}</w:instrText>
      </w:r>
      <w:r w:rsidRPr="4580AB2B">
        <w:rPr>
          <w:lang w:val="en-US"/>
        </w:rPr>
        <w:fldChar w:fldCharType="separate"/>
      </w:r>
      <w:r w:rsidR="00FD69AD" w:rsidRPr="00FD69AD">
        <w:rPr>
          <w:noProof/>
          <w:vertAlign w:val="superscript"/>
          <w:lang w:val="en-US"/>
        </w:rPr>
        <w:t>23,24</w:t>
      </w:r>
      <w:r w:rsidRPr="4580AB2B">
        <w:rPr>
          <w:lang w:val="en-US"/>
        </w:rPr>
        <w:fldChar w:fldCharType="end"/>
      </w:r>
      <w:r w:rsidR="002B50EB" w:rsidRPr="4580AB2B">
        <w:rPr>
          <w:lang w:val="en-US"/>
        </w:rPr>
        <w:t>, variable decay distance</w:t>
      </w:r>
      <w:r w:rsidR="00121C60" w:rsidRPr="4580AB2B">
        <w:rPr>
          <w:lang w:val="en-US"/>
        </w:rPr>
        <w:t xml:space="preserve"> </w:t>
      </w:r>
      <w:r w:rsidR="002B50EB" w:rsidRPr="4580AB2B">
        <w:rPr>
          <w:lang w:val="en-US"/>
        </w:rPr>
        <w:t>and translation speed from LMI to LI</w:t>
      </w:r>
      <w:r w:rsidR="00121C60" w:rsidRPr="4580AB2B">
        <w:rPr>
          <w:lang w:val="en-US"/>
        </w:rPr>
        <w:t xml:space="preserve"> </w:t>
      </w:r>
      <w:r w:rsidRPr="4580AB2B">
        <w:rPr>
          <w:lang w:val="en-US"/>
        </w:rPr>
        <w:fldChar w:fldCharType="begin" w:fldLock="1"/>
      </w:r>
      <w:r w:rsidR="00FD69AD">
        <w:rPr>
          <w:lang w:val="en-US"/>
        </w:rPr>
        <w:instrText>ADDIN CSL_CITATION {"citationItems":[{"id":"ITEM-1","itemData":{"DOI":"10.1038/s41586-018-0158-3","ISSN":"0028-0836","abstract":"As the Earth’s atmosphere warms, the atmospheric circulation changes. These changes vary by region and time of year, but there is evidence that anthropogenic warming causes a general weakening of summertime tropical circulation1–8. Because tropical cyclones are carried along within their ambient environmental wind, there is a plausible a priori expectation that the translation speed of tropical cyclones has slowed with warming. In addition to circulation changes, anthropogenic warming causes increases in atmospheric water-vapour capacity, which are generally expected to increase precipitation rates 9 . Rain rates near the centres of tropical cyclones are also expected to increase with increasing global temperatures10–12. The amount of tropical-cyclone-related rainfall that any given local area will experience is proportional to the rain rates and inversely proportional to the translation speeds of tropical cyclones. Here I show that tropical-cyclone translation speed has decreased globally by 10 per cent over the period 1949–2016, which is very likely to have compounded, and possibly dominated, any increases in local rainfall totals that may have occurred as a result of increased tropical-cyclone rain rates. The magnitude of the slowdown varies substantially by region and by latitude, but is generally consistent with expected changes in atmospheric circulation forced by anthropogenic emissions. Of particular importance is the slowdown of 30 per cent and 20 per cent over land areas affected by western North Pacific and North Atlantic tropical cyclones, respectively, and the slowdown of 19 per cent over land areas in the Australian region. The unprecedented rainfall totals associated with the ‘stall’ of Hurricane Harvey13–15 over Texas in 2017 provide a notable example of the relationship between regional rainfall amounts and tropical-cyclone translation speed. Any systematic past or future change in the translation speed of tropical cyclones, particularly over land, is therefore highly relevant when considering potential changes in local rainfall totals.","author":[{"dropping-particle":"","family":"Kossin","given":"James P.","non-dropping-particle":"","parse-names":false,"suffix":""}],"container-title":"Nature","id":"ITEM-1","issue":"7708","issued":{"date-parts":[["2018"]]},"page":"104-107","title":"A global slowdown of tropical-cyclone translation speed","type":"article-journal","volume":"558"},"uris":["http://www.mendeley.com/documents/?uuid=f91500b4-5b78-49cb-9f34-2450ac17f0e0"]},{"id":"ITEM-2","itemData":{"DOI":"10.1126/science.abb9038","ISBN":"1223326500","ISSN":"0036-8075","PMID":"33510027","abstract":"Poleward migrations of tropical cyclones have been observed globally, but their impact on coastal areas remains unclear. We investigated the change in global tropical cyclone activity in coastal regions over the period 1982–2018. We found that the distance of tropical cyclone maximum intensity to land has decreased by about 30 kilometers per decade, and that the annual frequency of global tropical cyclones increases with proximity to land by about two additional cyclones per decade. Trend analysis reveals a robust migration of tropical cyclone activity toward coasts, concurrent with poleward migration of cyclone locations as well as a statistically significant westward shift. This zonal shift of tropical cyclone tracks may be mainly driven by global zonal changes in environmental steering flow.","author":[{"dropping-particle":"","family":"Wang","given":"Shuai","non-dropping-particle":"","parse-names":false,"suffix":""},{"dropping-particle":"","family":"Toumi","given":"Ralf","non-dropping-particle":"","parse-names":false,"suffix":""}],"container-title":"Science","id":"ITEM-2","issue":"6528","issued":{"date-parts":[["2021","1","29"]]},"page":"514-517","title":"Recent migration of tropical cyclones toward coasts","type":"article-journal","volume":"371"},"uris":["http://www.mendeley.com/documents/?uuid=1aaca1f5-cfcb-41b0-b408-59bd9b1e37bc"]}],"mendeley":{"formattedCitation":"&lt;sup&gt;7,25&lt;/sup&gt;","plainTextFormattedCitation":"7,25","previouslyFormattedCitation":"&lt;sup&gt;7,25&lt;/sup&gt;"},"properties":{"noteIndex":0},"schema":"https://github.com/citation-style-language/schema/raw/master/csl-citation.json"}</w:instrText>
      </w:r>
      <w:r w:rsidRPr="4580AB2B">
        <w:rPr>
          <w:lang w:val="en-US"/>
        </w:rPr>
        <w:fldChar w:fldCharType="separate"/>
      </w:r>
      <w:r w:rsidR="00FD69AD" w:rsidRPr="00FD69AD">
        <w:rPr>
          <w:noProof/>
          <w:vertAlign w:val="superscript"/>
          <w:lang w:val="en-US"/>
        </w:rPr>
        <w:t>7,25</w:t>
      </w:r>
      <w:r w:rsidRPr="4580AB2B">
        <w:rPr>
          <w:lang w:val="en-US"/>
        </w:rPr>
        <w:fldChar w:fldCharType="end"/>
      </w:r>
      <w:r w:rsidR="002B50EB" w:rsidRPr="4580AB2B">
        <w:rPr>
          <w:lang w:val="en-US"/>
        </w:rPr>
        <w:t>, and changes in vertical wind shear and thermodynamic conditions when a TC approaches coastline</w:t>
      </w:r>
      <w:r w:rsidR="00357165" w:rsidRPr="4580AB2B">
        <w:rPr>
          <w:lang w:val="en-US"/>
        </w:rPr>
        <w:t>s</w:t>
      </w:r>
      <w:r w:rsidR="002B50EB" w:rsidRPr="4580AB2B">
        <w:rPr>
          <w:lang w:val="en-US"/>
        </w:rPr>
        <w:t xml:space="preserve"> </w:t>
      </w:r>
      <w:r w:rsidRPr="4580AB2B">
        <w:rPr>
          <w:lang w:val="en-US"/>
        </w:rPr>
        <w:fldChar w:fldCharType="begin" w:fldLock="1"/>
      </w:r>
      <w:r w:rsidR="00FD69AD">
        <w:rPr>
          <w:lang w:val="en-US"/>
        </w:rPr>
        <w:instrText>ADDIN CSL_CITATION {"citationItems":[{"id":"ITEM-1","itemData":{"DOI":"10.1038/nature20783","ISBN":"1476-4687 (Electronic)\\r0028-0836 (Linking)","ISSN":"0028-0836","PMID":"28052058","abstract":"0 0 M o n t h 2 0 1 6 | V o L 0 0 0 | n A t U R E | 1 The North Atlantic ocean/atmosphere environment exhibits pronounced interdecadal variability that is known to strongly modulate Atlantic hurricane activity 1–6 . Variability in sea surface temperature (SST) is correlated with hurricane variability through its relationship with the genesis and thermodynamic potential intensity of hurricanes 7 . Another key factor that governs the genesis and intensity of hurricanes is ambient environmental vertical wind shear 8–10 (VWS). Warmer SSTs generally correlate with more frequent genesis and greater potential intensity, while VWS inhibits genesis and prevents any hurricanes that do form from reaching their potential intensity. When averaged over the main hurricane-development region in the Atlantic, SST and VWS co-vary inversely 11,12 , so that the two factors act in concert to either enhance or inhibit basin-wide hurricane activity. Here I show, however, that conditions conducive to greater basin-wide Atlantic hurricane activity occur together with conditions for more probable weakening of hurricanes near the United States coast. Thus, the VWS and SST form a protective barrier along the United States coast during periods of heightened basin-wide hurricane activity. Conversely, during the most-recent period of basin-wide quiescence, hurricanes (and particularly major hurricanes) near the United States coast, although substantially less frequent, exhibited much greater variability in their rate of intensification, and were much more likely to intensify rapidly. Such heightened variability poses greater challenges to operational forecasting and, consequently, greater coastal risk during hurricane events.","author":[{"dropping-particle":"","family":"Kossin","given":"James P.","non-dropping-particle":"","parse-names":false,"suffix":""}],"container-title":"Nature","id":"ITEM-1","issue":"7637","issued":{"date-parts":[["2017"]]},"page":"390-393","publisher":"Nature Publishing Group","title":"Hurricane intensification along United States coast suppressed during active hurricane periods","type":"article-journal","volume":"541"},"uris":["http://www.mendeley.com/documents/?uuid=c64e6785-256b-45ca-9cb3-5b8ebf68c733"]},{"id":"ITEM-2","itemData":{"DOI":"10.1038/ngeo2792","ISBN":"1752-0908","ISSN":"1752-0894","author":[{"dropping-particle":"","family":"Mei","given":"Wei","non-dropping-particle":"","parse-names":false,"suffix":""},{"dropping-particle":"","family":"Xie","given":"Shang-ping","non-dropping-particle":"","parse-names":false,"suffix":""}],"container-title":"Nature Geoscience","id":"ITEM-2","issue":"10","issued":{"date-parts":[["2016","10","5"]]},"page":"753-757","title":"Intensification of landfalling typhoons over the northwest Pacific since the late 1970s","type":"article-journal","volume":"9"},"uris":["http://www.mendeley.com/documents/?uuid=a328b6fd-a7d3-4160-a8f7-65879e53e1ab"]}],"mendeley":{"formattedCitation":"&lt;sup&gt;26,27&lt;/sup&gt;","plainTextFormattedCitation":"26,27","previouslyFormattedCitation":"&lt;sup&gt;26,27&lt;/sup&gt;"},"properties":{"noteIndex":0},"schema":"https://github.com/citation-style-language/schema/raw/master/csl-citation.json"}</w:instrText>
      </w:r>
      <w:r w:rsidRPr="4580AB2B">
        <w:rPr>
          <w:lang w:val="en-US"/>
        </w:rPr>
        <w:fldChar w:fldCharType="separate"/>
      </w:r>
      <w:r w:rsidR="00FD69AD" w:rsidRPr="00FD69AD">
        <w:rPr>
          <w:noProof/>
          <w:vertAlign w:val="superscript"/>
          <w:lang w:val="en-US"/>
        </w:rPr>
        <w:t>26,27</w:t>
      </w:r>
      <w:r w:rsidRPr="4580AB2B">
        <w:rPr>
          <w:lang w:val="en-US"/>
        </w:rPr>
        <w:fldChar w:fldCharType="end"/>
      </w:r>
      <w:r w:rsidR="002B50EB" w:rsidRPr="4580AB2B">
        <w:rPr>
          <w:lang w:val="en-US"/>
        </w:rPr>
        <w:t>.</w:t>
      </w:r>
      <w:r w:rsidR="0051677A" w:rsidRPr="4580AB2B">
        <w:rPr>
          <w:lang w:val="en-US"/>
        </w:rPr>
        <w:t xml:space="preserve"> All the factors discussed above may </w:t>
      </w:r>
      <w:r w:rsidR="00DE7202" w:rsidRPr="4580AB2B">
        <w:rPr>
          <w:lang w:val="en-US"/>
        </w:rPr>
        <w:t>be the reasons</w:t>
      </w:r>
      <w:r w:rsidR="000A3611" w:rsidRPr="4580AB2B">
        <w:rPr>
          <w:lang w:val="en-US"/>
        </w:rPr>
        <w:t xml:space="preserve"> </w:t>
      </w:r>
      <w:r w:rsidR="00DE7202" w:rsidRPr="4580AB2B">
        <w:rPr>
          <w:lang w:val="en-US"/>
        </w:rPr>
        <w:t>why this change has been difficult to detect</w:t>
      </w:r>
      <w:r w:rsidR="00C71436" w:rsidRPr="4580AB2B">
        <w:rPr>
          <w:lang w:val="en-US"/>
        </w:rPr>
        <w:t>.</w:t>
      </w:r>
      <w:r w:rsidR="00C97ABF" w:rsidRPr="4580AB2B">
        <w:rPr>
          <w:lang w:val="en-US"/>
        </w:rPr>
        <w:t xml:space="preserve"> </w:t>
      </w:r>
      <w:r w:rsidR="00063AE8">
        <w:t>There is no compelling need to invoke a physical explanation of changes in the landfall process. The synthetic simulations show that the trends can be understood simply as a reflection of the previously reported increases in LMI and the inherent large (but stationary) variability of the decay to landfall.</w:t>
      </w:r>
    </w:p>
    <w:p w14:paraId="60C411EA" w14:textId="0B98F665" w:rsidR="00641952" w:rsidRDefault="00641952" w:rsidP="00641952">
      <w:pPr>
        <w:spacing w:after="120" w:line="360" w:lineRule="auto"/>
        <w:rPr>
          <w:lang w:val="en-US"/>
        </w:rPr>
      </w:pPr>
      <w:r w:rsidRPr="00625778">
        <w:t xml:space="preserve">We report, for the first time, significant global changes in the number of tropical cyclones making landfall as major </w:t>
      </w:r>
      <w:r>
        <w:t>storm</w:t>
      </w:r>
      <w:r>
        <w:rPr>
          <w:rFonts w:hint="eastAsia"/>
        </w:rPr>
        <w:t>s</w:t>
      </w:r>
      <w:r>
        <w:t xml:space="preserve"> for the period 1982-2020</w:t>
      </w:r>
      <w:r w:rsidRPr="00625778">
        <w:t>.</w:t>
      </w:r>
      <w:r>
        <w:t xml:space="preserve"> </w:t>
      </w:r>
      <w:r>
        <w:rPr>
          <w:lang w:val="en-US"/>
        </w:rPr>
        <w:t>This significant change is observed based on the intensity at landfall, rather than the</w:t>
      </w:r>
      <w:r w:rsidRPr="0BE7ADE8">
        <w:rPr>
          <w:lang w:val="en-US"/>
        </w:rPr>
        <w:t xml:space="preserve"> </w:t>
      </w:r>
      <w:r>
        <w:rPr>
          <w:lang w:val="en-US"/>
        </w:rPr>
        <w:t xml:space="preserve">lifetime maximum over oceans, which makes this study </w:t>
      </w:r>
      <w:r w:rsidR="62689CFF" w:rsidRPr="33A805BF">
        <w:rPr>
          <w:lang w:val="en-US"/>
        </w:rPr>
        <w:t>different</w:t>
      </w:r>
      <w:r w:rsidR="009F6CA9">
        <w:rPr>
          <w:lang w:val="en-US"/>
        </w:rPr>
        <w:t xml:space="preserve"> from</w:t>
      </w:r>
      <w:r>
        <w:rPr>
          <w:lang w:val="en-US"/>
        </w:rPr>
        <w:t xml:space="preserve"> other previous trend analyses, for example, the positive LMI trend</w:t>
      </w:r>
      <w:r w:rsidR="00FD69AD">
        <w:rPr>
          <w:lang w:val="en-US"/>
        </w:rPr>
        <w:t xml:space="preserve"> </w:t>
      </w:r>
      <w:r w:rsidR="00B53CCC">
        <w:rPr>
          <w:lang w:val="en-US"/>
        </w:rPr>
        <w:fldChar w:fldCharType="begin" w:fldLock="1"/>
      </w:r>
      <w:r w:rsidR="00B53CCC">
        <w:rPr>
          <w:lang w:val="en-US"/>
        </w:rPr>
        <w:instrText>ADDIN CSL_CITATION {"citationItems":[{"id":"ITEM-1","itemData":{"DOI":"10.1175/JCLI-D-13-00262.1","ISSN":"0894-8755","abstract":"The historical global ''best track'' records of tropical cyclones extend back to the mid-nineteenth century in some regions, but formal analysis of these records is encumbered by temporal heterogeneities in the data. This is particularly problematic when attempting to detect trends in tropical cyclone metrics that may be attributable to climate change. Here the authors apply a state-of-the-art automated algorithm to a globally homogenized satellite data record to create a more temporally consistent record of tropical cyclone intensity within the period 1982-2009, and utilize this record to investigate the robustness of trends found in the best-track data. In particular, the lifetime maximum intensity (LMI) achieved by each reported storm is calculated and the frequency distribution of LMI is tested for changes over this period. To address the unique issues in regions around the Indian Ocean, which result from a discontinuity introduced into the satellite data in 1998, a direct homogenization procedure is applied in which post-1998 data are degraded to pre-1998 standards. This additional homogenization step is found to measurably reduce LMI trends, but the global trends in the LMI of the strongest storms remain positive, with amplitudes of around 11 m s 21 decade 21 and p value 5 0.1. Regional trends, in m s 21 decade 21 , vary from 22 (p 5 0.03) in the western North Pacific, 11.7 (p 5 0.06) in the south Indian Ocean, 12.5 (p 5 0.09) in the South Pacific, to 18 (p , 0.001) in the North Atlantic.","author":[{"dropping-particle":"","family":"Kossin","given":"James P","non-dropping-particle":"","parse-names":false,"suffix":""},{"dropping-particle":"","family":"Olander","given":"Timothy L","non-dropping-particle":"","parse-names":false,"suffix":""},{"dropping-particle":"","family":"Knapp","given":"Kenneth R","non-dropping-particle":"","parse-names":false,"suffix":""}],"container-title":"Journal of Climate","id":"ITEM-1","issue":"24","issued":{"date-parts":[["2013","12"]]},"page":"9960-9976","title":"Trend Analysis with a New Global Record of Tropical Cyclone Intensity","type":"article-journal","volume":"26"},"uris":["http://www.mendeley.com/documents/?uuid=7f643d27-84ed-3c5e-ab4b-bb325cb3d11e"]}],"mendeley":{"formattedCitation":"&lt;sup&gt;28&lt;/sup&gt;","plainTextFormattedCitation":"28","previouslyFormattedCitation":"&lt;sup&gt;28&lt;/sup&gt;"},"properties":{"noteIndex":0},"schema":"https://github.com/citation-style-language/schema/raw/master/csl-citation.json"}</w:instrText>
      </w:r>
      <w:r w:rsidR="00B53CCC">
        <w:rPr>
          <w:lang w:val="en-US"/>
        </w:rPr>
        <w:fldChar w:fldCharType="separate"/>
      </w:r>
      <w:r w:rsidR="00B53CCC" w:rsidRPr="00B53CCC">
        <w:rPr>
          <w:noProof/>
          <w:vertAlign w:val="superscript"/>
          <w:lang w:val="en-US"/>
        </w:rPr>
        <w:t>28</w:t>
      </w:r>
      <w:r w:rsidR="00B53CCC">
        <w:rPr>
          <w:lang w:val="en-US"/>
        </w:rPr>
        <w:fldChar w:fldCharType="end"/>
      </w:r>
      <w:r>
        <w:rPr>
          <w:lang w:val="en-US"/>
        </w:rPr>
        <w:t>, the poleward migration of LMI locations</w:t>
      </w:r>
      <w:r w:rsidR="00B53CCC">
        <w:rPr>
          <w:lang w:val="en-US"/>
        </w:rPr>
        <w:t xml:space="preserve"> </w:t>
      </w:r>
      <w:r w:rsidR="00B53CCC">
        <w:rPr>
          <w:lang w:val="en-US"/>
        </w:rPr>
        <w:fldChar w:fldCharType="begin" w:fldLock="1"/>
      </w:r>
      <w:r w:rsidR="00B53CCC">
        <w:rPr>
          <w:lang w:val="en-US"/>
        </w:rPr>
        <w:instrText>ADDIN CSL_CITATION {"citationItems":[{"id":"ITEM-1","itemData":{"DOI":"10.1038/nature13278","ISSN":"0028-0836","abstract":"Temporally inconsistent and potentially unreliable global historical data hinder the detection of trends in tropical cyclone activity. This limits our confidence in evaluating proposed linkages between observed trends in tropical cyclones and in the environment. Here we mitigate this difficulty by focusing on a metric that is comparatively insensitive to past data uncertainty, and identify a pronounced poleward migration in the average latitude at which tropical cyclones have achieved their lifetime-maximum intensity over the past 30 years. The poleward trends are evident in the global historical data in both the Northern and the Southern hemispheres, with rates of 53 and 62 kilometres per decade, respectively, and are statistically significant. When considered together, the trends in each hemisphere depict a global-average migration of tropical cyclone activity away from the tropics at a rate of about one degree of latitude per decade, which lies within the range of estimates of the observed expansion of the tropics over the same period. The global migration remains evident and statistically significant under a formal data homogenization procedure, and is unlikely to be a data artefact. The migration away from the tropics is apparently linked to marked changes in the mean meridional structure of environmental vertical wind shear and potential intensity, and can plausibly be linked to tropical expansion, which is thought to have anthropogenic contributions.","author":[{"dropping-particle":"","family":"Kossin","given":"James P","non-dropping-particle":"","parse-names":false,"suffix":""},{"dropping-particle":"","family":"Emanuel","given":"Kerry A","non-dropping-particle":"","parse-names":false,"suffix":""},{"dropping-particle":"","family":"Vecchi","given":"Gabriel A","non-dropping-particle":"","parse-names":false,"suffix":""}],"container-title":"Nature","id":"ITEM-1","issue":"7500","issued":{"date-parts":[["2014","5","14"]]},"page":"349-352","title":"The poleward migration of the location of tropical cyclone maximum intensity","type":"article-journal","volume":"509"},"uris":["http://www.mendeley.com/documents/?uuid=4b3ccc3e-d10d-4a0b-9d39-9a9c54143f04"]}],"mendeley":{"formattedCitation":"&lt;sup&gt;29&lt;/sup&gt;","plainTextFormattedCitation":"29","previouslyFormattedCitation":"&lt;sup&gt;29&lt;/sup&gt;"},"properties":{"noteIndex":0},"schema":"https://github.com/citation-style-language/schema/raw/master/csl-citation.json"}</w:instrText>
      </w:r>
      <w:r w:rsidR="00B53CCC">
        <w:rPr>
          <w:lang w:val="en-US"/>
        </w:rPr>
        <w:fldChar w:fldCharType="separate"/>
      </w:r>
      <w:r w:rsidR="00B53CCC" w:rsidRPr="00B53CCC">
        <w:rPr>
          <w:noProof/>
          <w:vertAlign w:val="superscript"/>
          <w:lang w:val="en-US"/>
        </w:rPr>
        <w:t>29</w:t>
      </w:r>
      <w:r w:rsidR="00B53CCC">
        <w:rPr>
          <w:lang w:val="en-US"/>
        </w:rPr>
        <w:fldChar w:fldCharType="end"/>
      </w:r>
      <w:r>
        <w:rPr>
          <w:lang w:val="en-US"/>
        </w:rPr>
        <w:t xml:space="preserve">. </w:t>
      </w:r>
      <w:r w:rsidR="001B8540" w:rsidRPr="69F5DD8D">
        <w:rPr>
          <w:lang w:val="en-US"/>
        </w:rPr>
        <w:t>However, t</w:t>
      </w:r>
      <w:r>
        <w:rPr>
          <w:lang w:val="en-US"/>
        </w:rPr>
        <w:t xml:space="preserve">he location of LMI is on average more than 700 km away from the coastline </w:t>
      </w:r>
      <w:r>
        <w:rPr>
          <w:lang w:val="en-US"/>
        </w:rPr>
        <w:fldChar w:fldCharType="begin" w:fldLock="1"/>
      </w:r>
      <w:r w:rsidR="00FD69AD">
        <w:rPr>
          <w:lang w:val="en-US"/>
        </w:rPr>
        <w:instrText>ADDIN CSL_CITATION {"citationItems":[{"id":"ITEM-1","itemData":{"DOI":"10.1126/science.abb9038","ISBN":"1223326500","ISSN":"0036-8075","PMID":"33510027","abstract":"Poleward migrations of tropical cyclones have been observed globally, but their impact on coastal areas remains unclear. We investigated the change in global tropical cyclone activity in coastal regions over the period 1982–2018. We found that the distance of tropical cyclone maximum intensity to land has decreased by about 30 kilometers per decade, and that the annual frequency of global tropical cyclones increases with proximity to land by about two additional cyclones per decade. Trend analysis reveals a robust migration of tropical cyclone activity toward coasts, concurrent with poleward migration of cyclone locations as well as a statistically significant westward shift. This zonal shift of tropical cyclone tracks may be mainly driven by global zonal changes in environmental steering flow.","author":[{"dropping-particle":"","family":"Wang","given":"Shuai","non-dropping-particle":"","parse-names":false,"suffix":""},{"dropping-particle":"","family":"Toumi","given":"Ralf","non-dropping-particle":"","parse-names":false,"suffix":""}],"container-title":"Science","id":"ITEM-1","issue":"6528","issued":{"date-parts":[["2021","1","29"]]},"page":"514-517","title":"Recent migration of tropical cyclones toward coasts","type":"article-journal","volume":"371"},"uris":["http://www.mendeley.com/documents/?uuid=1aaca1f5-cfcb-41b0-b408-59bd9b1e37bc"]}],"mendeley":{"formattedCitation":"&lt;sup&gt;7&lt;/sup&gt;","plainTextFormattedCitation":"7","previouslyFormattedCitation":"&lt;sup&gt;7&lt;/sup&gt;"},"properties":{"noteIndex":0},"schema":"https://github.com/citation-style-language/schema/raw/master/csl-citation.json"}</w:instrText>
      </w:r>
      <w:r>
        <w:rPr>
          <w:lang w:val="en-US"/>
        </w:rPr>
        <w:fldChar w:fldCharType="separate"/>
      </w:r>
      <w:r w:rsidR="00FD69AD" w:rsidRPr="00FD69AD">
        <w:rPr>
          <w:noProof/>
          <w:vertAlign w:val="superscript"/>
          <w:lang w:val="en-US"/>
        </w:rPr>
        <w:t>7</w:t>
      </w:r>
      <w:r>
        <w:rPr>
          <w:lang w:val="en-US"/>
        </w:rPr>
        <w:fldChar w:fldCharType="end"/>
      </w:r>
      <w:r>
        <w:rPr>
          <w:lang w:val="en-US"/>
        </w:rPr>
        <w:t xml:space="preserve">, and it is therefore </w:t>
      </w:r>
      <w:r w:rsidRPr="0BE7ADE8">
        <w:rPr>
          <w:lang w:val="en-US"/>
        </w:rPr>
        <w:t>weakly</w:t>
      </w:r>
      <w:r>
        <w:rPr>
          <w:lang w:val="en-US"/>
        </w:rPr>
        <w:t xml:space="preserve"> related to coastal damage directly. A large majority of tropical-cyclone-related damage is caused by the</w:t>
      </w:r>
      <w:r w:rsidR="54A39C98" w:rsidRPr="69F5DD8D">
        <w:rPr>
          <w:lang w:val="en-US"/>
        </w:rPr>
        <w:t xml:space="preserve"> major TC</w:t>
      </w:r>
      <w:r>
        <w:rPr>
          <w:lang w:val="en-US"/>
        </w:rPr>
        <w:t xml:space="preserve"> landfalls </w:t>
      </w:r>
      <w:r>
        <w:rPr>
          <w:lang w:val="en-US"/>
        </w:rPr>
        <w:fldChar w:fldCharType="begin" w:fldLock="1"/>
      </w:r>
      <w:r w:rsidR="00FD69AD">
        <w:rPr>
          <w:lang w:val="en-US"/>
        </w:rPr>
        <w:instrText>ADDIN CSL_CITATION {"citationItems":[{"id":"ITEM-1","itemData":{"ISSN":"0882-8156","abstract":"Hurricanes are the costliest natural disasters in the United States. Understanding how both hurricane frequencies and intensities vary from year to year as well as how this is manifested in changes in damages that occur is a topic of great interest to meteorologists, public and private decision makers, and the general public alike. Previous research into long-term trends in hurricane-caused damage along the U.S. coast has suggested that damage has been quickly increasing within the last two decades, even after considering inflation. However, to best capture the year-to-year variability in tropical cyclone damage, consideration must also be given toward two additional factors: coastal population changes and changes in wealth. Both population and wealth have increased dramatically over the last several decades and act to enhance the recent hurricane damages preferentially over those occurring previously. More appropriate trends in the United States hurricane damages can be calculated when a normalization of the damages are done to take into account inflation and changes in coastal population and wealth. With this normalization, the trend of increasing damage amounts in recent decades disappears. Instead, substantial multidecadal variations in normalized damages are observed: the 1970s and 1980s actually incurred less damages than in the preceding few decades. Only during the early 1990s does damage approach the high level of impact seen back in the 1940s through the 1960s, showing that what has been observed recently is not unprecedented. Over the long term, the average annual impact of damages in the continental United States is about $4.8 billion (1995 $), substantially more than previous estimates. Of these damages, over 83% are accounted for by the intense hurricanes (Saffir–Simpson categories 3, 4, and 5), yet these make up only 21% of the U.S.-landfalling tropical cyclones.","author":[{"dropping-particle":"","family":"Pielke","given":"Roger A.","non-dropping-particle":"","parse-names":false,"suffix":""},{"dropping-particle":"","family":"Landsea","given":"Christopher W.","non-dropping-particle":"","parse-names":false,"suffix":""}],"container-title":"Weather and Forecasting","id":"ITEM-1","issue":"3","issued":{"date-parts":[["1998","9"]]},"page":"621-631","title":"Normalized Hurricane Damages in the United States: 1925–95","type":"article-journal","volume":"13"},"uris":["http://www.mendeley.com/documents/?uuid=267eb3fa-42fb-49f7-ba7e-8a575cceaed0"]}],"mendeley":{"formattedCitation":"&lt;sup&gt;9&lt;/sup&gt;","plainTextFormattedCitation":"9","previouslyFormattedCitation":"&lt;sup&gt;9&lt;/sup&gt;"},"properties":{"noteIndex":0},"schema":"https://github.com/citation-style-language/schema/raw/master/csl-citation.json"}</w:instrText>
      </w:r>
      <w:r>
        <w:rPr>
          <w:lang w:val="en-US"/>
        </w:rPr>
        <w:fldChar w:fldCharType="separate"/>
      </w:r>
      <w:r w:rsidR="00FD69AD" w:rsidRPr="00FD69AD">
        <w:rPr>
          <w:noProof/>
          <w:vertAlign w:val="superscript"/>
          <w:lang w:val="en-US"/>
        </w:rPr>
        <w:t>9</w:t>
      </w:r>
      <w:r>
        <w:rPr>
          <w:lang w:val="en-US"/>
        </w:rPr>
        <w:fldChar w:fldCharType="end"/>
      </w:r>
      <w:r>
        <w:rPr>
          <w:lang w:val="en-US"/>
        </w:rPr>
        <w:t>, so the significant change of landfalls found here is a direct socio-economic threat.</w:t>
      </w:r>
    </w:p>
    <w:p w14:paraId="2A411D45" w14:textId="2DEF3EAE" w:rsidR="000070CB" w:rsidRDefault="000070CB" w:rsidP="003233E6">
      <w:pPr>
        <w:spacing w:after="120" w:line="360" w:lineRule="auto"/>
        <w:rPr>
          <w:lang w:val="en-US"/>
        </w:rPr>
      </w:pPr>
    </w:p>
    <w:p w14:paraId="191DC936" w14:textId="6D18C255" w:rsidR="00DC677F" w:rsidRPr="00625778" w:rsidRDefault="00DC677F" w:rsidP="00DC677F">
      <w:pPr>
        <w:spacing w:after="120" w:line="360" w:lineRule="auto"/>
        <w:rPr>
          <w:b/>
        </w:rPr>
      </w:pPr>
      <w:r w:rsidRPr="00625778">
        <w:rPr>
          <w:b/>
        </w:rPr>
        <w:t>Methods</w:t>
      </w:r>
    </w:p>
    <w:p w14:paraId="26BCD052" w14:textId="61F99B21" w:rsidR="00DC677F" w:rsidRPr="00DC677F" w:rsidRDefault="00DC677F" w:rsidP="00DC677F">
      <w:pPr>
        <w:spacing w:after="120" w:line="360" w:lineRule="auto"/>
        <w:rPr>
          <w:u w:val="single"/>
        </w:rPr>
      </w:pPr>
      <w:r w:rsidRPr="00DC677F">
        <w:rPr>
          <w:u w:val="single"/>
        </w:rPr>
        <w:t>Data</w:t>
      </w:r>
    </w:p>
    <w:p w14:paraId="3490B102" w14:textId="3F6E2BB4" w:rsidR="00DC677F" w:rsidRPr="005D4E26" w:rsidRDefault="00DC677F" w:rsidP="00DC677F">
      <w:pPr>
        <w:spacing w:after="120" w:line="360" w:lineRule="auto"/>
        <w:rPr>
          <w:lang w:val="en-US"/>
        </w:rPr>
      </w:pPr>
      <w:r>
        <w:t>We take the</w:t>
      </w:r>
      <w:r w:rsidRPr="4DB3E4A3">
        <w:rPr>
          <w:lang w:val="en-US"/>
        </w:rPr>
        <w:t xml:space="preserve"> </w:t>
      </w:r>
      <w:r>
        <w:t>best-track data (LMI≥33m s</w:t>
      </w:r>
      <w:r w:rsidRPr="4DB3E4A3">
        <w:rPr>
          <w:vertAlign w:val="superscript"/>
        </w:rPr>
        <w:t>-1</w:t>
      </w:r>
      <w:r>
        <w:t>) from the International Best Track Archive for Climate Stewardship (</w:t>
      </w:r>
      <w:proofErr w:type="spellStart"/>
      <w:r>
        <w:t>IBTrACS</w:t>
      </w:r>
      <w:proofErr w:type="spellEnd"/>
      <w:r>
        <w:t xml:space="preserve">) v04r00 </w:t>
      </w:r>
      <w:r w:rsidR="00B53CCC">
        <w:rPr>
          <w:vertAlign w:val="superscript"/>
        </w:rPr>
        <w:t>ref.</w:t>
      </w:r>
      <w:r>
        <w:fldChar w:fldCharType="begin" w:fldLock="1"/>
      </w:r>
      <w:r w:rsidR="00FD69AD">
        <w:instrText>ADDIN CSL_CITATION {"citationItems":[{"id":"ITEM-1","itemData":{"DOI":"10.1175/2009bams2755.1","ISBN":"0003-0007\n1520-0477","author":[{"dropping-particle":"","family":"Knapp","given":"Kenneth R","non-dropping-particle":"","parse-names":false,"suffix":""},{"dropping-particle":"","family":"Kruk","given":"Michael C","non-dropping-particle":"","parse-names":false,"suffix":""},{"dropping-particle":"","family":"Levinson","given":"David H","non-dropping-particle":"","parse-names":false,"suffix":""},{"dropping-particle":"","family":"Diamond","given":"Howard J","non-dropping-particle":"","parse-names":false,"suffix":""},{"dropping-particle":"","family":"Neumann","given":"Charles J","non-dropping-particle":"","parse-names":false,"suffix":""}],"container-title":"Bulletin of the American Meteorological Society","id":"ITEM-1","issue":"3","issued":{"date-parts":[["2010"]]},"page":"363-376","title":"The International Best Track Archive for Climate Stewardship (IBTrACS)","type":"article-journal","volume":"91"},"uris":["http://www.mendeley.com/documents/?uuid=088bc336-a691-4510-9490-cf6750b09720"]}],"mendeley":{"formattedCitation":"&lt;sup&gt;30&lt;/sup&gt;","plainTextFormattedCitation":"30","previouslyFormattedCitation":"&lt;sup&gt;30&lt;/sup&gt;"},"properties":{"noteIndex":0},"schema":"https://github.com/citation-style-language/schema/raw/master/csl-citation.json"}</w:instrText>
      </w:r>
      <w:r>
        <w:fldChar w:fldCharType="separate"/>
      </w:r>
      <w:r w:rsidR="00FD69AD" w:rsidRPr="00FD69AD">
        <w:rPr>
          <w:noProof/>
          <w:vertAlign w:val="superscript"/>
        </w:rPr>
        <w:t>30</w:t>
      </w:r>
      <w:r>
        <w:fldChar w:fldCharType="end"/>
      </w:r>
      <w:r>
        <w:t xml:space="preserve">. The best-track archive from the Joint Typhoon Warning </w:t>
      </w:r>
      <w:proofErr w:type="spellStart"/>
      <w:r>
        <w:t>Center</w:t>
      </w:r>
      <w:proofErr w:type="spellEnd"/>
      <w:r>
        <w:t xml:space="preserve"> (JTWC) is chosen for the West Pacific (WPAC), North Indian Ocean (NIO), South Indian Ocean (SIO) and South Pacific (SPAC); and the archive from the National Hurricane </w:t>
      </w:r>
      <w:proofErr w:type="spellStart"/>
      <w:r>
        <w:t>Center</w:t>
      </w:r>
      <w:proofErr w:type="spellEnd"/>
      <w:r>
        <w:t xml:space="preserve"> (NHC) covers the East Pacific (EPAC) and North Atlantic (NATL). </w:t>
      </w:r>
      <w:r w:rsidRPr="00DC677F">
        <w:t>Considering the best globally consistent best tracks, we choose the best tracks from the US agencies as used by</w:t>
      </w:r>
      <w:r w:rsidR="00B53CCC">
        <w:t xml:space="preserve"> ref.</w:t>
      </w:r>
      <w:r w:rsidR="00B53CCC">
        <w:fldChar w:fldCharType="begin" w:fldLock="1"/>
      </w:r>
      <w:r w:rsidR="00B53CCC">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B53CCC">
        <w:fldChar w:fldCharType="separate"/>
      </w:r>
      <w:r w:rsidR="00B53CCC" w:rsidRPr="00B53CCC">
        <w:rPr>
          <w:noProof/>
          <w:vertAlign w:val="superscript"/>
        </w:rPr>
        <w:t>10</w:t>
      </w:r>
      <w:r w:rsidR="00B53CCC">
        <w:fldChar w:fldCharType="end"/>
      </w:r>
      <w:r w:rsidRPr="00DC677F">
        <w:t xml:space="preserve"> </w:t>
      </w:r>
      <w:r w:rsidRPr="00DC677F">
        <w:rPr>
          <w:noProof/>
        </w:rPr>
        <w:t>whose work we extend here</w:t>
      </w:r>
      <w:r w:rsidRPr="00DC677F">
        <w:t>.</w:t>
      </w:r>
      <w:r>
        <w:t xml:space="preserve"> The original best-track data from JTWC and NHC are recorded every 6 hours. In </w:t>
      </w:r>
      <w:r>
        <w:rPr>
          <w:rFonts w:hint="eastAsia"/>
        </w:rPr>
        <w:t>the</w:t>
      </w:r>
      <w:r>
        <w:t xml:space="preserve"> </w:t>
      </w:r>
      <w:proofErr w:type="spellStart"/>
      <w:r>
        <w:t>IBTrACS</w:t>
      </w:r>
      <w:proofErr w:type="spellEnd"/>
      <w:r>
        <w:t xml:space="preserve"> storm positions and the other measures are then interpolated to 3-hour intervals, respectively, using splines and linear </w:t>
      </w:r>
      <w:r>
        <w:lastRenderedPageBreak/>
        <w:t xml:space="preserve">interpolation. In this way the </w:t>
      </w:r>
      <w:proofErr w:type="spellStart"/>
      <w:r>
        <w:t>IBTrACS</w:t>
      </w:r>
      <w:proofErr w:type="spellEnd"/>
      <w:r>
        <w:t xml:space="preserve"> data used in our analysis is at 3-hour intervals, i.e., 00, 03, 06, 09, 12, 15, 18 and 21 Universal Time Coordinates. </w:t>
      </w:r>
    </w:p>
    <w:p w14:paraId="2DE35DB0" w14:textId="3855F5B2" w:rsidR="00DC677F" w:rsidRDefault="00DC677F" w:rsidP="00DC677F">
      <w:pPr>
        <w:spacing w:after="120" w:line="360" w:lineRule="auto"/>
      </w:pPr>
      <w:r>
        <w:t xml:space="preserve">In the period 1982-2020 we have the highest confidence in the quality and completeness of global TC count and intensity observations </w:t>
      </w:r>
      <w:r>
        <w:fldChar w:fldCharType="begin" w:fldLock="1"/>
      </w:r>
      <w:r w:rsidR="00FD69AD">
        <w:instrText>ADDIN CSL_CITATION {"citationItems":[{"id":"ITEM-1","itemData":{"DOI":"10.1175/2009MWR3123.1","ISSN":"00270644","abstract":"Numerous agencies around the world perform postseason analysis of tropical cyclone position and intensity, a process described as \"best tracking.\" However, this process is temporally and spatially inhomogeneous because data availability, operational techniques, and knowledge have changed over time and differ among agencies. The net result is that positions and intensities often vary for any given storm for different agencies. In light of these differences, it is imperative to analyze and document the interagency differences in tropical cyclone intensities. To that end, maximum sustained winds from different agencies were compared using data from the International Best Track Archive for Climate Stewardship (IBTrACS) global tropical cyclone dataset. Comparisons were made for a recent 5-yr period to investigate the current differences, where linear systematic differences were evident. Time series of the comparisons also showed temporal changes in the systematic differences, which suggest changes in operational procedures. Initial attempts were made to normalize maximum sustained winds by correcting for known changes in operational procedures. The result was mixed, in that the adjustments removed some but not all of the systematic differences. This suggests that more details on operational procedures are needed and that a complete reanalysis of tropical cyclone intensities should be performed. © 2010 American Meteorological Society.","author":[{"dropping-particle":"","family":"Knapp","given":"Kenneth R.","non-dropping-particle":"","parse-names":false,"suffix":""},{"dropping-particle":"","family":"Kruk","given":"Michael C.","non-dropping-particle":"","parse-names":false,"suffix":""}],"container-title":"Monthly Weather Review","id":"ITEM-1","issue":"4","issued":{"date-parts":[["2010"]]},"page":"1459-1473","title":"Quantifying interagency differences in tropical cyclone best-track wind speed estimates","type":"article-journal","volume":"138"},"uris":["http://www.mendeley.com/documents/?uuid=8ec4279c-d363-4054-b8b5-1454a78cb334"]}],"mendeley":{"formattedCitation":"&lt;sup&gt;31&lt;/sup&gt;","plainTextFormattedCitation":"31","previouslyFormattedCitation":"&lt;sup&gt;31&lt;/sup&gt;"},"properties":{"noteIndex":0},"schema":"https://github.com/citation-style-language/schema/raw/master/csl-citation.json"}</w:instrText>
      </w:r>
      <w:r>
        <w:fldChar w:fldCharType="separate"/>
      </w:r>
      <w:r w:rsidR="00FD69AD" w:rsidRPr="00FD69AD">
        <w:rPr>
          <w:noProof/>
          <w:vertAlign w:val="superscript"/>
        </w:rPr>
        <w:t>31</w:t>
      </w:r>
      <w:r>
        <w:fldChar w:fldCharType="end"/>
      </w:r>
      <w:r>
        <w:t>. A longer period back to 1970 will also be analysed</w:t>
      </w:r>
      <w:r w:rsidRPr="4DB3E4A3">
        <w:rPr>
          <w:lang w:val="en-US"/>
        </w:rPr>
        <w:t xml:space="preserve"> as a</w:t>
      </w:r>
      <w:r>
        <w:t xml:space="preserve"> sensitivity check. Three criteria are used for the selection of storms:</w:t>
      </w:r>
    </w:p>
    <w:p w14:paraId="068DF91D" w14:textId="77777777" w:rsidR="00DC677F" w:rsidRDefault="00DC677F" w:rsidP="00DC677F">
      <w:pPr>
        <w:pStyle w:val="ListParagraph"/>
        <w:numPr>
          <w:ilvl w:val="0"/>
          <w:numId w:val="5"/>
        </w:numPr>
        <w:spacing w:after="120" w:line="360" w:lineRule="auto"/>
      </w:pPr>
      <w:r>
        <w:t>the LMI is of at least hurricane-force wind (≥33 m s</w:t>
      </w:r>
      <w:r w:rsidRPr="00A14672">
        <w:rPr>
          <w:vertAlign w:val="superscript"/>
        </w:rPr>
        <w:t>-1</w:t>
      </w:r>
      <w:r>
        <w:t>, i.e., catogary-1),</w:t>
      </w:r>
    </w:p>
    <w:p w14:paraId="0F9A8EA7" w14:textId="77777777" w:rsidR="00DC677F" w:rsidRPr="00BA20EE" w:rsidRDefault="00DC677F" w:rsidP="00DC677F">
      <w:pPr>
        <w:pStyle w:val="ListParagraph"/>
        <w:numPr>
          <w:ilvl w:val="0"/>
          <w:numId w:val="5"/>
        </w:numPr>
        <w:spacing w:after="120" w:line="360" w:lineRule="auto"/>
      </w:pPr>
      <w:r w:rsidRPr="00731336">
        <w:rPr>
          <w:lang w:val="en-US"/>
        </w:rPr>
        <w:t>storm</w:t>
      </w:r>
      <w:r>
        <w:rPr>
          <w:lang w:val="en-US"/>
        </w:rPr>
        <w:t>s</w:t>
      </w:r>
      <w:r w:rsidRPr="00731336">
        <w:rPr>
          <w:lang w:val="en-US"/>
        </w:rPr>
        <w:t xml:space="preserve"> </w:t>
      </w:r>
      <w:r w:rsidRPr="00BA20EE">
        <w:rPr>
          <w:lang w:val="en-US"/>
        </w:rPr>
        <w:t>make landfall</w:t>
      </w:r>
      <w:r w:rsidRPr="00EE505C">
        <w:rPr>
          <w:lang w:val="en-US"/>
        </w:rPr>
        <w:t>, a</w:t>
      </w:r>
      <w:r w:rsidRPr="00617CD8">
        <w:rPr>
          <w:lang w:val="en-US"/>
        </w:rPr>
        <w:t>nd</w:t>
      </w:r>
    </w:p>
    <w:p w14:paraId="375F4A3A" w14:textId="77777777" w:rsidR="00DC677F" w:rsidRDefault="00DC677F" w:rsidP="00DC677F">
      <w:pPr>
        <w:pStyle w:val="ListParagraph"/>
        <w:numPr>
          <w:ilvl w:val="0"/>
          <w:numId w:val="5"/>
        </w:numPr>
        <w:spacing w:after="120" w:line="360" w:lineRule="auto"/>
      </w:pPr>
      <w:r w:rsidRPr="00342CC9">
        <w:rPr>
          <w:lang w:val="en-US"/>
        </w:rPr>
        <w:t xml:space="preserve">tracks only within </w:t>
      </w:r>
      <w:r w:rsidRPr="00625778">
        <w:t>40</w:t>
      </w:r>
      <w:r w:rsidRPr="00342CC9">
        <w:rPr>
          <w:vertAlign w:val="superscript"/>
        </w:rPr>
        <w:t>o</w:t>
      </w:r>
      <w:r w:rsidRPr="00625778">
        <w:t>N/S</w:t>
      </w:r>
      <w:r>
        <w:t xml:space="preserve"> are considered</w:t>
      </w:r>
      <w:r w:rsidRPr="00625778">
        <w:t xml:space="preserve"> to reduce sub-tropical impact</w:t>
      </w:r>
      <w:r>
        <w:t>s.</w:t>
      </w:r>
    </w:p>
    <w:p w14:paraId="5DAF5754" w14:textId="0B575308" w:rsidR="00DC677F" w:rsidRPr="00AC1F61" w:rsidRDefault="00DC677F" w:rsidP="00DC677F">
      <w:pPr>
        <w:spacing w:after="120" w:line="360" w:lineRule="auto"/>
        <w:rPr>
          <w:lang w:val="en-US"/>
        </w:rPr>
      </w:pPr>
      <w:r>
        <w:t xml:space="preserve">The landfall events are selected as labelled in the </w:t>
      </w:r>
      <w:proofErr w:type="spellStart"/>
      <w:r>
        <w:t>IBTrACS</w:t>
      </w:r>
      <w:proofErr w:type="spellEnd"/>
      <w:r>
        <w:t xml:space="preserve">. The smallest landmass considered in the </w:t>
      </w:r>
      <w:proofErr w:type="spellStart"/>
      <w:r>
        <w:t>IBTrACS</w:t>
      </w:r>
      <w:proofErr w:type="spellEnd"/>
      <w:r>
        <w:t xml:space="preserve"> is 1400 km</w:t>
      </w:r>
      <w:r w:rsidRPr="4DB3E4A3">
        <w:rPr>
          <w:vertAlign w:val="superscript"/>
        </w:rPr>
        <w:t>2</w:t>
      </w:r>
      <w:r>
        <w:t xml:space="preserve">, equivalent to the area of Kauai, Hawaii. </w:t>
      </w:r>
      <w:r w:rsidRPr="002767C7">
        <w:t>This study is a revisit of</w:t>
      </w:r>
      <w:r w:rsidR="00B53CCC">
        <w:t xml:space="preserve"> ref.</w:t>
      </w:r>
      <w:r w:rsidR="00B53CCC">
        <w:fldChar w:fldCharType="begin" w:fldLock="1"/>
      </w:r>
      <w:r w:rsidR="00B53CCC">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B53CCC">
        <w:fldChar w:fldCharType="separate"/>
      </w:r>
      <w:r w:rsidR="00B53CCC" w:rsidRPr="00B53CCC">
        <w:rPr>
          <w:noProof/>
          <w:vertAlign w:val="superscript"/>
        </w:rPr>
        <w:t>10</w:t>
      </w:r>
      <w:r w:rsidR="00B53CCC">
        <w:fldChar w:fldCharType="end"/>
      </w:r>
      <w:r w:rsidRPr="002767C7">
        <w:t xml:space="preserve"> for global major landfall counts, but at a different land mask resolution. </w:t>
      </w:r>
      <w:r w:rsidR="00B53CCC">
        <w:t>Ref.</w:t>
      </w:r>
      <w:r w:rsidR="00B53CCC">
        <w:fldChar w:fldCharType="begin" w:fldLock="1"/>
      </w:r>
      <w:r w:rsidR="00B53CCC">
        <w:instrText>ADDIN CSL_CITATION {"citationItems":[{"id":"ITEM-1","itemData":{"DOI":"10.1175/JCLI-D-11-00719.1","ISSN":"08948755","abstract":"In recent decades, economic damage from tropical cyclones (TCs) around the world has increased dramatically. Scientific literature published to date finds that the increase in losses can be explained entirely by societal changes (such as increasing wealth, structures, population, etc.) in locations prone to tropical cyclone landfalls, rather than by changes in annual storm frequency or intensity. However, no homogenized dataset of global tropical cyclone landfalls has been created that might serve as a consistency check for such economic normalization studies. Using currently available historicalTC best-track records, a global database focused on hurricane-force strength landfalls was constructed. The analysis does not indicate significant long-period global or individual basin trends in the frequency or intensity of landfalling TCs of minor or major hurricane strength. The evidence in this study provides strong support for the conclusion that increasing damage around the world during the past several decades can be explained entirely by increasing wealth in locations prone to TC landfalls, which adds confidence to the fidelity of economic normalization analyses. © 2012 American Meteorological Society.","author":[{"dropping-particle":"","family":"Weinkle","given":"Jessica","non-dropping-particle":"","parse-names":false,"suffix":""},{"dropping-particle":"","family":"Maue","given":"Ryan","non-dropping-particle":"","parse-names":false,"suffix":""},{"dropping-particle":"","family":"Pielke","given":"Roger","non-dropping-particle":"","parse-names":false,"suffix":""}],"container-title":"Journal of Climate","id":"ITEM-1","issue":"13","issued":{"date-parts":[["2012"]]},"page":"4729-4735","title":"Historical global tropical cyclone landfalls","type":"article-journal","volume":"25"},"uris":["http://www.mendeley.com/documents/?uuid=0d8ccdb6-09c5-3e5b-9c11-de612a1c74c3"]}],"mendeley":{"formattedCitation":"&lt;sup&gt;10&lt;/sup&gt;","plainTextFormattedCitation":"10","previouslyFormattedCitation":"&lt;sup&gt;10&lt;/sup&gt;"},"properties":{"noteIndex":0},"schema":"https://github.com/citation-style-language/schema/raw/master/csl-citation.json"}</w:instrText>
      </w:r>
      <w:r w:rsidR="00B53CCC">
        <w:fldChar w:fldCharType="separate"/>
      </w:r>
      <w:r w:rsidR="00B53CCC" w:rsidRPr="00B53CCC">
        <w:rPr>
          <w:noProof/>
          <w:vertAlign w:val="superscript"/>
        </w:rPr>
        <w:t>10</w:t>
      </w:r>
      <w:r w:rsidR="00B53CCC">
        <w:fldChar w:fldCharType="end"/>
      </w:r>
      <w:r w:rsidRPr="002767C7">
        <w:t xml:space="preserve"> used a self-defined land mask with 1/20</w:t>
      </w:r>
      <w:r w:rsidRPr="002767C7">
        <w:rPr>
          <w:vertAlign w:val="superscript"/>
        </w:rPr>
        <w:t>o</w:t>
      </w:r>
      <w:r w:rsidRPr="002767C7">
        <w:t xml:space="preserve"> global grid spacing that includes more small islands but is not publicly available. </w:t>
      </w:r>
      <w:r w:rsidRPr="002767C7">
        <w:rPr>
          <w:lang w:val="en-US"/>
        </w:rPr>
        <w:t xml:space="preserve">In the following analysis we use the standard landfall flag in the </w:t>
      </w:r>
      <w:proofErr w:type="spellStart"/>
      <w:r w:rsidRPr="002767C7">
        <w:rPr>
          <w:lang w:val="en-US"/>
        </w:rPr>
        <w:t>IBTrACS</w:t>
      </w:r>
      <w:proofErr w:type="spellEnd"/>
      <w:r w:rsidRPr="002767C7">
        <w:rPr>
          <w:lang w:val="en-US"/>
        </w:rPr>
        <w:t xml:space="preserve"> so the results can be easily reproduced and extended consistently when more data is available in the future.</w:t>
      </w:r>
    </w:p>
    <w:p w14:paraId="2AB61D90" w14:textId="7D062DD9" w:rsidR="00DC677F" w:rsidRDefault="00DC677F" w:rsidP="00DC677F">
      <w:pPr>
        <w:spacing w:after="120" w:line="360" w:lineRule="auto"/>
        <w:rPr>
          <w:rFonts w:eastAsia="Gungsuh"/>
        </w:rPr>
      </w:pPr>
      <w:r>
        <w:rPr>
          <w:lang w:val="en-US"/>
        </w:rPr>
        <w:t>O</w:t>
      </w:r>
      <w:r w:rsidRPr="4DB3E4A3">
        <w:rPr>
          <w:lang w:val="en-US"/>
        </w:rPr>
        <w:t xml:space="preserve">nly the landfall with the highest intensity is counted per TC if multiple landfalls occur, and the landfall intensity is the higher of the first </w:t>
      </w:r>
      <w:r>
        <w:rPr>
          <w:lang w:val="en-US"/>
        </w:rPr>
        <w:t xml:space="preserve">land </w:t>
      </w:r>
      <w:r w:rsidRPr="4DB3E4A3">
        <w:rPr>
          <w:lang w:val="en-US"/>
        </w:rPr>
        <w:t xml:space="preserve">intensity and the last intensity over oceans. </w:t>
      </w:r>
      <w:r>
        <w:rPr>
          <w:lang w:val="en-US"/>
        </w:rPr>
        <w:t>Similar results are found if</w:t>
      </w:r>
      <w:r w:rsidRPr="4DB3E4A3">
        <w:rPr>
          <w:lang w:val="en-US"/>
        </w:rPr>
        <w:t xml:space="preserve"> the intensity only over land or oceans is used</w:t>
      </w:r>
      <w:r>
        <w:rPr>
          <w:lang w:val="en-US"/>
        </w:rPr>
        <w:t xml:space="preserve">. </w:t>
      </w:r>
      <w:r>
        <w:t>The full tracks of landfall TCs over the period 1982-2020</w:t>
      </w:r>
      <w:r w:rsidRPr="4DB3E4A3">
        <w:rPr>
          <w:rFonts w:eastAsia="Gungsuh"/>
        </w:rPr>
        <w:t xml:space="preserve"> and the locations of major landfalls are shown in Fig. S</w:t>
      </w:r>
      <w:r w:rsidR="006A2CB5">
        <w:rPr>
          <w:rFonts w:eastAsia="Gungsuh"/>
        </w:rPr>
        <w:t>4</w:t>
      </w:r>
      <w:r w:rsidRPr="4DB3E4A3">
        <w:rPr>
          <w:rFonts w:eastAsia="Gungsuh"/>
        </w:rPr>
        <w:t>.</w:t>
      </w:r>
    </w:p>
    <w:p w14:paraId="2798F44E" w14:textId="56B407ED" w:rsidR="00DC677F" w:rsidRPr="00DC677F" w:rsidRDefault="00DC677F" w:rsidP="00DC677F">
      <w:pPr>
        <w:spacing w:after="120" w:line="360" w:lineRule="auto"/>
        <w:rPr>
          <w:u w:val="single"/>
        </w:rPr>
      </w:pPr>
      <w:r w:rsidRPr="00DC677F">
        <w:rPr>
          <w:u w:val="single"/>
        </w:rPr>
        <w:t>Change detection and statistical significance</w:t>
      </w:r>
    </w:p>
    <w:p w14:paraId="31E129C1" w14:textId="6D05E0AC" w:rsidR="00DC677F" w:rsidRPr="00ED5D22" w:rsidRDefault="00DC677F" w:rsidP="00DC677F">
      <w:pPr>
        <w:spacing w:after="120" w:line="360" w:lineRule="auto"/>
      </w:pPr>
      <w:r>
        <w:t xml:space="preserve">We examine the count change by Poisson regression </w:t>
      </w:r>
      <w:r>
        <w:fldChar w:fldCharType="begin" w:fldLock="1"/>
      </w:r>
      <w:r w:rsidR="00FD69AD">
        <w:instrText>ADDIN CSL_CITATION {"citationItems":[{"id":"ITEM-1","itemData":{"DOI":"10.1175/1520-0434(1993)008&lt;0345:IERSPO&gt;2.0.CO;2","ISBN":"9781626239777","ISSN":"0882-8156","author":[{"dropping-particle":"","family":"Elsner","given":"J. B.","non-dropping-particle":"","parse-names":false,"suffix":""},{"dropping-particle":"","family":"Schmertmann","given":"C. P.","non-dropping-particle":"","parse-names":false,"suffix":""}],"container-title":"Weather and Forecasting","id":"ITEM-1","issue":"3","issued":{"date-parts":[["1993","9"]]},"page":"345-351","title":"Improving Extended-Range Seasonal Predictions of Intense Atlantic Hurricane Activity","type":"article-journal","volume":"8"},"uris":["http://www.mendeley.com/documents/?uuid=72ee1d79-ec70-4fcc-bf1d-333dade18f07"]},{"id":"ITEM-2","itemData":{"DOI":"10.1175/2010JCLI3811.1","ISSN":"08948755","abstract":"A Poisson regression between the observed climatology of tropical cyclogenesis (TCG) and large-scale climate variables is used to construct a TCG index. The regression methodology is objective and provides a framework for the selection of the climate variables in the index. Broadly following earlier work, four climate variables appear in the index: low-level absolute vorticity, relative humidity, relative sea surface temperature (SST), and vertical shear. Several variants in the choice of predictors are explored, including relative SST versus potential intensity and satellite-based column-integrated relative humidity versus reanalysis relative humidity at a single level; these choices lead to modest differences in the performance of the index. The feature of the new index that leads to the greatest improvement is a functional dependence on low-level absolute vorticity that causes the index response to absolute vorticity to saturate when absolute vorticity exceeds a threshold. This feature reduces some biases of the index and improves the fidelity of its spatial distribution. Physically, this result suggests that once low-level environmental vorticity reaches a sufficiently large value, other factors become rate limiting so that further increases in vorticity (at least on a monthly mean basis) do not increase the probability of genesis. Although the index is fit to climatological data, it reproduces some aspects of interannual variability when applied to interannually varying data. Overall, the new index compares positively to the genesis potential index (GPI), whose derivation, computation, and analysis is more complex in part because of its dependence on potential intensity. © 2011 American Meteorological Society.","author":[{"dropping-particle":"","family":"Tippett","given":"Michael K.","non-dropping-particle":"","parse-names":false,"suffix":""},{"dropping-particle":"","family":"Camargo","given":"Suzana J.","non-dropping-particle":"","parse-names":false,"suffix":""},{"dropping-particle":"","family":"Sobel","given":"Adam H.","non-dropping-particle":"","parse-names":false,"suffix":""}],"container-title":"Journal of Climate","id":"ITEM-2","issue":"9","issued":{"date-parts":[["2011"]]},"page":"2335-2357","title":"A poisson regression index for tropical cyclone genesis and the role of large-scale vorticity in genesis","type":"article-journal","volume":"24"},"uris":["http://www.mendeley.com/documents/?uuid=53729684-2536-4540-a09c-e59ca73fb43e"]},{"id":"ITEM-3","itemData":{"DOI":"10.1038/s41467-021-27364-8","ISBN":"4146702127","ISSN":"2041-1723","abstract":"Historical records of Atlantic hurricane activity, extending back to 1851, show increasing activity over time, but much or all of this trend has been attributed to lack of observations in the early portion of the record. Here we use a tropical cyclone downscaling model driven by three global climate analyses that are based mostly on sea surface temperature and surface pressure data. The results support earlier statistically-based inferences that storms were undercounted in the 19 th century, but in contrast to earlier work, show increasing tropical cyclone activity through the period, interrupted by a prominent hurricane drought in the 1970s and 80 s that we attribute to anthropogenic aerosols. In agreement with earlier work, we show that most of the variability of North Atlantic tropical cyclone activity over the last century was directly related to regional rather than global climate change. Most metrics of tropical cyclones downscaled over all the tropics show weak and/or insignificant trends over the last century, illustrating the special nature of North Atlantic tropical cyclone climatology.","author":[{"dropping-particle":"","family":"Emanuel","given":"Kerry","non-dropping-particle":"","parse-names":false,"suffix":""}],"container-title":"Nature Communications","id":"ITEM-3","issue":"1","issued":{"date-parts":[["2021","12","2"]]},"page":"7027","publisher":"Springer US","title":"Atlantic tropical cyclones downscaled from climate reanalyses show increasing activity over past 150 years","type":"article-journal","volume":"12"},"uris":["http://www.mendeley.com/documents/?uuid=31ec0a46-50b0-414a-9ec4-f3b7586589c9"]}],"mendeley":{"formattedCitation":"&lt;sup&gt;21,32,33&lt;/sup&gt;","plainTextFormattedCitation":"21,32,33","previouslyFormattedCitation":"&lt;sup&gt;21,32,33&lt;/sup&gt;"},"properties":{"noteIndex":0},"schema":"https://github.com/citation-style-language/schema/raw/master/csl-citation.json"}</w:instrText>
      </w:r>
      <w:r>
        <w:fldChar w:fldCharType="separate"/>
      </w:r>
      <w:r w:rsidR="00FD69AD" w:rsidRPr="00FD69AD">
        <w:rPr>
          <w:noProof/>
          <w:vertAlign w:val="superscript"/>
        </w:rPr>
        <w:t>21,32,33</w:t>
      </w:r>
      <w:r>
        <w:fldChar w:fldCharType="end"/>
      </w:r>
      <w:r>
        <w:t>, and intensity and latitude trends by linear trend analysis</w:t>
      </w:r>
      <w:r w:rsidR="00B53CCC">
        <w:t xml:space="preserve"> </w:t>
      </w:r>
      <w:r w:rsidR="00B53CCC">
        <w:fldChar w:fldCharType="begin" w:fldLock="1"/>
      </w:r>
      <w:r w:rsidR="00B53CCC">
        <w:instrText>ADDIN CSL_CITATION {"citationItems":[{"id":"ITEM-1","itemData":{"DOI":"10.1175/JCLI-D-13-00262.1","ISSN":"0894-8755","abstract":"The historical global ''best track'' records of tropical cyclones extend back to the mid-nineteenth century in some regions, but formal analysis of these records is encumbered by temporal heterogeneities in the data. This is particularly problematic when attempting to detect trends in tropical cyclone metrics that may be attributable to climate change. Here the authors apply a state-of-the-art automated algorithm to a globally homogenized satellite data record to create a more temporally consistent record of tropical cyclone intensity within the period 1982-2009, and utilize this record to investigate the robustness of trends found in the best-track data. In particular, the lifetime maximum intensity (LMI) achieved by each reported storm is calculated and the frequency distribution of LMI is tested for changes over this period. To address the unique issues in regions around the Indian Ocean, which result from a discontinuity introduced into the satellite data in 1998, a direct homogenization procedure is applied in which post-1998 data are degraded to pre-1998 standards. This additional homogenization step is found to measurably reduce LMI trends, but the global trends in the LMI of the strongest storms remain positive, with amplitudes of around 11 m s 21 decade 21 and p value 5 0.1. Regional trends, in m s 21 decade 21 , vary from 22 (p 5 0.03) in the western North Pacific, 11.7 (p 5 0.06) in the south Indian Ocean, 12.5 (p 5 0.09) in the South Pacific, to 18 (p , 0.001) in the North Atlantic.","author":[{"dropping-particle":"","family":"Kossin","given":"James P","non-dropping-particle":"","parse-names":false,"suffix":""},{"dropping-particle":"","family":"Olander","given":"Timothy L","non-dropping-particle":"","parse-names":false,"suffix":""},{"dropping-particle":"","family":"Knapp","given":"Kenneth R","non-dropping-particle":"","parse-names":false,"suffix":""}],"container-title":"Journal of Climate","id":"ITEM-1","issue":"24","issued":{"date-parts":[["2013","12"]]},"page":"9960-9976","title":"Trend Analysis with a New Global Record of Tropical Cyclone Intensity","type":"article-journal","volume":"26"},"uris":["http://www.mendeley.com/documents/?uuid=7f643d27-84ed-3c5e-ab4b-bb325cb3d11e"]},{"id":"ITEM-2","itemData":{"DOI":"10.1038/nature13278","ISSN":"0028-0836","abstract":"Temporally inconsistent and potentially unreliable global historical data hinder the detection of trends in tropical cyclone activity. This limits our confidence in evaluating proposed linkages between observed trends in tropical cyclones and in the environment. Here we mitigate this difficulty by focusing on a metric that is comparatively insensitive to past data uncertainty, and identify a pronounced poleward migration in the average latitude at which tropical cyclones have achieved their lifetime-maximum intensity over the past 30 years. The poleward trends are evident in the global historical data in both the Northern and the Southern hemispheres, with rates of 53 and 62 kilometres per decade, respectively, and are statistically significant. When considered together, the trends in each hemisphere depict a global-average migration of tropical cyclone activity away from the tropics at a rate of about one degree of latitude per decade, which lies within the range of estimates of the observed expansion of the tropics over the same period. The global migration remains evident and statistically significant under a formal data homogenization procedure, and is unlikely to be a data artefact. The migration away from the tropics is apparently linked to marked changes in the mean meridional structure of environmental vertical wind shear and potential intensity, and can plausibly be linked to tropical expansion, which is thought to have anthropogenic contributions.","author":[{"dropping-particle":"","family":"Kossin","given":"James P","non-dropping-particle":"","parse-names":false,"suffix":""},{"dropping-particle":"","family":"Emanuel","given":"Kerry A","non-dropping-particle":"","parse-names":false,"suffix":""},{"dropping-particle":"","family":"Vecchi","given":"Gabriel A","non-dropping-particle":"","parse-names":false,"suffix":""}],"container-title":"Nature","id":"ITEM-2","issue":"7500","issued":{"date-parts":[["2014","5","14"]]},"page":"349-352","title":"The poleward migration of the location of tropical cyclone maximum intensity","type":"article-journal","volume":"509"},"uris":["http://www.mendeley.com/documents/?uuid=4b3ccc3e-d10d-4a0b-9d39-9a9c54143f04"]}],"mendeley":{"formattedCitation":"&lt;sup&gt;28,29&lt;/sup&gt;","plainTextFormattedCitation":"28,29","previouslyFormattedCitation":"&lt;sup&gt;28,29&lt;/sup&gt;"},"properties":{"noteIndex":0},"schema":"https://github.com/citation-style-language/schema/raw/master/csl-citation.json"}</w:instrText>
      </w:r>
      <w:r w:rsidR="00B53CCC">
        <w:fldChar w:fldCharType="separate"/>
      </w:r>
      <w:r w:rsidR="00B53CCC" w:rsidRPr="00B53CCC">
        <w:rPr>
          <w:noProof/>
          <w:vertAlign w:val="superscript"/>
        </w:rPr>
        <w:t>28,29</w:t>
      </w:r>
      <w:r w:rsidR="00B53CCC">
        <w:fldChar w:fldCharType="end"/>
      </w:r>
      <w:r>
        <w:t xml:space="preserve">. The statistical significance is defined with 95% confidence intervals (i.e., </w:t>
      </w:r>
      <w:r>
        <w:rPr>
          <w:i/>
          <w:iCs/>
        </w:rPr>
        <w:t>p</w:t>
      </w:r>
      <w:r>
        <w:t xml:space="preserve">-values≤0.05). </w:t>
      </w:r>
      <w:r w:rsidRPr="00FC044B">
        <w:t xml:space="preserve">The residuals from the linear and Poisson regressions all follow normal distribution (Kolmogorov–Smirnov normality test, </w:t>
      </w:r>
      <w:r w:rsidRPr="006D4DA9">
        <w:rPr>
          <w:i/>
          <w:iCs/>
        </w:rPr>
        <w:t>p</w:t>
      </w:r>
      <w:r w:rsidRPr="00FC044B">
        <w:t>&gt;0.1) and none of them</w:t>
      </w:r>
      <w:r w:rsidRPr="00D16F0D">
        <w:t xml:space="preserve"> </w:t>
      </w:r>
      <w:r>
        <w:t>are autocorrelated</w:t>
      </w:r>
      <w:r w:rsidRPr="00FC044B">
        <w:t>.</w:t>
      </w:r>
    </w:p>
    <w:p w14:paraId="260BADA7" w14:textId="77777777" w:rsidR="00DC677F" w:rsidRDefault="00DC677F" w:rsidP="00DC677F">
      <w:pPr>
        <w:numPr>
          <w:ilvl w:val="0"/>
          <w:numId w:val="1"/>
        </w:numPr>
        <w:pBdr>
          <w:top w:val="nil"/>
          <w:left w:val="nil"/>
          <w:bottom w:val="nil"/>
          <w:right w:val="nil"/>
          <w:between w:val="nil"/>
        </w:pBdr>
        <w:spacing w:after="120" w:line="360" w:lineRule="auto"/>
        <w:rPr>
          <w:color w:val="000000"/>
        </w:rPr>
      </w:pPr>
      <w:r>
        <w:rPr>
          <w:color w:val="000000"/>
        </w:rPr>
        <w:t>Poisson regress</w:t>
      </w:r>
      <w:r w:rsidRPr="00F16322">
        <w:rPr>
          <w:color w:val="000000" w:themeColor="text1"/>
        </w:rPr>
        <w:t xml:space="preserve">ion </w:t>
      </w:r>
    </w:p>
    <w:p w14:paraId="29119FA9" w14:textId="77777777" w:rsidR="00DC677F" w:rsidRDefault="00DC677F" w:rsidP="00DC677F">
      <w:pPr>
        <w:pBdr>
          <w:top w:val="nil"/>
          <w:left w:val="nil"/>
          <w:bottom w:val="nil"/>
          <w:right w:val="nil"/>
          <w:between w:val="nil"/>
        </w:pBdr>
        <w:spacing w:after="120" w:line="360" w:lineRule="auto"/>
        <w:ind w:left="720"/>
        <w:rPr>
          <w:color w:val="000000"/>
        </w:rPr>
      </w:pPr>
      <w:r w:rsidRPr="5FE0FD3C">
        <w:rPr>
          <w:color w:val="000000" w:themeColor="text1"/>
        </w:rPr>
        <w:t>The Chi-square from the fit</w:t>
      </w:r>
      <w:r>
        <w:rPr>
          <w:color w:val="000000" w:themeColor="text1"/>
        </w:rPr>
        <w:t xml:space="preserve"> of </w:t>
      </w:r>
      <w:r w:rsidRPr="76AC1CB9">
        <w:rPr>
          <w:color w:val="000000" w:themeColor="text1"/>
        </w:rPr>
        <w:t>count</w:t>
      </w:r>
      <w:r>
        <w:rPr>
          <w:color w:val="000000" w:themeColor="text1"/>
        </w:rPr>
        <w:t>s to a Poisson distribution</w:t>
      </w:r>
      <w:r w:rsidRPr="5FE0FD3C">
        <w:rPr>
          <w:color w:val="000000" w:themeColor="text1"/>
        </w:rPr>
        <w:t xml:space="preserve"> is compared to the right-tailed critical Chi-square value with the corresponding degrees of freedom. </w:t>
      </w:r>
      <w:r>
        <w:rPr>
          <w:color w:val="000000" w:themeColor="text1"/>
        </w:rPr>
        <w:t>This analysis</w:t>
      </w:r>
      <w:r w:rsidRPr="5FE0FD3C">
        <w:rPr>
          <w:color w:val="000000" w:themeColor="text1"/>
        </w:rPr>
        <w:t xml:space="preserve"> suggests that we cannot reject the null hypothesis</w:t>
      </w:r>
      <w:r>
        <w:rPr>
          <w:color w:val="000000" w:themeColor="text1"/>
        </w:rPr>
        <w:t xml:space="preserve"> of a Poisson distribution</w:t>
      </w:r>
      <w:r w:rsidRPr="5FE0FD3C">
        <w:rPr>
          <w:color w:val="000000" w:themeColor="text1"/>
        </w:rPr>
        <w:t xml:space="preserve"> for any of the count distributions examined here</w:t>
      </w:r>
      <w:r>
        <w:rPr>
          <w:color w:val="000000" w:themeColor="text1"/>
        </w:rPr>
        <w:t xml:space="preserve"> at 95% confidence intervals</w:t>
      </w:r>
      <w:r w:rsidRPr="5FE0FD3C">
        <w:rPr>
          <w:color w:val="000000" w:themeColor="text1"/>
        </w:rPr>
        <w:t>.</w:t>
      </w:r>
    </w:p>
    <w:p w14:paraId="2426CE85" w14:textId="059B3365" w:rsidR="00DC677F" w:rsidRDefault="00DC677F" w:rsidP="00DC677F">
      <w:pPr>
        <w:pBdr>
          <w:top w:val="nil"/>
          <w:left w:val="nil"/>
          <w:bottom w:val="nil"/>
          <w:right w:val="nil"/>
          <w:between w:val="nil"/>
        </w:pBdr>
        <w:spacing w:after="120" w:line="360" w:lineRule="auto"/>
        <w:ind w:left="720"/>
        <w:rPr>
          <w:color w:val="000000"/>
          <w:lang w:val="en-US"/>
        </w:rPr>
      </w:pPr>
      <w:r>
        <w:rPr>
          <w:color w:val="000000"/>
        </w:rPr>
        <w:lastRenderedPageBreak/>
        <w:t xml:space="preserve">A generalised linear model is then used for the Poisson regression with the link function </w:t>
      </w:r>
      <m:oMath>
        <m:r>
          <w:rPr>
            <w:rFonts w:ascii="Cambria Math" w:hAnsi="Cambria Math"/>
            <w:color w:val="000000"/>
          </w:rPr>
          <m:t>g</m:t>
        </m:r>
        <m:d>
          <m:dPr>
            <m:ctrlPr>
              <w:rPr>
                <w:rFonts w:ascii="Cambria Math" w:hAnsi="Cambria Math"/>
                <w:i/>
                <w:color w:val="000000"/>
              </w:rPr>
            </m:ctrlPr>
          </m:dPr>
          <m:e>
            <m:r>
              <w:rPr>
                <w:rFonts w:ascii="Cambria Math" w:hAnsi="Cambria Math"/>
                <w:color w:val="000000"/>
              </w:rPr>
              <m:t>μ</m:t>
            </m:r>
          </m:e>
        </m:d>
        <m:r>
          <w:rPr>
            <w:rFonts w:ascii="Cambria Math" w:hAnsi="Cambria Math"/>
            <w:color w:val="000000"/>
          </w:rPr>
          <m:t>=ln(</m:t>
        </m:r>
        <m:r>
          <w:rPr>
            <w:rFonts w:ascii="Cambria Math" w:hAnsi="Cambria Math"/>
            <w:color w:val="000000"/>
            <w:lang w:val="el-GR"/>
          </w:rPr>
          <m:t>μ</m:t>
        </m:r>
        <m:r>
          <w:rPr>
            <w:rFonts w:ascii="Cambria Math" w:hAnsi="Cambria Math"/>
            <w:color w:val="000000"/>
            <w:lang w:val="en-US"/>
          </w:rPr>
          <m:t>)</m:t>
        </m:r>
      </m:oMath>
      <w:r>
        <w:rPr>
          <w:color w:val="000000"/>
          <w:lang w:val="en-US"/>
        </w:rPr>
        <w:t xml:space="preserve"> </w:t>
      </w:r>
      <w:r w:rsidR="00B53CCC">
        <w:rPr>
          <w:color w:val="000000"/>
          <w:vertAlign w:val="superscript"/>
          <w:lang w:val="en-US"/>
        </w:rPr>
        <w:t>ref.</w:t>
      </w:r>
      <w:r>
        <w:rPr>
          <w:color w:val="000000"/>
          <w:lang w:val="en-US"/>
        </w:rPr>
        <w:fldChar w:fldCharType="begin" w:fldLock="1"/>
      </w:r>
      <w:r w:rsidR="00FD69AD">
        <w:rPr>
          <w:color w:val="000000"/>
          <w:lang w:val="en-US"/>
        </w:rPr>
        <w:instrText>ADDIN CSL_CITATION {"citationItems":[{"id":"ITEM-1","itemData":{"ISBN":"0123850223","author":[{"dropping-particle":"","family":"Wilks","given":"Daniel S","non-dropping-particle":"","parse-names":false,"suffix":""}],"id":"ITEM-1","issued":{"date-parts":[["2011"]]},"publisher":"Academic press","title":"Statistical methods in the atmospheric sciences","type":"book","volume":"100"},"uris":["http://www.mendeley.com/documents/?uuid=3176a3e4-f7b3-4ca9-823e-6fbe09333d34"]}],"mendeley":{"formattedCitation":"&lt;sup&gt;15&lt;/sup&gt;","plainTextFormattedCitation":"15","previouslyFormattedCitation":"&lt;sup&gt;15&lt;/sup&gt;"},"properties":{"noteIndex":0},"schema":"https://github.com/citation-style-language/schema/raw/master/csl-citation.json"}</w:instrText>
      </w:r>
      <w:r>
        <w:rPr>
          <w:color w:val="000000"/>
          <w:lang w:val="en-US"/>
        </w:rPr>
        <w:fldChar w:fldCharType="separate"/>
      </w:r>
      <w:r w:rsidR="00FD69AD" w:rsidRPr="00FD69AD">
        <w:rPr>
          <w:noProof/>
          <w:color w:val="000000"/>
          <w:vertAlign w:val="superscript"/>
          <w:lang w:val="en-US"/>
        </w:rPr>
        <w:t>15</w:t>
      </w:r>
      <w:r>
        <w:rPr>
          <w:color w:val="000000"/>
          <w:lang w:val="en-US"/>
        </w:rPr>
        <w:fldChar w:fldCharType="end"/>
      </w:r>
      <w:r>
        <w:rPr>
          <w:color w:val="000000"/>
          <w:lang w:val="en-US"/>
        </w:rPr>
        <w:t xml:space="preserve">, where </w:t>
      </w:r>
      <m:oMath>
        <m:r>
          <w:rPr>
            <w:rFonts w:ascii="Cambria Math" w:hAnsi="Cambria Math"/>
            <w:color w:val="000000"/>
            <w:lang w:val="en-US"/>
          </w:rPr>
          <m:t>μ</m:t>
        </m:r>
      </m:oMath>
      <w:r>
        <w:rPr>
          <w:color w:val="000000"/>
          <w:lang w:val="en-US"/>
        </w:rPr>
        <w:t xml:space="preserve"> is the Poisson parameter, and </w:t>
      </w:r>
      <m:oMath>
        <m:sSub>
          <m:sSubPr>
            <m:ctrlPr>
              <w:rPr>
                <w:rFonts w:ascii="Cambria Math" w:hAnsi="Cambria Math"/>
                <w:i/>
                <w:color w:val="000000"/>
                <w:lang w:val="en-US"/>
              </w:rPr>
            </m:ctrlPr>
          </m:sSubPr>
          <m:e>
            <m:r>
              <w:rPr>
                <w:rFonts w:ascii="Cambria Math" w:hAnsi="Cambria Math"/>
                <w:color w:val="000000"/>
                <w:lang w:val="en-US"/>
              </w:rPr>
              <m:t>μ</m:t>
            </m:r>
          </m:e>
          <m:sub>
            <m:r>
              <w:rPr>
                <w:rFonts w:ascii="Cambria Math" w:hAnsi="Cambria Math"/>
                <w:color w:val="000000"/>
                <w:lang w:val="en-US"/>
              </w:rPr>
              <m:t>i</m:t>
            </m:r>
          </m:sub>
        </m:sSub>
      </m:oMath>
      <w:r>
        <w:rPr>
          <w:color w:val="000000"/>
          <w:lang w:val="en-US"/>
        </w:rPr>
        <w:t xml:space="preserve"> represents the annual TC count in year </w:t>
      </w:r>
      <m:oMath>
        <m:sSub>
          <m:sSubPr>
            <m:ctrlPr>
              <w:rPr>
                <w:rFonts w:ascii="Cambria Math" w:hAnsi="Cambria Math"/>
                <w:i/>
                <w:color w:val="000000"/>
                <w:lang w:val="en-US"/>
              </w:rPr>
            </m:ctrlPr>
          </m:sSubPr>
          <m:e>
            <m:r>
              <w:rPr>
                <w:rFonts w:ascii="Cambria Math" w:hAnsi="Cambria Math"/>
                <w:color w:val="000000"/>
                <w:lang w:val="en-US"/>
              </w:rPr>
              <m:t>x</m:t>
            </m:r>
          </m:e>
          <m:sub>
            <m:r>
              <w:rPr>
                <w:rFonts w:ascii="Cambria Math" w:hAnsi="Cambria Math"/>
                <w:color w:val="000000"/>
                <w:lang w:val="en-US"/>
              </w:rPr>
              <m:t>i</m:t>
            </m:r>
          </m:sub>
        </m:sSub>
      </m:oMath>
      <w:r>
        <w:rPr>
          <w:color w:val="000000"/>
          <w:lang w:val="en-US"/>
        </w:rPr>
        <w:t>. The Poisson regression model can then be written as</w:t>
      </w:r>
    </w:p>
    <w:p w14:paraId="7FCD79A9" w14:textId="77777777" w:rsidR="00DC677F" w:rsidRDefault="00DC677F" w:rsidP="00DC677F">
      <w:pPr>
        <w:pBdr>
          <w:top w:val="nil"/>
          <w:left w:val="nil"/>
          <w:bottom w:val="nil"/>
          <w:right w:val="nil"/>
          <w:between w:val="nil"/>
        </w:pBdr>
        <w:spacing w:after="120" w:line="360" w:lineRule="auto"/>
        <w:ind w:left="720"/>
        <w:jc w:val="right"/>
        <w:rPr>
          <w:color w:val="000000"/>
          <w:lang w:val="en-US"/>
        </w:rPr>
      </w:pPr>
      <m:oMath>
        <m:r>
          <w:rPr>
            <w:rFonts w:ascii="Cambria Math" w:hAnsi="Cambria Math"/>
            <w:color w:val="000000"/>
            <w:lang w:val="en-US"/>
          </w:rPr>
          <m:t>ln</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μ</m:t>
                </m:r>
              </m:e>
              <m:sub>
                <m:r>
                  <w:rPr>
                    <w:rFonts w:ascii="Cambria Math" w:hAnsi="Cambria Math"/>
                    <w:color w:val="000000"/>
                    <w:lang w:val="en-US"/>
                  </w:rPr>
                  <m:t>i</m:t>
                </m:r>
              </m:sub>
            </m:sSub>
          </m:e>
        </m:d>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b</m:t>
            </m:r>
          </m:e>
          <m:sub>
            <m:r>
              <w:rPr>
                <w:rFonts w:ascii="Cambria Math" w:hAnsi="Cambria Math"/>
                <w:color w:val="000000"/>
                <w:lang w:val="en-US"/>
              </w:rPr>
              <m:t>0</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b</m:t>
            </m:r>
          </m:e>
          <m:sub>
            <m:r>
              <w:rPr>
                <w:rFonts w:ascii="Cambria Math" w:hAnsi="Cambria Math"/>
                <w:color w:val="000000"/>
                <w:lang w:val="en-US"/>
              </w:rPr>
              <m:t>1</m:t>
            </m:r>
          </m:sub>
        </m:sSub>
        <m:sSub>
          <m:sSubPr>
            <m:ctrlPr>
              <w:rPr>
                <w:rFonts w:ascii="Cambria Math" w:hAnsi="Cambria Math"/>
                <w:i/>
                <w:color w:val="000000"/>
                <w:lang w:val="en-US"/>
              </w:rPr>
            </m:ctrlPr>
          </m:sSubPr>
          <m:e>
            <m:r>
              <w:rPr>
                <w:rFonts w:ascii="Cambria Math" w:hAnsi="Cambria Math"/>
                <w:color w:val="000000"/>
                <w:lang w:val="en-US"/>
              </w:rPr>
              <m:t>x</m:t>
            </m:r>
          </m:e>
          <m:sub>
            <m:r>
              <w:rPr>
                <w:rFonts w:ascii="Cambria Math" w:hAnsi="Cambria Math"/>
                <w:color w:val="000000"/>
                <w:lang w:val="en-US"/>
              </w:rPr>
              <m:t>i</m:t>
            </m:r>
          </m:sub>
        </m:sSub>
      </m:oMath>
      <w:r>
        <w:rPr>
          <w:color w:val="000000"/>
          <w:lang w:val="en-US"/>
        </w:rPr>
        <w:t xml:space="preserve">                                                    (1)</w:t>
      </w:r>
    </w:p>
    <w:p w14:paraId="08C15530" w14:textId="77777777" w:rsidR="00DC677F" w:rsidRDefault="00DC677F" w:rsidP="00DC677F">
      <w:pPr>
        <w:pBdr>
          <w:top w:val="nil"/>
          <w:left w:val="nil"/>
          <w:bottom w:val="nil"/>
          <w:right w:val="nil"/>
          <w:between w:val="nil"/>
        </w:pBdr>
        <w:spacing w:after="120" w:line="360" w:lineRule="auto"/>
        <w:ind w:left="720"/>
        <w:rPr>
          <w:color w:val="000000" w:themeColor="text1"/>
          <w:lang w:val="en-US"/>
        </w:rPr>
      </w:pPr>
      <w:r w:rsidRPr="5FE0FD3C">
        <w:rPr>
          <w:color w:val="000000" w:themeColor="text1"/>
          <w:lang w:val="en-US"/>
        </w:rPr>
        <w:t>the parameters of which are estimated by the maximum likelihood method. Since this model describes an exponential relationship, a doubling time may be defined as</w:t>
      </w:r>
    </w:p>
    <w:p w14:paraId="7BEDD199" w14:textId="77777777" w:rsidR="00DC677F" w:rsidRDefault="00DC677F" w:rsidP="00DC677F">
      <w:pPr>
        <w:pBdr>
          <w:top w:val="nil"/>
          <w:left w:val="nil"/>
          <w:bottom w:val="nil"/>
          <w:right w:val="nil"/>
          <w:between w:val="nil"/>
        </w:pBdr>
        <w:spacing w:after="120" w:line="360" w:lineRule="auto"/>
        <w:ind w:left="720"/>
        <w:jc w:val="right"/>
        <w:rPr>
          <w:color w:val="000000" w:themeColor="text1"/>
          <w:lang w:val="en-US"/>
        </w:rPr>
      </w:pPr>
      <w:r w:rsidRPr="5FE0FD3C">
        <w:rPr>
          <w:color w:val="000000" w:themeColor="text1"/>
          <w:lang w:val="en-US"/>
        </w:rPr>
        <w:t xml:space="preserve"> </w:t>
      </w:r>
      <m:oMath>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D</m:t>
            </m:r>
          </m:sub>
        </m:sSub>
        <m:r>
          <w:rPr>
            <w:rFonts w:ascii="Cambria Math" w:hAnsi="Cambria Math"/>
            <w:color w:val="000000"/>
            <w:lang w:val="en-US"/>
          </w:rPr>
          <m:t>=ln(2)/</m:t>
        </m:r>
        <m:sSub>
          <m:sSubPr>
            <m:ctrlPr>
              <w:rPr>
                <w:rFonts w:ascii="Cambria Math" w:hAnsi="Cambria Math"/>
                <w:i/>
                <w:color w:val="000000"/>
                <w:lang w:val="en-US"/>
              </w:rPr>
            </m:ctrlPr>
          </m:sSubPr>
          <m:e>
            <m:r>
              <w:rPr>
                <w:rFonts w:ascii="Cambria Math" w:hAnsi="Cambria Math"/>
                <w:color w:val="000000"/>
                <w:lang w:val="en-US"/>
              </w:rPr>
              <m:t>b</m:t>
            </m:r>
          </m:e>
          <m:sub>
            <m:r>
              <w:rPr>
                <w:rFonts w:ascii="Cambria Math" w:hAnsi="Cambria Math"/>
                <w:color w:val="000000"/>
                <w:lang w:val="en-US"/>
              </w:rPr>
              <m:t>1</m:t>
            </m:r>
          </m:sub>
        </m:sSub>
      </m:oMath>
      <w:r w:rsidRPr="5FE0FD3C">
        <w:rPr>
          <w:color w:val="000000" w:themeColor="text1"/>
          <w:lang w:val="en-US"/>
        </w:rPr>
        <w:t xml:space="preserve">. </w:t>
      </w:r>
      <w:r>
        <w:rPr>
          <w:color w:val="000000" w:themeColor="text1"/>
          <w:lang w:val="en-US"/>
        </w:rPr>
        <w:t xml:space="preserve">                                                  (2)</w:t>
      </w:r>
    </w:p>
    <w:p w14:paraId="6D8EDF81" w14:textId="5C4E8161" w:rsidR="00DC677F" w:rsidRPr="00C164CA" w:rsidRDefault="00DC677F" w:rsidP="00DC677F">
      <w:pPr>
        <w:pBdr>
          <w:top w:val="nil"/>
          <w:left w:val="nil"/>
          <w:bottom w:val="nil"/>
          <w:right w:val="nil"/>
          <w:between w:val="nil"/>
        </w:pBdr>
        <w:spacing w:after="120" w:line="360" w:lineRule="auto"/>
        <w:ind w:left="720"/>
        <w:rPr>
          <w:i/>
          <w:iCs/>
          <w:color w:val="000000"/>
          <w:lang w:val="en-US"/>
        </w:rPr>
      </w:pPr>
      <w:r w:rsidRPr="5FE0FD3C">
        <w:rPr>
          <w:color w:val="000000" w:themeColor="text1"/>
          <w:lang w:val="en-US"/>
        </w:rPr>
        <w:t xml:space="preserve">The </w:t>
      </w:r>
      <w:r>
        <w:t>confidence intervals (</w:t>
      </w:r>
      <w:r w:rsidRPr="5FE0FD3C">
        <w:rPr>
          <w:color w:val="000000" w:themeColor="text1"/>
          <w:lang w:val="en-US"/>
        </w:rPr>
        <w:t>CIs</w:t>
      </w:r>
      <w:r>
        <w:rPr>
          <w:color w:val="000000" w:themeColor="text1"/>
          <w:lang w:val="en-US"/>
        </w:rPr>
        <w:t>)</w:t>
      </w:r>
      <w:r w:rsidRPr="5FE0FD3C">
        <w:rPr>
          <w:color w:val="000000" w:themeColor="text1"/>
          <w:lang w:val="en-US"/>
        </w:rPr>
        <w:t xml:space="preserve"> of the fitted slope </w:t>
      </w:r>
      <m:oMath>
        <m:sSub>
          <m:sSubPr>
            <m:ctrlPr>
              <w:rPr>
                <w:rFonts w:ascii="Cambria Math" w:hAnsi="Cambria Math"/>
                <w:i/>
                <w:color w:val="000000"/>
                <w:lang w:val="en-US"/>
              </w:rPr>
            </m:ctrlPr>
          </m:sSubPr>
          <m:e>
            <m:r>
              <w:rPr>
                <w:rFonts w:ascii="Cambria Math" w:hAnsi="Cambria Math"/>
                <w:color w:val="000000"/>
                <w:lang w:val="en-US"/>
              </w:rPr>
              <m:t>b</m:t>
            </m:r>
          </m:e>
          <m:sub>
            <m:r>
              <w:rPr>
                <w:rFonts w:ascii="Cambria Math" w:hAnsi="Cambria Math"/>
                <w:color w:val="000000"/>
                <w:lang w:val="en-US"/>
              </w:rPr>
              <m:t>1</m:t>
            </m:r>
          </m:sub>
        </m:sSub>
      </m:oMath>
      <w:r w:rsidRPr="5FE0FD3C">
        <w:rPr>
          <w:color w:val="000000" w:themeColor="text1"/>
          <w:lang w:val="en-US"/>
        </w:rPr>
        <w:t xml:space="preserve"> are obtained from its standard error and degrees of freedom. </w:t>
      </w:r>
      <w:r w:rsidRPr="5FE0FD3C">
        <w:rPr>
          <w:color w:val="000000" w:themeColor="text1"/>
        </w:rPr>
        <w:t xml:space="preserve">Any autocorrelation is examined with the Durbin-Watson test for </w:t>
      </w:r>
      <w:r>
        <w:rPr>
          <w:color w:val="000000" w:themeColor="text1"/>
        </w:rPr>
        <w:t>the first-order autoregression, or</w:t>
      </w:r>
      <w:r w:rsidRPr="5FE0FD3C">
        <w:rPr>
          <w:rFonts w:ascii="Calibri" w:hAnsi="Calibri" w:cs="Calibri"/>
          <w:color w:val="000000" w:themeColor="text1"/>
        </w:rPr>
        <w:t xml:space="preserve"> </w:t>
      </w:r>
      <w:proofErr w:type="gramStart"/>
      <w:r w:rsidRPr="5FE0FD3C">
        <w:rPr>
          <w:color w:val="000000" w:themeColor="text1"/>
        </w:rPr>
        <w:t>AR(</w:t>
      </w:r>
      <w:proofErr w:type="gramEnd"/>
      <w:r w:rsidRPr="5FE0FD3C">
        <w:rPr>
          <w:color w:val="000000" w:themeColor="text1"/>
        </w:rPr>
        <w:t xml:space="preserve">1). If an AR(1) process is detected, the degrees of freedom of the fit is calculated from the effective sample size </w:t>
      </w:r>
      <m:oMath>
        <m:sSup>
          <m:sSupPr>
            <m:ctrlPr>
              <w:rPr>
                <w:rFonts w:ascii="Cambria Math" w:hAnsi="Cambria Math"/>
                <w:i/>
                <w:color w:val="000000"/>
              </w:rPr>
            </m:ctrlPr>
          </m:sSupPr>
          <m:e>
            <m:r>
              <w:rPr>
                <w:rFonts w:ascii="Cambria Math" w:hAnsi="Cambria Math"/>
                <w:color w:val="000000"/>
              </w:rPr>
              <m:t>n</m:t>
            </m:r>
          </m:e>
          <m:sup>
            <m:r>
              <w:rPr>
                <w:rFonts w:ascii="Cambria Math" w:hAnsi="Cambria Math"/>
                <w:color w:val="000000"/>
              </w:rPr>
              <m:t>'</m:t>
            </m:r>
          </m:sup>
        </m:sSup>
        <m:r>
          <w:rPr>
            <w:rFonts w:ascii="Cambria Math" w:hAnsi="Cambria Math"/>
            <w:color w:val="000000"/>
          </w:rPr>
          <m:t>≈n</m:t>
        </m:r>
        <m:f>
          <m:fPr>
            <m:type m:val="lin"/>
            <m:ctrlPr>
              <w:rPr>
                <w:rFonts w:ascii="Cambria Math" w:hAnsi="Cambria Math"/>
                <w:i/>
                <w:color w:val="000000"/>
              </w:rPr>
            </m:ctrlPr>
          </m:fPr>
          <m:num>
            <m:d>
              <m:dPr>
                <m:ctrlPr>
                  <w:rPr>
                    <w:rFonts w:ascii="Cambria Math" w:hAnsi="Cambria Math"/>
                    <w:i/>
                    <w:color w:val="000000"/>
                  </w:rPr>
                </m:ctrlPr>
              </m:dPr>
              <m:e>
                <m:r>
                  <w:rPr>
                    <w:rFonts w:ascii="Cambria Math" w:hAnsi="Cambria Math"/>
                    <w:color w:val="000000"/>
                  </w:rPr>
                  <m:t>1-</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1</m:t>
                    </m:r>
                  </m:sub>
                </m:sSub>
              </m:e>
            </m:d>
          </m:num>
          <m:den>
            <m:d>
              <m:dPr>
                <m:ctrlPr>
                  <w:rPr>
                    <w:rFonts w:ascii="Cambria Math" w:hAnsi="Cambria Math"/>
                    <w:i/>
                    <w:color w:val="000000"/>
                  </w:rPr>
                </m:ctrlPr>
              </m:dPr>
              <m:e>
                <m:r>
                  <w:rPr>
                    <w:rFonts w:ascii="Cambria Math" w:hAnsi="Cambria Math"/>
                    <w:color w:val="000000"/>
                  </w:rPr>
                  <m:t>1+</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1</m:t>
                    </m:r>
                  </m:sub>
                </m:sSub>
              </m:e>
            </m:d>
          </m:den>
        </m:f>
      </m:oMath>
      <w:r w:rsidRPr="5FE0FD3C">
        <w:rPr>
          <w:color w:val="000000" w:themeColor="text1"/>
        </w:rPr>
        <w:t xml:space="preserve">, where </w:t>
      </w:r>
      <w:r w:rsidRPr="5FE0FD3C">
        <w:rPr>
          <w:i/>
          <w:iCs/>
          <w:color w:val="000000" w:themeColor="text1"/>
        </w:rPr>
        <w:t>n</w:t>
      </w:r>
      <w:r w:rsidRPr="5FE0FD3C">
        <w:rPr>
          <w:color w:val="000000" w:themeColor="text1"/>
        </w:rPr>
        <w:t xml:space="preserve"> is the total sample size and </w:t>
      </w:r>
      <w:r w:rsidRPr="5FE0FD3C">
        <w:rPr>
          <w:i/>
          <w:iCs/>
          <w:color w:val="000000" w:themeColor="text1"/>
        </w:rPr>
        <w:t>r</w:t>
      </w:r>
      <w:r w:rsidRPr="5FE0FD3C">
        <w:rPr>
          <w:i/>
          <w:iCs/>
          <w:color w:val="000000" w:themeColor="text1"/>
          <w:vertAlign w:val="subscript"/>
        </w:rPr>
        <w:t>1</w:t>
      </w:r>
      <w:r w:rsidRPr="5FE0FD3C">
        <w:rPr>
          <w:color w:val="000000" w:themeColor="text1"/>
        </w:rPr>
        <w:t xml:space="preserve"> is the lag-1 autocorrelation coefficient</w:t>
      </w:r>
      <w:r>
        <w:rPr>
          <w:color w:val="000000" w:themeColor="text1"/>
        </w:rPr>
        <w:t xml:space="preserve"> </w:t>
      </w:r>
      <w:r w:rsidRPr="5FE0FD3C">
        <w:rPr>
          <w:color w:val="000000" w:themeColor="text1"/>
        </w:rPr>
        <w:fldChar w:fldCharType="begin" w:fldLock="1"/>
      </w:r>
      <w:r w:rsidR="00FD69AD">
        <w:rPr>
          <w:color w:val="000000"/>
        </w:rPr>
        <w:instrText>ADDIN CSL_CITATION {"citationItems":[{"id":"ITEM-1","itemData":{"ISBN":"0123850223","author":[{"dropping-particle":"","family":"Wilks","given":"Daniel S","non-dropping-particle":"","parse-names":false,"suffix":""}],"id":"ITEM-1","issued":{"date-parts":[["2011"]]},"publisher":"Academic press","title":"Statistical methods in the atmospheric sciences","type":"book","volume":"100"},"uris":["http://www.mendeley.com/documents/?uuid=3176a3e4-f7b3-4ca9-823e-6fbe09333d34"]}],"mendeley":{"formattedCitation":"&lt;sup&gt;15&lt;/sup&gt;","plainTextFormattedCitation":"15","previouslyFormattedCitation":"&lt;sup&gt;15&lt;/sup&gt;"},"properties":{"noteIndex":0},"schema":"https://github.com/citation-style-language/schema/raw/master/csl-citation.json"}</w:instrText>
      </w:r>
      <w:r w:rsidRPr="5FE0FD3C">
        <w:rPr>
          <w:color w:val="000000"/>
        </w:rPr>
        <w:fldChar w:fldCharType="separate"/>
      </w:r>
      <w:r w:rsidR="00FD69AD" w:rsidRPr="00FD69AD">
        <w:rPr>
          <w:noProof/>
          <w:color w:val="000000"/>
          <w:vertAlign w:val="superscript"/>
        </w:rPr>
        <w:t>15</w:t>
      </w:r>
      <w:r w:rsidRPr="5FE0FD3C">
        <w:rPr>
          <w:color w:val="000000" w:themeColor="text1"/>
        </w:rPr>
        <w:fldChar w:fldCharType="end"/>
      </w:r>
      <w:r w:rsidRPr="5FE0FD3C">
        <w:rPr>
          <w:color w:val="000000" w:themeColor="text1"/>
        </w:rPr>
        <w:t>. The dispersion parameter, estimated by Pearson’s Chi-square statistic divided by the degrees of freedom, is 0.8 for Fig.1</w:t>
      </w:r>
      <w:r>
        <w:rPr>
          <w:color w:val="000000" w:themeColor="text1"/>
        </w:rPr>
        <w:t>a and</w:t>
      </w:r>
      <w:r w:rsidRPr="5FE0FD3C">
        <w:rPr>
          <w:color w:val="000000" w:themeColor="text1"/>
        </w:rPr>
        <w:t xml:space="preserve"> 0.9 for Fig. </w:t>
      </w:r>
      <w:r>
        <w:rPr>
          <w:color w:val="000000" w:themeColor="text1"/>
        </w:rPr>
        <w:t>1</w:t>
      </w:r>
      <w:r w:rsidRPr="5FE0FD3C">
        <w:rPr>
          <w:color w:val="000000" w:themeColor="text1"/>
        </w:rPr>
        <w:t>b</w:t>
      </w:r>
      <w:r>
        <w:rPr>
          <w:color w:val="000000" w:themeColor="text1"/>
        </w:rPr>
        <w:t>, which</w:t>
      </w:r>
      <w:r w:rsidRPr="5FE0FD3C">
        <w:rPr>
          <w:color w:val="000000" w:themeColor="text1"/>
        </w:rPr>
        <w:t xml:space="preserve"> suggests that the Poisson regression applied </w:t>
      </w:r>
      <w:r>
        <w:rPr>
          <w:color w:val="000000" w:themeColor="text1"/>
        </w:rPr>
        <w:t>here</w:t>
      </w:r>
      <w:r w:rsidRPr="5FE0FD3C">
        <w:rPr>
          <w:color w:val="000000" w:themeColor="text1"/>
        </w:rPr>
        <w:t xml:space="preserve"> </w:t>
      </w:r>
      <w:r>
        <w:rPr>
          <w:color w:val="000000" w:themeColor="text1"/>
        </w:rPr>
        <w:t xml:space="preserve">does </w:t>
      </w:r>
      <w:r w:rsidRPr="5FE0FD3C">
        <w:rPr>
          <w:color w:val="000000" w:themeColor="text1"/>
        </w:rPr>
        <w:t xml:space="preserve">not need further adjustment to account for any considerable over or under dispersion. </w:t>
      </w:r>
    </w:p>
    <w:p w14:paraId="1D213AB2" w14:textId="77777777" w:rsidR="00DC677F" w:rsidRPr="003F1424" w:rsidRDefault="00DC677F" w:rsidP="00DC677F">
      <w:pPr>
        <w:numPr>
          <w:ilvl w:val="0"/>
          <w:numId w:val="1"/>
        </w:numPr>
        <w:pBdr>
          <w:top w:val="nil"/>
          <w:left w:val="nil"/>
          <w:bottom w:val="nil"/>
          <w:right w:val="nil"/>
          <w:between w:val="nil"/>
        </w:pBdr>
        <w:spacing w:after="120" w:line="360" w:lineRule="auto"/>
        <w:rPr>
          <w:color w:val="000000"/>
        </w:rPr>
      </w:pPr>
      <w:r w:rsidRPr="003F1424">
        <w:rPr>
          <w:color w:val="000000" w:themeColor="text1"/>
        </w:rPr>
        <w:t xml:space="preserve">Linear trend analysis </w:t>
      </w:r>
    </w:p>
    <w:p w14:paraId="4E445D2C" w14:textId="61145FEB" w:rsidR="00DC677F" w:rsidRDefault="00DC677F" w:rsidP="00DC677F">
      <w:pPr>
        <w:spacing w:after="120" w:line="360" w:lineRule="auto"/>
        <w:rPr>
          <w:lang w:val="en-US"/>
        </w:rPr>
      </w:pPr>
      <w:r w:rsidRPr="003F1424">
        <w:rPr>
          <w:color w:val="000000"/>
        </w:rPr>
        <w:t xml:space="preserve">For the annual trend analysis of intensity, the weighted least-squares regression is used, i.e., the annual mean observation is weighted by the annual counts </w:t>
      </w:r>
      <w:r w:rsidRPr="003F1424">
        <w:rPr>
          <w:color w:val="000000"/>
        </w:rPr>
        <w:fldChar w:fldCharType="begin" w:fldLock="1"/>
      </w:r>
      <w:r w:rsidR="00FD69AD">
        <w:rPr>
          <w:color w:val="000000"/>
        </w:rPr>
        <w:instrText>ADDIN CSL_CITATION {"citationItems":[{"id":"ITEM-1","itemData":{"DOI":"10.1029/2020GL088589","ISSN":"0094-8276","author":[{"dropping-particle":"","family":"Wang","given":"Shuai","non-dropping-particle":"","parse-names":false,"suffix":""},{"dropping-particle":"","family":"Rashid","given":"T.","non-dropping-particle":"","parse-names":false,"suffix":""},{"dropping-particle":"","family":"Throp","given":"H.","non-dropping-particle":"","parse-names":false,"suffix":""},{"dropping-particle":"","family":"Toumi","given":"R.","non-dropping-particle":"","parse-names":false,"suffix":""}],"container-title":"Geophysical Research Letters","id":"ITEM-1","issue":"14","issued":{"date-parts":[["2020","7","28"]]},"title":"A Shortening of the Life Cycle of Major Tropical Cyclones","type":"article-journal","volume":"47"},"uris":["http://www.mendeley.com/documents/?uuid=bb8a78b5-9f1c-4ef7-9138-9de823681500"]}],"mendeley":{"formattedCitation":"&lt;sup&gt;13&lt;/sup&gt;","plainTextFormattedCitation":"13","previouslyFormattedCitation":"&lt;sup&gt;13&lt;/sup&gt;"},"properties":{"noteIndex":0},"schema":"https://github.com/citation-style-language/schema/raw/master/csl-citation.json"}</w:instrText>
      </w:r>
      <w:r w:rsidRPr="003F1424">
        <w:rPr>
          <w:color w:val="000000"/>
        </w:rPr>
        <w:fldChar w:fldCharType="separate"/>
      </w:r>
      <w:r w:rsidR="00FD69AD" w:rsidRPr="00FD69AD">
        <w:rPr>
          <w:noProof/>
          <w:color w:val="000000"/>
          <w:vertAlign w:val="superscript"/>
        </w:rPr>
        <w:t>13</w:t>
      </w:r>
      <w:r w:rsidRPr="003F1424">
        <w:rPr>
          <w:color w:val="000000"/>
        </w:rPr>
        <w:fldChar w:fldCharType="end"/>
      </w:r>
      <w:r w:rsidRPr="003F1424">
        <w:rPr>
          <w:color w:val="000000"/>
        </w:rPr>
        <w:t xml:space="preserve">. The CIs of the trend are obtained from the standard error of the linear fit and degrees of freedom. The CIs are adjusted if an </w:t>
      </w:r>
      <w:proofErr w:type="gramStart"/>
      <w:r w:rsidRPr="003F1424">
        <w:rPr>
          <w:color w:val="000000"/>
        </w:rPr>
        <w:t>AR(</w:t>
      </w:r>
      <w:proofErr w:type="gramEnd"/>
      <w:r w:rsidRPr="003F1424">
        <w:rPr>
          <w:color w:val="000000"/>
        </w:rPr>
        <w:t>1) process is detected, following the same process used in the Poisson regression.</w:t>
      </w:r>
    </w:p>
    <w:p w14:paraId="16693F97" w14:textId="77777777" w:rsidR="00DC677F" w:rsidRPr="00641952" w:rsidRDefault="00DC677F" w:rsidP="003233E6">
      <w:pPr>
        <w:spacing w:after="120" w:line="360" w:lineRule="auto"/>
        <w:rPr>
          <w:lang w:val="en-US"/>
        </w:rPr>
      </w:pPr>
    </w:p>
    <w:p w14:paraId="274745C6" w14:textId="77777777" w:rsidR="00DE5DE3" w:rsidRPr="00311669" w:rsidRDefault="00DE5DE3" w:rsidP="00641952">
      <w:pPr>
        <w:spacing w:after="120" w:line="360" w:lineRule="auto"/>
        <w:rPr>
          <w:b/>
          <w:bCs/>
        </w:rPr>
      </w:pPr>
      <w:r w:rsidRPr="00311669">
        <w:rPr>
          <w:b/>
          <w:bCs/>
        </w:rPr>
        <w:t>Acknowledgements</w:t>
      </w:r>
    </w:p>
    <w:p w14:paraId="655E786B" w14:textId="58AA6554" w:rsidR="009335CD" w:rsidRDefault="0069040B" w:rsidP="00641952">
      <w:pPr>
        <w:spacing w:after="120" w:line="360" w:lineRule="auto"/>
      </w:pPr>
      <w:r w:rsidRPr="0069040B">
        <w:t>We acknowledge that this research is jointly supported by</w:t>
      </w:r>
      <w:r w:rsidR="009378E8">
        <w:t xml:space="preserve"> </w:t>
      </w:r>
      <w:r w:rsidR="009378E8" w:rsidRPr="0069040B">
        <w:t>the Natural Environment Research Council/UKRI (NE/V017756/1)</w:t>
      </w:r>
      <w:r w:rsidRPr="0069040B">
        <w:t xml:space="preserve"> </w:t>
      </w:r>
      <w:r w:rsidR="00B53CCC">
        <w:t>and</w:t>
      </w:r>
      <w:r w:rsidRPr="0069040B">
        <w:t xml:space="preserve"> the UK-China Research and Innovation Partnership Fund through the Met Office Climate Science for Service Partnership (CSSP) China as part of the Newton Fund.</w:t>
      </w:r>
    </w:p>
    <w:p w14:paraId="106831D0" w14:textId="77777777" w:rsidR="00DE5DE3" w:rsidRPr="00DE5DE3" w:rsidRDefault="00DE5DE3" w:rsidP="001F4D7F">
      <w:pPr>
        <w:spacing w:after="120" w:line="360" w:lineRule="auto"/>
        <w:rPr>
          <w:rFonts w:eastAsia="AppleSystemUIFont"/>
        </w:rPr>
      </w:pPr>
    </w:p>
    <w:p w14:paraId="46504A70" w14:textId="63B04826" w:rsidR="000070CB" w:rsidRDefault="00767124" w:rsidP="00641952">
      <w:pPr>
        <w:spacing w:after="120" w:line="360" w:lineRule="auto"/>
        <w:rPr>
          <w:b/>
        </w:rPr>
      </w:pPr>
      <w:r>
        <w:rPr>
          <w:b/>
        </w:rPr>
        <w:t>Data availability</w:t>
      </w:r>
    </w:p>
    <w:p w14:paraId="4D1B4333" w14:textId="26EA4C5B" w:rsidR="00767124" w:rsidRDefault="00767124" w:rsidP="00641952">
      <w:pPr>
        <w:spacing w:after="120" w:line="360" w:lineRule="auto"/>
        <w:rPr>
          <w:bCs/>
        </w:rPr>
      </w:pPr>
      <w:r w:rsidRPr="00767124">
        <w:rPr>
          <w:bCs/>
        </w:rPr>
        <w:lastRenderedPageBreak/>
        <w:t xml:space="preserve">The tropical cyclone best track data can be downloaded from the National </w:t>
      </w:r>
      <w:proofErr w:type="spellStart"/>
      <w:r w:rsidRPr="00767124">
        <w:rPr>
          <w:bCs/>
        </w:rPr>
        <w:t>Centers</w:t>
      </w:r>
      <w:proofErr w:type="spellEnd"/>
      <w:r w:rsidRPr="00767124">
        <w:rPr>
          <w:bCs/>
        </w:rPr>
        <w:t xml:space="preserve"> for Environmental Information website (</w:t>
      </w:r>
      <w:r w:rsidR="007625C4" w:rsidRPr="007625C4">
        <w:rPr>
          <w:bCs/>
        </w:rPr>
        <w:t>https://www.ncei.noaa.gov/data/international-best-track-archive-for-climate-stewardship-ibtracs/v04r00/access/csv/ibtracs.ALL.list.v04r00.csv</w:t>
      </w:r>
      <w:r w:rsidRPr="00767124">
        <w:rPr>
          <w:bCs/>
        </w:rPr>
        <w:t xml:space="preserve">). </w:t>
      </w:r>
    </w:p>
    <w:p w14:paraId="4E086249" w14:textId="7ADC15F3" w:rsidR="00767124" w:rsidRDefault="00767124" w:rsidP="00641952">
      <w:pPr>
        <w:spacing w:after="120" w:line="360" w:lineRule="auto"/>
        <w:rPr>
          <w:bCs/>
        </w:rPr>
      </w:pPr>
    </w:p>
    <w:p w14:paraId="68430230" w14:textId="4D02DE4E" w:rsidR="00767124" w:rsidRPr="00767124" w:rsidRDefault="00767124" w:rsidP="00641952">
      <w:pPr>
        <w:spacing w:after="120" w:line="360" w:lineRule="auto"/>
        <w:rPr>
          <w:b/>
        </w:rPr>
      </w:pPr>
      <w:r w:rsidRPr="00767124">
        <w:rPr>
          <w:b/>
        </w:rPr>
        <w:t>Code availability</w:t>
      </w:r>
    </w:p>
    <w:p w14:paraId="02173FC4" w14:textId="25522E76" w:rsidR="00767124" w:rsidRDefault="00767124" w:rsidP="00641952">
      <w:pPr>
        <w:spacing w:after="120" w:line="360" w:lineRule="auto"/>
        <w:rPr>
          <w:bCs/>
        </w:rPr>
      </w:pPr>
      <w:r w:rsidRPr="00767124">
        <w:rPr>
          <w:bCs/>
        </w:rPr>
        <w:t>All codes used to analyse and plot the data are available</w:t>
      </w:r>
      <w:r w:rsidR="00C90CC7">
        <w:rPr>
          <w:bCs/>
        </w:rPr>
        <w:t xml:space="preserve"> via </w:t>
      </w:r>
      <w:r w:rsidR="00C90CC7" w:rsidRPr="00C90CC7">
        <w:rPr>
          <w:bCs/>
        </w:rPr>
        <w:t>https://data.hpc.imperial.ac.uk/resolve/?doi=8701&amp;access=</w:t>
      </w:r>
      <w:r w:rsidRPr="00767124">
        <w:rPr>
          <w:bCs/>
        </w:rPr>
        <w:t>.</w:t>
      </w:r>
    </w:p>
    <w:p w14:paraId="6C555E73" w14:textId="77777777" w:rsidR="00DE5DE3" w:rsidRDefault="00DE5DE3" w:rsidP="00641952">
      <w:pPr>
        <w:spacing w:after="120" w:line="360" w:lineRule="auto"/>
      </w:pPr>
    </w:p>
    <w:p w14:paraId="22154296" w14:textId="77777777" w:rsidR="00DE5DE3" w:rsidRDefault="00DE5DE3" w:rsidP="00641952">
      <w:pPr>
        <w:spacing w:after="120" w:line="360" w:lineRule="auto"/>
        <w:rPr>
          <w:bCs/>
        </w:rPr>
      </w:pPr>
      <w:r>
        <w:rPr>
          <w:b/>
        </w:rPr>
        <w:t>Author</w:t>
      </w:r>
      <w:r w:rsidRPr="00DD225C">
        <w:rPr>
          <w:b/>
        </w:rPr>
        <w:t xml:space="preserve"> contributions</w:t>
      </w:r>
      <w:r w:rsidRPr="00755125">
        <w:rPr>
          <w:b/>
        </w:rPr>
        <w:t>:</w:t>
      </w:r>
      <w:r>
        <w:rPr>
          <w:b/>
        </w:rPr>
        <w:t xml:space="preserve"> </w:t>
      </w:r>
      <w:r w:rsidRPr="007B3E89">
        <w:rPr>
          <w:bCs/>
        </w:rPr>
        <w:t>S.W. and R.T. conceived the study. S.W. performed the analysis. Both the authors discussed the results and jointly contributed to writing the manuscript.</w:t>
      </w:r>
    </w:p>
    <w:p w14:paraId="24A8420C" w14:textId="77777777" w:rsidR="00DE5DE3" w:rsidRDefault="00DE5DE3" w:rsidP="00641952">
      <w:pPr>
        <w:spacing w:after="120" w:line="360" w:lineRule="auto"/>
        <w:rPr>
          <w:bCs/>
        </w:rPr>
      </w:pPr>
    </w:p>
    <w:p w14:paraId="551DF88B" w14:textId="40B8F415" w:rsidR="00DE5DE3" w:rsidRPr="00C84F00" w:rsidRDefault="00DE5DE3" w:rsidP="00C84F00">
      <w:pPr>
        <w:spacing w:after="120" w:line="360" w:lineRule="auto"/>
        <w:rPr>
          <w:bCs/>
        </w:rPr>
      </w:pPr>
      <w:r w:rsidRPr="00DD225C">
        <w:rPr>
          <w:b/>
        </w:rPr>
        <w:t>Competing interests</w:t>
      </w:r>
      <w:r w:rsidRPr="00755125">
        <w:rPr>
          <w:b/>
        </w:rPr>
        <w:t>:</w:t>
      </w:r>
      <w:r w:rsidRPr="00AD58FD">
        <w:t xml:space="preserve"> </w:t>
      </w:r>
      <w:r w:rsidRPr="00AD58FD">
        <w:rPr>
          <w:bCs/>
        </w:rPr>
        <w:t>The authors declare no competing interests.</w:t>
      </w:r>
    </w:p>
    <w:p w14:paraId="0A135DF2" w14:textId="56429A99" w:rsidR="000070CB" w:rsidRPr="00FC6519" w:rsidRDefault="000070CB" w:rsidP="007E5442">
      <w:pPr>
        <w:spacing w:line="360" w:lineRule="auto"/>
      </w:pPr>
      <w:r>
        <w:rPr>
          <w:b/>
        </w:rPr>
        <w:br w:type="page"/>
      </w:r>
    </w:p>
    <w:p w14:paraId="6C927687" w14:textId="77777777" w:rsidR="00AD7967" w:rsidRDefault="00173897" w:rsidP="007E5442">
      <w:pPr>
        <w:rPr>
          <w:b/>
        </w:rPr>
      </w:pPr>
      <w:r w:rsidRPr="00625778">
        <w:rPr>
          <w:b/>
        </w:rPr>
        <w:lastRenderedPageBreak/>
        <w:t>References</w:t>
      </w:r>
    </w:p>
    <w:p w14:paraId="3FA6D526" w14:textId="77777777" w:rsidR="00B77C65" w:rsidRPr="00625778" w:rsidRDefault="00B77C65" w:rsidP="007E5442">
      <w:pPr>
        <w:rPr>
          <w:b/>
        </w:rPr>
      </w:pPr>
    </w:p>
    <w:p w14:paraId="0A45303A" w14:textId="1C2A9AD5" w:rsidR="00B53CCC" w:rsidRPr="00B53CCC" w:rsidRDefault="008F28E6" w:rsidP="00B53CCC">
      <w:pPr>
        <w:widowControl w:val="0"/>
        <w:autoSpaceDE w:val="0"/>
        <w:autoSpaceDN w:val="0"/>
        <w:adjustRightInd w:val="0"/>
        <w:ind w:left="640" w:hanging="640"/>
        <w:rPr>
          <w:noProof/>
        </w:rPr>
      </w:pPr>
      <w:r>
        <w:rPr>
          <w:b/>
        </w:rPr>
        <w:fldChar w:fldCharType="begin" w:fldLock="1"/>
      </w:r>
      <w:r>
        <w:rPr>
          <w:b/>
        </w:rPr>
        <w:instrText xml:space="preserve">ADDIN Mendeley Bibliography CSL_BIBLIOGRAPHY </w:instrText>
      </w:r>
      <w:r>
        <w:rPr>
          <w:b/>
        </w:rPr>
        <w:fldChar w:fldCharType="separate"/>
      </w:r>
      <w:r w:rsidR="00B53CCC" w:rsidRPr="00B53CCC">
        <w:rPr>
          <w:noProof/>
        </w:rPr>
        <w:t>1.</w:t>
      </w:r>
      <w:r w:rsidR="00B53CCC" w:rsidRPr="00B53CCC">
        <w:rPr>
          <w:noProof/>
        </w:rPr>
        <w:tab/>
        <w:t xml:space="preserve">Wang, S. &amp; Toumi, R. On the relationship between hurricane cost and the integrated wind profile. </w:t>
      </w:r>
      <w:r w:rsidR="00B53CCC" w:rsidRPr="00B53CCC">
        <w:rPr>
          <w:i/>
          <w:iCs/>
          <w:noProof/>
        </w:rPr>
        <w:t>Environ. Res. Lett.</w:t>
      </w:r>
      <w:r w:rsidR="00B53CCC" w:rsidRPr="00B53CCC">
        <w:rPr>
          <w:noProof/>
        </w:rPr>
        <w:t xml:space="preserve"> </w:t>
      </w:r>
      <w:r w:rsidR="00B53CCC" w:rsidRPr="00B53CCC">
        <w:rPr>
          <w:b/>
          <w:bCs/>
          <w:noProof/>
        </w:rPr>
        <w:t>11</w:t>
      </w:r>
      <w:r w:rsidR="00B53CCC" w:rsidRPr="00B53CCC">
        <w:rPr>
          <w:noProof/>
        </w:rPr>
        <w:t>, 114005 (2016).</w:t>
      </w:r>
    </w:p>
    <w:p w14:paraId="1B57C6C3" w14:textId="77777777" w:rsidR="00B53CCC" w:rsidRPr="00B53CCC" w:rsidRDefault="00B53CCC" w:rsidP="00B53CCC">
      <w:pPr>
        <w:widowControl w:val="0"/>
        <w:autoSpaceDE w:val="0"/>
        <w:autoSpaceDN w:val="0"/>
        <w:adjustRightInd w:val="0"/>
        <w:ind w:left="640" w:hanging="640"/>
        <w:rPr>
          <w:noProof/>
        </w:rPr>
      </w:pPr>
      <w:r w:rsidRPr="00B53CCC">
        <w:rPr>
          <w:noProof/>
        </w:rPr>
        <w:t>2.</w:t>
      </w:r>
      <w:r w:rsidRPr="00B53CCC">
        <w:rPr>
          <w:noProof/>
        </w:rPr>
        <w:tab/>
        <w:t xml:space="preserve">Klotzbach, P. P. J., Bowen, S. G., PielKe, R. G. R. &amp; Bell, M. Continental U.S. hurricane landfall frequency and associated damage: Observations and future risks. </w:t>
      </w:r>
      <w:r w:rsidRPr="00B53CCC">
        <w:rPr>
          <w:i/>
          <w:iCs/>
          <w:noProof/>
        </w:rPr>
        <w:t>Bull. Am. Meteorol. Soc.</w:t>
      </w:r>
      <w:r w:rsidRPr="00B53CCC">
        <w:rPr>
          <w:noProof/>
        </w:rPr>
        <w:t xml:space="preserve"> </w:t>
      </w:r>
      <w:r w:rsidRPr="00B53CCC">
        <w:rPr>
          <w:b/>
          <w:bCs/>
          <w:noProof/>
        </w:rPr>
        <w:t>99</w:t>
      </w:r>
      <w:r w:rsidRPr="00B53CCC">
        <w:rPr>
          <w:noProof/>
        </w:rPr>
        <w:t>, 1359–1376 (2018).</w:t>
      </w:r>
    </w:p>
    <w:p w14:paraId="1170E855" w14:textId="77777777" w:rsidR="00B53CCC" w:rsidRPr="00B53CCC" w:rsidRDefault="00B53CCC" w:rsidP="00B53CCC">
      <w:pPr>
        <w:widowControl w:val="0"/>
        <w:autoSpaceDE w:val="0"/>
        <w:autoSpaceDN w:val="0"/>
        <w:adjustRightInd w:val="0"/>
        <w:ind w:left="640" w:hanging="640"/>
        <w:rPr>
          <w:noProof/>
        </w:rPr>
      </w:pPr>
      <w:r w:rsidRPr="00B53CCC">
        <w:rPr>
          <w:noProof/>
        </w:rPr>
        <w:t>3.</w:t>
      </w:r>
      <w:r w:rsidRPr="00B53CCC">
        <w:rPr>
          <w:noProof/>
        </w:rPr>
        <w:tab/>
        <w:t xml:space="preserve">Emanuel, K. Sensitivity of Tropical Cyclones to Surface Exchange Coefficients and a Revised Steady-State Model Incorporating Eye Dynamics. </w:t>
      </w:r>
      <w:r w:rsidRPr="00B53CCC">
        <w:rPr>
          <w:i/>
          <w:iCs/>
          <w:noProof/>
        </w:rPr>
        <w:t>J. Atmos. Sci.</w:t>
      </w:r>
      <w:r w:rsidRPr="00B53CCC">
        <w:rPr>
          <w:noProof/>
        </w:rPr>
        <w:t xml:space="preserve"> </w:t>
      </w:r>
      <w:r w:rsidRPr="00B53CCC">
        <w:rPr>
          <w:b/>
          <w:bCs/>
          <w:noProof/>
        </w:rPr>
        <w:t>52</w:t>
      </w:r>
      <w:r w:rsidRPr="00B53CCC">
        <w:rPr>
          <w:noProof/>
        </w:rPr>
        <w:t>, 3969–3976 (1995).</w:t>
      </w:r>
    </w:p>
    <w:p w14:paraId="338DAEEA" w14:textId="77777777" w:rsidR="00B53CCC" w:rsidRPr="00B53CCC" w:rsidRDefault="00B53CCC" w:rsidP="00B53CCC">
      <w:pPr>
        <w:widowControl w:val="0"/>
        <w:autoSpaceDE w:val="0"/>
        <w:autoSpaceDN w:val="0"/>
        <w:adjustRightInd w:val="0"/>
        <w:ind w:left="640" w:hanging="640"/>
        <w:rPr>
          <w:noProof/>
        </w:rPr>
      </w:pPr>
      <w:r w:rsidRPr="00B53CCC">
        <w:rPr>
          <w:noProof/>
        </w:rPr>
        <w:t>4.</w:t>
      </w:r>
      <w:r w:rsidRPr="00B53CCC">
        <w:rPr>
          <w:noProof/>
        </w:rPr>
        <w:tab/>
        <w:t xml:space="preserve">Holland, G. J. The Maximum Potential Intensity of Tropical Cyclones. </w:t>
      </w:r>
      <w:r w:rsidRPr="00B53CCC">
        <w:rPr>
          <w:i/>
          <w:iCs/>
          <w:noProof/>
        </w:rPr>
        <w:t>J. Atmos. Sci.</w:t>
      </w:r>
      <w:r w:rsidRPr="00B53CCC">
        <w:rPr>
          <w:noProof/>
        </w:rPr>
        <w:t xml:space="preserve"> </w:t>
      </w:r>
      <w:r w:rsidRPr="00B53CCC">
        <w:rPr>
          <w:b/>
          <w:bCs/>
          <w:noProof/>
        </w:rPr>
        <w:t>54</w:t>
      </w:r>
      <w:r w:rsidRPr="00B53CCC">
        <w:rPr>
          <w:noProof/>
        </w:rPr>
        <w:t>, 2519–2541 (1997).</w:t>
      </w:r>
    </w:p>
    <w:p w14:paraId="5D7C1D06" w14:textId="77777777" w:rsidR="00B53CCC" w:rsidRPr="00B53CCC" w:rsidRDefault="00B53CCC" w:rsidP="00B53CCC">
      <w:pPr>
        <w:widowControl w:val="0"/>
        <w:autoSpaceDE w:val="0"/>
        <w:autoSpaceDN w:val="0"/>
        <w:adjustRightInd w:val="0"/>
        <w:ind w:left="640" w:hanging="640"/>
        <w:rPr>
          <w:noProof/>
        </w:rPr>
      </w:pPr>
      <w:r w:rsidRPr="00B53CCC">
        <w:rPr>
          <w:noProof/>
        </w:rPr>
        <w:t>5.</w:t>
      </w:r>
      <w:r w:rsidRPr="00B53CCC">
        <w:rPr>
          <w:noProof/>
        </w:rPr>
        <w:tab/>
        <w:t xml:space="preserve">Emanuel, K., DesAutels, C., Holloway, C. &amp; Korty, R. Environmental Control of Tropical Cyclone Intensity. </w:t>
      </w:r>
      <w:r w:rsidRPr="00B53CCC">
        <w:rPr>
          <w:i/>
          <w:iCs/>
          <w:noProof/>
        </w:rPr>
        <w:t>J. Atmos. Sci.</w:t>
      </w:r>
      <w:r w:rsidRPr="00B53CCC">
        <w:rPr>
          <w:noProof/>
        </w:rPr>
        <w:t xml:space="preserve"> </w:t>
      </w:r>
      <w:r w:rsidRPr="00B53CCC">
        <w:rPr>
          <w:b/>
          <w:bCs/>
          <w:noProof/>
        </w:rPr>
        <w:t>61</w:t>
      </w:r>
      <w:r w:rsidRPr="00B53CCC">
        <w:rPr>
          <w:noProof/>
        </w:rPr>
        <w:t>, 843–858 (2004).</w:t>
      </w:r>
    </w:p>
    <w:p w14:paraId="7D725D19" w14:textId="77777777" w:rsidR="00B53CCC" w:rsidRPr="00B53CCC" w:rsidRDefault="00B53CCC" w:rsidP="00B53CCC">
      <w:pPr>
        <w:widowControl w:val="0"/>
        <w:autoSpaceDE w:val="0"/>
        <w:autoSpaceDN w:val="0"/>
        <w:adjustRightInd w:val="0"/>
        <w:ind w:left="640" w:hanging="640"/>
        <w:rPr>
          <w:noProof/>
        </w:rPr>
      </w:pPr>
      <w:r w:rsidRPr="00B53CCC">
        <w:rPr>
          <w:noProof/>
        </w:rPr>
        <w:t>6.</w:t>
      </w:r>
      <w:r w:rsidRPr="00B53CCC">
        <w:rPr>
          <w:noProof/>
        </w:rPr>
        <w:tab/>
        <w:t xml:space="preserve">Tang, B. &amp; Emanuel, K. Midlevel Ventilation’s Constraint on Tropical Cyclone Intensity. </w:t>
      </w:r>
      <w:r w:rsidRPr="00B53CCC">
        <w:rPr>
          <w:i/>
          <w:iCs/>
          <w:noProof/>
        </w:rPr>
        <w:t>J. Atmos. Sci.</w:t>
      </w:r>
      <w:r w:rsidRPr="00B53CCC">
        <w:rPr>
          <w:noProof/>
        </w:rPr>
        <w:t xml:space="preserve"> </w:t>
      </w:r>
      <w:r w:rsidRPr="00B53CCC">
        <w:rPr>
          <w:b/>
          <w:bCs/>
          <w:noProof/>
        </w:rPr>
        <w:t>67</w:t>
      </w:r>
      <w:r w:rsidRPr="00B53CCC">
        <w:rPr>
          <w:noProof/>
        </w:rPr>
        <w:t>, 1817–1830 (2010).</w:t>
      </w:r>
    </w:p>
    <w:p w14:paraId="276A73D5" w14:textId="77777777" w:rsidR="00B53CCC" w:rsidRPr="00B53CCC" w:rsidRDefault="00B53CCC" w:rsidP="00B53CCC">
      <w:pPr>
        <w:widowControl w:val="0"/>
        <w:autoSpaceDE w:val="0"/>
        <w:autoSpaceDN w:val="0"/>
        <w:adjustRightInd w:val="0"/>
        <w:ind w:left="640" w:hanging="640"/>
        <w:rPr>
          <w:noProof/>
        </w:rPr>
      </w:pPr>
      <w:r w:rsidRPr="00B53CCC">
        <w:rPr>
          <w:noProof/>
        </w:rPr>
        <w:t>7.</w:t>
      </w:r>
      <w:r w:rsidRPr="00B53CCC">
        <w:rPr>
          <w:noProof/>
        </w:rPr>
        <w:tab/>
        <w:t xml:space="preserve">Wang, S. &amp; Toumi, R. Recent migration of tropical cyclones toward coasts. </w:t>
      </w:r>
      <w:r w:rsidRPr="00B53CCC">
        <w:rPr>
          <w:i/>
          <w:iCs/>
          <w:noProof/>
        </w:rPr>
        <w:t>Science (80-. ).</w:t>
      </w:r>
      <w:r w:rsidRPr="00B53CCC">
        <w:rPr>
          <w:noProof/>
        </w:rPr>
        <w:t xml:space="preserve"> </w:t>
      </w:r>
      <w:r w:rsidRPr="00B53CCC">
        <w:rPr>
          <w:b/>
          <w:bCs/>
          <w:noProof/>
        </w:rPr>
        <w:t>371</w:t>
      </w:r>
      <w:r w:rsidRPr="00B53CCC">
        <w:rPr>
          <w:noProof/>
        </w:rPr>
        <w:t>, 514–517 (2021).</w:t>
      </w:r>
    </w:p>
    <w:p w14:paraId="39EA6DA6" w14:textId="77777777" w:rsidR="00B53CCC" w:rsidRPr="00B53CCC" w:rsidRDefault="00B53CCC" w:rsidP="00B53CCC">
      <w:pPr>
        <w:widowControl w:val="0"/>
        <w:autoSpaceDE w:val="0"/>
        <w:autoSpaceDN w:val="0"/>
        <w:adjustRightInd w:val="0"/>
        <w:ind w:left="640" w:hanging="640"/>
        <w:rPr>
          <w:noProof/>
        </w:rPr>
      </w:pPr>
      <w:r w:rsidRPr="00B53CCC">
        <w:rPr>
          <w:noProof/>
        </w:rPr>
        <w:t>8.</w:t>
      </w:r>
      <w:r w:rsidRPr="00B53CCC">
        <w:rPr>
          <w:noProof/>
        </w:rPr>
        <w:tab/>
        <w:t xml:space="preserve">Wang, S. &amp; Toumi, R. On the intensity decay of tropical cyclones before landfall. </w:t>
      </w:r>
      <w:r w:rsidRPr="00B53CCC">
        <w:rPr>
          <w:i/>
          <w:iCs/>
          <w:noProof/>
        </w:rPr>
        <w:t>Sci. Rep.</w:t>
      </w:r>
      <w:r w:rsidRPr="00B53CCC">
        <w:rPr>
          <w:noProof/>
        </w:rPr>
        <w:t xml:space="preserve"> Under review. (2022).</w:t>
      </w:r>
    </w:p>
    <w:p w14:paraId="717D46C7" w14:textId="77777777" w:rsidR="00B53CCC" w:rsidRPr="00B53CCC" w:rsidRDefault="00B53CCC" w:rsidP="00B53CCC">
      <w:pPr>
        <w:widowControl w:val="0"/>
        <w:autoSpaceDE w:val="0"/>
        <w:autoSpaceDN w:val="0"/>
        <w:adjustRightInd w:val="0"/>
        <w:ind w:left="640" w:hanging="640"/>
        <w:rPr>
          <w:noProof/>
        </w:rPr>
      </w:pPr>
      <w:r w:rsidRPr="00B53CCC">
        <w:rPr>
          <w:noProof/>
        </w:rPr>
        <w:t>9.</w:t>
      </w:r>
      <w:r w:rsidRPr="00B53CCC">
        <w:rPr>
          <w:noProof/>
        </w:rPr>
        <w:tab/>
        <w:t xml:space="preserve">Pielke, R. A. &amp; Landsea, C. W. Normalized Hurricane Damages in the United States: 1925–95. </w:t>
      </w:r>
      <w:r w:rsidRPr="00B53CCC">
        <w:rPr>
          <w:i/>
          <w:iCs/>
          <w:noProof/>
        </w:rPr>
        <w:t>Weather Forecast.</w:t>
      </w:r>
      <w:r w:rsidRPr="00B53CCC">
        <w:rPr>
          <w:noProof/>
        </w:rPr>
        <w:t xml:space="preserve"> </w:t>
      </w:r>
      <w:r w:rsidRPr="00B53CCC">
        <w:rPr>
          <w:b/>
          <w:bCs/>
          <w:noProof/>
        </w:rPr>
        <w:t>13</w:t>
      </w:r>
      <w:r w:rsidRPr="00B53CCC">
        <w:rPr>
          <w:noProof/>
        </w:rPr>
        <w:t>, 621–631 (1998).</w:t>
      </w:r>
    </w:p>
    <w:p w14:paraId="6E113973" w14:textId="77777777" w:rsidR="00B53CCC" w:rsidRPr="00B53CCC" w:rsidRDefault="00B53CCC" w:rsidP="00B53CCC">
      <w:pPr>
        <w:widowControl w:val="0"/>
        <w:autoSpaceDE w:val="0"/>
        <w:autoSpaceDN w:val="0"/>
        <w:adjustRightInd w:val="0"/>
        <w:ind w:left="640" w:hanging="640"/>
        <w:rPr>
          <w:noProof/>
        </w:rPr>
      </w:pPr>
      <w:r w:rsidRPr="00B53CCC">
        <w:rPr>
          <w:noProof/>
        </w:rPr>
        <w:t>10.</w:t>
      </w:r>
      <w:r w:rsidRPr="00B53CCC">
        <w:rPr>
          <w:noProof/>
        </w:rPr>
        <w:tab/>
        <w:t xml:space="preserve">Weinkle, J., Maue, R. &amp; Pielke, R. Historical global tropical cyclone landfalls. </w:t>
      </w:r>
      <w:r w:rsidRPr="00B53CCC">
        <w:rPr>
          <w:i/>
          <w:iCs/>
          <w:noProof/>
        </w:rPr>
        <w:t>J. Clim.</w:t>
      </w:r>
      <w:r w:rsidRPr="00B53CCC">
        <w:rPr>
          <w:noProof/>
        </w:rPr>
        <w:t xml:space="preserve"> </w:t>
      </w:r>
      <w:r w:rsidRPr="00B53CCC">
        <w:rPr>
          <w:b/>
          <w:bCs/>
          <w:noProof/>
        </w:rPr>
        <w:t>25</w:t>
      </w:r>
      <w:r w:rsidRPr="00B53CCC">
        <w:rPr>
          <w:noProof/>
        </w:rPr>
        <w:t>, 4729–4735 (2012).</w:t>
      </w:r>
    </w:p>
    <w:p w14:paraId="25D5E60B" w14:textId="77777777" w:rsidR="00B53CCC" w:rsidRPr="00B53CCC" w:rsidRDefault="00B53CCC" w:rsidP="00B53CCC">
      <w:pPr>
        <w:widowControl w:val="0"/>
        <w:autoSpaceDE w:val="0"/>
        <w:autoSpaceDN w:val="0"/>
        <w:adjustRightInd w:val="0"/>
        <w:ind w:left="640" w:hanging="640"/>
        <w:rPr>
          <w:noProof/>
        </w:rPr>
      </w:pPr>
      <w:r w:rsidRPr="00B53CCC">
        <w:rPr>
          <w:noProof/>
        </w:rPr>
        <w:t>11.</w:t>
      </w:r>
      <w:r w:rsidRPr="00B53CCC">
        <w:rPr>
          <w:noProof/>
        </w:rPr>
        <w:tab/>
        <w:t xml:space="preserve">Knutson, T. R. </w:t>
      </w:r>
      <w:r w:rsidRPr="00B53CCC">
        <w:rPr>
          <w:i/>
          <w:iCs/>
          <w:noProof/>
        </w:rPr>
        <w:t>et al.</w:t>
      </w:r>
      <w:r w:rsidRPr="00B53CCC">
        <w:rPr>
          <w:noProof/>
        </w:rPr>
        <w:t xml:space="preserve"> Tropical Cyclones and Climate Change Assessment: Part I: Detection and Attribution. </w:t>
      </w:r>
      <w:r w:rsidRPr="00B53CCC">
        <w:rPr>
          <w:i/>
          <w:iCs/>
          <w:noProof/>
        </w:rPr>
        <w:t>Bull. Am. Meteorol. Soc.</w:t>
      </w:r>
      <w:r w:rsidRPr="00B53CCC">
        <w:rPr>
          <w:noProof/>
        </w:rPr>
        <w:t xml:space="preserve"> </w:t>
      </w:r>
      <w:r w:rsidRPr="00B53CCC">
        <w:rPr>
          <w:b/>
          <w:bCs/>
          <w:noProof/>
        </w:rPr>
        <w:t>100</w:t>
      </w:r>
      <w:r w:rsidRPr="00B53CCC">
        <w:rPr>
          <w:noProof/>
        </w:rPr>
        <w:t>, 1987–2007 (2019).</w:t>
      </w:r>
    </w:p>
    <w:p w14:paraId="19E6F1D1" w14:textId="77777777" w:rsidR="00B53CCC" w:rsidRPr="00B53CCC" w:rsidRDefault="00B53CCC" w:rsidP="00B53CCC">
      <w:pPr>
        <w:widowControl w:val="0"/>
        <w:autoSpaceDE w:val="0"/>
        <w:autoSpaceDN w:val="0"/>
        <w:adjustRightInd w:val="0"/>
        <w:ind w:left="640" w:hanging="640"/>
        <w:rPr>
          <w:noProof/>
        </w:rPr>
      </w:pPr>
      <w:r w:rsidRPr="00B53CCC">
        <w:rPr>
          <w:noProof/>
        </w:rPr>
        <w:t>12.</w:t>
      </w:r>
      <w:r w:rsidRPr="00B53CCC">
        <w:rPr>
          <w:noProof/>
        </w:rPr>
        <w:tab/>
        <w:t xml:space="preserve">Kossin, J. P., Knapp, K. R., Olander, T. L. &amp; Velden, C. S. Global increase in major tropical cyclone exceedance probability over the past four decades. </w:t>
      </w:r>
      <w:r w:rsidRPr="00B53CCC">
        <w:rPr>
          <w:i/>
          <w:iCs/>
          <w:noProof/>
        </w:rPr>
        <w:t>Proc. Natl. Acad. Sci. U. S. A.</w:t>
      </w:r>
      <w:r w:rsidRPr="00B53CCC">
        <w:rPr>
          <w:noProof/>
        </w:rPr>
        <w:t xml:space="preserve"> </w:t>
      </w:r>
      <w:r w:rsidRPr="00B53CCC">
        <w:rPr>
          <w:b/>
          <w:bCs/>
          <w:noProof/>
        </w:rPr>
        <w:t>117</w:t>
      </w:r>
      <w:r w:rsidRPr="00B53CCC">
        <w:rPr>
          <w:noProof/>
        </w:rPr>
        <w:t>, (2020).</w:t>
      </w:r>
    </w:p>
    <w:p w14:paraId="4BD78CC8" w14:textId="77777777" w:rsidR="00B53CCC" w:rsidRPr="00B53CCC" w:rsidRDefault="00B53CCC" w:rsidP="00B53CCC">
      <w:pPr>
        <w:widowControl w:val="0"/>
        <w:autoSpaceDE w:val="0"/>
        <w:autoSpaceDN w:val="0"/>
        <w:adjustRightInd w:val="0"/>
        <w:ind w:left="640" w:hanging="640"/>
        <w:rPr>
          <w:noProof/>
        </w:rPr>
      </w:pPr>
      <w:r w:rsidRPr="00B53CCC">
        <w:rPr>
          <w:noProof/>
        </w:rPr>
        <w:t>13.</w:t>
      </w:r>
      <w:r w:rsidRPr="00B53CCC">
        <w:rPr>
          <w:noProof/>
        </w:rPr>
        <w:tab/>
        <w:t xml:space="preserve">Wang, S., Rashid, T., Throp, H. &amp; Toumi, R. A Shortening of the Life Cycle of Major Tropical Cyclones. </w:t>
      </w:r>
      <w:r w:rsidRPr="00B53CCC">
        <w:rPr>
          <w:i/>
          <w:iCs/>
          <w:noProof/>
        </w:rPr>
        <w:t>Geophys. Res. Lett.</w:t>
      </w:r>
      <w:r w:rsidRPr="00B53CCC">
        <w:rPr>
          <w:noProof/>
        </w:rPr>
        <w:t xml:space="preserve"> </w:t>
      </w:r>
      <w:r w:rsidRPr="00B53CCC">
        <w:rPr>
          <w:b/>
          <w:bCs/>
          <w:noProof/>
        </w:rPr>
        <w:t>47</w:t>
      </w:r>
      <w:r w:rsidRPr="00B53CCC">
        <w:rPr>
          <w:noProof/>
        </w:rPr>
        <w:t>, (2020).</w:t>
      </w:r>
    </w:p>
    <w:p w14:paraId="2740B4CB" w14:textId="77777777" w:rsidR="00B53CCC" w:rsidRPr="00B53CCC" w:rsidRDefault="00B53CCC" w:rsidP="00B53CCC">
      <w:pPr>
        <w:widowControl w:val="0"/>
        <w:autoSpaceDE w:val="0"/>
        <w:autoSpaceDN w:val="0"/>
        <w:adjustRightInd w:val="0"/>
        <w:ind w:left="640" w:hanging="640"/>
        <w:rPr>
          <w:noProof/>
        </w:rPr>
      </w:pPr>
      <w:r w:rsidRPr="00B53CCC">
        <w:rPr>
          <w:noProof/>
        </w:rPr>
        <w:t>14.</w:t>
      </w:r>
      <w:r w:rsidRPr="00B53CCC">
        <w:rPr>
          <w:noProof/>
        </w:rPr>
        <w:tab/>
        <w:t xml:space="preserve">Duchon, C. E. Lanczos Filtering in One and Two Dimensions. </w:t>
      </w:r>
      <w:r w:rsidRPr="00B53CCC">
        <w:rPr>
          <w:i/>
          <w:iCs/>
          <w:noProof/>
        </w:rPr>
        <w:t>J. Appl. Meteorol.</w:t>
      </w:r>
      <w:r w:rsidRPr="00B53CCC">
        <w:rPr>
          <w:noProof/>
        </w:rPr>
        <w:t xml:space="preserve"> </w:t>
      </w:r>
      <w:r w:rsidRPr="00B53CCC">
        <w:rPr>
          <w:b/>
          <w:bCs/>
          <w:noProof/>
        </w:rPr>
        <w:t>18</w:t>
      </w:r>
      <w:r w:rsidRPr="00B53CCC">
        <w:rPr>
          <w:noProof/>
        </w:rPr>
        <w:t>, 1016–1022 (1979).</w:t>
      </w:r>
    </w:p>
    <w:p w14:paraId="786484F1" w14:textId="77777777" w:rsidR="00B53CCC" w:rsidRPr="00B53CCC" w:rsidRDefault="00B53CCC" w:rsidP="00B53CCC">
      <w:pPr>
        <w:widowControl w:val="0"/>
        <w:autoSpaceDE w:val="0"/>
        <w:autoSpaceDN w:val="0"/>
        <w:adjustRightInd w:val="0"/>
        <w:ind w:left="640" w:hanging="640"/>
        <w:rPr>
          <w:noProof/>
        </w:rPr>
      </w:pPr>
      <w:r w:rsidRPr="00B53CCC">
        <w:rPr>
          <w:noProof/>
        </w:rPr>
        <w:t>15.</w:t>
      </w:r>
      <w:r w:rsidRPr="00B53CCC">
        <w:rPr>
          <w:noProof/>
        </w:rPr>
        <w:tab/>
        <w:t xml:space="preserve">Wilks, D. S. </w:t>
      </w:r>
      <w:r w:rsidRPr="00B53CCC">
        <w:rPr>
          <w:i/>
          <w:iCs/>
          <w:noProof/>
        </w:rPr>
        <w:t>Statistical methods in the atmospheric sciences</w:t>
      </w:r>
      <w:r w:rsidRPr="00B53CCC">
        <w:rPr>
          <w:noProof/>
        </w:rPr>
        <w:t>. vol. 100 (Academic press, 2011).</w:t>
      </w:r>
    </w:p>
    <w:p w14:paraId="434D1068" w14:textId="77777777" w:rsidR="00B53CCC" w:rsidRPr="00B53CCC" w:rsidRDefault="00B53CCC" w:rsidP="00B53CCC">
      <w:pPr>
        <w:widowControl w:val="0"/>
        <w:autoSpaceDE w:val="0"/>
        <w:autoSpaceDN w:val="0"/>
        <w:adjustRightInd w:val="0"/>
        <w:ind w:left="640" w:hanging="640"/>
        <w:rPr>
          <w:noProof/>
        </w:rPr>
      </w:pPr>
      <w:r w:rsidRPr="00B53CCC">
        <w:rPr>
          <w:noProof/>
        </w:rPr>
        <w:t>16.</w:t>
      </w:r>
      <w:r w:rsidRPr="00B53CCC">
        <w:rPr>
          <w:noProof/>
        </w:rPr>
        <w:tab/>
        <w:t xml:space="preserve">Bove, M. C., O’Brien, J. J., Eisner, J. B., Landsea, C. W. &amp; Niu, X. Effect of El Niño on U.S. Landfalling Hurricanes, Revisited. </w:t>
      </w:r>
      <w:r w:rsidRPr="00B53CCC">
        <w:rPr>
          <w:i/>
          <w:iCs/>
          <w:noProof/>
        </w:rPr>
        <w:t>Bull. Am. Meteorol. Soc.</w:t>
      </w:r>
      <w:r w:rsidRPr="00B53CCC">
        <w:rPr>
          <w:noProof/>
        </w:rPr>
        <w:t xml:space="preserve"> </w:t>
      </w:r>
      <w:r w:rsidRPr="00B53CCC">
        <w:rPr>
          <w:b/>
          <w:bCs/>
          <w:noProof/>
        </w:rPr>
        <w:t>79</w:t>
      </w:r>
      <w:r w:rsidRPr="00B53CCC">
        <w:rPr>
          <w:noProof/>
        </w:rPr>
        <w:t>, 2477–2482 (1998).</w:t>
      </w:r>
    </w:p>
    <w:p w14:paraId="7E7B2D2F" w14:textId="77777777" w:rsidR="00B53CCC" w:rsidRPr="00B53CCC" w:rsidRDefault="00B53CCC" w:rsidP="00B53CCC">
      <w:pPr>
        <w:widowControl w:val="0"/>
        <w:autoSpaceDE w:val="0"/>
        <w:autoSpaceDN w:val="0"/>
        <w:adjustRightInd w:val="0"/>
        <w:ind w:left="640" w:hanging="640"/>
        <w:rPr>
          <w:noProof/>
        </w:rPr>
      </w:pPr>
      <w:r w:rsidRPr="00B53CCC">
        <w:rPr>
          <w:noProof/>
        </w:rPr>
        <w:t>17.</w:t>
      </w:r>
      <w:r w:rsidRPr="00B53CCC">
        <w:rPr>
          <w:noProof/>
        </w:rPr>
        <w:tab/>
        <w:t xml:space="preserve">Elsner, J. B., Elsner, G. J. B. &amp; Kara, A. B. </w:t>
      </w:r>
      <w:r w:rsidRPr="00B53CCC">
        <w:rPr>
          <w:i/>
          <w:iCs/>
          <w:noProof/>
        </w:rPr>
        <w:t>Hurricanes of the North Atlantic: Climate and society</w:t>
      </w:r>
      <w:r w:rsidRPr="00B53CCC">
        <w:rPr>
          <w:noProof/>
        </w:rPr>
        <w:t>. (Oxford University Press on Demand, 1999).</w:t>
      </w:r>
    </w:p>
    <w:p w14:paraId="5681683F" w14:textId="77777777" w:rsidR="00B53CCC" w:rsidRPr="00B53CCC" w:rsidRDefault="00B53CCC" w:rsidP="00B53CCC">
      <w:pPr>
        <w:widowControl w:val="0"/>
        <w:autoSpaceDE w:val="0"/>
        <w:autoSpaceDN w:val="0"/>
        <w:adjustRightInd w:val="0"/>
        <w:ind w:left="640" w:hanging="640"/>
        <w:rPr>
          <w:noProof/>
        </w:rPr>
      </w:pPr>
      <w:r w:rsidRPr="00B53CCC">
        <w:rPr>
          <w:noProof/>
        </w:rPr>
        <w:t>18.</w:t>
      </w:r>
      <w:r w:rsidRPr="00B53CCC">
        <w:rPr>
          <w:noProof/>
        </w:rPr>
        <w:tab/>
        <w:t xml:space="preserve">Solow, A. R. &amp; Moore, L. Testing for a trend in a partially incomplete hurricane record. </w:t>
      </w:r>
      <w:r w:rsidRPr="00B53CCC">
        <w:rPr>
          <w:i/>
          <w:iCs/>
          <w:noProof/>
        </w:rPr>
        <w:t>J. Clim.</w:t>
      </w:r>
      <w:r w:rsidRPr="00B53CCC">
        <w:rPr>
          <w:noProof/>
        </w:rPr>
        <w:t xml:space="preserve"> </w:t>
      </w:r>
      <w:r w:rsidRPr="00B53CCC">
        <w:rPr>
          <w:b/>
          <w:bCs/>
          <w:noProof/>
        </w:rPr>
        <w:t>13</w:t>
      </w:r>
      <w:r w:rsidRPr="00B53CCC">
        <w:rPr>
          <w:noProof/>
        </w:rPr>
        <w:t>, 3696–3699 (2000).</w:t>
      </w:r>
    </w:p>
    <w:p w14:paraId="3D89229C" w14:textId="77777777" w:rsidR="00B53CCC" w:rsidRPr="00B53CCC" w:rsidRDefault="00B53CCC" w:rsidP="00B53CCC">
      <w:pPr>
        <w:widowControl w:val="0"/>
        <w:autoSpaceDE w:val="0"/>
        <w:autoSpaceDN w:val="0"/>
        <w:adjustRightInd w:val="0"/>
        <w:ind w:left="640" w:hanging="640"/>
        <w:rPr>
          <w:noProof/>
        </w:rPr>
      </w:pPr>
      <w:r w:rsidRPr="00B53CCC">
        <w:rPr>
          <w:noProof/>
        </w:rPr>
        <w:t>19.</w:t>
      </w:r>
      <w:r w:rsidRPr="00B53CCC">
        <w:rPr>
          <w:noProof/>
        </w:rPr>
        <w:tab/>
        <w:t xml:space="preserve">Elsner, J. B., Bossak, B. H. &amp; Niu, X. F. Secular changes to the ENSO-U.S. hurricane relationship. </w:t>
      </w:r>
      <w:r w:rsidRPr="00B53CCC">
        <w:rPr>
          <w:i/>
          <w:iCs/>
          <w:noProof/>
        </w:rPr>
        <w:t>Geophys. Res. Lett.</w:t>
      </w:r>
      <w:r w:rsidRPr="00B53CCC">
        <w:rPr>
          <w:noProof/>
        </w:rPr>
        <w:t xml:space="preserve"> </w:t>
      </w:r>
      <w:r w:rsidRPr="00B53CCC">
        <w:rPr>
          <w:b/>
          <w:bCs/>
          <w:noProof/>
        </w:rPr>
        <w:t>28</w:t>
      </w:r>
      <w:r w:rsidRPr="00B53CCC">
        <w:rPr>
          <w:noProof/>
        </w:rPr>
        <w:t>, 4123–4126 (2001).</w:t>
      </w:r>
    </w:p>
    <w:p w14:paraId="51019FD3" w14:textId="77777777" w:rsidR="00B53CCC" w:rsidRPr="00B53CCC" w:rsidRDefault="00B53CCC" w:rsidP="00B53CCC">
      <w:pPr>
        <w:widowControl w:val="0"/>
        <w:autoSpaceDE w:val="0"/>
        <w:autoSpaceDN w:val="0"/>
        <w:adjustRightInd w:val="0"/>
        <w:ind w:left="640" w:hanging="640"/>
        <w:rPr>
          <w:noProof/>
        </w:rPr>
      </w:pPr>
      <w:r w:rsidRPr="00B53CCC">
        <w:rPr>
          <w:noProof/>
        </w:rPr>
        <w:t>20.</w:t>
      </w:r>
      <w:r w:rsidRPr="00B53CCC">
        <w:rPr>
          <w:noProof/>
        </w:rPr>
        <w:tab/>
        <w:t xml:space="preserve">Parisi, F. &amp; Lund, R. Return periods of continental U.S. hurricanes. </w:t>
      </w:r>
      <w:r w:rsidRPr="00B53CCC">
        <w:rPr>
          <w:i/>
          <w:iCs/>
          <w:noProof/>
        </w:rPr>
        <w:t>J. Clim.</w:t>
      </w:r>
      <w:r w:rsidRPr="00B53CCC">
        <w:rPr>
          <w:noProof/>
        </w:rPr>
        <w:t xml:space="preserve"> </w:t>
      </w:r>
      <w:r w:rsidRPr="00B53CCC">
        <w:rPr>
          <w:b/>
          <w:bCs/>
          <w:noProof/>
        </w:rPr>
        <w:t>21</w:t>
      </w:r>
      <w:r w:rsidRPr="00B53CCC">
        <w:rPr>
          <w:noProof/>
        </w:rPr>
        <w:t>, 403–410 (2008).</w:t>
      </w:r>
    </w:p>
    <w:p w14:paraId="465D43BC" w14:textId="77777777" w:rsidR="00B53CCC" w:rsidRPr="00B53CCC" w:rsidRDefault="00B53CCC" w:rsidP="00B53CCC">
      <w:pPr>
        <w:widowControl w:val="0"/>
        <w:autoSpaceDE w:val="0"/>
        <w:autoSpaceDN w:val="0"/>
        <w:adjustRightInd w:val="0"/>
        <w:ind w:left="640" w:hanging="640"/>
        <w:rPr>
          <w:noProof/>
        </w:rPr>
      </w:pPr>
      <w:r w:rsidRPr="00B53CCC">
        <w:rPr>
          <w:noProof/>
        </w:rPr>
        <w:t>21.</w:t>
      </w:r>
      <w:r w:rsidRPr="00B53CCC">
        <w:rPr>
          <w:noProof/>
        </w:rPr>
        <w:tab/>
        <w:t xml:space="preserve">Emanuel, K. Atlantic tropical cyclones downscaled from climate reanalyses show increasing activity over past 150 years. </w:t>
      </w:r>
      <w:r w:rsidRPr="00B53CCC">
        <w:rPr>
          <w:i/>
          <w:iCs/>
          <w:noProof/>
        </w:rPr>
        <w:t>Nat. Commun.</w:t>
      </w:r>
      <w:r w:rsidRPr="00B53CCC">
        <w:rPr>
          <w:noProof/>
        </w:rPr>
        <w:t xml:space="preserve"> </w:t>
      </w:r>
      <w:r w:rsidRPr="00B53CCC">
        <w:rPr>
          <w:b/>
          <w:bCs/>
          <w:noProof/>
        </w:rPr>
        <w:t>12</w:t>
      </w:r>
      <w:r w:rsidRPr="00B53CCC">
        <w:rPr>
          <w:noProof/>
        </w:rPr>
        <w:t>, 7027 (2021).</w:t>
      </w:r>
    </w:p>
    <w:p w14:paraId="02FC5439" w14:textId="77777777" w:rsidR="00B53CCC" w:rsidRPr="00B53CCC" w:rsidRDefault="00B53CCC" w:rsidP="00B53CCC">
      <w:pPr>
        <w:widowControl w:val="0"/>
        <w:autoSpaceDE w:val="0"/>
        <w:autoSpaceDN w:val="0"/>
        <w:adjustRightInd w:val="0"/>
        <w:ind w:left="640" w:hanging="640"/>
        <w:rPr>
          <w:noProof/>
        </w:rPr>
      </w:pPr>
      <w:r w:rsidRPr="00B53CCC">
        <w:rPr>
          <w:noProof/>
        </w:rPr>
        <w:t>22.</w:t>
      </w:r>
      <w:r w:rsidRPr="00B53CCC">
        <w:rPr>
          <w:noProof/>
        </w:rPr>
        <w:tab/>
        <w:t xml:space="preserve">Knutson, T. </w:t>
      </w:r>
      <w:r w:rsidRPr="00B53CCC">
        <w:rPr>
          <w:i/>
          <w:iCs/>
          <w:noProof/>
        </w:rPr>
        <w:t>et al.</w:t>
      </w:r>
      <w:r w:rsidRPr="00B53CCC">
        <w:rPr>
          <w:noProof/>
        </w:rPr>
        <w:t xml:space="preserve"> Tropical Cyclones and Climate Change Assessment: Part II: Projected Response to Anthropogenic Warming. </w:t>
      </w:r>
      <w:r w:rsidRPr="00B53CCC">
        <w:rPr>
          <w:i/>
          <w:iCs/>
          <w:noProof/>
        </w:rPr>
        <w:t>Bull. Am. Meteorol. Soc.</w:t>
      </w:r>
      <w:r w:rsidRPr="00B53CCC">
        <w:rPr>
          <w:noProof/>
        </w:rPr>
        <w:t xml:space="preserve"> </w:t>
      </w:r>
      <w:r w:rsidRPr="00B53CCC">
        <w:rPr>
          <w:b/>
          <w:bCs/>
          <w:noProof/>
        </w:rPr>
        <w:t>101</w:t>
      </w:r>
      <w:r w:rsidRPr="00B53CCC">
        <w:rPr>
          <w:noProof/>
        </w:rPr>
        <w:t>, E303–</w:t>
      </w:r>
      <w:r w:rsidRPr="00B53CCC">
        <w:rPr>
          <w:noProof/>
        </w:rPr>
        <w:lastRenderedPageBreak/>
        <w:t>E322 (2020).</w:t>
      </w:r>
    </w:p>
    <w:p w14:paraId="2537C8C7" w14:textId="77777777" w:rsidR="00B53CCC" w:rsidRPr="00B53CCC" w:rsidRDefault="00B53CCC" w:rsidP="00B53CCC">
      <w:pPr>
        <w:widowControl w:val="0"/>
        <w:autoSpaceDE w:val="0"/>
        <w:autoSpaceDN w:val="0"/>
        <w:adjustRightInd w:val="0"/>
        <w:ind w:left="640" w:hanging="640"/>
        <w:rPr>
          <w:noProof/>
        </w:rPr>
      </w:pPr>
      <w:r w:rsidRPr="00B53CCC">
        <w:rPr>
          <w:noProof/>
        </w:rPr>
        <w:t>23.</w:t>
      </w:r>
      <w:r w:rsidRPr="00B53CCC">
        <w:rPr>
          <w:noProof/>
        </w:rPr>
        <w:tab/>
        <w:t xml:space="preserve">Kilroy, G., Smith, R. K. &amp; Montgomery, M. T. Why Do Model Tropical Cyclones Grow Progressively in Size and Decay in Intensity after Reaching Maturity? </w:t>
      </w:r>
      <w:r w:rsidRPr="00B53CCC">
        <w:rPr>
          <w:i/>
          <w:iCs/>
          <w:noProof/>
        </w:rPr>
        <w:t>J. Atmos. Sci.</w:t>
      </w:r>
      <w:r w:rsidRPr="00B53CCC">
        <w:rPr>
          <w:noProof/>
        </w:rPr>
        <w:t xml:space="preserve"> </w:t>
      </w:r>
      <w:r w:rsidRPr="00B53CCC">
        <w:rPr>
          <w:b/>
          <w:bCs/>
          <w:noProof/>
        </w:rPr>
        <w:t>73</w:t>
      </w:r>
      <w:r w:rsidRPr="00B53CCC">
        <w:rPr>
          <w:noProof/>
        </w:rPr>
        <w:t>, 467–503 (2016).</w:t>
      </w:r>
    </w:p>
    <w:p w14:paraId="681E4B5E" w14:textId="77777777" w:rsidR="00B53CCC" w:rsidRPr="00B53CCC" w:rsidRDefault="00B53CCC" w:rsidP="00B53CCC">
      <w:pPr>
        <w:widowControl w:val="0"/>
        <w:autoSpaceDE w:val="0"/>
        <w:autoSpaceDN w:val="0"/>
        <w:adjustRightInd w:val="0"/>
        <w:ind w:left="640" w:hanging="640"/>
        <w:rPr>
          <w:noProof/>
        </w:rPr>
      </w:pPr>
      <w:r w:rsidRPr="00B53CCC">
        <w:rPr>
          <w:noProof/>
        </w:rPr>
        <w:t>24.</w:t>
      </w:r>
      <w:r w:rsidRPr="00B53CCC">
        <w:rPr>
          <w:noProof/>
        </w:rPr>
        <w:tab/>
        <w:t xml:space="preserve">Wang, S. &amp; Toumi, R. A historical analysis of the mature stage of tropical cyclones. </w:t>
      </w:r>
      <w:r w:rsidRPr="00B53CCC">
        <w:rPr>
          <w:i/>
          <w:iCs/>
          <w:noProof/>
        </w:rPr>
        <w:t>Int. J. Climatol.</w:t>
      </w:r>
      <w:r w:rsidRPr="00B53CCC">
        <w:rPr>
          <w:noProof/>
        </w:rPr>
        <w:t xml:space="preserve"> </w:t>
      </w:r>
      <w:r w:rsidRPr="00B53CCC">
        <w:rPr>
          <w:b/>
          <w:bCs/>
          <w:noProof/>
        </w:rPr>
        <w:t>38</w:t>
      </w:r>
      <w:r w:rsidRPr="00B53CCC">
        <w:rPr>
          <w:noProof/>
        </w:rPr>
        <w:t>, 2490–2505 (2018).</w:t>
      </w:r>
    </w:p>
    <w:p w14:paraId="6D3E3428" w14:textId="77777777" w:rsidR="00B53CCC" w:rsidRPr="00B53CCC" w:rsidRDefault="00B53CCC" w:rsidP="00B53CCC">
      <w:pPr>
        <w:widowControl w:val="0"/>
        <w:autoSpaceDE w:val="0"/>
        <w:autoSpaceDN w:val="0"/>
        <w:adjustRightInd w:val="0"/>
        <w:ind w:left="640" w:hanging="640"/>
        <w:rPr>
          <w:noProof/>
        </w:rPr>
      </w:pPr>
      <w:r w:rsidRPr="00B53CCC">
        <w:rPr>
          <w:noProof/>
        </w:rPr>
        <w:t>25.</w:t>
      </w:r>
      <w:r w:rsidRPr="00B53CCC">
        <w:rPr>
          <w:noProof/>
        </w:rPr>
        <w:tab/>
        <w:t xml:space="preserve">Kossin, J. P. A global slowdown of tropical-cyclone translation speed. </w:t>
      </w:r>
      <w:r w:rsidRPr="00B53CCC">
        <w:rPr>
          <w:i/>
          <w:iCs/>
          <w:noProof/>
        </w:rPr>
        <w:t>Nature</w:t>
      </w:r>
      <w:r w:rsidRPr="00B53CCC">
        <w:rPr>
          <w:noProof/>
        </w:rPr>
        <w:t xml:space="preserve"> </w:t>
      </w:r>
      <w:r w:rsidRPr="00B53CCC">
        <w:rPr>
          <w:b/>
          <w:bCs/>
          <w:noProof/>
        </w:rPr>
        <w:t>558</w:t>
      </w:r>
      <w:r w:rsidRPr="00B53CCC">
        <w:rPr>
          <w:noProof/>
        </w:rPr>
        <w:t>, 104–107 (2018).</w:t>
      </w:r>
    </w:p>
    <w:p w14:paraId="0663C8AA" w14:textId="77777777" w:rsidR="00B53CCC" w:rsidRPr="00B53CCC" w:rsidRDefault="00B53CCC" w:rsidP="00B53CCC">
      <w:pPr>
        <w:widowControl w:val="0"/>
        <w:autoSpaceDE w:val="0"/>
        <w:autoSpaceDN w:val="0"/>
        <w:adjustRightInd w:val="0"/>
        <w:ind w:left="640" w:hanging="640"/>
        <w:rPr>
          <w:noProof/>
        </w:rPr>
      </w:pPr>
      <w:r w:rsidRPr="00B53CCC">
        <w:rPr>
          <w:noProof/>
        </w:rPr>
        <w:t>26.</w:t>
      </w:r>
      <w:r w:rsidRPr="00B53CCC">
        <w:rPr>
          <w:noProof/>
        </w:rPr>
        <w:tab/>
        <w:t xml:space="preserve">Kossin, J. P. Hurricane intensification along United States coast suppressed during active hurricane periods. </w:t>
      </w:r>
      <w:r w:rsidRPr="00B53CCC">
        <w:rPr>
          <w:i/>
          <w:iCs/>
          <w:noProof/>
        </w:rPr>
        <w:t>Nature</w:t>
      </w:r>
      <w:r w:rsidRPr="00B53CCC">
        <w:rPr>
          <w:noProof/>
        </w:rPr>
        <w:t xml:space="preserve"> </w:t>
      </w:r>
      <w:r w:rsidRPr="00B53CCC">
        <w:rPr>
          <w:b/>
          <w:bCs/>
          <w:noProof/>
        </w:rPr>
        <w:t>541</w:t>
      </w:r>
      <w:r w:rsidRPr="00B53CCC">
        <w:rPr>
          <w:noProof/>
        </w:rPr>
        <w:t>, 390–393 (2017).</w:t>
      </w:r>
    </w:p>
    <w:p w14:paraId="3D15C50D" w14:textId="77777777" w:rsidR="00B53CCC" w:rsidRPr="00B53CCC" w:rsidRDefault="00B53CCC" w:rsidP="00B53CCC">
      <w:pPr>
        <w:widowControl w:val="0"/>
        <w:autoSpaceDE w:val="0"/>
        <w:autoSpaceDN w:val="0"/>
        <w:adjustRightInd w:val="0"/>
        <w:ind w:left="640" w:hanging="640"/>
        <w:rPr>
          <w:noProof/>
        </w:rPr>
      </w:pPr>
      <w:r w:rsidRPr="00B53CCC">
        <w:rPr>
          <w:noProof/>
        </w:rPr>
        <w:t>27.</w:t>
      </w:r>
      <w:r w:rsidRPr="00B53CCC">
        <w:rPr>
          <w:noProof/>
        </w:rPr>
        <w:tab/>
        <w:t xml:space="preserve">Mei, W. &amp; Xie, S. Intensification of landfalling typhoons over the northwest Pacific since the late 1970s. </w:t>
      </w:r>
      <w:r w:rsidRPr="00B53CCC">
        <w:rPr>
          <w:i/>
          <w:iCs/>
          <w:noProof/>
        </w:rPr>
        <w:t>Nat. Geosci.</w:t>
      </w:r>
      <w:r w:rsidRPr="00B53CCC">
        <w:rPr>
          <w:noProof/>
        </w:rPr>
        <w:t xml:space="preserve"> </w:t>
      </w:r>
      <w:r w:rsidRPr="00B53CCC">
        <w:rPr>
          <w:b/>
          <w:bCs/>
          <w:noProof/>
        </w:rPr>
        <w:t>9</w:t>
      </w:r>
      <w:r w:rsidRPr="00B53CCC">
        <w:rPr>
          <w:noProof/>
        </w:rPr>
        <w:t>, 753–757 (2016).</w:t>
      </w:r>
    </w:p>
    <w:p w14:paraId="07354C68" w14:textId="77777777" w:rsidR="00B53CCC" w:rsidRPr="00B53CCC" w:rsidRDefault="00B53CCC" w:rsidP="00B53CCC">
      <w:pPr>
        <w:widowControl w:val="0"/>
        <w:autoSpaceDE w:val="0"/>
        <w:autoSpaceDN w:val="0"/>
        <w:adjustRightInd w:val="0"/>
        <w:ind w:left="640" w:hanging="640"/>
        <w:rPr>
          <w:noProof/>
        </w:rPr>
      </w:pPr>
      <w:r w:rsidRPr="00B53CCC">
        <w:rPr>
          <w:noProof/>
        </w:rPr>
        <w:t>28.</w:t>
      </w:r>
      <w:r w:rsidRPr="00B53CCC">
        <w:rPr>
          <w:noProof/>
        </w:rPr>
        <w:tab/>
        <w:t xml:space="preserve">Kossin, J. P., Olander, T. L. &amp; Knapp, K. R. Trend Analysis with a New Global Record of Tropical Cyclone Intensity. </w:t>
      </w:r>
      <w:r w:rsidRPr="00B53CCC">
        <w:rPr>
          <w:i/>
          <w:iCs/>
          <w:noProof/>
        </w:rPr>
        <w:t>J. Clim.</w:t>
      </w:r>
      <w:r w:rsidRPr="00B53CCC">
        <w:rPr>
          <w:noProof/>
        </w:rPr>
        <w:t xml:space="preserve"> </w:t>
      </w:r>
      <w:r w:rsidRPr="00B53CCC">
        <w:rPr>
          <w:b/>
          <w:bCs/>
          <w:noProof/>
        </w:rPr>
        <w:t>26</w:t>
      </w:r>
      <w:r w:rsidRPr="00B53CCC">
        <w:rPr>
          <w:noProof/>
        </w:rPr>
        <w:t>, 9960–9976 (2013).</w:t>
      </w:r>
    </w:p>
    <w:p w14:paraId="22C0EC9A" w14:textId="77777777" w:rsidR="00B53CCC" w:rsidRPr="00B53CCC" w:rsidRDefault="00B53CCC" w:rsidP="00B53CCC">
      <w:pPr>
        <w:widowControl w:val="0"/>
        <w:autoSpaceDE w:val="0"/>
        <w:autoSpaceDN w:val="0"/>
        <w:adjustRightInd w:val="0"/>
        <w:ind w:left="640" w:hanging="640"/>
        <w:rPr>
          <w:noProof/>
        </w:rPr>
      </w:pPr>
      <w:r w:rsidRPr="00B53CCC">
        <w:rPr>
          <w:noProof/>
        </w:rPr>
        <w:t>29.</w:t>
      </w:r>
      <w:r w:rsidRPr="00B53CCC">
        <w:rPr>
          <w:noProof/>
        </w:rPr>
        <w:tab/>
        <w:t xml:space="preserve">Kossin, J. P., Emanuel, K. A. &amp; Vecchi, G. A. The poleward migration of the location of tropical cyclone maximum intensity. </w:t>
      </w:r>
      <w:r w:rsidRPr="00B53CCC">
        <w:rPr>
          <w:i/>
          <w:iCs/>
          <w:noProof/>
        </w:rPr>
        <w:t>Nature</w:t>
      </w:r>
      <w:r w:rsidRPr="00B53CCC">
        <w:rPr>
          <w:noProof/>
        </w:rPr>
        <w:t xml:space="preserve"> </w:t>
      </w:r>
      <w:r w:rsidRPr="00B53CCC">
        <w:rPr>
          <w:b/>
          <w:bCs/>
          <w:noProof/>
        </w:rPr>
        <w:t>509</w:t>
      </w:r>
      <w:r w:rsidRPr="00B53CCC">
        <w:rPr>
          <w:noProof/>
        </w:rPr>
        <w:t>, 349–352 (2014).</w:t>
      </w:r>
    </w:p>
    <w:p w14:paraId="5E4199F9" w14:textId="77777777" w:rsidR="00B53CCC" w:rsidRPr="00B53CCC" w:rsidRDefault="00B53CCC" w:rsidP="00B53CCC">
      <w:pPr>
        <w:widowControl w:val="0"/>
        <w:autoSpaceDE w:val="0"/>
        <w:autoSpaceDN w:val="0"/>
        <w:adjustRightInd w:val="0"/>
        <w:ind w:left="640" w:hanging="640"/>
        <w:rPr>
          <w:noProof/>
        </w:rPr>
      </w:pPr>
      <w:r w:rsidRPr="00B53CCC">
        <w:rPr>
          <w:noProof/>
        </w:rPr>
        <w:t>30.</w:t>
      </w:r>
      <w:r w:rsidRPr="00B53CCC">
        <w:rPr>
          <w:noProof/>
        </w:rPr>
        <w:tab/>
        <w:t xml:space="preserve">Knapp, K. R., Kruk, M. C., Levinson, D. H., Diamond, H. J. &amp; Neumann, C. J. The International Best Track Archive for Climate Stewardship (IBTrACS). </w:t>
      </w:r>
      <w:r w:rsidRPr="00B53CCC">
        <w:rPr>
          <w:i/>
          <w:iCs/>
          <w:noProof/>
        </w:rPr>
        <w:t>Bull. Am. Meteorol. Soc.</w:t>
      </w:r>
      <w:r w:rsidRPr="00B53CCC">
        <w:rPr>
          <w:noProof/>
        </w:rPr>
        <w:t xml:space="preserve"> </w:t>
      </w:r>
      <w:r w:rsidRPr="00B53CCC">
        <w:rPr>
          <w:b/>
          <w:bCs/>
          <w:noProof/>
        </w:rPr>
        <w:t>91</w:t>
      </w:r>
      <w:r w:rsidRPr="00B53CCC">
        <w:rPr>
          <w:noProof/>
        </w:rPr>
        <w:t>, 363–376 (2010).</w:t>
      </w:r>
    </w:p>
    <w:p w14:paraId="15BCD0FB" w14:textId="77777777" w:rsidR="00B53CCC" w:rsidRPr="00B53CCC" w:rsidRDefault="00B53CCC" w:rsidP="00B53CCC">
      <w:pPr>
        <w:widowControl w:val="0"/>
        <w:autoSpaceDE w:val="0"/>
        <w:autoSpaceDN w:val="0"/>
        <w:adjustRightInd w:val="0"/>
        <w:ind w:left="640" w:hanging="640"/>
        <w:rPr>
          <w:noProof/>
        </w:rPr>
      </w:pPr>
      <w:r w:rsidRPr="00B53CCC">
        <w:rPr>
          <w:noProof/>
        </w:rPr>
        <w:t>31.</w:t>
      </w:r>
      <w:r w:rsidRPr="00B53CCC">
        <w:rPr>
          <w:noProof/>
        </w:rPr>
        <w:tab/>
        <w:t xml:space="preserve">Knapp, K. R. &amp; Kruk, M. C. Quantifying interagency differences in tropical cyclone best-track wind speed estimates. </w:t>
      </w:r>
      <w:r w:rsidRPr="00B53CCC">
        <w:rPr>
          <w:i/>
          <w:iCs/>
          <w:noProof/>
        </w:rPr>
        <w:t>Mon. Weather Rev.</w:t>
      </w:r>
      <w:r w:rsidRPr="00B53CCC">
        <w:rPr>
          <w:noProof/>
        </w:rPr>
        <w:t xml:space="preserve"> </w:t>
      </w:r>
      <w:r w:rsidRPr="00B53CCC">
        <w:rPr>
          <w:b/>
          <w:bCs/>
          <w:noProof/>
        </w:rPr>
        <w:t>138</w:t>
      </w:r>
      <w:r w:rsidRPr="00B53CCC">
        <w:rPr>
          <w:noProof/>
        </w:rPr>
        <w:t>, 1459–1473 (2010).</w:t>
      </w:r>
    </w:p>
    <w:p w14:paraId="07A9F9C4" w14:textId="77777777" w:rsidR="00B53CCC" w:rsidRPr="00B53CCC" w:rsidRDefault="00B53CCC" w:rsidP="00B53CCC">
      <w:pPr>
        <w:widowControl w:val="0"/>
        <w:autoSpaceDE w:val="0"/>
        <w:autoSpaceDN w:val="0"/>
        <w:adjustRightInd w:val="0"/>
        <w:ind w:left="640" w:hanging="640"/>
        <w:rPr>
          <w:noProof/>
        </w:rPr>
      </w:pPr>
      <w:r w:rsidRPr="00B53CCC">
        <w:rPr>
          <w:noProof/>
        </w:rPr>
        <w:t>32.</w:t>
      </w:r>
      <w:r w:rsidRPr="00B53CCC">
        <w:rPr>
          <w:noProof/>
        </w:rPr>
        <w:tab/>
        <w:t xml:space="preserve">Elsner, J. B. &amp; Schmertmann, C. P. Improving Extended-Range Seasonal Predictions of Intense Atlantic Hurricane Activity. </w:t>
      </w:r>
      <w:r w:rsidRPr="00B53CCC">
        <w:rPr>
          <w:i/>
          <w:iCs/>
          <w:noProof/>
        </w:rPr>
        <w:t>Weather Forecast.</w:t>
      </w:r>
      <w:r w:rsidRPr="00B53CCC">
        <w:rPr>
          <w:noProof/>
        </w:rPr>
        <w:t xml:space="preserve"> </w:t>
      </w:r>
      <w:r w:rsidRPr="00B53CCC">
        <w:rPr>
          <w:b/>
          <w:bCs/>
          <w:noProof/>
        </w:rPr>
        <w:t>8</w:t>
      </w:r>
      <w:r w:rsidRPr="00B53CCC">
        <w:rPr>
          <w:noProof/>
        </w:rPr>
        <w:t>, 345–351 (1993).</w:t>
      </w:r>
    </w:p>
    <w:p w14:paraId="1EDF79BF" w14:textId="77777777" w:rsidR="00B53CCC" w:rsidRPr="00B53CCC" w:rsidRDefault="00B53CCC" w:rsidP="00B53CCC">
      <w:pPr>
        <w:widowControl w:val="0"/>
        <w:autoSpaceDE w:val="0"/>
        <w:autoSpaceDN w:val="0"/>
        <w:adjustRightInd w:val="0"/>
        <w:ind w:left="640" w:hanging="640"/>
        <w:rPr>
          <w:noProof/>
        </w:rPr>
      </w:pPr>
      <w:r w:rsidRPr="00B53CCC">
        <w:rPr>
          <w:noProof/>
        </w:rPr>
        <w:t>33.</w:t>
      </w:r>
      <w:r w:rsidRPr="00B53CCC">
        <w:rPr>
          <w:noProof/>
        </w:rPr>
        <w:tab/>
        <w:t xml:space="preserve">Tippett, M. K., Camargo, S. J. &amp; Sobel, A. H. A poisson regression index for tropical cyclone genesis and the role of large-scale vorticity in genesis. </w:t>
      </w:r>
      <w:r w:rsidRPr="00B53CCC">
        <w:rPr>
          <w:i/>
          <w:iCs/>
          <w:noProof/>
        </w:rPr>
        <w:t>J. Clim.</w:t>
      </w:r>
      <w:r w:rsidRPr="00B53CCC">
        <w:rPr>
          <w:noProof/>
        </w:rPr>
        <w:t xml:space="preserve"> </w:t>
      </w:r>
      <w:r w:rsidRPr="00B53CCC">
        <w:rPr>
          <w:b/>
          <w:bCs/>
          <w:noProof/>
        </w:rPr>
        <w:t>24</w:t>
      </w:r>
      <w:r w:rsidRPr="00B53CCC">
        <w:rPr>
          <w:noProof/>
        </w:rPr>
        <w:t>, 2335–2357 (2011).</w:t>
      </w:r>
    </w:p>
    <w:p w14:paraId="12D8C041" w14:textId="7E4E47EF" w:rsidR="00B77C65" w:rsidRDefault="008F28E6" w:rsidP="00B53CCC">
      <w:pPr>
        <w:widowControl w:val="0"/>
        <w:autoSpaceDE w:val="0"/>
        <w:autoSpaceDN w:val="0"/>
        <w:adjustRightInd w:val="0"/>
        <w:ind w:left="640" w:hanging="640"/>
        <w:rPr>
          <w:b/>
        </w:rPr>
      </w:pPr>
      <w:r>
        <w:rPr>
          <w:b/>
        </w:rPr>
        <w:fldChar w:fldCharType="end"/>
      </w:r>
      <w:r w:rsidR="00B77C65">
        <w:rPr>
          <w:b/>
        </w:rPr>
        <w:br w:type="page"/>
      </w:r>
    </w:p>
    <w:p w14:paraId="29016F15" w14:textId="7FA63E8C" w:rsidR="00AE102D" w:rsidRPr="00625778" w:rsidRDefault="00AE102D" w:rsidP="00AE102D">
      <w:pPr>
        <w:spacing w:line="360" w:lineRule="auto"/>
      </w:pPr>
      <w:r w:rsidRPr="00772FD9">
        <w:rPr>
          <w:rFonts w:eastAsia="Gungsuh"/>
          <w:bCs/>
        </w:rPr>
        <w:lastRenderedPageBreak/>
        <w:t>Table 1. Doubling</w:t>
      </w:r>
      <w:r>
        <w:rPr>
          <w:rFonts w:eastAsia="Gungsuh"/>
          <w:bCs/>
        </w:rPr>
        <w:t xml:space="preserve"> time of landfall</w:t>
      </w:r>
      <w:r w:rsidR="00800491">
        <w:rPr>
          <w:rFonts w:eastAsia="Gungsuh"/>
          <w:bCs/>
        </w:rPr>
        <w:t xml:space="preserve"> and</w:t>
      </w:r>
      <w:r>
        <w:rPr>
          <w:rFonts w:eastAsia="Gungsuh"/>
          <w:bCs/>
        </w:rPr>
        <w:t xml:space="preserve"> TC</w:t>
      </w:r>
      <w:r w:rsidR="00800491">
        <w:rPr>
          <w:rFonts w:eastAsia="Gungsuh"/>
          <w:bCs/>
        </w:rPr>
        <w:t xml:space="preserve"> counts</w:t>
      </w:r>
      <w:r>
        <w:rPr>
          <w:rFonts w:eastAsia="Gungsuh"/>
          <w:bCs/>
        </w:rPr>
        <w:t>, linear trend</w:t>
      </w:r>
      <w:r w:rsidR="00DA48B2">
        <w:rPr>
          <w:rFonts w:eastAsia="Gungsuh"/>
          <w:bCs/>
        </w:rPr>
        <w:t>s of</w:t>
      </w:r>
      <w:r w:rsidR="005F5F5D">
        <w:rPr>
          <w:rFonts w:eastAsia="Gungsuh"/>
          <w:bCs/>
        </w:rPr>
        <w:t xml:space="preserve"> annual mean</w:t>
      </w:r>
      <w:r w:rsidR="00DA48B2">
        <w:rPr>
          <w:rFonts w:eastAsia="Gungsuh"/>
          <w:bCs/>
        </w:rPr>
        <w:t xml:space="preserve"> </w:t>
      </w:r>
      <w:r w:rsidR="005F5F5D">
        <w:rPr>
          <w:rFonts w:eastAsia="Gungsuh"/>
          <w:bCs/>
        </w:rPr>
        <w:t>TC LMI and LI</w:t>
      </w:r>
      <w:r>
        <w:rPr>
          <w:rFonts w:eastAsia="Gungsuh"/>
          <w:bCs/>
        </w:rPr>
        <w:t>, and one standard deviation (</w:t>
      </w:r>
      <w:r>
        <w:rPr>
          <w:rFonts w:eastAsia="Gungsuh"/>
          <w:bCs/>
          <w:lang w:val="el-GR"/>
        </w:rPr>
        <w:t>σ</w:t>
      </w:r>
      <w:r>
        <w:rPr>
          <w:rFonts w:eastAsia="Gungsuh"/>
          <w:bCs/>
        </w:rPr>
        <w:t>) of LMI and LI</w:t>
      </w:r>
      <w:r w:rsidR="00AA370D">
        <w:rPr>
          <w:rFonts w:eastAsia="Gungsuh"/>
          <w:bCs/>
        </w:rPr>
        <w:t xml:space="preserve"> </w:t>
      </w:r>
      <w:r w:rsidR="00790FDA">
        <w:rPr>
          <w:rFonts w:eastAsia="Gungsuh"/>
          <w:bCs/>
        </w:rPr>
        <w:t>based on individual TCs</w:t>
      </w:r>
      <w:r>
        <w:rPr>
          <w:bCs/>
        </w:rPr>
        <w:t>.</w:t>
      </w:r>
      <w:r w:rsidRPr="00F90A69">
        <w:rPr>
          <w:bCs/>
        </w:rPr>
        <w:t xml:space="preserve"> Globally and for each region (WPAC, West Pacific; EPAC, East Pacific; NATL, North Atlantic; NIO, North Indian Ocean; SIO, South Indian Ocean</w:t>
      </w:r>
      <w:r w:rsidRPr="00625778">
        <w:t xml:space="preserve">; SPAC, South Pacific). </w:t>
      </w:r>
      <w:r>
        <w:rPr>
          <w:color w:val="000000"/>
        </w:rPr>
        <w:t>Statistically significant (</w:t>
      </w:r>
      <w:r>
        <w:rPr>
          <w:i/>
          <w:iCs/>
          <w:color w:val="000000"/>
        </w:rPr>
        <w:t>p</w:t>
      </w:r>
      <w:r>
        <w:rPr>
          <w:color w:val="000000"/>
        </w:rPr>
        <w:t>&lt;0.05) doubling time and trend are shown in bold.</w:t>
      </w:r>
      <w:r>
        <w:t xml:space="preserve"> As defined in </w:t>
      </w:r>
      <w:r w:rsidR="00D06146">
        <w:t>Method</w:t>
      </w:r>
      <w:r w:rsidR="00074984">
        <w:t>s</w:t>
      </w:r>
      <w:r>
        <w:t>, “landfall” and “TC” here are referred to as major landfall events with LIs of at least major intensity (≥ 50 m s</w:t>
      </w:r>
      <w:r w:rsidRPr="00AE102D">
        <w:rPr>
          <w:vertAlign w:val="superscript"/>
        </w:rPr>
        <w:t>-1</w:t>
      </w:r>
      <w:r>
        <w:t xml:space="preserve">), and landfalling </w:t>
      </w:r>
      <w:r w:rsidR="0018093F">
        <w:t>storm</w:t>
      </w:r>
      <w:r>
        <w:t>s with LMIs of at least major intensity, respectively.</w:t>
      </w:r>
    </w:p>
    <w:p w14:paraId="6C627D39" w14:textId="46810B2C" w:rsidR="00AD7967" w:rsidRDefault="00AD7967" w:rsidP="007E5442"/>
    <w:tbl>
      <w:tblPr>
        <w:tblW w:w="89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54"/>
        <w:gridCol w:w="990"/>
        <w:gridCol w:w="990"/>
        <w:gridCol w:w="990"/>
        <w:gridCol w:w="990"/>
        <w:gridCol w:w="900"/>
        <w:gridCol w:w="990"/>
        <w:gridCol w:w="900"/>
      </w:tblGrid>
      <w:tr w:rsidR="002D49DB" w:rsidRPr="00625778" w14:paraId="1C2708D2" w14:textId="77777777" w:rsidTr="009D6083">
        <w:trPr>
          <w:trHeight w:val="737"/>
          <w:jc w:val="center"/>
        </w:trPr>
        <w:tc>
          <w:tcPr>
            <w:tcW w:w="2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A522E5" w14:textId="77777777" w:rsidR="002D49DB" w:rsidRPr="00625778" w:rsidRDefault="002D49DB" w:rsidP="009D6083"/>
        </w:tc>
        <w:tc>
          <w:tcPr>
            <w:tcW w:w="99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5038A9D2" w14:textId="77777777" w:rsidR="002D49DB" w:rsidRPr="00625778" w:rsidRDefault="002D49DB" w:rsidP="009D6083">
            <w:pPr>
              <w:jc w:val="center"/>
            </w:pPr>
            <w:r w:rsidRPr="00625778">
              <w:t>Global</w:t>
            </w:r>
          </w:p>
        </w:tc>
        <w:tc>
          <w:tcPr>
            <w:tcW w:w="99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28D7B63B" w14:textId="77777777" w:rsidR="002D49DB" w:rsidRPr="00625778" w:rsidRDefault="002D49DB" w:rsidP="009D6083">
            <w:pPr>
              <w:jc w:val="center"/>
            </w:pPr>
            <w:r w:rsidRPr="00625778">
              <w:t>WPAC</w:t>
            </w:r>
          </w:p>
        </w:tc>
        <w:tc>
          <w:tcPr>
            <w:tcW w:w="99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7676C036" w14:textId="77777777" w:rsidR="002D49DB" w:rsidRPr="00625778" w:rsidRDefault="002D49DB" w:rsidP="009D6083">
            <w:pPr>
              <w:jc w:val="center"/>
            </w:pPr>
            <w:r w:rsidRPr="00625778">
              <w:t>EPAC</w:t>
            </w:r>
          </w:p>
        </w:tc>
        <w:tc>
          <w:tcPr>
            <w:tcW w:w="99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44B8BC19" w14:textId="77777777" w:rsidR="002D49DB" w:rsidRPr="00625778" w:rsidRDefault="002D49DB" w:rsidP="009D6083">
            <w:pPr>
              <w:jc w:val="center"/>
            </w:pPr>
            <w:r w:rsidRPr="00625778">
              <w:t>NATL</w:t>
            </w:r>
          </w:p>
        </w:tc>
        <w:tc>
          <w:tcPr>
            <w:tcW w:w="90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7E14D4E2" w14:textId="77777777" w:rsidR="002D49DB" w:rsidRPr="00625778" w:rsidRDefault="002D49DB" w:rsidP="009D6083">
            <w:pPr>
              <w:jc w:val="center"/>
            </w:pPr>
            <w:r w:rsidRPr="00625778">
              <w:t>NIO</w:t>
            </w:r>
          </w:p>
        </w:tc>
        <w:tc>
          <w:tcPr>
            <w:tcW w:w="99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0037DF16" w14:textId="77777777" w:rsidR="002D49DB" w:rsidRPr="00625778" w:rsidRDefault="002D49DB" w:rsidP="009D6083">
            <w:pPr>
              <w:jc w:val="center"/>
            </w:pPr>
            <w:r w:rsidRPr="00625778">
              <w:t>SIO</w:t>
            </w:r>
          </w:p>
        </w:tc>
        <w:tc>
          <w:tcPr>
            <w:tcW w:w="900"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7A760191" w14:textId="77777777" w:rsidR="002D49DB" w:rsidRPr="00625778" w:rsidRDefault="002D49DB" w:rsidP="009D6083">
            <w:pPr>
              <w:jc w:val="center"/>
            </w:pPr>
            <w:r w:rsidRPr="00625778">
              <w:t>SPAC</w:t>
            </w:r>
          </w:p>
        </w:tc>
      </w:tr>
      <w:tr w:rsidR="002D49DB" w:rsidRPr="00F90A69" w14:paraId="124CA613" w14:textId="77777777" w:rsidTr="009D6083">
        <w:trPr>
          <w:trHeight w:val="737"/>
          <w:jc w:val="center"/>
        </w:trPr>
        <w:tc>
          <w:tcPr>
            <w:tcW w:w="2154"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8A2CCB" w14:textId="133630A2" w:rsidR="002D49DB" w:rsidRPr="00625778" w:rsidRDefault="00AE102D" w:rsidP="009D6083">
            <w:pPr>
              <w:jc w:val="center"/>
              <w:rPr>
                <w:b/>
              </w:rPr>
            </w:pPr>
            <w:r>
              <w:rPr>
                <w:b/>
              </w:rPr>
              <w:t>L</w:t>
            </w:r>
            <w:r w:rsidR="002D49DB">
              <w:rPr>
                <w:b/>
              </w:rPr>
              <w:t>andfall doubling time (year)</w:t>
            </w:r>
          </w:p>
        </w:tc>
        <w:tc>
          <w:tcPr>
            <w:tcW w:w="990" w:type="dxa"/>
            <w:tcMar>
              <w:top w:w="100" w:type="dxa"/>
              <w:left w:w="100" w:type="dxa"/>
              <w:bottom w:w="100" w:type="dxa"/>
              <w:right w:w="100" w:type="dxa"/>
            </w:tcMar>
            <w:vAlign w:val="center"/>
          </w:tcPr>
          <w:p w14:paraId="6FE52CAD" w14:textId="269F0C85" w:rsidR="002D49DB" w:rsidRPr="00F90A69" w:rsidRDefault="00D23C1A" w:rsidP="009D6083">
            <w:pPr>
              <w:jc w:val="center"/>
              <w:rPr>
                <w:b/>
                <w:bCs/>
              </w:rPr>
            </w:pPr>
            <w:r>
              <w:rPr>
                <w:b/>
                <w:bCs/>
                <w:color w:val="000000"/>
              </w:rPr>
              <w:t>46</w:t>
            </w:r>
          </w:p>
        </w:tc>
        <w:tc>
          <w:tcPr>
            <w:tcW w:w="990" w:type="dxa"/>
            <w:tcMar>
              <w:top w:w="100" w:type="dxa"/>
              <w:left w:w="100" w:type="dxa"/>
              <w:bottom w:w="100" w:type="dxa"/>
              <w:right w:w="100" w:type="dxa"/>
            </w:tcMar>
            <w:vAlign w:val="center"/>
          </w:tcPr>
          <w:p w14:paraId="45EFED3F" w14:textId="1E3B3FF0" w:rsidR="002D49DB" w:rsidRPr="00F90A69" w:rsidRDefault="002D49DB" w:rsidP="009D6083">
            <w:pPr>
              <w:jc w:val="center"/>
              <w:rPr>
                <w:b/>
                <w:bCs/>
              </w:rPr>
            </w:pPr>
            <w:r w:rsidRPr="00F90A69">
              <w:rPr>
                <w:color w:val="000000"/>
              </w:rPr>
              <w:t>4</w:t>
            </w:r>
            <w:r w:rsidR="00F32551">
              <w:rPr>
                <w:color w:val="000000"/>
              </w:rPr>
              <w:t>6</w:t>
            </w:r>
          </w:p>
        </w:tc>
        <w:tc>
          <w:tcPr>
            <w:tcW w:w="990" w:type="dxa"/>
            <w:tcMar>
              <w:top w:w="100" w:type="dxa"/>
              <w:left w:w="100" w:type="dxa"/>
              <w:bottom w:w="100" w:type="dxa"/>
              <w:right w:w="100" w:type="dxa"/>
            </w:tcMar>
            <w:vAlign w:val="center"/>
          </w:tcPr>
          <w:p w14:paraId="206D623B" w14:textId="300C04F3" w:rsidR="002D49DB" w:rsidRPr="00F90A69" w:rsidRDefault="002D49DB" w:rsidP="009D6083">
            <w:pPr>
              <w:jc w:val="center"/>
            </w:pPr>
            <w:r w:rsidRPr="00F90A69">
              <w:rPr>
                <w:color w:val="000000"/>
              </w:rPr>
              <w:t>1</w:t>
            </w:r>
            <w:r w:rsidR="00F32551">
              <w:rPr>
                <w:color w:val="000000"/>
              </w:rPr>
              <w:t>7</w:t>
            </w:r>
          </w:p>
        </w:tc>
        <w:tc>
          <w:tcPr>
            <w:tcW w:w="990" w:type="dxa"/>
            <w:tcMar>
              <w:top w:w="100" w:type="dxa"/>
              <w:left w:w="100" w:type="dxa"/>
              <w:bottom w:w="100" w:type="dxa"/>
              <w:right w:w="100" w:type="dxa"/>
            </w:tcMar>
            <w:vAlign w:val="center"/>
          </w:tcPr>
          <w:p w14:paraId="1F5E2AD5" w14:textId="6A48F90E" w:rsidR="002D49DB" w:rsidRPr="00F90A69" w:rsidRDefault="00FC2A07" w:rsidP="009D6083">
            <w:pPr>
              <w:jc w:val="center"/>
            </w:pPr>
            <w:r>
              <w:rPr>
                <w:color w:val="000000"/>
              </w:rPr>
              <w:t>25</w:t>
            </w:r>
          </w:p>
        </w:tc>
        <w:tc>
          <w:tcPr>
            <w:tcW w:w="900" w:type="dxa"/>
            <w:tcMar>
              <w:top w:w="100" w:type="dxa"/>
              <w:left w:w="100" w:type="dxa"/>
              <w:bottom w:w="100" w:type="dxa"/>
              <w:right w:w="100" w:type="dxa"/>
            </w:tcMar>
            <w:vAlign w:val="center"/>
          </w:tcPr>
          <w:p w14:paraId="7A9DE619" w14:textId="07CCB0F3" w:rsidR="002D49DB" w:rsidRPr="00F90A69" w:rsidRDefault="00FC2A07" w:rsidP="009D6083">
            <w:pPr>
              <w:jc w:val="center"/>
            </w:pPr>
            <w:r>
              <w:rPr>
                <w:color w:val="000000"/>
              </w:rPr>
              <w:t>88</w:t>
            </w:r>
          </w:p>
        </w:tc>
        <w:tc>
          <w:tcPr>
            <w:tcW w:w="990" w:type="dxa"/>
            <w:tcMar>
              <w:top w:w="100" w:type="dxa"/>
              <w:left w:w="100" w:type="dxa"/>
              <w:bottom w:w="100" w:type="dxa"/>
              <w:right w:w="100" w:type="dxa"/>
            </w:tcMar>
            <w:vAlign w:val="center"/>
          </w:tcPr>
          <w:p w14:paraId="16913A2E" w14:textId="1FF88ED1" w:rsidR="002D49DB" w:rsidRPr="00F90A69" w:rsidRDefault="00F20176" w:rsidP="009D6083">
            <w:pPr>
              <w:jc w:val="center"/>
            </w:pPr>
            <w:r>
              <w:rPr>
                <w:color w:val="000000"/>
              </w:rPr>
              <w:t>205</w:t>
            </w:r>
          </w:p>
        </w:tc>
        <w:tc>
          <w:tcPr>
            <w:tcW w:w="900" w:type="dxa"/>
            <w:tcMar>
              <w:top w:w="100" w:type="dxa"/>
              <w:left w:w="100" w:type="dxa"/>
              <w:bottom w:w="100" w:type="dxa"/>
              <w:right w:w="100" w:type="dxa"/>
            </w:tcMar>
            <w:vAlign w:val="center"/>
          </w:tcPr>
          <w:p w14:paraId="5C71BC2B" w14:textId="6CE2942B" w:rsidR="002D49DB" w:rsidRPr="00F90A69" w:rsidRDefault="00F20176" w:rsidP="009D6083">
            <w:pPr>
              <w:jc w:val="center"/>
            </w:pPr>
            <w:r>
              <w:rPr>
                <w:color w:val="000000"/>
              </w:rPr>
              <w:t>70</w:t>
            </w:r>
          </w:p>
        </w:tc>
      </w:tr>
      <w:tr w:rsidR="002D49DB" w:rsidRPr="00F90A69" w14:paraId="487119FF" w14:textId="77777777" w:rsidTr="009D6083">
        <w:trPr>
          <w:trHeight w:val="737"/>
          <w:jc w:val="center"/>
        </w:trPr>
        <w:tc>
          <w:tcPr>
            <w:tcW w:w="2154"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8BE253" w14:textId="17275E4C" w:rsidR="002D49DB" w:rsidRPr="00625778" w:rsidRDefault="00AE102D" w:rsidP="009D6083">
            <w:pPr>
              <w:jc w:val="center"/>
              <w:rPr>
                <w:b/>
              </w:rPr>
            </w:pPr>
            <w:r>
              <w:rPr>
                <w:b/>
              </w:rPr>
              <w:t>TC</w:t>
            </w:r>
            <w:r w:rsidR="002D49DB">
              <w:rPr>
                <w:b/>
              </w:rPr>
              <w:t xml:space="preserve"> doubling time (year)</w:t>
            </w:r>
          </w:p>
        </w:tc>
        <w:tc>
          <w:tcPr>
            <w:tcW w:w="990" w:type="dxa"/>
            <w:tcMar>
              <w:top w:w="100" w:type="dxa"/>
              <w:left w:w="100" w:type="dxa"/>
              <w:bottom w:w="100" w:type="dxa"/>
              <w:right w:w="100" w:type="dxa"/>
            </w:tcMar>
            <w:vAlign w:val="center"/>
          </w:tcPr>
          <w:p w14:paraId="0E763F34" w14:textId="446B1742" w:rsidR="002D49DB" w:rsidRPr="00F90A69" w:rsidRDefault="00D23C1A" w:rsidP="009D6083">
            <w:pPr>
              <w:jc w:val="center"/>
              <w:rPr>
                <w:b/>
                <w:bCs/>
              </w:rPr>
            </w:pPr>
            <w:r>
              <w:rPr>
                <w:b/>
                <w:bCs/>
                <w:color w:val="000000"/>
              </w:rPr>
              <w:t>47</w:t>
            </w:r>
          </w:p>
        </w:tc>
        <w:tc>
          <w:tcPr>
            <w:tcW w:w="990" w:type="dxa"/>
            <w:tcMar>
              <w:top w:w="100" w:type="dxa"/>
              <w:left w:w="100" w:type="dxa"/>
              <w:bottom w:w="100" w:type="dxa"/>
              <w:right w:w="100" w:type="dxa"/>
            </w:tcMar>
            <w:vAlign w:val="center"/>
          </w:tcPr>
          <w:p w14:paraId="69637871" w14:textId="20DAE6D5" w:rsidR="002D49DB" w:rsidRPr="00F90A69" w:rsidRDefault="002D49DB" w:rsidP="009D6083">
            <w:pPr>
              <w:jc w:val="center"/>
              <w:rPr>
                <w:b/>
                <w:bCs/>
              </w:rPr>
            </w:pPr>
            <w:r w:rsidRPr="00F90A69">
              <w:rPr>
                <w:b/>
                <w:bCs/>
                <w:color w:val="000000"/>
              </w:rPr>
              <w:t>5</w:t>
            </w:r>
            <w:r w:rsidR="00F32551">
              <w:rPr>
                <w:b/>
                <w:bCs/>
                <w:color w:val="000000"/>
              </w:rPr>
              <w:t>6</w:t>
            </w:r>
          </w:p>
        </w:tc>
        <w:tc>
          <w:tcPr>
            <w:tcW w:w="990" w:type="dxa"/>
            <w:tcMar>
              <w:top w:w="100" w:type="dxa"/>
              <w:left w:w="100" w:type="dxa"/>
              <w:bottom w:w="100" w:type="dxa"/>
              <w:right w:w="100" w:type="dxa"/>
            </w:tcMar>
            <w:vAlign w:val="center"/>
          </w:tcPr>
          <w:p w14:paraId="28107CFD" w14:textId="5789FD3A" w:rsidR="002D49DB" w:rsidRPr="00F90A69" w:rsidRDefault="00F32551" w:rsidP="009D6083">
            <w:pPr>
              <w:jc w:val="center"/>
            </w:pPr>
            <w:r>
              <w:rPr>
                <w:color w:val="000000"/>
              </w:rPr>
              <w:t>117</w:t>
            </w:r>
          </w:p>
        </w:tc>
        <w:tc>
          <w:tcPr>
            <w:tcW w:w="990" w:type="dxa"/>
            <w:tcMar>
              <w:top w:w="100" w:type="dxa"/>
              <w:left w:w="100" w:type="dxa"/>
              <w:bottom w:w="100" w:type="dxa"/>
              <w:right w:w="100" w:type="dxa"/>
            </w:tcMar>
            <w:vAlign w:val="center"/>
          </w:tcPr>
          <w:p w14:paraId="1B97CC01" w14:textId="70EE5E61" w:rsidR="002D49DB" w:rsidRPr="00F90A69" w:rsidRDefault="002C16ED" w:rsidP="009D6083">
            <w:pPr>
              <w:jc w:val="center"/>
            </w:pPr>
            <w:r>
              <w:rPr>
                <w:color w:val="000000"/>
              </w:rPr>
              <w:t>31</w:t>
            </w:r>
          </w:p>
        </w:tc>
        <w:tc>
          <w:tcPr>
            <w:tcW w:w="900" w:type="dxa"/>
            <w:tcMar>
              <w:top w:w="100" w:type="dxa"/>
              <w:left w:w="100" w:type="dxa"/>
              <w:bottom w:w="100" w:type="dxa"/>
              <w:right w:w="100" w:type="dxa"/>
            </w:tcMar>
            <w:vAlign w:val="center"/>
          </w:tcPr>
          <w:p w14:paraId="297A10E4" w14:textId="12717AE1" w:rsidR="002D49DB" w:rsidRPr="00DE3347" w:rsidRDefault="002C16ED" w:rsidP="009D6083">
            <w:pPr>
              <w:jc w:val="center"/>
            </w:pPr>
            <w:r w:rsidRPr="00DE3347">
              <w:rPr>
                <w:color w:val="000000"/>
              </w:rPr>
              <w:t>21</w:t>
            </w:r>
          </w:p>
        </w:tc>
        <w:tc>
          <w:tcPr>
            <w:tcW w:w="990" w:type="dxa"/>
            <w:tcMar>
              <w:top w:w="100" w:type="dxa"/>
              <w:left w:w="100" w:type="dxa"/>
              <w:bottom w:w="100" w:type="dxa"/>
              <w:right w:w="100" w:type="dxa"/>
            </w:tcMar>
            <w:vAlign w:val="center"/>
          </w:tcPr>
          <w:p w14:paraId="4AE6BC17" w14:textId="25E50554" w:rsidR="002D49DB" w:rsidRPr="00F90A69" w:rsidRDefault="002D49DB" w:rsidP="009D6083">
            <w:pPr>
              <w:jc w:val="center"/>
            </w:pPr>
            <w:r w:rsidRPr="00F90A69">
              <w:rPr>
                <w:color w:val="000000"/>
              </w:rPr>
              <w:t>4</w:t>
            </w:r>
            <w:r w:rsidR="002C16ED">
              <w:rPr>
                <w:color w:val="000000"/>
              </w:rPr>
              <w:t>2</w:t>
            </w:r>
          </w:p>
        </w:tc>
        <w:tc>
          <w:tcPr>
            <w:tcW w:w="900" w:type="dxa"/>
            <w:tcMar>
              <w:top w:w="100" w:type="dxa"/>
              <w:left w:w="100" w:type="dxa"/>
              <w:bottom w:w="100" w:type="dxa"/>
              <w:right w:w="100" w:type="dxa"/>
            </w:tcMar>
            <w:vAlign w:val="center"/>
          </w:tcPr>
          <w:p w14:paraId="10CAA037" w14:textId="7C0EA37A" w:rsidR="002D49DB" w:rsidRPr="00F90A69" w:rsidRDefault="002C16ED" w:rsidP="009D6083">
            <w:pPr>
              <w:jc w:val="center"/>
            </w:pPr>
            <w:r>
              <w:rPr>
                <w:color w:val="000000"/>
              </w:rPr>
              <w:t>130</w:t>
            </w:r>
          </w:p>
        </w:tc>
      </w:tr>
      <w:tr w:rsidR="002D49DB" w:rsidRPr="00F90A69" w14:paraId="24517F70" w14:textId="77777777" w:rsidTr="009D6083">
        <w:trPr>
          <w:trHeight w:val="737"/>
          <w:jc w:val="center"/>
        </w:trPr>
        <w:tc>
          <w:tcPr>
            <w:tcW w:w="2154"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FF386F" w14:textId="0D698501" w:rsidR="002D49DB" w:rsidRDefault="006F4A6D" w:rsidP="009D6083">
            <w:pPr>
              <w:jc w:val="center"/>
              <w:rPr>
                <w:b/>
              </w:rPr>
            </w:pPr>
            <w:r>
              <w:rPr>
                <w:b/>
                <w:lang w:val="en-US"/>
              </w:rPr>
              <w:t xml:space="preserve">TC </w:t>
            </w:r>
            <w:r w:rsidR="002D49DB">
              <w:rPr>
                <w:b/>
              </w:rPr>
              <w:t>LMI trend</w:t>
            </w:r>
          </w:p>
          <w:p w14:paraId="1B24CA46" w14:textId="77777777" w:rsidR="002D49DB" w:rsidRPr="00625778" w:rsidRDefault="002D49DB" w:rsidP="009D6083">
            <w:pPr>
              <w:jc w:val="center"/>
              <w:rPr>
                <w:b/>
              </w:rPr>
            </w:pPr>
            <w:r>
              <w:rPr>
                <w:b/>
              </w:rPr>
              <w:t>(m s</w:t>
            </w:r>
            <w:r>
              <w:rPr>
                <w:b/>
                <w:vertAlign w:val="superscript"/>
              </w:rPr>
              <w:t>-1</w:t>
            </w:r>
            <w:r>
              <w:rPr>
                <w:b/>
              </w:rPr>
              <w:t xml:space="preserve"> per decade)</w:t>
            </w:r>
          </w:p>
        </w:tc>
        <w:tc>
          <w:tcPr>
            <w:tcW w:w="990" w:type="dxa"/>
            <w:tcMar>
              <w:top w:w="100" w:type="dxa"/>
              <w:left w:w="100" w:type="dxa"/>
              <w:bottom w:w="100" w:type="dxa"/>
              <w:right w:w="100" w:type="dxa"/>
            </w:tcMar>
            <w:vAlign w:val="center"/>
          </w:tcPr>
          <w:p w14:paraId="6D70B200" w14:textId="76A6D163" w:rsidR="002D49DB" w:rsidRPr="00F90A69" w:rsidRDefault="00FA2F47" w:rsidP="009D6083">
            <w:pPr>
              <w:jc w:val="center"/>
              <w:rPr>
                <w:b/>
                <w:bCs/>
              </w:rPr>
            </w:pPr>
            <w:r>
              <w:rPr>
                <w:b/>
                <w:bCs/>
                <w:color w:val="000000"/>
              </w:rPr>
              <w:t>0.8</w:t>
            </w:r>
          </w:p>
        </w:tc>
        <w:tc>
          <w:tcPr>
            <w:tcW w:w="990" w:type="dxa"/>
            <w:tcMar>
              <w:top w:w="100" w:type="dxa"/>
              <w:left w:w="100" w:type="dxa"/>
              <w:bottom w:w="100" w:type="dxa"/>
              <w:right w:w="100" w:type="dxa"/>
            </w:tcMar>
            <w:vAlign w:val="center"/>
          </w:tcPr>
          <w:p w14:paraId="17698A49" w14:textId="59B44739" w:rsidR="002D49DB" w:rsidRPr="00F90A69" w:rsidRDefault="002D49DB" w:rsidP="009D6083">
            <w:pPr>
              <w:jc w:val="center"/>
              <w:rPr>
                <w:b/>
                <w:bCs/>
              </w:rPr>
            </w:pPr>
            <w:r w:rsidRPr="00F90A69">
              <w:rPr>
                <w:color w:val="000000"/>
              </w:rPr>
              <w:t>1</w:t>
            </w:r>
            <w:r w:rsidR="00F32551">
              <w:rPr>
                <w:color w:val="000000"/>
              </w:rPr>
              <w:t>.1</w:t>
            </w:r>
          </w:p>
        </w:tc>
        <w:tc>
          <w:tcPr>
            <w:tcW w:w="990" w:type="dxa"/>
            <w:tcMar>
              <w:top w:w="100" w:type="dxa"/>
              <w:left w:w="100" w:type="dxa"/>
              <w:bottom w:w="100" w:type="dxa"/>
              <w:right w:w="100" w:type="dxa"/>
            </w:tcMar>
            <w:vAlign w:val="center"/>
          </w:tcPr>
          <w:p w14:paraId="46EAD5BB" w14:textId="77777777" w:rsidR="002D49DB" w:rsidRPr="00F90A69" w:rsidRDefault="002D49DB" w:rsidP="009D6083">
            <w:pPr>
              <w:jc w:val="center"/>
            </w:pPr>
            <w:r w:rsidRPr="00F90A69">
              <w:rPr>
                <w:color w:val="000000"/>
              </w:rPr>
              <w:t>2.5</w:t>
            </w:r>
          </w:p>
        </w:tc>
        <w:tc>
          <w:tcPr>
            <w:tcW w:w="990" w:type="dxa"/>
            <w:tcMar>
              <w:top w:w="100" w:type="dxa"/>
              <w:left w:w="100" w:type="dxa"/>
              <w:bottom w:w="100" w:type="dxa"/>
              <w:right w:w="100" w:type="dxa"/>
            </w:tcMar>
            <w:vAlign w:val="center"/>
          </w:tcPr>
          <w:p w14:paraId="3A163E27" w14:textId="197F6B11" w:rsidR="002D49DB" w:rsidRPr="00F90A69" w:rsidRDefault="002D49DB" w:rsidP="009D6083">
            <w:pPr>
              <w:jc w:val="center"/>
            </w:pPr>
            <w:r w:rsidRPr="00F90A69">
              <w:rPr>
                <w:color w:val="000000"/>
              </w:rPr>
              <w:t>1.</w:t>
            </w:r>
            <w:r w:rsidR="005271E9">
              <w:rPr>
                <w:color w:val="000000"/>
              </w:rPr>
              <w:t>3</w:t>
            </w:r>
          </w:p>
        </w:tc>
        <w:tc>
          <w:tcPr>
            <w:tcW w:w="900" w:type="dxa"/>
            <w:tcMar>
              <w:top w:w="100" w:type="dxa"/>
              <w:left w:w="100" w:type="dxa"/>
              <w:bottom w:w="100" w:type="dxa"/>
              <w:right w:w="100" w:type="dxa"/>
            </w:tcMar>
            <w:vAlign w:val="center"/>
          </w:tcPr>
          <w:p w14:paraId="025B2222" w14:textId="1F615ADA" w:rsidR="002D49DB" w:rsidRPr="00F90A69" w:rsidRDefault="002D49DB" w:rsidP="009D6083">
            <w:pPr>
              <w:jc w:val="center"/>
            </w:pPr>
            <w:r w:rsidRPr="00F90A69">
              <w:rPr>
                <w:color w:val="000000"/>
              </w:rPr>
              <w:t>-0.</w:t>
            </w:r>
            <w:r w:rsidR="005271E9">
              <w:rPr>
                <w:color w:val="000000"/>
              </w:rPr>
              <w:t>9</w:t>
            </w:r>
          </w:p>
        </w:tc>
        <w:tc>
          <w:tcPr>
            <w:tcW w:w="990" w:type="dxa"/>
            <w:tcMar>
              <w:top w:w="100" w:type="dxa"/>
              <w:left w:w="100" w:type="dxa"/>
              <w:bottom w:w="100" w:type="dxa"/>
              <w:right w:w="100" w:type="dxa"/>
            </w:tcMar>
            <w:vAlign w:val="center"/>
          </w:tcPr>
          <w:p w14:paraId="7D391C28" w14:textId="5FF8C256" w:rsidR="002D49DB" w:rsidRPr="00F90A69" w:rsidRDefault="002D49DB" w:rsidP="009D6083">
            <w:pPr>
              <w:jc w:val="center"/>
            </w:pPr>
            <w:r w:rsidRPr="00F90A69">
              <w:rPr>
                <w:color w:val="000000"/>
              </w:rPr>
              <w:t>-0.</w:t>
            </w:r>
            <w:r w:rsidR="005271E9">
              <w:rPr>
                <w:color w:val="000000"/>
              </w:rPr>
              <w:t>3</w:t>
            </w:r>
          </w:p>
        </w:tc>
        <w:tc>
          <w:tcPr>
            <w:tcW w:w="900" w:type="dxa"/>
            <w:tcMar>
              <w:top w:w="100" w:type="dxa"/>
              <w:left w:w="100" w:type="dxa"/>
              <w:bottom w:w="100" w:type="dxa"/>
              <w:right w:w="100" w:type="dxa"/>
            </w:tcMar>
            <w:vAlign w:val="center"/>
          </w:tcPr>
          <w:p w14:paraId="12FA3860" w14:textId="4CA285A7" w:rsidR="002D49DB" w:rsidRPr="00F90A69" w:rsidRDefault="005271E9" w:rsidP="009D6083">
            <w:pPr>
              <w:jc w:val="center"/>
            </w:pPr>
            <w:r>
              <w:rPr>
                <w:color w:val="000000"/>
              </w:rPr>
              <w:t>-0.4</w:t>
            </w:r>
          </w:p>
        </w:tc>
      </w:tr>
      <w:tr w:rsidR="002D49DB" w:rsidRPr="00F90A69" w14:paraId="52F4414D" w14:textId="77777777" w:rsidTr="009D6083">
        <w:trPr>
          <w:trHeight w:val="737"/>
          <w:jc w:val="center"/>
        </w:trPr>
        <w:tc>
          <w:tcPr>
            <w:tcW w:w="2154"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92A6E1" w14:textId="6CE60EC2" w:rsidR="002D49DB" w:rsidRDefault="006F4A6D" w:rsidP="009D6083">
            <w:pPr>
              <w:jc w:val="center"/>
              <w:rPr>
                <w:b/>
              </w:rPr>
            </w:pPr>
            <w:r>
              <w:rPr>
                <w:b/>
              </w:rPr>
              <w:t xml:space="preserve">TC </w:t>
            </w:r>
            <w:r w:rsidR="002D49DB">
              <w:rPr>
                <w:b/>
              </w:rPr>
              <w:t>LI trend</w:t>
            </w:r>
          </w:p>
          <w:p w14:paraId="4618F29C" w14:textId="77777777" w:rsidR="002D49DB" w:rsidRPr="00625778" w:rsidRDefault="002D49DB" w:rsidP="009D6083">
            <w:pPr>
              <w:jc w:val="center"/>
              <w:rPr>
                <w:b/>
              </w:rPr>
            </w:pPr>
            <w:r>
              <w:rPr>
                <w:b/>
              </w:rPr>
              <w:t>(m s</w:t>
            </w:r>
            <w:r>
              <w:rPr>
                <w:b/>
                <w:vertAlign w:val="superscript"/>
              </w:rPr>
              <w:t>-1</w:t>
            </w:r>
            <w:r>
              <w:rPr>
                <w:b/>
              </w:rPr>
              <w:t xml:space="preserve"> per decade)</w:t>
            </w:r>
          </w:p>
        </w:tc>
        <w:tc>
          <w:tcPr>
            <w:tcW w:w="990" w:type="dxa"/>
            <w:tcMar>
              <w:top w:w="100" w:type="dxa"/>
              <w:left w:w="100" w:type="dxa"/>
              <w:bottom w:w="100" w:type="dxa"/>
              <w:right w:w="100" w:type="dxa"/>
            </w:tcMar>
            <w:vAlign w:val="center"/>
          </w:tcPr>
          <w:p w14:paraId="46202197" w14:textId="551E8718" w:rsidR="002D49DB" w:rsidRPr="00F90A69" w:rsidRDefault="002D49DB" w:rsidP="009D6083">
            <w:pPr>
              <w:jc w:val="center"/>
            </w:pPr>
            <w:r w:rsidRPr="00F90A69">
              <w:rPr>
                <w:color w:val="000000"/>
              </w:rPr>
              <w:t>0.</w:t>
            </w:r>
            <w:r w:rsidR="00FA2F47">
              <w:rPr>
                <w:color w:val="000000"/>
              </w:rPr>
              <w:t>3</w:t>
            </w:r>
          </w:p>
        </w:tc>
        <w:tc>
          <w:tcPr>
            <w:tcW w:w="990" w:type="dxa"/>
            <w:tcMar>
              <w:top w:w="100" w:type="dxa"/>
              <w:left w:w="100" w:type="dxa"/>
              <w:bottom w:w="100" w:type="dxa"/>
              <w:right w:w="100" w:type="dxa"/>
            </w:tcMar>
            <w:vAlign w:val="center"/>
          </w:tcPr>
          <w:p w14:paraId="59B56C4E" w14:textId="272051DF" w:rsidR="002D49DB" w:rsidRPr="00F90A69" w:rsidRDefault="002D49DB" w:rsidP="009D6083">
            <w:pPr>
              <w:jc w:val="center"/>
            </w:pPr>
            <w:r w:rsidRPr="00F90A69">
              <w:rPr>
                <w:color w:val="000000"/>
              </w:rPr>
              <w:t>0.</w:t>
            </w:r>
            <w:r w:rsidR="00F32551">
              <w:rPr>
                <w:color w:val="000000"/>
              </w:rPr>
              <w:t>7</w:t>
            </w:r>
          </w:p>
        </w:tc>
        <w:tc>
          <w:tcPr>
            <w:tcW w:w="990" w:type="dxa"/>
            <w:tcMar>
              <w:top w:w="100" w:type="dxa"/>
              <w:left w:w="100" w:type="dxa"/>
              <w:bottom w:w="100" w:type="dxa"/>
              <w:right w:w="100" w:type="dxa"/>
            </w:tcMar>
            <w:vAlign w:val="center"/>
          </w:tcPr>
          <w:p w14:paraId="2008CCFF" w14:textId="0D3DA20E" w:rsidR="002D49DB" w:rsidRPr="00F90A69" w:rsidRDefault="002D49DB" w:rsidP="009D6083">
            <w:pPr>
              <w:jc w:val="center"/>
            </w:pPr>
            <w:r w:rsidRPr="00F90A69">
              <w:rPr>
                <w:color w:val="000000"/>
              </w:rPr>
              <w:t>1</w:t>
            </w:r>
            <w:r w:rsidR="00B66182">
              <w:rPr>
                <w:color w:val="000000"/>
              </w:rPr>
              <w:t>.2</w:t>
            </w:r>
          </w:p>
        </w:tc>
        <w:tc>
          <w:tcPr>
            <w:tcW w:w="990" w:type="dxa"/>
            <w:tcMar>
              <w:top w:w="100" w:type="dxa"/>
              <w:left w:w="100" w:type="dxa"/>
              <w:bottom w:w="100" w:type="dxa"/>
              <w:right w:w="100" w:type="dxa"/>
            </w:tcMar>
            <w:vAlign w:val="center"/>
          </w:tcPr>
          <w:p w14:paraId="0CAD1241" w14:textId="77777777" w:rsidR="002D49DB" w:rsidRPr="00F90A69" w:rsidRDefault="002D49DB" w:rsidP="009D6083">
            <w:pPr>
              <w:jc w:val="center"/>
            </w:pPr>
            <w:r w:rsidRPr="00F90A69">
              <w:rPr>
                <w:color w:val="000000"/>
              </w:rPr>
              <w:t>0.8</w:t>
            </w:r>
          </w:p>
        </w:tc>
        <w:tc>
          <w:tcPr>
            <w:tcW w:w="900" w:type="dxa"/>
            <w:tcMar>
              <w:top w:w="100" w:type="dxa"/>
              <w:left w:w="100" w:type="dxa"/>
              <w:bottom w:w="100" w:type="dxa"/>
              <w:right w:w="100" w:type="dxa"/>
            </w:tcMar>
            <w:vAlign w:val="center"/>
          </w:tcPr>
          <w:p w14:paraId="66A20341" w14:textId="7273489D" w:rsidR="002D49DB" w:rsidRPr="00F90A69" w:rsidRDefault="002D49DB" w:rsidP="009D6083">
            <w:pPr>
              <w:jc w:val="center"/>
            </w:pPr>
            <w:r w:rsidRPr="00F90A69">
              <w:rPr>
                <w:color w:val="000000"/>
              </w:rPr>
              <w:t>-</w:t>
            </w:r>
            <w:r w:rsidR="00B66182">
              <w:rPr>
                <w:color w:val="000000"/>
              </w:rPr>
              <w:t>5</w:t>
            </w:r>
            <w:r w:rsidRPr="00F90A69">
              <w:rPr>
                <w:color w:val="000000"/>
              </w:rPr>
              <w:t>.</w:t>
            </w:r>
            <w:r w:rsidR="00B66182">
              <w:rPr>
                <w:color w:val="000000"/>
              </w:rPr>
              <w:t>7</w:t>
            </w:r>
          </w:p>
        </w:tc>
        <w:tc>
          <w:tcPr>
            <w:tcW w:w="990" w:type="dxa"/>
            <w:tcMar>
              <w:top w:w="100" w:type="dxa"/>
              <w:left w:w="100" w:type="dxa"/>
              <w:bottom w:w="100" w:type="dxa"/>
              <w:right w:w="100" w:type="dxa"/>
            </w:tcMar>
            <w:vAlign w:val="center"/>
          </w:tcPr>
          <w:p w14:paraId="7063C4EE" w14:textId="7B59F258" w:rsidR="002D49DB" w:rsidRPr="00F90A69" w:rsidRDefault="002D49DB" w:rsidP="009D6083">
            <w:pPr>
              <w:jc w:val="center"/>
            </w:pPr>
            <w:r w:rsidRPr="00F90A69">
              <w:rPr>
                <w:color w:val="000000"/>
              </w:rPr>
              <w:t>-</w:t>
            </w:r>
            <w:r w:rsidR="00B66182">
              <w:rPr>
                <w:color w:val="000000"/>
              </w:rPr>
              <w:t>2.2</w:t>
            </w:r>
          </w:p>
        </w:tc>
        <w:tc>
          <w:tcPr>
            <w:tcW w:w="900" w:type="dxa"/>
            <w:tcMar>
              <w:top w:w="100" w:type="dxa"/>
              <w:left w:w="100" w:type="dxa"/>
              <w:bottom w:w="100" w:type="dxa"/>
              <w:right w:w="100" w:type="dxa"/>
            </w:tcMar>
            <w:vAlign w:val="center"/>
          </w:tcPr>
          <w:p w14:paraId="3E86C304" w14:textId="7A2BE943" w:rsidR="002D49DB" w:rsidRPr="00F90A69" w:rsidRDefault="00B66182" w:rsidP="009D6083">
            <w:pPr>
              <w:jc w:val="center"/>
            </w:pPr>
            <w:r>
              <w:rPr>
                <w:color w:val="000000"/>
              </w:rPr>
              <w:t>1</w:t>
            </w:r>
            <w:r w:rsidR="002D49DB" w:rsidRPr="00F90A69">
              <w:rPr>
                <w:color w:val="000000"/>
              </w:rPr>
              <w:t>.</w:t>
            </w:r>
            <w:r>
              <w:rPr>
                <w:color w:val="000000"/>
              </w:rPr>
              <w:t>9</w:t>
            </w:r>
          </w:p>
        </w:tc>
      </w:tr>
      <w:tr w:rsidR="002D49DB" w:rsidRPr="00F90A69" w14:paraId="5CC32F11" w14:textId="77777777" w:rsidTr="009D6083">
        <w:trPr>
          <w:trHeight w:val="737"/>
          <w:jc w:val="center"/>
        </w:trPr>
        <w:tc>
          <w:tcPr>
            <w:tcW w:w="2154"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7A006F" w14:textId="45E216C8" w:rsidR="002D49DB" w:rsidRDefault="006F4A6D" w:rsidP="009D6083">
            <w:pPr>
              <w:jc w:val="center"/>
              <w:rPr>
                <w:b/>
                <w:lang w:val="en-US"/>
              </w:rPr>
            </w:pPr>
            <w:r>
              <w:rPr>
                <w:b/>
              </w:rPr>
              <w:t xml:space="preserve">TC </w:t>
            </w:r>
            <w:r w:rsidR="002D49DB">
              <w:rPr>
                <w:b/>
              </w:rPr>
              <w:t xml:space="preserve">LMI </w:t>
            </w:r>
            <w:r w:rsidR="002D49DB">
              <w:rPr>
                <w:b/>
                <w:lang w:val="el-GR"/>
              </w:rPr>
              <w:t>σ</w:t>
            </w:r>
          </w:p>
          <w:p w14:paraId="066F9DE3" w14:textId="77777777" w:rsidR="002D49DB" w:rsidRPr="00F90A69" w:rsidRDefault="002D49DB" w:rsidP="009D6083">
            <w:pPr>
              <w:jc w:val="center"/>
              <w:rPr>
                <w:b/>
                <w:lang w:val="en-US"/>
              </w:rPr>
            </w:pPr>
            <w:r>
              <w:rPr>
                <w:b/>
                <w:lang w:val="en-US"/>
              </w:rPr>
              <w:t>(m s</w:t>
            </w:r>
            <w:r>
              <w:rPr>
                <w:b/>
                <w:vertAlign w:val="superscript"/>
                <w:lang w:val="en-US"/>
              </w:rPr>
              <w:t>-1</w:t>
            </w:r>
            <w:r>
              <w:rPr>
                <w:b/>
                <w:lang w:val="en-US"/>
              </w:rPr>
              <w:t>)</w:t>
            </w:r>
          </w:p>
        </w:tc>
        <w:tc>
          <w:tcPr>
            <w:tcW w:w="990" w:type="dxa"/>
            <w:tcBorders>
              <w:bottom w:val="single" w:sz="8" w:space="0" w:color="000000"/>
            </w:tcBorders>
            <w:tcMar>
              <w:top w:w="100" w:type="dxa"/>
              <w:left w:w="100" w:type="dxa"/>
              <w:bottom w:w="100" w:type="dxa"/>
              <w:right w:w="100" w:type="dxa"/>
            </w:tcMar>
            <w:vAlign w:val="center"/>
          </w:tcPr>
          <w:p w14:paraId="0308AED0" w14:textId="7C427F3C" w:rsidR="002D49DB" w:rsidRPr="00F90A69" w:rsidRDefault="002D49DB" w:rsidP="009D6083">
            <w:pPr>
              <w:jc w:val="center"/>
            </w:pPr>
            <w:r w:rsidRPr="00F90A69">
              <w:rPr>
                <w:color w:val="000000"/>
              </w:rPr>
              <w:t>1</w:t>
            </w:r>
            <w:r w:rsidR="00FA2F47">
              <w:rPr>
                <w:color w:val="000000"/>
              </w:rPr>
              <w:t>7</w:t>
            </w:r>
          </w:p>
        </w:tc>
        <w:tc>
          <w:tcPr>
            <w:tcW w:w="990" w:type="dxa"/>
            <w:tcBorders>
              <w:bottom w:val="single" w:sz="8" w:space="0" w:color="000000"/>
            </w:tcBorders>
            <w:tcMar>
              <w:top w:w="100" w:type="dxa"/>
              <w:left w:w="100" w:type="dxa"/>
              <w:bottom w:w="100" w:type="dxa"/>
              <w:right w:w="100" w:type="dxa"/>
            </w:tcMar>
            <w:vAlign w:val="center"/>
          </w:tcPr>
          <w:p w14:paraId="7F270E84" w14:textId="170F2C8F" w:rsidR="002D49DB" w:rsidRPr="00F90A69" w:rsidRDefault="002D49DB" w:rsidP="009D6083">
            <w:pPr>
              <w:jc w:val="center"/>
            </w:pPr>
            <w:r w:rsidRPr="00F90A69">
              <w:rPr>
                <w:color w:val="000000"/>
              </w:rPr>
              <w:t>1</w:t>
            </w:r>
            <w:r w:rsidR="00FA2F47">
              <w:rPr>
                <w:color w:val="000000"/>
              </w:rPr>
              <w:t>7</w:t>
            </w:r>
          </w:p>
        </w:tc>
        <w:tc>
          <w:tcPr>
            <w:tcW w:w="990" w:type="dxa"/>
            <w:tcBorders>
              <w:bottom w:val="single" w:sz="8" w:space="0" w:color="000000"/>
            </w:tcBorders>
            <w:tcMar>
              <w:top w:w="100" w:type="dxa"/>
              <w:left w:w="100" w:type="dxa"/>
              <w:bottom w:w="100" w:type="dxa"/>
              <w:right w:w="100" w:type="dxa"/>
            </w:tcMar>
            <w:vAlign w:val="center"/>
          </w:tcPr>
          <w:p w14:paraId="1864DD90" w14:textId="77777777" w:rsidR="002D49DB" w:rsidRPr="00F90A69" w:rsidRDefault="002D49DB" w:rsidP="009D6083">
            <w:pPr>
              <w:jc w:val="center"/>
            </w:pPr>
            <w:r w:rsidRPr="00F90A69">
              <w:rPr>
                <w:color w:val="000000"/>
              </w:rPr>
              <w:t>17</w:t>
            </w:r>
          </w:p>
        </w:tc>
        <w:tc>
          <w:tcPr>
            <w:tcW w:w="990" w:type="dxa"/>
            <w:tcBorders>
              <w:bottom w:val="single" w:sz="8" w:space="0" w:color="000000"/>
            </w:tcBorders>
            <w:tcMar>
              <w:top w:w="100" w:type="dxa"/>
              <w:left w:w="100" w:type="dxa"/>
              <w:bottom w:w="100" w:type="dxa"/>
              <w:right w:w="100" w:type="dxa"/>
            </w:tcMar>
            <w:vAlign w:val="center"/>
          </w:tcPr>
          <w:p w14:paraId="70948E3D" w14:textId="094DBDC5" w:rsidR="002D49DB" w:rsidRPr="00F90A69" w:rsidRDefault="002D49DB" w:rsidP="009D6083">
            <w:pPr>
              <w:jc w:val="center"/>
            </w:pPr>
            <w:r w:rsidRPr="00F90A69">
              <w:rPr>
                <w:color w:val="000000"/>
              </w:rPr>
              <w:t>1</w:t>
            </w:r>
            <w:r w:rsidR="00B66182">
              <w:rPr>
                <w:color w:val="000000"/>
              </w:rPr>
              <w:t>8</w:t>
            </w:r>
          </w:p>
        </w:tc>
        <w:tc>
          <w:tcPr>
            <w:tcW w:w="900" w:type="dxa"/>
            <w:tcBorders>
              <w:bottom w:val="single" w:sz="8" w:space="0" w:color="000000"/>
            </w:tcBorders>
            <w:tcMar>
              <w:top w:w="100" w:type="dxa"/>
              <w:left w:w="100" w:type="dxa"/>
              <w:bottom w:w="100" w:type="dxa"/>
              <w:right w:w="100" w:type="dxa"/>
            </w:tcMar>
            <w:vAlign w:val="center"/>
          </w:tcPr>
          <w:p w14:paraId="0E21AB75" w14:textId="75A9A36E" w:rsidR="002D49DB" w:rsidRPr="00F90A69" w:rsidRDefault="002D49DB" w:rsidP="009D6083">
            <w:pPr>
              <w:jc w:val="center"/>
            </w:pPr>
            <w:r w:rsidRPr="00F90A69">
              <w:rPr>
                <w:color w:val="000000"/>
              </w:rPr>
              <w:t>1</w:t>
            </w:r>
            <w:r w:rsidR="00B66182">
              <w:rPr>
                <w:color w:val="000000"/>
              </w:rPr>
              <w:t>5</w:t>
            </w:r>
          </w:p>
        </w:tc>
        <w:tc>
          <w:tcPr>
            <w:tcW w:w="990" w:type="dxa"/>
            <w:tcBorders>
              <w:bottom w:val="single" w:sz="8" w:space="0" w:color="000000"/>
            </w:tcBorders>
            <w:tcMar>
              <w:top w:w="100" w:type="dxa"/>
              <w:left w:w="100" w:type="dxa"/>
              <w:bottom w:w="100" w:type="dxa"/>
              <w:right w:w="100" w:type="dxa"/>
            </w:tcMar>
            <w:vAlign w:val="center"/>
          </w:tcPr>
          <w:p w14:paraId="3CBB4D32" w14:textId="11AF146C" w:rsidR="002D49DB" w:rsidRPr="00F90A69" w:rsidRDefault="002D49DB" w:rsidP="009D6083">
            <w:pPr>
              <w:jc w:val="center"/>
            </w:pPr>
            <w:r w:rsidRPr="00F90A69">
              <w:rPr>
                <w:color w:val="000000"/>
              </w:rPr>
              <w:t>1</w:t>
            </w:r>
            <w:r w:rsidR="00B66182">
              <w:rPr>
                <w:color w:val="000000"/>
              </w:rPr>
              <w:t>4</w:t>
            </w:r>
          </w:p>
        </w:tc>
        <w:tc>
          <w:tcPr>
            <w:tcW w:w="900" w:type="dxa"/>
            <w:tcBorders>
              <w:bottom w:val="single" w:sz="8" w:space="0" w:color="000000"/>
            </w:tcBorders>
            <w:tcMar>
              <w:top w:w="100" w:type="dxa"/>
              <w:left w:w="100" w:type="dxa"/>
              <w:bottom w:w="100" w:type="dxa"/>
              <w:right w:w="100" w:type="dxa"/>
            </w:tcMar>
            <w:vAlign w:val="center"/>
          </w:tcPr>
          <w:p w14:paraId="788D38A6" w14:textId="510AA7A8" w:rsidR="002D49DB" w:rsidRPr="00F90A69" w:rsidRDefault="002D49DB" w:rsidP="009D6083">
            <w:pPr>
              <w:jc w:val="center"/>
            </w:pPr>
            <w:r w:rsidRPr="00F90A69">
              <w:rPr>
                <w:color w:val="000000"/>
              </w:rPr>
              <w:t>1</w:t>
            </w:r>
            <w:r w:rsidR="00B66182">
              <w:rPr>
                <w:color w:val="000000"/>
              </w:rPr>
              <w:t>5</w:t>
            </w:r>
          </w:p>
        </w:tc>
      </w:tr>
      <w:tr w:rsidR="002D49DB" w:rsidRPr="00F90A69" w14:paraId="0CD6A813" w14:textId="77777777" w:rsidTr="003831E9">
        <w:trPr>
          <w:trHeight w:val="737"/>
          <w:jc w:val="center"/>
        </w:trPr>
        <w:tc>
          <w:tcPr>
            <w:tcW w:w="2154"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46F17545" w14:textId="6ECF5CD7" w:rsidR="002D49DB" w:rsidRDefault="006F4A6D" w:rsidP="009D6083">
            <w:pPr>
              <w:jc w:val="center"/>
              <w:rPr>
                <w:b/>
                <w:lang w:val="en-US"/>
              </w:rPr>
            </w:pPr>
            <w:r>
              <w:rPr>
                <w:b/>
              </w:rPr>
              <w:t xml:space="preserve">TC </w:t>
            </w:r>
            <w:r w:rsidR="002D49DB">
              <w:rPr>
                <w:b/>
              </w:rPr>
              <w:t xml:space="preserve">LI </w:t>
            </w:r>
            <w:r w:rsidR="002D49DB">
              <w:rPr>
                <w:b/>
                <w:lang w:val="el-GR"/>
              </w:rPr>
              <w:t>σ</w:t>
            </w:r>
          </w:p>
          <w:p w14:paraId="382CA698" w14:textId="77777777" w:rsidR="002D49DB" w:rsidRPr="00F90A69" w:rsidRDefault="002D49DB" w:rsidP="009D6083">
            <w:pPr>
              <w:jc w:val="center"/>
              <w:rPr>
                <w:b/>
                <w:lang w:val="en-US"/>
              </w:rPr>
            </w:pPr>
            <w:r>
              <w:rPr>
                <w:b/>
                <w:lang w:val="en-US"/>
              </w:rPr>
              <w:t>(m s</w:t>
            </w:r>
            <w:r>
              <w:rPr>
                <w:b/>
                <w:vertAlign w:val="superscript"/>
                <w:lang w:val="en-US"/>
              </w:rPr>
              <w:t>-1</w:t>
            </w:r>
            <w:r>
              <w:rPr>
                <w:b/>
                <w:lang w:val="en-US"/>
              </w:rPr>
              <w:t>)</w:t>
            </w:r>
          </w:p>
        </w:tc>
        <w:tc>
          <w:tcPr>
            <w:tcW w:w="990" w:type="dxa"/>
            <w:tcBorders>
              <w:top w:val="single" w:sz="8" w:space="0" w:color="000000"/>
            </w:tcBorders>
            <w:tcMar>
              <w:top w:w="100" w:type="dxa"/>
              <w:left w:w="100" w:type="dxa"/>
              <w:bottom w:w="100" w:type="dxa"/>
              <w:right w:w="100" w:type="dxa"/>
            </w:tcMar>
            <w:vAlign w:val="center"/>
          </w:tcPr>
          <w:p w14:paraId="23FFD67C" w14:textId="5AAE4257" w:rsidR="002D49DB" w:rsidRPr="00F90A69" w:rsidRDefault="00FA2F47" w:rsidP="009D6083">
            <w:pPr>
              <w:jc w:val="center"/>
            </w:pPr>
            <w:r>
              <w:rPr>
                <w:color w:val="000000"/>
              </w:rPr>
              <w:t>30</w:t>
            </w:r>
          </w:p>
        </w:tc>
        <w:tc>
          <w:tcPr>
            <w:tcW w:w="990" w:type="dxa"/>
            <w:tcBorders>
              <w:top w:val="single" w:sz="8" w:space="0" w:color="000000"/>
            </w:tcBorders>
            <w:tcMar>
              <w:top w:w="100" w:type="dxa"/>
              <w:left w:w="100" w:type="dxa"/>
              <w:bottom w:w="100" w:type="dxa"/>
              <w:right w:w="100" w:type="dxa"/>
            </w:tcMar>
            <w:vAlign w:val="center"/>
          </w:tcPr>
          <w:p w14:paraId="28D40E8B" w14:textId="0C070729" w:rsidR="002D49DB" w:rsidRPr="00F90A69" w:rsidRDefault="002D49DB" w:rsidP="009D6083">
            <w:pPr>
              <w:jc w:val="center"/>
            </w:pPr>
            <w:r w:rsidRPr="00F90A69">
              <w:rPr>
                <w:color w:val="000000"/>
              </w:rPr>
              <w:t>2</w:t>
            </w:r>
            <w:r w:rsidR="00FA2F47">
              <w:rPr>
                <w:color w:val="000000"/>
              </w:rPr>
              <w:t>9</w:t>
            </w:r>
          </w:p>
        </w:tc>
        <w:tc>
          <w:tcPr>
            <w:tcW w:w="990" w:type="dxa"/>
            <w:tcBorders>
              <w:top w:val="single" w:sz="8" w:space="0" w:color="000000"/>
            </w:tcBorders>
            <w:tcMar>
              <w:top w:w="100" w:type="dxa"/>
              <w:left w:w="100" w:type="dxa"/>
              <w:bottom w:w="100" w:type="dxa"/>
              <w:right w:w="100" w:type="dxa"/>
            </w:tcMar>
            <w:vAlign w:val="center"/>
          </w:tcPr>
          <w:p w14:paraId="6A3EA683" w14:textId="17514D48" w:rsidR="002D49DB" w:rsidRPr="00F90A69" w:rsidRDefault="00B66182" w:rsidP="009D6083">
            <w:pPr>
              <w:jc w:val="center"/>
            </w:pPr>
            <w:r>
              <w:rPr>
                <w:color w:val="000000"/>
              </w:rPr>
              <w:t>33</w:t>
            </w:r>
          </w:p>
        </w:tc>
        <w:tc>
          <w:tcPr>
            <w:tcW w:w="990" w:type="dxa"/>
            <w:tcBorders>
              <w:top w:val="single" w:sz="8" w:space="0" w:color="000000"/>
            </w:tcBorders>
            <w:tcMar>
              <w:top w:w="100" w:type="dxa"/>
              <w:left w:w="100" w:type="dxa"/>
              <w:bottom w:w="100" w:type="dxa"/>
              <w:right w:w="100" w:type="dxa"/>
            </w:tcMar>
            <w:vAlign w:val="center"/>
          </w:tcPr>
          <w:p w14:paraId="0086DC64" w14:textId="77777777" w:rsidR="002D49DB" w:rsidRPr="00F90A69" w:rsidRDefault="002D49DB" w:rsidP="009D6083">
            <w:pPr>
              <w:jc w:val="center"/>
            </w:pPr>
            <w:r w:rsidRPr="00F90A69">
              <w:rPr>
                <w:color w:val="000000"/>
              </w:rPr>
              <w:t>22</w:t>
            </w:r>
          </w:p>
        </w:tc>
        <w:tc>
          <w:tcPr>
            <w:tcW w:w="900" w:type="dxa"/>
            <w:tcBorders>
              <w:top w:val="single" w:sz="8" w:space="0" w:color="000000"/>
            </w:tcBorders>
            <w:tcMar>
              <w:top w:w="100" w:type="dxa"/>
              <w:left w:w="100" w:type="dxa"/>
              <w:bottom w:w="100" w:type="dxa"/>
              <w:right w:w="100" w:type="dxa"/>
            </w:tcMar>
            <w:vAlign w:val="center"/>
          </w:tcPr>
          <w:p w14:paraId="50C191EA" w14:textId="054E3862" w:rsidR="002D49DB" w:rsidRPr="00F90A69" w:rsidRDefault="00B66182" w:rsidP="009D6083">
            <w:pPr>
              <w:jc w:val="center"/>
            </w:pPr>
            <w:r>
              <w:rPr>
                <w:color w:val="000000"/>
              </w:rPr>
              <w:t>32</w:t>
            </w:r>
          </w:p>
        </w:tc>
        <w:tc>
          <w:tcPr>
            <w:tcW w:w="990" w:type="dxa"/>
            <w:tcBorders>
              <w:top w:val="single" w:sz="8" w:space="0" w:color="000000"/>
            </w:tcBorders>
            <w:tcMar>
              <w:top w:w="100" w:type="dxa"/>
              <w:left w:w="100" w:type="dxa"/>
              <w:bottom w:w="100" w:type="dxa"/>
              <w:right w:w="100" w:type="dxa"/>
            </w:tcMar>
            <w:vAlign w:val="center"/>
          </w:tcPr>
          <w:p w14:paraId="2D079095" w14:textId="58551E7E" w:rsidR="002D49DB" w:rsidRPr="00F90A69" w:rsidRDefault="00B66182" w:rsidP="009D6083">
            <w:pPr>
              <w:jc w:val="center"/>
            </w:pPr>
            <w:r>
              <w:rPr>
                <w:color w:val="000000"/>
              </w:rPr>
              <w:t>30</w:t>
            </w:r>
          </w:p>
        </w:tc>
        <w:tc>
          <w:tcPr>
            <w:tcW w:w="900" w:type="dxa"/>
            <w:tcBorders>
              <w:top w:val="single" w:sz="8" w:space="0" w:color="000000"/>
            </w:tcBorders>
            <w:tcMar>
              <w:top w:w="100" w:type="dxa"/>
              <w:left w:w="100" w:type="dxa"/>
              <w:bottom w:w="100" w:type="dxa"/>
              <w:right w:w="100" w:type="dxa"/>
            </w:tcMar>
            <w:vAlign w:val="center"/>
          </w:tcPr>
          <w:p w14:paraId="16426984" w14:textId="404DCB5C" w:rsidR="002D49DB" w:rsidRPr="00F90A69" w:rsidRDefault="002D49DB" w:rsidP="009D6083">
            <w:pPr>
              <w:jc w:val="center"/>
            </w:pPr>
            <w:r w:rsidRPr="00F90A69">
              <w:rPr>
                <w:color w:val="000000"/>
              </w:rPr>
              <w:t>2</w:t>
            </w:r>
            <w:r w:rsidR="00B66182">
              <w:rPr>
                <w:color w:val="000000"/>
              </w:rPr>
              <w:t>8</w:t>
            </w:r>
          </w:p>
        </w:tc>
      </w:tr>
    </w:tbl>
    <w:p w14:paraId="508D1ABF" w14:textId="77777777" w:rsidR="002D49DB" w:rsidRPr="00625778" w:rsidRDefault="002D49DB" w:rsidP="007E5442"/>
    <w:p w14:paraId="196AE47A" w14:textId="77777777" w:rsidR="00AD7967" w:rsidRPr="00625778" w:rsidRDefault="00AD7967" w:rsidP="007E5442">
      <w:pPr>
        <w:rPr>
          <w:b/>
        </w:rPr>
      </w:pPr>
    </w:p>
    <w:p w14:paraId="34CBDE09" w14:textId="77777777" w:rsidR="00AD7967" w:rsidRPr="00625778" w:rsidRDefault="00173897" w:rsidP="007E5442">
      <w:r w:rsidRPr="00625778">
        <w:br w:type="page"/>
      </w:r>
    </w:p>
    <w:p w14:paraId="0C73AF03" w14:textId="3391CE93" w:rsidR="006E59B8" w:rsidRDefault="00F66EBC" w:rsidP="006E59B8">
      <w:r>
        <w:lastRenderedPageBreak/>
        <w:fldChar w:fldCharType="begin"/>
      </w:r>
      <w:r>
        <w:instrText xml:space="preserve"> INCLUDEPICTURE "http://www.sp.ph.ic.ac.uk/~sw1013/FIGURES/Figure_1.png" \* MERGEFORMATINET </w:instrText>
      </w:r>
      <w:r>
        <w:fldChar w:fldCharType="separate"/>
      </w:r>
      <w:r>
        <w:rPr>
          <w:noProof/>
        </w:rPr>
        <w:drawing>
          <wp:inline distT="0" distB="0" distL="0" distR="0" wp14:anchorId="48B789CC" wp14:editId="692233D2">
            <wp:extent cx="5727700" cy="2687955"/>
            <wp:effectExtent l="0" t="0" r="0" b="4445"/>
            <wp:docPr id="1" name="Picture 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 histo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2687955"/>
                    </a:xfrm>
                    <a:prstGeom prst="rect">
                      <a:avLst/>
                    </a:prstGeom>
                    <a:noFill/>
                    <a:ln>
                      <a:noFill/>
                    </a:ln>
                  </pic:spPr>
                </pic:pic>
              </a:graphicData>
            </a:graphic>
          </wp:inline>
        </w:drawing>
      </w:r>
      <w:r>
        <w:fldChar w:fldCharType="end"/>
      </w:r>
    </w:p>
    <w:p w14:paraId="51EAE265" w14:textId="64DAE2F3" w:rsidR="006125B5" w:rsidRDefault="006125B5" w:rsidP="006125B5">
      <w:pPr>
        <w:spacing w:line="360" w:lineRule="auto"/>
      </w:pPr>
      <w:r w:rsidRPr="00816480">
        <w:rPr>
          <w:b/>
          <w:color w:val="000000"/>
        </w:rPr>
        <w:t xml:space="preserve">Fig. 1. </w:t>
      </w:r>
      <w:r w:rsidRPr="008F00C8">
        <w:rPr>
          <w:bCs/>
          <w:color w:val="000000"/>
        </w:rPr>
        <w:t xml:space="preserve">Observed annual </w:t>
      </w:r>
      <w:r w:rsidR="00074984">
        <w:rPr>
          <w:bCs/>
          <w:color w:val="000000"/>
        </w:rPr>
        <w:t xml:space="preserve">(a) </w:t>
      </w:r>
      <w:r>
        <w:rPr>
          <w:bCs/>
          <w:color w:val="000000"/>
        </w:rPr>
        <w:t>landfall count</w:t>
      </w:r>
      <w:r w:rsidRPr="008F00C8">
        <w:rPr>
          <w:bCs/>
        </w:rPr>
        <w:t>,</w:t>
      </w:r>
      <w:r w:rsidRPr="008F00C8">
        <w:rPr>
          <w:bCs/>
          <w:color w:val="000000"/>
        </w:rPr>
        <w:t xml:space="preserve"> (b)</w:t>
      </w:r>
      <w:r>
        <w:rPr>
          <w:bCs/>
          <w:vertAlign w:val="superscript"/>
        </w:rPr>
        <w:t xml:space="preserve"> </w:t>
      </w:r>
      <w:r>
        <w:rPr>
          <w:bCs/>
          <w:color w:val="000000"/>
        </w:rPr>
        <w:t>TC count</w:t>
      </w:r>
      <w:r w:rsidRPr="008F00C8">
        <w:rPr>
          <w:bCs/>
        </w:rPr>
        <w:t xml:space="preserve">, and </w:t>
      </w:r>
      <w:r>
        <w:rPr>
          <w:bCs/>
        </w:rPr>
        <w:t xml:space="preserve">(c) </w:t>
      </w:r>
      <w:r w:rsidRPr="008F00C8">
        <w:rPr>
          <w:bCs/>
        </w:rPr>
        <w:t>their count ratio.</w:t>
      </w:r>
      <w:r w:rsidRPr="008F00C8">
        <w:rPr>
          <w:bCs/>
          <w:color w:val="000000"/>
        </w:rPr>
        <w:t xml:space="preserve"> </w:t>
      </w:r>
      <w:r w:rsidR="0018093F">
        <w:t xml:space="preserve">As defined in </w:t>
      </w:r>
      <w:r w:rsidR="00074984">
        <w:t>Methods</w:t>
      </w:r>
      <w:r w:rsidR="0018093F">
        <w:t>, “landfall” and “TC” here are referred to as major landfall events with LIs of at least major intensity (≥ 50 m s</w:t>
      </w:r>
      <w:r w:rsidR="0018093F" w:rsidRPr="00AE102D">
        <w:rPr>
          <w:vertAlign w:val="superscript"/>
        </w:rPr>
        <w:t>-1</w:t>
      </w:r>
      <w:r w:rsidR="0018093F">
        <w:t xml:space="preserve">), and landfalling storms with LMIs of at least major intensity, respectively. </w:t>
      </w:r>
      <w:r>
        <w:t>The thick line in (a, b) shows the Poisson regression fit. The fitted slope b</w:t>
      </w:r>
      <w:r>
        <w:rPr>
          <w:vertAlign w:val="subscript"/>
        </w:rPr>
        <w:t>1</w:t>
      </w:r>
      <w:r>
        <w:t xml:space="preserve"> in Eq. (1) is 0.015±0.012 in (a) and 0.015±0.008 in (b), respectively. The doubling time (T</w:t>
      </w:r>
      <w:r>
        <w:rPr>
          <w:vertAlign w:val="subscript"/>
        </w:rPr>
        <w:t>D</w:t>
      </w:r>
      <w:r>
        <w:t xml:space="preserve">) estimated by the Poisson regression is given in the legend. The thick line in (c) shows the linear trend of the count ratio that is not statistically significant. </w:t>
      </w:r>
    </w:p>
    <w:p w14:paraId="0C11BE36" w14:textId="1DDD2F18" w:rsidR="00AD7967" w:rsidRPr="00D41139" w:rsidRDefault="00AD7967" w:rsidP="006125B5"/>
    <w:p w14:paraId="0A1C67F2" w14:textId="3B83FF6E" w:rsidR="0034442C" w:rsidRDefault="0034442C" w:rsidP="008C6BDB">
      <w:pPr>
        <w:spacing w:line="360" w:lineRule="auto"/>
      </w:pPr>
    </w:p>
    <w:p w14:paraId="6047311C" w14:textId="5A69061D" w:rsidR="0034442C" w:rsidRPr="00625778" w:rsidRDefault="0034442C" w:rsidP="008C6BDB">
      <w:pPr>
        <w:spacing w:line="360" w:lineRule="auto"/>
        <w:sectPr w:rsidR="0034442C" w:rsidRPr="00625778" w:rsidSect="00342CC9">
          <w:footerReference w:type="even" r:id="rId9"/>
          <w:footerReference w:type="default" r:id="rId10"/>
          <w:pgSz w:w="11900" w:h="16840"/>
          <w:pgMar w:top="1440" w:right="1440" w:bottom="1440" w:left="1440" w:header="708" w:footer="708" w:gutter="0"/>
          <w:lnNumType w:countBy="1"/>
          <w:pgNumType w:start="1"/>
          <w:cols w:space="720"/>
          <w:docGrid w:linePitch="326"/>
        </w:sectPr>
      </w:pPr>
    </w:p>
    <w:p w14:paraId="2633E05B" w14:textId="4F4D1400" w:rsidR="00AD7967" w:rsidRPr="0037160E" w:rsidRDefault="009008AE" w:rsidP="009008AE">
      <w:pPr>
        <w:jc w:val="center"/>
      </w:pPr>
      <w:r>
        <w:lastRenderedPageBreak/>
        <w:fldChar w:fldCharType="begin"/>
      </w:r>
      <w:r>
        <w:instrText xml:space="preserve"> INCLUDEPICTURE "http://www.sp.ph.ic.ac.uk/~sw1013/FIGURES/Figure_2.png" \* MERGEFORMATINET </w:instrText>
      </w:r>
      <w:r>
        <w:fldChar w:fldCharType="separate"/>
      </w:r>
      <w:r>
        <w:rPr>
          <w:noProof/>
        </w:rPr>
        <w:drawing>
          <wp:inline distT="0" distB="0" distL="0" distR="0" wp14:anchorId="4EFB57E8" wp14:editId="4D2994D5">
            <wp:extent cx="2845510" cy="2753709"/>
            <wp:effectExtent l="0" t="0" r="0" b="254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5802" cy="2753991"/>
                    </a:xfrm>
                    <a:prstGeom prst="rect">
                      <a:avLst/>
                    </a:prstGeom>
                    <a:noFill/>
                    <a:ln>
                      <a:noFill/>
                    </a:ln>
                  </pic:spPr>
                </pic:pic>
              </a:graphicData>
            </a:graphic>
          </wp:inline>
        </w:drawing>
      </w:r>
      <w:r>
        <w:fldChar w:fldCharType="end"/>
      </w:r>
    </w:p>
    <w:p w14:paraId="105A0100" w14:textId="4B36A94D" w:rsidR="00C1541A" w:rsidRPr="00D741A0" w:rsidRDefault="00173897" w:rsidP="0081067C">
      <w:pPr>
        <w:spacing w:line="360" w:lineRule="auto"/>
      </w:pPr>
      <w:r w:rsidRPr="009840E9">
        <w:rPr>
          <w:bCs/>
        </w:rPr>
        <w:t>Fig. 2</w:t>
      </w:r>
      <w:r w:rsidR="004D01AF" w:rsidRPr="009840E9">
        <w:rPr>
          <w:bCs/>
        </w:rPr>
        <w:t>.</w:t>
      </w:r>
      <w:r w:rsidRPr="009840E9">
        <w:rPr>
          <w:bCs/>
        </w:rPr>
        <w:t xml:space="preserve"> </w:t>
      </w:r>
      <w:r w:rsidR="00816480" w:rsidRPr="009840E9">
        <w:rPr>
          <w:bCs/>
        </w:rPr>
        <w:t xml:space="preserve">Sensitivity of count analysis. </w:t>
      </w:r>
      <w:r w:rsidR="003F3655">
        <w:rPr>
          <w:color w:val="000000"/>
        </w:rPr>
        <w:t>G</w:t>
      </w:r>
      <w:r w:rsidR="003F3655" w:rsidRPr="00D741A0">
        <w:rPr>
          <w:color w:val="000000"/>
        </w:rPr>
        <w:t>lobal annual count</w:t>
      </w:r>
      <w:r w:rsidR="003F3655">
        <w:rPr>
          <w:color w:val="000000"/>
        </w:rPr>
        <w:t xml:space="preserve"> doubling time from </w:t>
      </w:r>
      <w:r w:rsidR="0081067C">
        <w:rPr>
          <w:color w:val="000000"/>
        </w:rPr>
        <w:t xml:space="preserve">a </w:t>
      </w:r>
      <w:r w:rsidR="003F3655">
        <w:rPr>
          <w:color w:val="000000"/>
        </w:rPr>
        <w:t>Poisson regression</w:t>
      </w:r>
      <w:r w:rsidR="003F3655" w:rsidRPr="00D741A0">
        <w:rPr>
          <w:color w:val="000000"/>
        </w:rPr>
        <w:t xml:space="preserve"> of </w:t>
      </w:r>
      <w:r w:rsidR="005768F6">
        <w:rPr>
          <w:color w:val="000000"/>
        </w:rPr>
        <w:t>all</w:t>
      </w:r>
      <w:r w:rsidR="0081067C">
        <w:rPr>
          <w:color w:val="000000"/>
        </w:rPr>
        <w:t xml:space="preserve"> the</w:t>
      </w:r>
      <w:r w:rsidR="005768F6">
        <w:rPr>
          <w:color w:val="000000"/>
        </w:rPr>
        <w:t xml:space="preserve"> selected storms (LMI≥33 m s</w:t>
      </w:r>
      <w:r w:rsidR="005768F6">
        <w:rPr>
          <w:color w:val="000000"/>
          <w:vertAlign w:val="superscript"/>
        </w:rPr>
        <w:t>-1</w:t>
      </w:r>
      <w:r w:rsidR="005768F6">
        <w:rPr>
          <w:color w:val="000000"/>
        </w:rPr>
        <w:t>)</w:t>
      </w:r>
      <w:r w:rsidR="003F3655" w:rsidRPr="00D741A0">
        <w:rPr>
          <w:color w:val="000000"/>
        </w:rPr>
        <w:t xml:space="preserve"> with LI (black) or LMI (blue) above different intensity thresholds. </w:t>
      </w:r>
      <w:r w:rsidR="003F3655">
        <w:rPr>
          <w:color w:val="000000"/>
        </w:rPr>
        <w:t>T</w:t>
      </w:r>
      <w:r w:rsidR="003F3655" w:rsidRPr="00D741A0">
        <w:rPr>
          <w:color w:val="000000"/>
        </w:rPr>
        <w:t xml:space="preserve">he significant </w:t>
      </w:r>
      <w:r w:rsidR="003F3655">
        <w:rPr>
          <w:color w:val="000000"/>
        </w:rPr>
        <w:t>doubling times</w:t>
      </w:r>
      <w:r w:rsidR="003148C3">
        <w:rPr>
          <w:color w:val="000000"/>
        </w:rPr>
        <w:t xml:space="preserve"> (</w:t>
      </w:r>
      <w:r w:rsidR="003148C3">
        <w:rPr>
          <w:i/>
          <w:iCs/>
          <w:color w:val="000000"/>
        </w:rPr>
        <w:t>p</w:t>
      </w:r>
      <w:r w:rsidR="003148C3">
        <w:rPr>
          <w:color w:val="000000"/>
        </w:rPr>
        <w:t>&lt;0.05)</w:t>
      </w:r>
      <w:r w:rsidR="003F3655" w:rsidRPr="00D741A0">
        <w:rPr>
          <w:color w:val="000000"/>
        </w:rPr>
        <w:t xml:space="preserve"> are highlighted with the solid line. All </w:t>
      </w:r>
      <w:r w:rsidR="003F3655">
        <w:rPr>
          <w:color w:val="000000"/>
        </w:rPr>
        <w:t xml:space="preserve">the regressions </w:t>
      </w:r>
      <w:r w:rsidR="003F3655" w:rsidRPr="00D741A0">
        <w:rPr>
          <w:color w:val="000000"/>
        </w:rPr>
        <w:t xml:space="preserve">are </w:t>
      </w:r>
      <w:r w:rsidR="003F3655">
        <w:rPr>
          <w:color w:val="000000"/>
        </w:rPr>
        <w:t>conducted</w:t>
      </w:r>
      <w:r w:rsidR="003F3655" w:rsidRPr="00D741A0">
        <w:rPr>
          <w:color w:val="000000"/>
        </w:rPr>
        <w:t xml:space="preserve"> </w:t>
      </w:r>
      <w:r w:rsidR="003F3655">
        <w:rPr>
          <w:color w:val="000000"/>
        </w:rPr>
        <w:t>with</w:t>
      </w:r>
      <w:r w:rsidR="003F3655" w:rsidRPr="00D741A0">
        <w:rPr>
          <w:color w:val="000000"/>
        </w:rPr>
        <w:t xml:space="preserve"> at least 30 years of non-zero observations.</w:t>
      </w:r>
    </w:p>
    <w:p w14:paraId="4BB8F65F" w14:textId="6A659ACC" w:rsidR="009A4D82" w:rsidRDefault="009A4D82" w:rsidP="00B012B3">
      <w:pPr>
        <w:spacing w:line="392" w:lineRule="auto"/>
      </w:pPr>
    </w:p>
    <w:p w14:paraId="4AF2B084" w14:textId="46DDF2D0" w:rsidR="009A4D82" w:rsidRPr="00625778" w:rsidRDefault="009A4D82" w:rsidP="00B012B3">
      <w:pPr>
        <w:spacing w:line="392" w:lineRule="auto"/>
        <w:sectPr w:rsidR="009A4D82" w:rsidRPr="00625778" w:rsidSect="007E5442">
          <w:pgSz w:w="11900" w:h="16840"/>
          <w:pgMar w:top="1440" w:right="1440" w:bottom="1440" w:left="1440" w:header="708" w:footer="708" w:gutter="0"/>
          <w:lnNumType w:countBy="1" w:restart="continuous"/>
          <w:cols w:space="720"/>
          <w:docGrid w:linePitch="326"/>
        </w:sectPr>
      </w:pPr>
    </w:p>
    <w:p w14:paraId="0491C79D" w14:textId="640E5A49" w:rsidR="00BE43A3" w:rsidRDefault="00BE43A3" w:rsidP="00BE43A3">
      <w:r>
        <w:rPr>
          <w:noProof/>
        </w:rPr>
        <w:lastRenderedPageBreak/>
        <w:drawing>
          <wp:inline distT="0" distB="0" distL="0" distR="0" wp14:anchorId="2033F6DA" wp14:editId="4E8BCB98">
            <wp:extent cx="5727700" cy="5528310"/>
            <wp:effectExtent l="0" t="0" r="0" b="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5528310"/>
                    </a:xfrm>
                    <a:prstGeom prst="rect">
                      <a:avLst/>
                    </a:prstGeom>
                    <a:noFill/>
                    <a:ln>
                      <a:noFill/>
                    </a:ln>
                  </pic:spPr>
                </pic:pic>
              </a:graphicData>
            </a:graphic>
          </wp:inline>
        </w:drawing>
      </w:r>
    </w:p>
    <w:p w14:paraId="48E9AD9D" w14:textId="27A71843" w:rsidR="00AD7967" w:rsidRPr="00DB156A" w:rsidRDefault="00173897" w:rsidP="004D152D">
      <w:pPr>
        <w:spacing w:line="360" w:lineRule="auto"/>
        <w:rPr>
          <w:lang w:val="en-US"/>
        </w:rPr>
      </w:pPr>
      <w:r w:rsidRPr="004D152D">
        <w:t xml:space="preserve">Fig. 3. </w:t>
      </w:r>
      <w:r w:rsidR="006943EB">
        <w:t>TC i</w:t>
      </w:r>
      <w:r w:rsidR="00816480" w:rsidRPr="004D152D">
        <w:t>ntensity statistics</w:t>
      </w:r>
      <w:r w:rsidR="00BE43A3">
        <w:t xml:space="preserve"> and simulations</w:t>
      </w:r>
      <w:r w:rsidRPr="004D152D">
        <w:t>.</w:t>
      </w:r>
      <w:r w:rsidRPr="16565D22">
        <w:rPr>
          <w:b/>
          <w:bCs/>
        </w:rPr>
        <w:t xml:space="preserve"> </w:t>
      </w:r>
      <w:r w:rsidR="00816480">
        <w:t xml:space="preserve">(a) Annual mean trend of </w:t>
      </w:r>
      <w:r w:rsidR="00C30946">
        <w:t xml:space="preserve">TC </w:t>
      </w:r>
      <w:r w:rsidR="00816480">
        <w:t>LI and LMI. (b) Trend of the ratio of annual mean</w:t>
      </w:r>
      <w:r w:rsidR="004D152D">
        <w:t xml:space="preserve"> TC</w:t>
      </w:r>
      <w:r w:rsidR="00816480">
        <w:t xml:space="preserve"> LI to LMI.</w:t>
      </w:r>
      <w:r w:rsidR="00BE43A3">
        <w:t xml:space="preserve"> (c)</w:t>
      </w:r>
      <w:r w:rsidR="007347ED">
        <w:t xml:space="preserve"> Annual mean trends of synthetic TC LI. (d) Doubling time (T</w:t>
      </w:r>
      <w:r w:rsidR="007347ED">
        <w:rPr>
          <w:vertAlign w:val="subscript"/>
        </w:rPr>
        <w:t>D</w:t>
      </w:r>
      <w:r w:rsidR="007347ED">
        <w:t xml:space="preserve">) of synthetic </w:t>
      </w:r>
      <w:r w:rsidR="00DC3826">
        <w:t xml:space="preserve">annual </w:t>
      </w:r>
      <w:r w:rsidR="007347ED">
        <w:t>landfalls. The dark bars in (c) and (d) highlight the significant synthetic LI trends and T</w:t>
      </w:r>
      <w:r w:rsidR="007347ED">
        <w:rPr>
          <w:vertAlign w:val="subscript"/>
        </w:rPr>
        <w:t>D</w:t>
      </w:r>
      <w:r w:rsidR="003E626E">
        <w:rPr>
          <w:vertAlign w:val="subscript"/>
        </w:rPr>
        <w:t xml:space="preserve"> </w:t>
      </w:r>
      <w:r w:rsidR="003E626E">
        <w:t>(</w:t>
      </w:r>
      <w:r w:rsidR="003E626E">
        <w:rPr>
          <w:i/>
          <w:iCs/>
        </w:rPr>
        <w:t>p</w:t>
      </w:r>
      <w:r w:rsidR="003E626E" w:rsidRPr="003E626E">
        <w:t>&lt;0.05</w:t>
      </w:r>
      <w:r w:rsidR="003E626E">
        <w:t>)</w:t>
      </w:r>
      <w:r w:rsidR="007347ED">
        <w:t>.</w:t>
      </w:r>
      <w:r w:rsidR="00816480">
        <w:t xml:space="preserve"> </w:t>
      </w:r>
      <w:r w:rsidR="007347ED">
        <w:t>As defined in Methods, “landfall” and “TC” here are referred to as major landfall events with LIs of at least major intensity (≥ 50 m s</w:t>
      </w:r>
      <w:r w:rsidR="007347ED" w:rsidRPr="00AE102D">
        <w:rPr>
          <w:vertAlign w:val="superscript"/>
        </w:rPr>
        <w:t>-1</w:t>
      </w:r>
      <w:r w:rsidR="007347ED">
        <w:t>), and landfalling storms with LMIs of at least major intensity, respectively.</w:t>
      </w:r>
    </w:p>
    <w:sectPr w:rsidR="00AD7967" w:rsidRPr="00DB156A" w:rsidSect="007E5442">
      <w:pgSz w:w="11900" w:h="16840"/>
      <w:pgMar w:top="1440" w:right="1440" w:bottom="1440" w:left="1440" w:header="708" w:footer="708"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DE6F" w14:textId="77777777" w:rsidR="00B3273B" w:rsidRDefault="00B3273B" w:rsidP="00950034">
      <w:r>
        <w:separator/>
      </w:r>
    </w:p>
  </w:endnote>
  <w:endnote w:type="continuationSeparator" w:id="0">
    <w:p w14:paraId="03DDE1C8" w14:textId="77777777" w:rsidR="00B3273B" w:rsidRDefault="00B3273B" w:rsidP="00950034">
      <w:r>
        <w:continuationSeparator/>
      </w:r>
    </w:p>
  </w:endnote>
  <w:endnote w:type="continuationNotice" w:id="1">
    <w:p w14:paraId="057E79C3" w14:textId="77777777" w:rsidR="00B3273B" w:rsidRDefault="00B32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1310457"/>
      <w:docPartObj>
        <w:docPartGallery w:val="Page Numbers (Bottom of Page)"/>
        <w:docPartUnique/>
      </w:docPartObj>
    </w:sdtPr>
    <w:sdtEndPr>
      <w:rPr>
        <w:rStyle w:val="PageNumber"/>
      </w:rPr>
    </w:sdtEndPr>
    <w:sdtContent>
      <w:p w14:paraId="2F355563" w14:textId="67B8EFD7" w:rsidR="004C5F03" w:rsidRDefault="004C5F03" w:rsidP="004C5F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573912" w14:textId="77777777" w:rsidR="004C5F03" w:rsidRDefault="004C5F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1600960"/>
      <w:docPartObj>
        <w:docPartGallery w:val="Page Numbers (Bottom of Page)"/>
        <w:docPartUnique/>
      </w:docPartObj>
    </w:sdtPr>
    <w:sdtEndPr>
      <w:rPr>
        <w:rStyle w:val="PageNumber"/>
      </w:rPr>
    </w:sdtEndPr>
    <w:sdtContent>
      <w:p w14:paraId="2B57B3B4" w14:textId="74B9D1F9" w:rsidR="004C5F03" w:rsidRDefault="004C5F03" w:rsidP="004C5F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2EA409" w14:textId="77777777" w:rsidR="004C5F03" w:rsidRDefault="004C5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35A2" w14:textId="77777777" w:rsidR="00B3273B" w:rsidRDefault="00B3273B" w:rsidP="00950034">
      <w:r>
        <w:separator/>
      </w:r>
    </w:p>
  </w:footnote>
  <w:footnote w:type="continuationSeparator" w:id="0">
    <w:p w14:paraId="2296DB7F" w14:textId="77777777" w:rsidR="00B3273B" w:rsidRDefault="00B3273B" w:rsidP="00950034">
      <w:r>
        <w:continuationSeparator/>
      </w:r>
    </w:p>
  </w:footnote>
  <w:footnote w:type="continuationNotice" w:id="1">
    <w:p w14:paraId="1D4E2401" w14:textId="77777777" w:rsidR="00B3273B" w:rsidRDefault="00B327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360"/>
    <w:multiLevelType w:val="multilevel"/>
    <w:tmpl w:val="07AEF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2B7E6D"/>
    <w:multiLevelType w:val="hybridMultilevel"/>
    <w:tmpl w:val="C2F4A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C67E51"/>
    <w:multiLevelType w:val="hybridMultilevel"/>
    <w:tmpl w:val="5A561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E0277D"/>
    <w:multiLevelType w:val="hybridMultilevel"/>
    <w:tmpl w:val="5790A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372C90"/>
    <w:multiLevelType w:val="hybridMultilevel"/>
    <w:tmpl w:val="B778F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967"/>
    <w:rsid w:val="00000D1D"/>
    <w:rsid w:val="00001BDE"/>
    <w:rsid w:val="00003340"/>
    <w:rsid w:val="00003A12"/>
    <w:rsid w:val="0000402A"/>
    <w:rsid w:val="00004220"/>
    <w:rsid w:val="00004640"/>
    <w:rsid w:val="000053A2"/>
    <w:rsid w:val="000070CB"/>
    <w:rsid w:val="0001015F"/>
    <w:rsid w:val="0001102B"/>
    <w:rsid w:val="00011534"/>
    <w:rsid w:val="00011DC0"/>
    <w:rsid w:val="000128D5"/>
    <w:rsid w:val="00012A44"/>
    <w:rsid w:val="00012CE3"/>
    <w:rsid w:val="00013739"/>
    <w:rsid w:val="000137C0"/>
    <w:rsid w:val="0001570A"/>
    <w:rsid w:val="000160A2"/>
    <w:rsid w:val="00016220"/>
    <w:rsid w:val="0001BF09"/>
    <w:rsid w:val="00021138"/>
    <w:rsid w:val="00021F9F"/>
    <w:rsid w:val="00022994"/>
    <w:rsid w:val="00026366"/>
    <w:rsid w:val="00026395"/>
    <w:rsid w:val="000264EE"/>
    <w:rsid w:val="00026580"/>
    <w:rsid w:val="00026BC3"/>
    <w:rsid w:val="00026D0B"/>
    <w:rsid w:val="0003115C"/>
    <w:rsid w:val="00031707"/>
    <w:rsid w:val="00031A62"/>
    <w:rsid w:val="00031A99"/>
    <w:rsid w:val="0003281C"/>
    <w:rsid w:val="00032990"/>
    <w:rsid w:val="0003364F"/>
    <w:rsid w:val="000337B8"/>
    <w:rsid w:val="00037FC7"/>
    <w:rsid w:val="00040970"/>
    <w:rsid w:val="0004103F"/>
    <w:rsid w:val="00041811"/>
    <w:rsid w:val="000419E9"/>
    <w:rsid w:val="000426C7"/>
    <w:rsid w:val="00043011"/>
    <w:rsid w:val="00043A7F"/>
    <w:rsid w:val="0004521A"/>
    <w:rsid w:val="0004554D"/>
    <w:rsid w:val="00046AD1"/>
    <w:rsid w:val="000476B0"/>
    <w:rsid w:val="00047C06"/>
    <w:rsid w:val="00047DAD"/>
    <w:rsid w:val="00047DC8"/>
    <w:rsid w:val="00050AC3"/>
    <w:rsid w:val="00050D6B"/>
    <w:rsid w:val="00054F15"/>
    <w:rsid w:val="00055BA1"/>
    <w:rsid w:val="00056075"/>
    <w:rsid w:val="00056DA8"/>
    <w:rsid w:val="00057052"/>
    <w:rsid w:val="00057C73"/>
    <w:rsid w:val="0006033F"/>
    <w:rsid w:val="00060666"/>
    <w:rsid w:val="00062F87"/>
    <w:rsid w:val="000636C6"/>
    <w:rsid w:val="00063AE8"/>
    <w:rsid w:val="00064A72"/>
    <w:rsid w:val="00064F5D"/>
    <w:rsid w:val="00064F72"/>
    <w:rsid w:val="0006649F"/>
    <w:rsid w:val="0006671E"/>
    <w:rsid w:val="0006714C"/>
    <w:rsid w:val="00070ECC"/>
    <w:rsid w:val="00070F23"/>
    <w:rsid w:val="000744B9"/>
    <w:rsid w:val="000744C8"/>
    <w:rsid w:val="00074984"/>
    <w:rsid w:val="00074A32"/>
    <w:rsid w:val="0007552E"/>
    <w:rsid w:val="00076370"/>
    <w:rsid w:val="00077739"/>
    <w:rsid w:val="00077EB3"/>
    <w:rsid w:val="00080776"/>
    <w:rsid w:val="00082E45"/>
    <w:rsid w:val="0008430C"/>
    <w:rsid w:val="000844FB"/>
    <w:rsid w:val="00085112"/>
    <w:rsid w:val="0008566C"/>
    <w:rsid w:val="00085736"/>
    <w:rsid w:val="00085D7E"/>
    <w:rsid w:val="00086CCE"/>
    <w:rsid w:val="0008709A"/>
    <w:rsid w:val="000902C1"/>
    <w:rsid w:val="00092834"/>
    <w:rsid w:val="00093DFE"/>
    <w:rsid w:val="00095D53"/>
    <w:rsid w:val="00097160"/>
    <w:rsid w:val="000971CF"/>
    <w:rsid w:val="00097D25"/>
    <w:rsid w:val="000A0493"/>
    <w:rsid w:val="000A1764"/>
    <w:rsid w:val="000A2520"/>
    <w:rsid w:val="000A322F"/>
    <w:rsid w:val="000A3611"/>
    <w:rsid w:val="000A3AD7"/>
    <w:rsid w:val="000A3D55"/>
    <w:rsid w:val="000A4082"/>
    <w:rsid w:val="000A4C3B"/>
    <w:rsid w:val="000A5D52"/>
    <w:rsid w:val="000A5FD1"/>
    <w:rsid w:val="000A696A"/>
    <w:rsid w:val="000A6F9B"/>
    <w:rsid w:val="000A7146"/>
    <w:rsid w:val="000A7DD9"/>
    <w:rsid w:val="000B0199"/>
    <w:rsid w:val="000B0A94"/>
    <w:rsid w:val="000B1382"/>
    <w:rsid w:val="000B1C9E"/>
    <w:rsid w:val="000B21A2"/>
    <w:rsid w:val="000B22C5"/>
    <w:rsid w:val="000B3313"/>
    <w:rsid w:val="000B40F7"/>
    <w:rsid w:val="000B4395"/>
    <w:rsid w:val="000B60BF"/>
    <w:rsid w:val="000B6294"/>
    <w:rsid w:val="000B636A"/>
    <w:rsid w:val="000B6884"/>
    <w:rsid w:val="000B6ED4"/>
    <w:rsid w:val="000B7A24"/>
    <w:rsid w:val="000C2681"/>
    <w:rsid w:val="000C3968"/>
    <w:rsid w:val="000C3FE2"/>
    <w:rsid w:val="000C4673"/>
    <w:rsid w:val="000C46E8"/>
    <w:rsid w:val="000C6056"/>
    <w:rsid w:val="000C65E5"/>
    <w:rsid w:val="000C6AA4"/>
    <w:rsid w:val="000D1B29"/>
    <w:rsid w:val="000D3171"/>
    <w:rsid w:val="000D32A5"/>
    <w:rsid w:val="000D3F49"/>
    <w:rsid w:val="000D4DAF"/>
    <w:rsid w:val="000D563A"/>
    <w:rsid w:val="000D57EB"/>
    <w:rsid w:val="000D6FF9"/>
    <w:rsid w:val="000D7FCB"/>
    <w:rsid w:val="000E1288"/>
    <w:rsid w:val="000E45D3"/>
    <w:rsid w:val="000E4887"/>
    <w:rsid w:val="000E5BDC"/>
    <w:rsid w:val="000E6395"/>
    <w:rsid w:val="000E6756"/>
    <w:rsid w:val="000F3053"/>
    <w:rsid w:val="000F315A"/>
    <w:rsid w:val="000F373E"/>
    <w:rsid w:val="000F3A01"/>
    <w:rsid w:val="000F3A31"/>
    <w:rsid w:val="000F4AE2"/>
    <w:rsid w:val="000F5996"/>
    <w:rsid w:val="000F601C"/>
    <w:rsid w:val="000F6A7D"/>
    <w:rsid w:val="000F6E20"/>
    <w:rsid w:val="000F78FA"/>
    <w:rsid w:val="0010085F"/>
    <w:rsid w:val="00100C6C"/>
    <w:rsid w:val="00101450"/>
    <w:rsid w:val="00102A14"/>
    <w:rsid w:val="0010314E"/>
    <w:rsid w:val="0010366F"/>
    <w:rsid w:val="00104186"/>
    <w:rsid w:val="001042AD"/>
    <w:rsid w:val="00104448"/>
    <w:rsid w:val="001059F9"/>
    <w:rsid w:val="00105D2F"/>
    <w:rsid w:val="00106985"/>
    <w:rsid w:val="00107CA6"/>
    <w:rsid w:val="00113812"/>
    <w:rsid w:val="00115CB4"/>
    <w:rsid w:val="00116963"/>
    <w:rsid w:val="00116A4C"/>
    <w:rsid w:val="00117D36"/>
    <w:rsid w:val="00117FDD"/>
    <w:rsid w:val="0012014D"/>
    <w:rsid w:val="00120586"/>
    <w:rsid w:val="00121C52"/>
    <w:rsid w:val="00121C60"/>
    <w:rsid w:val="00122FAE"/>
    <w:rsid w:val="00123544"/>
    <w:rsid w:val="001235A2"/>
    <w:rsid w:val="00123772"/>
    <w:rsid w:val="001237B9"/>
    <w:rsid w:val="0012465B"/>
    <w:rsid w:val="001249F5"/>
    <w:rsid w:val="00124AC6"/>
    <w:rsid w:val="001251AF"/>
    <w:rsid w:val="00125EB2"/>
    <w:rsid w:val="001300B2"/>
    <w:rsid w:val="0013081E"/>
    <w:rsid w:val="0013225B"/>
    <w:rsid w:val="0013249B"/>
    <w:rsid w:val="001329CC"/>
    <w:rsid w:val="0013366E"/>
    <w:rsid w:val="00134925"/>
    <w:rsid w:val="00134CB0"/>
    <w:rsid w:val="001355A9"/>
    <w:rsid w:val="0014073B"/>
    <w:rsid w:val="001422E1"/>
    <w:rsid w:val="001423A0"/>
    <w:rsid w:val="00143A44"/>
    <w:rsid w:val="00143BE4"/>
    <w:rsid w:val="00144A6E"/>
    <w:rsid w:val="0014615A"/>
    <w:rsid w:val="00151704"/>
    <w:rsid w:val="001523BD"/>
    <w:rsid w:val="00153D24"/>
    <w:rsid w:val="00153D97"/>
    <w:rsid w:val="00153FDD"/>
    <w:rsid w:val="0015419D"/>
    <w:rsid w:val="001569CE"/>
    <w:rsid w:val="00157B26"/>
    <w:rsid w:val="00161333"/>
    <w:rsid w:val="00161814"/>
    <w:rsid w:val="00162512"/>
    <w:rsid w:val="00162959"/>
    <w:rsid w:val="00163119"/>
    <w:rsid w:val="0016353C"/>
    <w:rsid w:val="00164BEB"/>
    <w:rsid w:val="00165042"/>
    <w:rsid w:val="001652F2"/>
    <w:rsid w:val="001660A3"/>
    <w:rsid w:val="00166659"/>
    <w:rsid w:val="001670BB"/>
    <w:rsid w:val="001670FA"/>
    <w:rsid w:val="001677E7"/>
    <w:rsid w:val="0016784F"/>
    <w:rsid w:val="00170702"/>
    <w:rsid w:val="00170737"/>
    <w:rsid w:val="001707DA"/>
    <w:rsid w:val="00173897"/>
    <w:rsid w:val="00174BE0"/>
    <w:rsid w:val="00174DA1"/>
    <w:rsid w:val="001758FE"/>
    <w:rsid w:val="00175A56"/>
    <w:rsid w:val="00175F8D"/>
    <w:rsid w:val="00175FD0"/>
    <w:rsid w:val="00177E4B"/>
    <w:rsid w:val="0018093F"/>
    <w:rsid w:val="00180C63"/>
    <w:rsid w:val="001825F3"/>
    <w:rsid w:val="00183141"/>
    <w:rsid w:val="00184EB6"/>
    <w:rsid w:val="0018560B"/>
    <w:rsid w:val="00185B79"/>
    <w:rsid w:val="00187370"/>
    <w:rsid w:val="00187701"/>
    <w:rsid w:val="00187A10"/>
    <w:rsid w:val="00191318"/>
    <w:rsid w:val="00192E8E"/>
    <w:rsid w:val="00194860"/>
    <w:rsid w:val="00194DE0"/>
    <w:rsid w:val="00196608"/>
    <w:rsid w:val="00196AA6"/>
    <w:rsid w:val="0019706A"/>
    <w:rsid w:val="001A1EF7"/>
    <w:rsid w:val="001A1EFE"/>
    <w:rsid w:val="001A2570"/>
    <w:rsid w:val="001A2A57"/>
    <w:rsid w:val="001A2A9B"/>
    <w:rsid w:val="001A30D5"/>
    <w:rsid w:val="001A3D52"/>
    <w:rsid w:val="001A5898"/>
    <w:rsid w:val="001A59F9"/>
    <w:rsid w:val="001A6396"/>
    <w:rsid w:val="001A6489"/>
    <w:rsid w:val="001A6A95"/>
    <w:rsid w:val="001B0575"/>
    <w:rsid w:val="001B1267"/>
    <w:rsid w:val="001B1A9D"/>
    <w:rsid w:val="001B382A"/>
    <w:rsid w:val="001B3E3E"/>
    <w:rsid w:val="001B4962"/>
    <w:rsid w:val="001B4FE8"/>
    <w:rsid w:val="001B512C"/>
    <w:rsid w:val="001B52BF"/>
    <w:rsid w:val="001B53FF"/>
    <w:rsid w:val="001B59B2"/>
    <w:rsid w:val="001B7F38"/>
    <w:rsid w:val="001B8540"/>
    <w:rsid w:val="001C14AC"/>
    <w:rsid w:val="001C17CB"/>
    <w:rsid w:val="001C1A82"/>
    <w:rsid w:val="001C2364"/>
    <w:rsid w:val="001C309A"/>
    <w:rsid w:val="001C3FDF"/>
    <w:rsid w:val="001C4946"/>
    <w:rsid w:val="001C522D"/>
    <w:rsid w:val="001C589F"/>
    <w:rsid w:val="001C65BD"/>
    <w:rsid w:val="001D323B"/>
    <w:rsid w:val="001D3AB0"/>
    <w:rsid w:val="001D59C4"/>
    <w:rsid w:val="001D5BAC"/>
    <w:rsid w:val="001D5CFC"/>
    <w:rsid w:val="001D637B"/>
    <w:rsid w:val="001D6843"/>
    <w:rsid w:val="001E02EA"/>
    <w:rsid w:val="001E0A10"/>
    <w:rsid w:val="001E12F1"/>
    <w:rsid w:val="001E1366"/>
    <w:rsid w:val="001E25C6"/>
    <w:rsid w:val="001E2D57"/>
    <w:rsid w:val="001E4EBA"/>
    <w:rsid w:val="001E5575"/>
    <w:rsid w:val="001E640B"/>
    <w:rsid w:val="001E66E5"/>
    <w:rsid w:val="001E7088"/>
    <w:rsid w:val="001E79D7"/>
    <w:rsid w:val="001F2C37"/>
    <w:rsid w:val="001F3492"/>
    <w:rsid w:val="001F3C4E"/>
    <w:rsid w:val="001F4A34"/>
    <w:rsid w:val="001F4D7F"/>
    <w:rsid w:val="001F4E1A"/>
    <w:rsid w:val="001F57D3"/>
    <w:rsid w:val="001F593B"/>
    <w:rsid w:val="001F5A7D"/>
    <w:rsid w:val="001F5DAA"/>
    <w:rsid w:val="001F61C6"/>
    <w:rsid w:val="001F6655"/>
    <w:rsid w:val="002008B4"/>
    <w:rsid w:val="002026A4"/>
    <w:rsid w:val="002030BD"/>
    <w:rsid w:val="002039EE"/>
    <w:rsid w:val="00204A18"/>
    <w:rsid w:val="0020623F"/>
    <w:rsid w:val="0020699B"/>
    <w:rsid w:val="00207CD7"/>
    <w:rsid w:val="0021028F"/>
    <w:rsid w:val="0021060F"/>
    <w:rsid w:val="002108CA"/>
    <w:rsid w:val="00212866"/>
    <w:rsid w:val="00212E82"/>
    <w:rsid w:val="00213473"/>
    <w:rsid w:val="00213AD7"/>
    <w:rsid w:val="00213FAC"/>
    <w:rsid w:val="0021437C"/>
    <w:rsid w:val="00214391"/>
    <w:rsid w:val="00215095"/>
    <w:rsid w:val="0021518F"/>
    <w:rsid w:val="002158DE"/>
    <w:rsid w:val="00215F84"/>
    <w:rsid w:val="00216A2D"/>
    <w:rsid w:val="0022028D"/>
    <w:rsid w:val="00221D7C"/>
    <w:rsid w:val="00221F8E"/>
    <w:rsid w:val="00222620"/>
    <w:rsid w:val="00222621"/>
    <w:rsid w:val="0022330F"/>
    <w:rsid w:val="00223F70"/>
    <w:rsid w:val="00225D1B"/>
    <w:rsid w:val="002271E0"/>
    <w:rsid w:val="002272A9"/>
    <w:rsid w:val="00227A5D"/>
    <w:rsid w:val="00232EA5"/>
    <w:rsid w:val="00234A84"/>
    <w:rsid w:val="00236254"/>
    <w:rsid w:val="00236383"/>
    <w:rsid w:val="00236F41"/>
    <w:rsid w:val="002370E7"/>
    <w:rsid w:val="00242158"/>
    <w:rsid w:val="0024225B"/>
    <w:rsid w:val="00243793"/>
    <w:rsid w:val="0024531C"/>
    <w:rsid w:val="00245D1B"/>
    <w:rsid w:val="002479EF"/>
    <w:rsid w:val="0025221C"/>
    <w:rsid w:val="00252C65"/>
    <w:rsid w:val="00252E5A"/>
    <w:rsid w:val="00253C02"/>
    <w:rsid w:val="002552BA"/>
    <w:rsid w:val="00257AAC"/>
    <w:rsid w:val="00262B5F"/>
    <w:rsid w:val="002639A4"/>
    <w:rsid w:val="00264538"/>
    <w:rsid w:val="0026620B"/>
    <w:rsid w:val="00266370"/>
    <w:rsid w:val="0026766F"/>
    <w:rsid w:val="0027034E"/>
    <w:rsid w:val="00270ABA"/>
    <w:rsid w:val="00271EA3"/>
    <w:rsid w:val="002725AB"/>
    <w:rsid w:val="0027295C"/>
    <w:rsid w:val="00272F6F"/>
    <w:rsid w:val="00274AA4"/>
    <w:rsid w:val="00274AAA"/>
    <w:rsid w:val="002767C7"/>
    <w:rsid w:val="002769D0"/>
    <w:rsid w:val="00276AB9"/>
    <w:rsid w:val="002773EA"/>
    <w:rsid w:val="00277D25"/>
    <w:rsid w:val="00281468"/>
    <w:rsid w:val="0028149C"/>
    <w:rsid w:val="00284999"/>
    <w:rsid w:val="00284F78"/>
    <w:rsid w:val="00285DC5"/>
    <w:rsid w:val="00285DD2"/>
    <w:rsid w:val="0028602A"/>
    <w:rsid w:val="0028755E"/>
    <w:rsid w:val="00287BFC"/>
    <w:rsid w:val="0029083B"/>
    <w:rsid w:val="0029222E"/>
    <w:rsid w:val="00294952"/>
    <w:rsid w:val="00294BB0"/>
    <w:rsid w:val="002979B6"/>
    <w:rsid w:val="002A05B4"/>
    <w:rsid w:val="002A0A75"/>
    <w:rsid w:val="002A1B35"/>
    <w:rsid w:val="002A1D83"/>
    <w:rsid w:val="002A3387"/>
    <w:rsid w:val="002A4F4B"/>
    <w:rsid w:val="002A5E8D"/>
    <w:rsid w:val="002A6800"/>
    <w:rsid w:val="002B0C6B"/>
    <w:rsid w:val="002B130B"/>
    <w:rsid w:val="002B1F33"/>
    <w:rsid w:val="002B23E0"/>
    <w:rsid w:val="002B29A3"/>
    <w:rsid w:val="002B2A3E"/>
    <w:rsid w:val="002B2D46"/>
    <w:rsid w:val="002B4A17"/>
    <w:rsid w:val="002B50EB"/>
    <w:rsid w:val="002B5956"/>
    <w:rsid w:val="002B5DAE"/>
    <w:rsid w:val="002C0402"/>
    <w:rsid w:val="002C1589"/>
    <w:rsid w:val="002C16ED"/>
    <w:rsid w:val="002C2C76"/>
    <w:rsid w:val="002C5076"/>
    <w:rsid w:val="002D0F64"/>
    <w:rsid w:val="002D2076"/>
    <w:rsid w:val="002D370D"/>
    <w:rsid w:val="002D3F28"/>
    <w:rsid w:val="002D49DB"/>
    <w:rsid w:val="002D5F5C"/>
    <w:rsid w:val="002D6372"/>
    <w:rsid w:val="002DABD3"/>
    <w:rsid w:val="002E19C9"/>
    <w:rsid w:val="002E2226"/>
    <w:rsid w:val="002E2767"/>
    <w:rsid w:val="002E3C85"/>
    <w:rsid w:val="002E46A5"/>
    <w:rsid w:val="002E5045"/>
    <w:rsid w:val="002E7491"/>
    <w:rsid w:val="002F18C1"/>
    <w:rsid w:val="002F3A64"/>
    <w:rsid w:val="002F3BB7"/>
    <w:rsid w:val="002F5020"/>
    <w:rsid w:val="002F6742"/>
    <w:rsid w:val="002F6F43"/>
    <w:rsid w:val="003000C4"/>
    <w:rsid w:val="00300BCA"/>
    <w:rsid w:val="00301FD8"/>
    <w:rsid w:val="003037CB"/>
    <w:rsid w:val="0030441E"/>
    <w:rsid w:val="003050CD"/>
    <w:rsid w:val="003055E2"/>
    <w:rsid w:val="0030690D"/>
    <w:rsid w:val="00307133"/>
    <w:rsid w:val="00307763"/>
    <w:rsid w:val="00307E8C"/>
    <w:rsid w:val="00310969"/>
    <w:rsid w:val="00310CCB"/>
    <w:rsid w:val="00311669"/>
    <w:rsid w:val="00311B4F"/>
    <w:rsid w:val="00311F14"/>
    <w:rsid w:val="003132A9"/>
    <w:rsid w:val="00313B16"/>
    <w:rsid w:val="0031401D"/>
    <w:rsid w:val="00314122"/>
    <w:rsid w:val="003148C3"/>
    <w:rsid w:val="003172F1"/>
    <w:rsid w:val="003177A3"/>
    <w:rsid w:val="00317BEF"/>
    <w:rsid w:val="00320CCC"/>
    <w:rsid w:val="0032245B"/>
    <w:rsid w:val="003233E6"/>
    <w:rsid w:val="0032348D"/>
    <w:rsid w:val="00324513"/>
    <w:rsid w:val="0032502D"/>
    <w:rsid w:val="00326873"/>
    <w:rsid w:val="00326C6B"/>
    <w:rsid w:val="00330A92"/>
    <w:rsid w:val="00331182"/>
    <w:rsid w:val="0033132B"/>
    <w:rsid w:val="00331B04"/>
    <w:rsid w:val="003324D5"/>
    <w:rsid w:val="0033258C"/>
    <w:rsid w:val="003330E1"/>
    <w:rsid w:val="003345B0"/>
    <w:rsid w:val="003346DF"/>
    <w:rsid w:val="00334B2C"/>
    <w:rsid w:val="00335D43"/>
    <w:rsid w:val="0033660F"/>
    <w:rsid w:val="00336F6F"/>
    <w:rsid w:val="00336F9B"/>
    <w:rsid w:val="00337077"/>
    <w:rsid w:val="00337661"/>
    <w:rsid w:val="00337E04"/>
    <w:rsid w:val="003404AE"/>
    <w:rsid w:val="003426D9"/>
    <w:rsid w:val="00342CC9"/>
    <w:rsid w:val="0034314A"/>
    <w:rsid w:val="00344039"/>
    <w:rsid w:val="0034442C"/>
    <w:rsid w:val="00344F92"/>
    <w:rsid w:val="00345525"/>
    <w:rsid w:val="003460C6"/>
    <w:rsid w:val="0034660C"/>
    <w:rsid w:val="003469D6"/>
    <w:rsid w:val="00350108"/>
    <w:rsid w:val="003503E5"/>
    <w:rsid w:val="00351598"/>
    <w:rsid w:val="003520B5"/>
    <w:rsid w:val="003528B9"/>
    <w:rsid w:val="00352A96"/>
    <w:rsid w:val="00352D28"/>
    <w:rsid w:val="00353505"/>
    <w:rsid w:val="0035394C"/>
    <w:rsid w:val="003544C8"/>
    <w:rsid w:val="00354C8B"/>
    <w:rsid w:val="00355700"/>
    <w:rsid w:val="00356BD6"/>
    <w:rsid w:val="00357165"/>
    <w:rsid w:val="00362C05"/>
    <w:rsid w:val="00362FC5"/>
    <w:rsid w:val="00363613"/>
    <w:rsid w:val="0036365C"/>
    <w:rsid w:val="003639D2"/>
    <w:rsid w:val="00363EDA"/>
    <w:rsid w:val="0036463E"/>
    <w:rsid w:val="00365A85"/>
    <w:rsid w:val="00365ACF"/>
    <w:rsid w:val="00366799"/>
    <w:rsid w:val="0037160E"/>
    <w:rsid w:val="00372143"/>
    <w:rsid w:val="00372B08"/>
    <w:rsid w:val="003736CA"/>
    <w:rsid w:val="00373DBE"/>
    <w:rsid w:val="00374037"/>
    <w:rsid w:val="003745CF"/>
    <w:rsid w:val="003749E1"/>
    <w:rsid w:val="00375513"/>
    <w:rsid w:val="00375ADD"/>
    <w:rsid w:val="00376035"/>
    <w:rsid w:val="00380475"/>
    <w:rsid w:val="0038057D"/>
    <w:rsid w:val="00380B00"/>
    <w:rsid w:val="003822FC"/>
    <w:rsid w:val="0038293D"/>
    <w:rsid w:val="003831E9"/>
    <w:rsid w:val="00384348"/>
    <w:rsid w:val="00384CB7"/>
    <w:rsid w:val="0038611B"/>
    <w:rsid w:val="0038760A"/>
    <w:rsid w:val="00387CAF"/>
    <w:rsid w:val="00387DAA"/>
    <w:rsid w:val="00392E69"/>
    <w:rsid w:val="003934BA"/>
    <w:rsid w:val="00393673"/>
    <w:rsid w:val="00393C70"/>
    <w:rsid w:val="00393E9D"/>
    <w:rsid w:val="00394954"/>
    <w:rsid w:val="00396382"/>
    <w:rsid w:val="00397D7B"/>
    <w:rsid w:val="003A1316"/>
    <w:rsid w:val="003A2AB6"/>
    <w:rsid w:val="003A2D4A"/>
    <w:rsid w:val="003A3E34"/>
    <w:rsid w:val="003A45FC"/>
    <w:rsid w:val="003A5492"/>
    <w:rsid w:val="003A6303"/>
    <w:rsid w:val="003B0054"/>
    <w:rsid w:val="003B0799"/>
    <w:rsid w:val="003B1261"/>
    <w:rsid w:val="003B2879"/>
    <w:rsid w:val="003B2D9E"/>
    <w:rsid w:val="003B3549"/>
    <w:rsid w:val="003B3AAF"/>
    <w:rsid w:val="003B414A"/>
    <w:rsid w:val="003B5BD5"/>
    <w:rsid w:val="003B6294"/>
    <w:rsid w:val="003B76E6"/>
    <w:rsid w:val="003B7B37"/>
    <w:rsid w:val="003C2A69"/>
    <w:rsid w:val="003C2F04"/>
    <w:rsid w:val="003C36F0"/>
    <w:rsid w:val="003C43A4"/>
    <w:rsid w:val="003C4770"/>
    <w:rsid w:val="003C4CF6"/>
    <w:rsid w:val="003C74DB"/>
    <w:rsid w:val="003C7FF0"/>
    <w:rsid w:val="003D0D4D"/>
    <w:rsid w:val="003D2255"/>
    <w:rsid w:val="003D2B2E"/>
    <w:rsid w:val="003D3205"/>
    <w:rsid w:val="003D4CE3"/>
    <w:rsid w:val="003D51A6"/>
    <w:rsid w:val="003D5269"/>
    <w:rsid w:val="003D52D6"/>
    <w:rsid w:val="003D6845"/>
    <w:rsid w:val="003D7B4B"/>
    <w:rsid w:val="003E00AA"/>
    <w:rsid w:val="003E0AAD"/>
    <w:rsid w:val="003E1075"/>
    <w:rsid w:val="003E11FD"/>
    <w:rsid w:val="003E1402"/>
    <w:rsid w:val="003E1519"/>
    <w:rsid w:val="003E1EE6"/>
    <w:rsid w:val="003E2E51"/>
    <w:rsid w:val="003E2E64"/>
    <w:rsid w:val="003E5242"/>
    <w:rsid w:val="003E60A4"/>
    <w:rsid w:val="003E626E"/>
    <w:rsid w:val="003E7408"/>
    <w:rsid w:val="003F1424"/>
    <w:rsid w:val="003F157D"/>
    <w:rsid w:val="003F1F39"/>
    <w:rsid w:val="003F35CE"/>
    <w:rsid w:val="003F3623"/>
    <w:rsid w:val="003F3655"/>
    <w:rsid w:val="003F386F"/>
    <w:rsid w:val="003F4505"/>
    <w:rsid w:val="003F4856"/>
    <w:rsid w:val="003F4C42"/>
    <w:rsid w:val="003F4CD0"/>
    <w:rsid w:val="003F5771"/>
    <w:rsid w:val="003F5D25"/>
    <w:rsid w:val="003F66CB"/>
    <w:rsid w:val="004000E9"/>
    <w:rsid w:val="00401110"/>
    <w:rsid w:val="0040147D"/>
    <w:rsid w:val="0040238D"/>
    <w:rsid w:val="00402492"/>
    <w:rsid w:val="00403F67"/>
    <w:rsid w:val="00404452"/>
    <w:rsid w:val="00404BB0"/>
    <w:rsid w:val="004050A7"/>
    <w:rsid w:val="004058C2"/>
    <w:rsid w:val="00405B61"/>
    <w:rsid w:val="004102D4"/>
    <w:rsid w:val="004113F4"/>
    <w:rsid w:val="004120FC"/>
    <w:rsid w:val="004128BB"/>
    <w:rsid w:val="0041385B"/>
    <w:rsid w:val="00413E52"/>
    <w:rsid w:val="004140EB"/>
    <w:rsid w:val="00416AA8"/>
    <w:rsid w:val="0042024E"/>
    <w:rsid w:val="00420F24"/>
    <w:rsid w:val="00421445"/>
    <w:rsid w:val="00421A69"/>
    <w:rsid w:val="004237D7"/>
    <w:rsid w:val="00424F15"/>
    <w:rsid w:val="00426521"/>
    <w:rsid w:val="00426B6B"/>
    <w:rsid w:val="00426C74"/>
    <w:rsid w:val="00427907"/>
    <w:rsid w:val="00430372"/>
    <w:rsid w:val="004310CB"/>
    <w:rsid w:val="0043161E"/>
    <w:rsid w:val="0043246C"/>
    <w:rsid w:val="004325D9"/>
    <w:rsid w:val="00432DAF"/>
    <w:rsid w:val="00433D40"/>
    <w:rsid w:val="004348FC"/>
    <w:rsid w:val="00434F62"/>
    <w:rsid w:val="00435750"/>
    <w:rsid w:val="00435E0E"/>
    <w:rsid w:val="00436AE9"/>
    <w:rsid w:val="00437149"/>
    <w:rsid w:val="004409C6"/>
    <w:rsid w:val="004411D1"/>
    <w:rsid w:val="0044142E"/>
    <w:rsid w:val="00443CA1"/>
    <w:rsid w:val="00443FAF"/>
    <w:rsid w:val="00444531"/>
    <w:rsid w:val="00444E2E"/>
    <w:rsid w:val="004450BA"/>
    <w:rsid w:val="00445DAB"/>
    <w:rsid w:val="0044693C"/>
    <w:rsid w:val="00446C23"/>
    <w:rsid w:val="004479AB"/>
    <w:rsid w:val="00447D44"/>
    <w:rsid w:val="004515EA"/>
    <w:rsid w:val="00451CDF"/>
    <w:rsid w:val="0045255F"/>
    <w:rsid w:val="00452B60"/>
    <w:rsid w:val="004547D1"/>
    <w:rsid w:val="00454F6C"/>
    <w:rsid w:val="00455824"/>
    <w:rsid w:val="004579C5"/>
    <w:rsid w:val="00460313"/>
    <w:rsid w:val="00460605"/>
    <w:rsid w:val="00460D9E"/>
    <w:rsid w:val="0046176B"/>
    <w:rsid w:val="00461924"/>
    <w:rsid w:val="004661AD"/>
    <w:rsid w:val="00466E72"/>
    <w:rsid w:val="00466F9D"/>
    <w:rsid w:val="004701AA"/>
    <w:rsid w:val="004720EE"/>
    <w:rsid w:val="00474C31"/>
    <w:rsid w:val="0048176B"/>
    <w:rsid w:val="004833FD"/>
    <w:rsid w:val="00483654"/>
    <w:rsid w:val="00483813"/>
    <w:rsid w:val="004857C2"/>
    <w:rsid w:val="00487B9A"/>
    <w:rsid w:val="00490889"/>
    <w:rsid w:val="00490CCD"/>
    <w:rsid w:val="00491DB0"/>
    <w:rsid w:val="00492C62"/>
    <w:rsid w:val="00493C6D"/>
    <w:rsid w:val="0049407A"/>
    <w:rsid w:val="0049416E"/>
    <w:rsid w:val="00494AF3"/>
    <w:rsid w:val="00495171"/>
    <w:rsid w:val="00496CE5"/>
    <w:rsid w:val="0049B0B7"/>
    <w:rsid w:val="004A17CA"/>
    <w:rsid w:val="004A19E3"/>
    <w:rsid w:val="004A37E6"/>
    <w:rsid w:val="004A4526"/>
    <w:rsid w:val="004A48D6"/>
    <w:rsid w:val="004A52E6"/>
    <w:rsid w:val="004A5EA6"/>
    <w:rsid w:val="004A5EBC"/>
    <w:rsid w:val="004A7402"/>
    <w:rsid w:val="004A7A2C"/>
    <w:rsid w:val="004B0119"/>
    <w:rsid w:val="004B2740"/>
    <w:rsid w:val="004B307C"/>
    <w:rsid w:val="004B46CA"/>
    <w:rsid w:val="004B5BAF"/>
    <w:rsid w:val="004B6811"/>
    <w:rsid w:val="004B74EC"/>
    <w:rsid w:val="004B75E1"/>
    <w:rsid w:val="004C08F1"/>
    <w:rsid w:val="004C16CC"/>
    <w:rsid w:val="004C1C69"/>
    <w:rsid w:val="004C308B"/>
    <w:rsid w:val="004C38AE"/>
    <w:rsid w:val="004C455B"/>
    <w:rsid w:val="004C4695"/>
    <w:rsid w:val="004C4FBF"/>
    <w:rsid w:val="004C56A4"/>
    <w:rsid w:val="004C5854"/>
    <w:rsid w:val="004C5F03"/>
    <w:rsid w:val="004C6193"/>
    <w:rsid w:val="004C6534"/>
    <w:rsid w:val="004C7EDA"/>
    <w:rsid w:val="004D01AF"/>
    <w:rsid w:val="004D125B"/>
    <w:rsid w:val="004D152D"/>
    <w:rsid w:val="004D1780"/>
    <w:rsid w:val="004D3F17"/>
    <w:rsid w:val="004D40F8"/>
    <w:rsid w:val="004D42FE"/>
    <w:rsid w:val="004D48BE"/>
    <w:rsid w:val="004D7911"/>
    <w:rsid w:val="004D7C06"/>
    <w:rsid w:val="004E1012"/>
    <w:rsid w:val="004E199A"/>
    <w:rsid w:val="004E258D"/>
    <w:rsid w:val="004E35C2"/>
    <w:rsid w:val="004E3D7A"/>
    <w:rsid w:val="004E459D"/>
    <w:rsid w:val="004E61E4"/>
    <w:rsid w:val="004E6C84"/>
    <w:rsid w:val="004E6DA5"/>
    <w:rsid w:val="004E7FE2"/>
    <w:rsid w:val="004F4636"/>
    <w:rsid w:val="004F5D1F"/>
    <w:rsid w:val="004F5ED8"/>
    <w:rsid w:val="004F711F"/>
    <w:rsid w:val="0050094B"/>
    <w:rsid w:val="00500B5F"/>
    <w:rsid w:val="00501E4E"/>
    <w:rsid w:val="00503240"/>
    <w:rsid w:val="00506684"/>
    <w:rsid w:val="00506D9E"/>
    <w:rsid w:val="00507667"/>
    <w:rsid w:val="00510C0F"/>
    <w:rsid w:val="005113C3"/>
    <w:rsid w:val="00512B9B"/>
    <w:rsid w:val="00512E3D"/>
    <w:rsid w:val="00512EF8"/>
    <w:rsid w:val="0051601E"/>
    <w:rsid w:val="0051677A"/>
    <w:rsid w:val="00516A03"/>
    <w:rsid w:val="00516FAC"/>
    <w:rsid w:val="005217FC"/>
    <w:rsid w:val="00521E4F"/>
    <w:rsid w:val="005222A5"/>
    <w:rsid w:val="00522D89"/>
    <w:rsid w:val="00522D9A"/>
    <w:rsid w:val="005253FD"/>
    <w:rsid w:val="005264FA"/>
    <w:rsid w:val="0052711D"/>
    <w:rsid w:val="005271E9"/>
    <w:rsid w:val="00527215"/>
    <w:rsid w:val="005275C7"/>
    <w:rsid w:val="00527A3B"/>
    <w:rsid w:val="005300A9"/>
    <w:rsid w:val="00530B8F"/>
    <w:rsid w:val="00530C6E"/>
    <w:rsid w:val="005326A5"/>
    <w:rsid w:val="005336EE"/>
    <w:rsid w:val="005339B5"/>
    <w:rsid w:val="00534451"/>
    <w:rsid w:val="005344C5"/>
    <w:rsid w:val="005345D1"/>
    <w:rsid w:val="00534FB1"/>
    <w:rsid w:val="00535B16"/>
    <w:rsid w:val="00536439"/>
    <w:rsid w:val="005367BF"/>
    <w:rsid w:val="00540EB3"/>
    <w:rsid w:val="00542452"/>
    <w:rsid w:val="00547EC7"/>
    <w:rsid w:val="005500DF"/>
    <w:rsid w:val="0055082B"/>
    <w:rsid w:val="00552216"/>
    <w:rsid w:val="00553621"/>
    <w:rsid w:val="0055545B"/>
    <w:rsid w:val="00556EE4"/>
    <w:rsid w:val="00557AE1"/>
    <w:rsid w:val="00560313"/>
    <w:rsid w:val="00560747"/>
    <w:rsid w:val="00560A40"/>
    <w:rsid w:val="00561473"/>
    <w:rsid w:val="00561B3B"/>
    <w:rsid w:val="00561E98"/>
    <w:rsid w:val="005622F0"/>
    <w:rsid w:val="005629B1"/>
    <w:rsid w:val="00562D33"/>
    <w:rsid w:val="00562F21"/>
    <w:rsid w:val="00564D1A"/>
    <w:rsid w:val="005651BF"/>
    <w:rsid w:val="00565C1D"/>
    <w:rsid w:val="00567930"/>
    <w:rsid w:val="005721B8"/>
    <w:rsid w:val="00573656"/>
    <w:rsid w:val="00575AAE"/>
    <w:rsid w:val="005761BE"/>
    <w:rsid w:val="00576530"/>
    <w:rsid w:val="005768F6"/>
    <w:rsid w:val="00577DED"/>
    <w:rsid w:val="00580894"/>
    <w:rsid w:val="005808D7"/>
    <w:rsid w:val="0058150F"/>
    <w:rsid w:val="005815D8"/>
    <w:rsid w:val="005833D5"/>
    <w:rsid w:val="00587A62"/>
    <w:rsid w:val="00590013"/>
    <w:rsid w:val="00590361"/>
    <w:rsid w:val="00590B77"/>
    <w:rsid w:val="00593BBC"/>
    <w:rsid w:val="005943D3"/>
    <w:rsid w:val="00594557"/>
    <w:rsid w:val="00595CE3"/>
    <w:rsid w:val="005A09E7"/>
    <w:rsid w:val="005A1538"/>
    <w:rsid w:val="005A1998"/>
    <w:rsid w:val="005A3553"/>
    <w:rsid w:val="005A5500"/>
    <w:rsid w:val="005A5508"/>
    <w:rsid w:val="005A55E7"/>
    <w:rsid w:val="005B47CC"/>
    <w:rsid w:val="005B54BD"/>
    <w:rsid w:val="005B5B77"/>
    <w:rsid w:val="005B5F02"/>
    <w:rsid w:val="005C163D"/>
    <w:rsid w:val="005C1D98"/>
    <w:rsid w:val="005C373B"/>
    <w:rsid w:val="005C43D7"/>
    <w:rsid w:val="005C580C"/>
    <w:rsid w:val="005C65D9"/>
    <w:rsid w:val="005C6A74"/>
    <w:rsid w:val="005C6A82"/>
    <w:rsid w:val="005C7924"/>
    <w:rsid w:val="005D1A69"/>
    <w:rsid w:val="005D38B7"/>
    <w:rsid w:val="005D4835"/>
    <w:rsid w:val="005D4E26"/>
    <w:rsid w:val="005D53CD"/>
    <w:rsid w:val="005D6547"/>
    <w:rsid w:val="005D66FE"/>
    <w:rsid w:val="005D6FA0"/>
    <w:rsid w:val="005E2190"/>
    <w:rsid w:val="005E229F"/>
    <w:rsid w:val="005E23DE"/>
    <w:rsid w:val="005E3807"/>
    <w:rsid w:val="005E5886"/>
    <w:rsid w:val="005E611B"/>
    <w:rsid w:val="005E67E2"/>
    <w:rsid w:val="005E6A62"/>
    <w:rsid w:val="005F05D5"/>
    <w:rsid w:val="005F0750"/>
    <w:rsid w:val="005F09C7"/>
    <w:rsid w:val="005F43D4"/>
    <w:rsid w:val="005F5C99"/>
    <w:rsid w:val="005F5D36"/>
    <w:rsid w:val="005F5F5D"/>
    <w:rsid w:val="005F62DD"/>
    <w:rsid w:val="005F685C"/>
    <w:rsid w:val="005F6B29"/>
    <w:rsid w:val="005F78AA"/>
    <w:rsid w:val="00601316"/>
    <w:rsid w:val="00602975"/>
    <w:rsid w:val="00603415"/>
    <w:rsid w:val="00605149"/>
    <w:rsid w:val="00606040"/>
    <w:rsid w:val="0060604A"/>
    <w:rsid w:val="0061023B"/>
    <w:rsid w:val="0061071B"/>
    <w:rsid w:val="00610948"/>
    <w:rsid w:val="00610FAC"/>
    <w:rsid w:val="006122D5"/>
    <w:rsid w:val="006125B5"/>
    <w:rsid w:val="00613FA0"/>
    <w:rsid w:val="00614147"/>
    <w:rsid w:val="00614700"/>
    <w:rsid w:val="00614F5A"/>
    <w:rsid w:val="0061539F"/>
    <w:rsid w:val="00617CD8"/>
    <w:rsid w:val="00621673"/>
    <w:rsid w:val="006219EE"/>
    <w:rsid w:val="00621E37"/>
    <w:rsid w:val="00622148"/>
    <w:rsid w:val="00623D66"/>
    <w:rsid w:val="00624EEB"/>
    <w:rsid w:val="00625067"/>
    <w:rsid w:val="00625778"/>
    <w:rsid w:val="00630DF5"/>
    <w:rsid w:val="00631922"/>
    <w:rsid w:val="00631FCA"/>
    <w:rsid w:val="0063261E"/>
    <w:rsid w:val="00632875"/>
    <w:rsid w:val="00632B8E"/>
    <w:rsid w:val="0063593B"/>
    <w:rsid w:val="00635A36"/>
    <w:rsid w:val="00640EA3"/>
    <w:rsid w:val="00641952"/>
    <w:rsid w:val="00641C74"/>
    <w:rsid w:val="00642049"/>
    <w:rsid w:val="006439A8"/>
    <w:rsid w:val="00643E22"/>
    <w:rsid w:val="006441F2"/>
    <w:rsid w:val="00644BBD"/>
    <w:rsid w:val="00645DA3"/>
    <w:rsid w:val="00645F66"/>
    <w:rsid w:val="00646655"/>
    <w:rsid w:val="006469E1"/>
    <w:rsid w:val="00646D4E"/>
    <w:rsid w:val="00647CF6"/>
    <w:rsid w:val="00650420"/>
    <w:rsid w:val="00650961"/>
    <w:rsid w:val="00650CE8"/>
    <w:rsid w:val="006513DD"/>
    <w:rsid w:val="006515FD"/>
    <w:rsid w:val="00651B50"/>
    <w:rsid w:val="0065253A"/>
    <w:rsid w:val="0065266A"/>
    <w:rsid w:val="00652DF4"/>
    <w:rsid w:val="006542B6"/>
    <w:rsid w:val="00654FCE"/>
    <w:rsid w:val="00656DD9"/>
    <w:rsid w:val="00660D87"/>
    <w:rsid w:val="0066113A"/>
    <w:rsid w:val="006611E3"/>
    <w:rsid w:val="00661F37"/>
    <w:rsid w:val="00661FEF"/>
    <w:rsid w:val="00662185"/>
    <w:rsid w:val="00663179"/>
    <w:rsid w:val="0066389B"/>
    <w:rsid w:val="00663E37"/>
    <w:rsid w:val="00664537"/>
    <w:rsid w:val="00664933"/>
    <w:rsid w:val="00665476"/>
    <w:rsid w:val="00665D2E"/>
    <w:rsid w:val="00666308"/>
    <w:rsid w:val="00667874"/>
    <w:rsid w:val="006715C3"/>
    <w:rsid w:val="00671A5C"/>
    <w:rsid w:val="00671E65"/>
    <w:rsid w:val="00672FBC"/>
    <w:rsid w:val="0067470F"/>
    <w:rsid w:val="006757D5"/>
    <w:rsid w:val="00675EC5"/>
    <w:rsid w:val="00677710"/>
    <w:rsid w:val="00681D42"/>
    <w:rsid w:val="00682145"/>
    <w:rsid w:val="006821E7"/>
    <w:rsid w:val="00682A06"/>
    <w:rsid w:val="00682F70"/>
    <w:rsid w:val="0068332A"/>
    <w:rsid w:val="00684197"/>
    <w:rsid w:val="00684664"/>
    <w:rsid w:val="00686050"/>
    <w:rsid w:val="0069040B"/>
    <w:rsid w:val="0069088F"/>
    <w:rsid w:val="0069320A"/>
    <w:rsid w:val="006933F3"/>
    <w:rsid w:val="0069410B"/>
    <w:rsid w:val="006943EB"/>
    <w:rsid w:val="006946C5"/>
    <w:rsid w:val="00694788"/>
    <w:rsid w:val="00696642"/>
    <w:rsid w:val="00696ED2"/>
    <w:rsid w:val="006A02DC"/>
    <w:rsid w:val="006A06DA"/>
    <w:rsid w:val="006A1036"/>
    <w:rsid w:val="006A1044"/>
    <w:rsid w:val="006A1ED7"/>
    <w:rsid w:val="006A23D3"/>
    <w:rsid w:val="006A261B"/>
    <w:rsid w:val="006A2CB5"/>
    <w:rsid w:val="006A4827"/>
    <w:rsid w:val="006A53B0"/>
    <w:rsid w:val="006A63CE"/>
    <w:rsid w:val="006A7AD6"/>
    <w:rsid w:val="006B0803"/>
    <w:rsid w:val="006B0DF3"/>
    <w:rsid w:val="006B1CF5"/>
    <w:rsid w:val="006B2EA7"/>
    <w:rsid w:val="006B31BD"/>
    <w:rsid w:val="006B3BC0"/>
    <w:rsid w:val="006B3DC6"/>
    <w:rsid w:val="006B590F"/>
    <w:rsid w:val="006B5CBA"/>
    <w:rsid w:val="006B63B9"/>
    <w:rsid w:val="006B7331"/>
    <w:rsid w:val="006B75B9"/>
    <w:rsid w:val="006C0772"/>
    <w:rsid w:val="006C0A7C"/>
    <w:rsid w:val="006C175A"/>
    <w:rsid w:val="006C1CF4"/>
    <w:rsid w:val="006C420B"/>
    <w:rsid w:val="006C4878"/>
    <w:rsid w:val="006C534B"/>
    <w:rsid w:val="006C578E"/>
    <w:rsid w:val="006C5B44"/>
    <w:rsid w:val="006C6C8C"/>
    <w:rsid w:val="006C70FA"/>
    <w:rsid w:val="006C7C66"/>
    <w:rsid w:val="006D184D"/>
    <w:rsid w:val="006D2BD5"/>
    <w:rsid w:val="006D480E"/>
    <w:rsid w:val="006D4BD2"/>
    <w:rsid w:val="006D4DA9"/>
    <w:rsid w:val="006D4E39"/>
    <w:rsid w:val="006D6FB8"/>
    <w:rsid w:val="006D746E"/>
    <w:rsid w:val="006E0099"/>
    <w:rsid w:val="006E08E5"/>
    <w:rsid w:val="006E200F"/>
    <w:rsid w:val="006E2363"/>
    <w:rsid w:val="006E382B"/>
    <w:rsid w:val="006E48FF"/>
    <w:rsid w:val="006E563C"/>
    <w:rsid w:val="006E592B"/>
    <w:rsid w:val="006E59B8"/>
    <w:rsid w:val="006F16BC"/>
    <w:rsid w:val="006F30DE"/>
    <w:rsid w:val="006F343C"/>
    <w:rsid w:val="006F4A6D"/>
    <w:rsid w:val="006F4B76"/>
    <w:rsid w:val="006F596F"/>
    <w:rsid w:val="006F6247"/>
    <w:rsid w:val="006F69F4"/>
    <w:rsid w:val="006F7255"/>
    <w:rsid w:val="006F75A7"/>
    <w:rsid w:val="006F77BF"/>
    <w:rsid w:val="00701592"/>
    <w:rsid w:val="007015E0"/>
    <w:rsid w:val="00701C1C"/>
    <w:rsid w:val="00703B90"/>
    <w:rsid w:val="00704F57"/>
    <w:rsid w:val="0070613A"/>
    <w:rsid w:val="0070682E"/>
    <w:rsid w:val="0070694A"/>
    <w:rsid w:val="00706950"/>
    <w:rsid w:val="007109F5"/>
    <w:rsid w:val="00710C64"/>
    <w:rsid w:val="00710E71"/>
    <w:rsid w:val="00711064"/>
    <w:rsid w:val="00711D20"/>
    <w:rsid w:val="00711FF5"/>
    <w:rsid w:val="00712C28"/>
    <w:rsid w:val="0071352D"/>
    <w:rsid w:val="00713D01"/>
    <w:rsid w:val="00713E71"/>
    <w:rsid w:val="007143C7"/>
    <w:rsid w:val="0071484C"/>
    <w:rsid w:val="00715D2D"/>
    <w:rsid w:val="00716EDD"/>
    <w:rsid w:val="007173DD"/>
    <w:rsid w:val="0072175D"/>
    <w:rsid w:val="0072243B"/>
    <w:rsid w:val="00723F5B"/>
    <w:rsid w:val="0072477C"/>
    <w:rsid w:val="00724BD9"/>
    <w:rsid w:val="0072576B"/>
    <w:rsid w:val="007266A2"/>
    <w:rsid w:val="0072731A"/>
    <w:rsid w:val="00727A99"/>
    <w:rsid w:val="00727EC7"/>
    <w:rsid w:val="007302F5"/>
    <w:rsid w:val="00730679"/>
    <w:rsid w:val="00730C98"/>
    <w:rsid w:val="00731336"/>
    <w:rsid w:val="00731B31"/>
    <w:rsid w:val="00732D0F"/>
    <w:rsid w:val="007330A8"/>
    <w:rsid w:val="0073391A"/>
    <w:rsid w:val="007341E1"/>
    <w:rsid w:val="007347ED"/>
    <w:rsid w:val="0073499A"/>
    <w:rsid w:val="00735266"/>
    <w:rsid w:val="00736B8A"/>
    <w:rsid w:val="0073738B"/>
    <w:rsid w:val="007378F7"/>
    <w:rsid w:val="0074040F"/>
    <w:rsid w:val="00741E9D"/>
    <w:rsid w:val="0074219E"/>
    <w:rsid w:val="0074243F"/>
    <w:rsid w:val="00743DE4"/>
    <w:rsid w:val="0074465E"/>
    <w:rsid w:val="00746809"/>
    <w:rsid w:val="00747341"/>
    <w:rsid w:val="007479A3"/>
    <w:rsid w:val="00747FE2"/>
    <w:rsid w:val="00751BD7"/>
    <w:rsid w:val="00752B7A"/>
    <w:rsid w:val="00752C82"/>
    <w:rsid w:val="00753638"/>
    <w:rsid w:val="00753EAB"/>
    <w:rsid w:val="007540AC"/>
    <w:rsid w:val="007559DC"/>
    <w:rsid w:val="007563BF"/>
    <w:rsid w:val="00757F5D"/>
    <w:rsid w:val="00760D9C"/>
    <w:rsid w:val="0076246F"/>
    <w:rsid w:val="0076250D"/>
    <w:rsid w:val="007625C4"/>
    <w:rsid w:val="00763001"/>
    <w:rsid w:val="007637DC"/>
    <w:rsid w:val="00763A16"/>
    <w:rsid w:val="00763E2A"/>
    <w:rsid w:val="00764775"/>
    <w:rsid w:val="007648BF"/>
    <w:rsid w:val="00764DE7"/>
    <w:rsid w:val="00766E1E"/>
    <w:rsid w:val="00766EE0"/>
    <w:rsid w:val="00767124"/>
    <w:rsid w:val="007671A2"/>
    <w:rsid w:val="00772FD9"/>
    <w:rsid w:val="00773B14"/>
    <w:rsid w:val="0078015B"/>
    <w:rsid w:val="00780181"/>
    <w:rsid w:val="0078041B"/>
    <w:rsid w:val="00780C01"/>
    <w:rsid w:val="00780F32"/>
    <w:rsid w:val="007813BF"/>
    <w:rsid w:val="0078230D"/>
    <w:rsid w:val="00782451"/>
    <w:rsid w:val="0078319A"/>
    <w:rsid w:val="0078483D"/>
    <w:rsid w:val="00784958"/>
    <w:rsid w:val="0078570F"/>
    <w:rsid w:val="00786717"/>
    <w:rsid w:val="00787230"/>
    <w:rsid w:val="007877BB"/>
    <w:rsid w:val="0079023A"/>
    <w:rsid w:val="00790DDE"/>
    <w:rsid w:val="00790E22"/>
    <w:rsid w:val="00790FDA"/>
    <w:rsid w:val="0079114B"/>
    <w:rsid w:val="007912B8"/>
    <w:rsid w:val="0079393F"/>
    <w:rsid w:val="00793CC7"/>
    <w:rsid w:val="007948BD"/>
    <w:rsid w:val="0079493F"/>
    <w:rsid w:val="00795E26"/>
    <w:rsid w:val="0079652C"/>
    <w:rsid w:val="007A0FD6"/>
    <w:rsid w:val="007A1D28"/>
    <w:rsid w:val="007A2A76"/>
    <w:rsid w:val="007A309E"/>
    <w:rsid w:val="007A380A"/>
    <w:rsid w:val="007A3CD4"/>
    <w:rsid w:val="007A4BD6"/>
    <w:rsid w:val="007A79C6"/>
    <w:rsid w:val="007B117B"/>
    <w:rsid w:val="007B177F"/>
    <w:rsid w:val="007B1CA5"/>
    <w:rsid w:val="007B1EEB"/>
    <w:rsid w:val="007B2471"/>
    <w:rsid w:val="007B264E"/>
    <w:rsid w:val="007B266F"/>
    <w:rsid w:val="007B2759"/>
    <w:rsid w:val="007B279E"/>
    <w:rsid w:val="007B304D"/>
    <w:rsid w:val="007B3753"/>
    <w:rsid w:val="007B4F67"/>
    <w:rsid w:val="007B5119"/>
    <w:rsid w:val="007B5722"/>
    <w:rsid w:val="007B5D49"/>
    <w:rsid w:val="007B683B"/>
    <w:rsid w:val="007B6AEB"/>
    <w:rsid w:val="007B71E6"/>
    <w:rsid w:val="007B7CF3"/>
    <w:rsid w:val="007C1BA9"/>
    <w:rsid w:val="007C1C48"/>
    <w:rsid w:val="007C2351"/>
    <w:rsid w:val="007C24E8"/>
    <w:rsid w:val="007C5124"/>
    <w:rsid w:val="007C51BF"/>
    <w:rsid w:val="007C591C"/>
    <w:rsid w:val="007C6005"/>
    <w:rsid w:val="007C63E0"/>
    <w:rsid w:val="007C6436"/>
    <w:rsid w:val="007C6D44"/>
    <w:rsid w:val="007D12CF"/>
    <w:rsid w:val="007D1DDE"/>
    <w:rsid w:val="007D289F"/>
    <w:rsid w:val="007D4968"/>
    <w:rsid w:val="007D57F4"/>
    <w:rsid w:val="007D660E"/>
    <w:rsid w:val="007D6C47"/>
    <w:rsid w:val="007D6FF4"/>
    <w:rsid w:val="007D780F"/>
    <w:rsid w:val="007D7BC3"/>
    <w:rsid w:val="007D7C59"/>
    <w:rsid w:val="007D7E1E"/>
    <w:rsid w:val="007E072A"/>
    <w:rsid w:val="007E07EF"/>
    <w:rsid w:val="007E1ED0"/>
    <w:rsid w:val="007E212C"/>
    <w:rsid w:val="007E240D"/>
    <w:rsid w:val="007E246F"/>
    <w:rsid w:val="007E301A"/>
    <w:rsid w:val="007E3FA8"/>
    <w:rsid w:val="007E5442"/>
    <w:rsid w:val="007E582F"/>
    <w:rsid w:val="007E58C4"/>
    <w:rsid w:val="007E5AC9"/>
    <w:rsid w:val="007E6B0A"/>
    <w:rsid w:val="007E6B76"/>
    <w:rsid w:val="007F0494"/>
    <w:rsid w:val="007F0884"/>
    <w:rsid w:val="007F0C10"/>
    <w:rsid w:val="007F1C8B"/>
    <w:rsid w:val="007F21A0"/>
    <w:rsid w:val="007F2FBF"/>
    <w:rsid w:val="007F4997"/>
    <w:rsid w:val="007F5A9A"/>
    <w:rsid w:val="007F5AE9"/>
    <w:rsid w:val="00800491"/>
    <w:rsid w:val="00800A55"/>
    <w:rsid w:val="00802D5E"/>
    <w:rsid w:val="00803407"/>
    <w:rsid w:val="008043B7"/>
    <w:rsid w:val="008049BD"/>
    <w:rsid w:val="00805A0C"/>
    <w:rsid w:val="00805AA9"/>
    <w:rsid w:val="00805E84"/>
    <w:rsid w:val="00806548"/>
    <w:rsid w:val="00806636"/>
    <w:rsid w:val="00806D04"/>
    <w:rsid w:val="0081067C"/>
    <w:rsid w:val="00811919"/>
    <w:rsid w:val="008120BD"/>
    <w:rsid w:val="008123C7"/>
    <w:rsid w:val="00812C35"/>
    <w:rsid w:val="008146EE"/>
    <w:rsid w:val="00815276"/>
    <w:rsid w:val="00816161"/>
    <w:rsid w:val="00816480"/>
    <w:rsid w:val="008172A1"/>
    <w:rsid w:val="00820257"/>
    <w:rsid w:val="00823191"/>
    <w:rsid w:val="008268CC"/>
    <w:rsid w:val="00827003"/>
    <w:rsid w:val="0082747F"/>
    <w:rsid w:val="008275D3"/>
    <w:rsid w:val="00831699"/>
    <w:rsid w:val="00834194"/>
    <w:rsid w:val="00835A73"/>
    <w:rsid w:val="00835B18"/>
    <w:rsid w:val="008364BD"/>
    <w:rsid w:val="00836C6E"/>
    <w:rsid w:val="008374AC"/>
    <w:rsid w:val="008379B3"/>
    <w:rsid w:val="00837BF2"/>
    <w:rsid w:val="00837D59"/>
    <w:rsid w:val="00842502"/>
    <w:rsid w:val="00842AB9"/>
    <w:rsid w:val="0084357A"/>
    <w:rsid w:val="00843F17"/>
    <w:rsid w:val="00844DBD"/>
    <w:rsid w:val="00845F2F"/>
    <w:rsid w:val="00846757"/>
    <w:rsid w:val="008469F7"/>
    <w:rsid w:val="00847C6A"/>
    <w:rsid w:val="00847F22"/>
    <w:rsid w:val="008504EB"/>
    <w:rsid w:val="008514A9"/>
    <w:rsid w:val="00852711"/>
    <w:rsid w:val="00852F57"/>
    <w:rsid w:val="00853438"/>
    <w:rsid w:val="00854355"/>
    <w:rsid w:val="00854BE4"/>
    <w:rsid w:val="00855B42"/>
    <w:rsid w:val="00857275"/>
    <w:rsid w:val="008576CA"/>
    <w:rsid w:val="00857A65"/>
    <w:rsid w:val="00860420"/>
    <w:rsid w:val="008606ED"/>
    <w:rsid w:val="00860B62"/>
    <w:rsid w:val="00860C51"/>
    <w:rsid w:val="00862214"/>
    <w:rsid w:val="00863828"/>
    <w:rsid w:val="008643C6"/>
    <w:rsid w:val="00865573"/>
    <w:rsid w:val="00867FE4"/>
    <w:rsid w:val="00870ABD"/>
    <w:rsid w:val="00870E94"/>
    <w:rsid w:val="00871835"/>
    <w:rsid w:val="0087275C"/>
    <w:rsid w:val="00872E9C"/>
    <w:rsid w:val="0087424C"/>
    <w:rsid w:val="00876353"/>
    <w:rsid w:val="00876D55"/>
    <w:rsid w:val="008774E0"/>
    <w:rsid w:val="00877CC4"/>
    <w:rsid w:val="00877F26"/>
    <w:rsid w:val="008825FA"/>
    <w:rsid w:val="008830E5"/>
    <w:rsid w:val="00883878"/>
    <w:rsid w:val="00883902"/>
    <w:rsid w:val="00883F27"/>
    <w:rsid w:val="00884603"/>
    <w:rsid w:val="00885227"/>
    <w:rsid w:val="00885C0E"/>
    <w:rsid w:val="0088617E"/>
    <w:rsid w:val="00886A12"/>
    <w:rsid w:val="0089119F"/>
    <w:rsid w:val="008914F9"/>
    <w:rsid w:val="008922F3"/>
    <w:rsid w:val="00893DFD"/>
    <w:rsid w:val="0089406E"/>
    <w:rsid w:val="008941F9"/>
    <w:rsid w:val="00894509"/>
    <w:rsid w:val="00894FB0"/>
    <w:rsid w:val="008969CF"/>
    <w:rsid w:val="008972DE"/>
    <w:rsid w:val="008A002C"/>
    <w:rsid w:val="008A0406"/>
    <w:rsid w:val="008A09DC"/>
    <w:rsid w:val="008A0B9A"/>
    <w:rsid w:val="008A1309"/>
    <w:rsid w:val="008A45BA"/>
    <w:rsid w:val="008A579D"/>
    <w:rsid w:val="008A6212"/>
    <w:rsid w:val="008A6378"/>
    <w:rsid w:val="008A65BD"/>
    <w:rsid w:val="008A7104"/>
    <w:rsid w:val="008A7817"/>
    <w:rsid w:val="008A7A34"/>
    <w:rsid w:val="008B09F3"/>
    <w:rsid w:val="008B134C"/>
    <w:rsid w:val="008B13F9"/>
    <w:rsid w:val="008B1561"/>
    <w:rsid w:val="008B1AB0"/>
    <w:rsid w:val="008B22F5"/>
    <w:rsid w:val="008B249C"/>
    <w:rsid w:val="008B29AB"/>
    <w:rsid w:val="008B2A7D"/>
    <w:rsid w:val="008B349B"/>
    <w:rsid w:val="008B3544"/>
    <w:rsid w:val="008B454A"/>
    <w:rsid w:val="008B464B"/>
    <w:rsid w:val="008B5EA6"/>
    <w:rsid w:val="008B6F01"/>
    <w:rsid w:val="008B794B"/>
    <w:rsid w:val="008C0C2B"/>
    <w:rsid w:val="008C0CFD"/>
    <w:rsid w:val="008C0F8A"/>
    <w:rsid w:val="008C1E09"/>
    <w:rsid w:val="008C20D5"/>
    <w:rsid w:val="008C23DE"/>
    <w:rsid w:val="008C2537"/>
    <w:rsid w:val="008C3CED"/>
    <w:rsid w:val="008C4324"/>
    <w:rsid w:val="008C50DE"/>
    <w:rsid w:val="008C6BAE"/>
    <w:rsid w:val="008C6BDB"/>
    <w:rsid w:val="008D03B0"/>
    <w:rsid w:val="008D17F8"/>
    <w:rsid w:val="008D22D6"/>
    <w:rsid w:val="008D2A40"/>
    <w:rsid w:val="008D31A6"/>
    <w:rsid w:val="008D4809"/>
    <w:rsid w:val="008D5803"/>
    <w:rsid w:val="008D5DD3"/>
    <w:rsid w:val="008D634C"/>
    <w:rsid w:val="008D6678"/>
    <w:rsid w:val="008E01C8"/>
    <w:rsid w:val="008E12CD"/>
    <w:rsid w:val="008E1780"/>
    <w:rsid w:val="008E21BB"/>
    <w:rsid w:val="008E2388"/>
    <w:rsid w:val="008E2F4A"/>
    <w:rsid w:val="008E37FE"/>
    <w:rsid w:val="008E49E4"/>
    <w:rsid w:val="008E5271"/>
    <w:rsid w:val="008E5E39"/>
    <w:rsid w:val="008E7843"/>
    <w:rsid w:val="008E7AC3"/>
    <w:rsid w:val="008E7B59"/>
    <w:rsid w:val="008E7D48"/>
    <w:rsid w:val="008EA7A6"/>
    <w:rsid w:val="008F00C8"/>
    <w:rsid w:val="008F0322"/>
    <w:rsid w:val="008F09B2"/>
    <w:rsid w:val="008F0C89"/>
    <w:rsid w:val="008F28E6"/>
    <w:rsid w:val="008F402D"/>
    <w:rsid w:val="008F593C"/>
    <w:rsid w:val="008F639C"/>
    <w:rsid w:val="00900339"/>
    <w:rsid w:val="009008AE"/>
    <w:rsid w:val="00900AF3"/>
    <w:rsid w:val="00900E25"/>
    <w:rsid w:val="009010EB"/>
    <w:rsid w:val="00901195"/>
    <w:rsid w:val="009024DC"/>
    <w:rsid w:val="00903293"/>
    <w:rsid w:val="00903553"/>
    <w:rsid w:val="009036C4"/>
    <w:rsid w:val="00903CAF"/>
    <w:rsid w:val="00904533"/>
    <w:rsid w:val="00904563"/>
    <w:rsid w:val="00904D80"/>
    <w:rsid w:val="0090507F"/>
    <w:rsid w:val="009052FD"/>
    <w:rsid w:val="00910644"/>
    <w:rsid w:val="0091186A"/>
    <w:rsid w:val="00911D25"/>
    <w:rsid w:val="009149EF"/>
    <w:rsid w:val="00914C1E"/>
    <w:rsid w:val="0091722F"/>
    <w:rsid w:val="00917B57"/>
    <w:rsid w:val="00920284"/>
    <w:rsid w:val="009215E4"/>
    <w:rsid w:val="009217D4"/>
    <w:rsid w:val="0092318D"/>
    <w:rsid w:val="00924419"/>
    <w:rsid w:val="00924584"/>
    <w:rsid w:val="00924E28"/>
    <w:rsid w:val="009305C2"/>
    <w:rsid w:val="009305CB"/>
    <w:rsid w:val="00930648"/>
    <w:rsid w:val="00930C0F"/>
    <w:rsid w:val="00930F98"/>
    <w:rsid w:val="00933019"/>
    <w:rsid w:val="009335CD"/>
    <w:rsid w:val="009337E0"/>
    <w:rsid w:val="00933E5C"/>
    <w:rsid w:val="00934B50"/>
    <w:rsid w:val="009363D1"/>
    <w:rsid w:val="009371C3"/>
    <w:rsid w:val="0093720F"/>
    <w:rsid w:val="009376AD"/>
    <w:rsid w:val="009378E8"/>
    <w:rsid w:val="00937CC5"/>
    <w:rsid w:val="009402F4"/>
    <w:rsid w:val="0094034B"/>
    <w:rsid w:val="0094129A"/>
    <w:rsid w:val="00941D12"/>
    <w:rsid w:val="00941E1C"/>
    <w:rsid w:val="00942741"/>
    <w:rsid w:val="00943C48"/>
    <w:rsid w:val="00943E2D"/>
    <w:rsid w:val="00944A91"/>
    <w:rsid w:val="009454C4"/>
    <w:rsid w:val="00945ACD"/>
    <w:rsid w:val="0094631A"/>
    <w:rsid w:val="009469C3"/>
    <w:rsid w:val="00946AE2"/>
    <w:rsid w:val="00946E84"/>
    <w:rsid w:val="00947D04"/>
    <w:rsid w:val="00947D9D"/>
    <w:rsid w:val="00950034"/>
    <w:rsid w:val="0095056C"/>
    <w:rsid w:val="009510E4"/>
    <w:rsid w:val="009513CA"/>
    <w:rsid w:val="00953809"/>
    <w:rsid w:val="00954440"/>
    <w:rsid w:val="0096149F"/>
    <w:rsid w:val="00961864"/>
    <w:rsid w:val="00961F04"/>
    <w:rsid w:val="00964A2D"/>
    <w:rsid w:val="00964FDB"/>
    <w:rsid w:val="0096528E"/>
    <w:rsid w:val="0096575B"/>
    <w:rsid w:val="00965AEB"/>
    <w:rsid w:val="0096639D"/>
    <w:rsid w:val="009664C3"/>
    <w:rsid w:val="009671B9"/>
    <w:rsid w:val="009679B5"/>
    <w:rsid w:val="0097094A"/>
    <w:rsid w:val="0097098F"/>
    <w:rsid w:val="009712F9"/>
    <w:rsid w:val="0097157D"/>
    <w:rsid w:val="00972204"/>
    <w:rsid w:val="00972BF3"/>
    <w:rsid w:val="00973169"/>
    <w:rsid w:val="0097411D"/>
    <w:rsid w:val="00974364"/>
    <w:rsid w:val="0097480C"/>
    <w:rsid w:val="00974EEF"/>
    <w:rsid w:val="009773B2"/>
    <w:rsid w:val="0098190B"/>
    <w:rsid w:val="00983107"/>
    <w:rsid w:val="009840E9"/>
    <w:rsid w:val="009841D6"/>
    <w:rsid w:val="0098466B"/>
    <w:rsid w:val="00984691"/>
    <w:rsid w:val="00985C62"/>
    <w:rsid w:val="009905BF"/>
    <w:rsid w:val="00990FB0"/>
    <w:rsid w:val="00991068"/>
    <w:rsid w:val="00992388"/>
    <w:rsid w:val="009923E6"/>
    <w:rsid w:val="0099325D"/>
    <w:rsid w:val="009940CB"/>
    <w:rsid w:val="009953DD"/>
    <w:rsid w:val="00996AFB"/>
    <w:rsid w:val="00997408"/>
    <w:rsid w:val="009A0CE2"/>
    <w:rsid w:val="009A2382"/>
    <w:rsid w:val="009A2793"/>
    <w:rsid w:val="009A30FD"/>
    <w:rsid w:val="009A4D82"/>
    <w:rsid w:val="009A7966"/>
    <w:rsid w:val="009B03E9"/>
    <w:rsid w:val="009B0D8D"/>
    <w:rsid w:val="009B10A5"/>
    <w:rsid w:val="009B2045"/>
    <w:rsid w:val="009B5534"/>
    <w:rsid w:val="009B6503"/>
    <w:rsid w:val="009C007D"/>
    <w:rsid w:val="009C102B"/>
    <w:rsid w:val="009C3210"/>
    <w:rsid w:val="009C3FE7"/>
    <w:rsid w:val="009C4A2D"/>
    <w:rsid w:val="009C7038"/>
    <w:rsid w:val="009C76ED"/>
    <w:rsid w:val="009D0638"/>
    <w:rsid w:val="009D1727"/>
    <w:rsid w:val="009D2505"/>
    <w:rsid w:val="009D2A46"/>
    <w:rsid w:val="009D2DF3"/>
    <w:rsid w:val="009D3F7C"/>
    <w:rsid w:val="009D4DDB"/>
    <w:rsid w:val="009D6083"/>
    <w:rsid w:val="009D6766"/>
    <w:rsid w:val="009D6B85"/>
    <w:rsid w:val="009E1423"/>
    <w:rsid w:val="009E19C8"/>
    <w:rsid w:val="009E1EEF"/>
    <w:rsid w:val="009E394B"/>
    <w:rsid w:val="009F08FC"/>
    <w:rsid w:val="009F0D42"/>
    <w:rsid w:val="009F0F5D"/>
    <w:rsid w:val="009F34A5"/>
    <w:rsid w:val="009F485D"/>
    <w:rsid w:val="009F5DD7"/>
    <w:rsid w:val="009F6CA9"/>
    <w:rsid w:val="009F7FF6"/>
    <w:rsid w:val="00A0090A"/>
    <w:rsid w:val="00A012F9"/>
    <w:rsid w:val="00A02EFF"/>
    <w:rsid w:val="00A03332"/>
    <w:rsid w:val="00A0686B"/>
    <w:rsid w:val="00A072D1"/>
    <w:rsid w:val="00A11BC0"/>
    <w:rsid w:val="00A12638"/>
    <w:rsid w:val="00A1279B"/>
    <w:rsid w:val="00A1289C"/>
    <w:rsid w:val="00A12C74"/>
    <w:rsid w:val="00A140E6"/>
    <w:rsid w:val="00A143C9"/>
    <w:rsid w:val="00A14672"/>
    <w:rsid w:val="00A146BD"/>
    <w:rsid w:val="00A152A0"/>
    <w:rsid w:val="00A1584B"/>
    <w:rsid w:val="00A15A9C"/>
    <w:rsid w:val="00A16A75"/>
    <w:rsid w:val="00A17644"/>
    <w:rsid w:val="00A22F8F"/>
    <w:rsid w:val="00A23B02"/>
    <w:rsid w:val="00A245E2"/>
    <w:rsid w:val="00A260F4"/>
    <w:rsid w:val="00A26486"/>
    <w:rsid w:val="00A264CD"/>
    <w:rsid w:val="00A27822"/>
    <w:rsid w:val="00A3043C"/>
    <w:rsid w:val="00A317A1"/>
    <w:rsid w:val="00A31E64"/>
    <w:rsid w:val="00A32A8A"/>
    <w:rsid w:val="00A332F6"/>
    <w:rsid w:val="00A336FF"/>
    <w:rsid w:val="00A33D46"/>
    <w:rsid w:val="00A346C8"/>
    <w:rsid w:val="00A36638"/>
    <w:rsid w:val="00A3676B"/>
    <w:rsid w:val="00A37AB5"/>
    <w:rsid w:val="00A4148A"/>
    <w:rsid w:val="00A4194B"/>
    <w:rsid w:val="00A42AD6"/>
    <w:rsid w:val="00A43EDD"/>
    <w:rsid w:val="00A44C06"/>
    <w:rsid w:val="00A45191"/>
    <w:rsid w:val="00A45E24"/>
    <w:rsid w:val="00A4631F"/>
    <w:rsid w:val="00A46DE2"/>
    <w:rsid w:val="00A46EB4"/>
    <w:rsid w:val="00A505ED"/>
    <w:rsid w:val="00A50FC8"/>
    <w:rsid w:val="00A512DD"/>
    <w:rsid w:val="00A53789"/>
    <w:rsid w:val="00A5401B"/>
    <w:rsid w:val="00A5496A"/>
    <w:rsid w:val="00A54D86"/>
    <w:rsid w:val="00A55586"/>
    <w:rsid w:val="00A55819"/>
    <w:rsid w:val="00A55D50"/>
    <w:rsid w:val="00A56932"/>
    <w:rsid w:val="00A57C73"/>
    <w:rsid w:val="00A57C96"/>
    <w:rsid w:val="00A61D0E"/>
    <w:rsid w:val="00A6357C"/>
    <w:rsid w:val="00A639C4"/>
    <w:rsid w:val="00A64C7F"/>
    <w:rsid w:val="00A65AEA"/>
    <w:rsid w:val="00A66126"/>
    <w:rsid w:val="00A67961"/>
    <w:rsid w:val="00A6D3E4"/>
    <w:rsid w:val="00A70BA3"/>
    <w:rsid w:val="00A70BAC"/>
    <w:rsid w:val="00A719FC"/>
    <w:rsid w:val="00A7225D"/>
    <w:rsid w:val="00A728D0"/>
    <w:rsid w:val="00A74EB2"/>
    <w:rsid w:val="00A75522"/>
    <w:rsid w:val="00A76421"/>
    <w:rsid w:val="00A76DC2"/>
    <w:rsid w:val="00A80B8B"/>
    <w:rsid w:val="00A80B9A"/>
    <w:rsid w:val="00A80F73"/>
    <w:rsid w:val="00A831FA"/>
    <w:rsid w:val="00A836BE"/>
    <w:rsid w:val="00A83954"/>
    <w:rsid w:val="00A83DE2"/>
    <w:rsid w:val="00A85B6D"/>
    <w:rsid w:val="00A85D73"/>
    <w:rsid w:val="00A86311"/>
    <w:rsid w:val="00A86314"/>
    <w:rsid w:val="00A866D4"/>
    <w:rsid w:val="00A86A9E"/>
    <w:rsid w:val="00A877E9"/>
    <w:rsid w:val="00A909A2"/>
    <w:rsid w:val="00A90ECF"/>
    <w:rsid w:val="00A913BC"/>
    <w:rsid w:val="00A924FC"/>
    <w:rsid w:val="00A9286E"/>
    <w:rsid w:val="00A929D1"/>
    <w:rsid w:val="00A92B2F"/>
    <w:rsid w:val="00A92D12"/>
    <w:rsid w:val="00A92E93"/>
    <w:rsid w:val="00A946A0"/>
    <w:rsid w:val="00A9628C"/>
    <w:rsid w:val="00A962CA"/>
    <w:rsid w:val="00A96D7D"/>
    <w:rsid w:val="00A973CB"/>
    <w:rsid w:val="00A974C8"/>
    <w:rsid w:val="00A97DB2"/>
    <w:rsid w:val="00AA008E"/>
    <w:rsid w:val="00AA2658"/>
    <w:rsid w:val="00AA370D"/>
    <w:rsid w:val="00AA5201"/>
    <w:rsid w:val="00AA53E7"/>
    <w:rsid w:val="00AA65B3"/>
    <w:rsid w:val="00AA70F8"/>
    <w:rsid w:val="00AA799C"/>
    <w:rsid w:val="00AB087C"/>
    <w:rsid w:val="00AB12AA"/>
    <w:rsid w:val="00AB18A3"/>
    <w:rsid w:val="00AB33BE"/>
    <w:rsid w:val="00AB5533"/>
    <w:rsid w:val="00AB5C2E"/>
    <w:rsid w:val="00AB67A4"/>
    <w:rsid w:val="00AB7203"/>
    <w:rsid w:val="00AB75F5"/>
    <w:rsid w:val="00AB7904"/>
    <w:rsid w:val="00AB7A4C"/>
    <w:rsid w:val="00AC0A1A"/>
    <w:rsid w:val="00AC0FCD"/>
    <w:rsid w:val="00AC103B"/>
    <w:rsid w:val="00AC1167"/>
    <w:rsid w:val="00AC1C38"/>
    <w:rsid w:val="00AC1F61"/>
    <w:rsid w:val="00AC24C9"/>
    <w:rsid w:val="00AC4093"/>
    <w:rsid w:val="00AC5ECF"/>
    <w:rsid w:val="00AC6433"/>
    <w:rsid w:val="00AC648B"/>
    <w:rsid w:val="00AC66D9"/>
    <w:rsid w:val="00AC6830"/>
    <w:rsid w:val="00AD00C3"/>
    <w:rsid w:val="00AD05F0"/>
    <w:rsid w:val="00AD3142"/>
    <w:rsid w:val="00AD39BC"/>
    <w:rsid w:val="00AD46FE"/>
    <w:rsid w:val="00AD540E"/>
    <w:rsid w:val="00AD54B2"/>
    <w:rsid w:val="00AD5DA7"/>
    <w:rsid w:val="00AD6BBA"/>
    <w:rsid w:val="00AD6F64"/>
    <w:rsid w:val="00AD7967"/>
    <w:rsid w:val="00AE0405"/>
    <w:rsid w:val="00AE102D"/>
    <w:rsid w:val="00AE28DA"/>
    <w:rsid w:val="00AE2AD9"/>
    <w:rsid w:val="00AE2D1D"/>
    <w:rsid w:val="00AE2F4B"/>
    <w:rsid w:val="00AE3142"/>
    <w:rsid w:val="00AE3675"/>
    <w:rsid w:val="00AE4F34"/>
    <w:rsid w:val="00AE692D"/>
    <w:rsid w:val="00AE76F1"/>
    <w:rsid w:val="00AE7814"/>
    <w:rsid w:val="00AF1230"/>
    <w:rsid w:val="00AF13B2"/>
    <w:rsid w:val="00AF1AFD"/>
    <w:rsid w:val="00AF22E4"/>
    <w:rsid w:val="00AF2CF7"/>
    <w:rsid w:val="00AF2F40"/>
    <w:rsid w:val="00AF3309"/>
    <w:rsid w:val="00AF4931"/>
    <w:rsid w:val="00AF4B38"/>
    <w:rsid w:val="00AF6946"/>
    <w:rsid w:val="00AF7074"/>
    <w:rsid w:val="00B005AF"/>
    <w:rsid w:val="00B00605"/>
    <w:rsid w:val="00B012B3"/>
    <w:rsid w:val="00B02680"/>
    <w:rsid w:val="00B031AB"/>
    <w:rsid w:val="00B0388F"/>
    <w:rsid w:val="00B049D5"/>
    <w:rsid w:val="00B049F9"/>
    <w:rsid w:val="00B05FD8"/>
    <w:rsid w:val="00B06E69"/>
    <w:rsid w:val="00B0725D"/>
    <w:rsid w:val="00B076D7"/>
    <w:rsid w:val="00B108F1"/>
    <w:rsid w:val="00B11543"/>
    <w:rsid w:val="00B12E38"/>
    <w:rsid w:val="00B1552A"/>
    <w:rsid w:val="00B174C6"/>
    <w:rsid w:val="00B17912"/>
    <w:rsid w:val="00B17FB0"/>
    <w:rsid w:val="00B201E5"/>
    <w:rsid w:val="00B21E11"/>
    <w:rsid w:val="00B2200C"/>
    <w:rsid w:val="00B2468C"/>
    <w:rsid w:val="00B24A3A"/>
    <w:rsid w:val="00B24DFA"/>
    <w:rsid w:val="00B25E95"/>
    <w:rsid w:val="00B2649B"/>
    <w:rsid w:val="00B266A9"/>
    <w:rsid w:val="00B27DC7"/>
    <w:rsid w:val="00B32312"/>
    <w:rsid w:val="00B3273B"/>
    <w:rsid w:val="00B33470"/>
    <w:rsid w:val="00B334AF"/>
    <w:rsid w:val="00B35471"/>
    <w:rsid w:val="00B35C63"/>
    <w:rsid w:val="00B35E1C"/>
    <w:rsid w:val="00B37C9C"/>
    <w:rsid w:val="00B407FA"/>
    <w:rsid w:val="00B415A1"/>
    <w:rsid w:val="00B419AC"/>
    <w:rsid w:val="00B41C52"/>
    <w:rsid w:val="00B426B8"/>
    <w:rsid w:val="00B42D3F"/>
    <w:rsid w:val="00B43679"/>
    <w:rsid w:val="00B43946"/>
    <w:rsid w:val="00B43BF4"/>
    <w:rsid w:val="00B43C5E"/>
    <w:rsid w:val="00B44B4D"/>
    <w:rsid w:val="00B44CD6"/>
    <w:rsid w:val="00B44DEA"/>
    <w:rsid w:val="00B45767"/>
    <w:rsid w:val="00B45B38"/>
    <w:rsid w:val="00B45BB0"/>
    <w:rsid w:val="00B506C7"/>
    <w:rsid w:val="00B5084A"/>
    <w:rsid w:val="00B515BA"/>
    <w:rsid w:val="00B51AAF"/>
    <w:rsid w:val="00B51AE2"/>
    <w:rsid w:val="00B53CCC"/>
    <w:rsid w:val="00B53E70"/>
    <w:rsid w:val="00B53F3D"/>
    <w:rsid w:val="00B54FAC"/>
    <w:rsid w:val="00B553FA"/>
    <w:rsid w:val="00B5573C"/>
    <w:rsid w:val="00B55E3D"/>
    <w:rsid w:val="00B566C1"/>
    <w:rsid w:val="00B57CF0"/>
    <w:rsid w:val="00B57DE7"/>
    <w:rsid w:val="00B60518"/>
    <w:rsid w:val="00B6146C"/>
    <w:rsid w:val="00B62212"/>
    <w:rsid w:val="00B639CD"/>
    <w:rsid w:val="00B639F4"/>
    <w:rsid w:val="00B63F2C"/>
    <w:rsid w:val="00B65382"/>
    <w:rsid w:val="00B66182"/>
    <w:rsid w:val="00B66CE9"/>
    <w:rsid w:val="00B67001"/>
    <w:rsid w:val="00B670E6"/>
    <w:rsid w:val="00B671FE"/>
    <w:rsid w:val="00B70809"/>
    <w:rsid w:val="00B7143E"/>
    <w:rsid w:val="00B732B7"/>
    <w:rsid w:val="00B7389E"/>
    <w:rsid w:val="00B743B1"/>
    <w:rsid w:val="00B76327"/>
    <w:rsid w:val="00B76CBC"/>
    <w:rsid w:val="00B77C65"/>
    <w:rsid w:val="00B80428"/>
    <w:rsid w:val="00B80474"/>
    <w:rsid w:val="00B80A93"/>
    <w:rsid w:val="00B81018"/>
    <w:rsid w:val="00B8238D"/>
    <w:rsid w:val="00B823A5"/>
    <w:rsid w:val="00B8293E"/>
    <w:rsid w:val="00B847DF"/>
    <w:rsid w:val="00B84E55"/>
    <w:rsid w:val="00B91216"/>
    <w:rsid w:val="00B94368"/>
    <w:rsid w:val="00B9468F"/>
    <w:rsid w:val="00B95781"/>
    <w:rsid w:val="00B95F2C"/>
    <w:rsid w:val="00B96F2C"/>
    <w:rsid w:val="00B97329"/>
    <w:rsid w:val="00BA09C1"/>
    <w:rsid w:val="00BA20EE"/>
    <w:rsid w:val="00BA21AB"/>
    <w:rsid w:val="00BA2AE9"/>
    <w:rsid w:val="00BA383E"/>
    <w:rsid w:val="00BA407F"/>
    <w:rsid w:val="00BA63F2"/>
    <w:rsid w:val="00BA6599"/>
    <w:rsid w:val="00BA6BC1"/>
    <w:rsid w:val="00BA7D7E"/>
    <w:rsid w:val="00BB0193"/>
    <w:rsid w:val="00BB0548"/>
    <w:rsid w:val="00BB1135"/>
    <w:rsid w:val="00BB2B05"/>
    <w:rsid w:val="00BB32B2"/>
    <w:rsid w:val="00BB36BF"/>
    <w:rsid w:val="00BB464C"/>
    <w:rsid w:val="00BB5F0B"/>
    <w:rsid w:val="00BB62BD"/>
    <w:rsid w:val="00BB6D17"/>
    <w:rsid w:val="00BB6D1A"/>
    <w:rsid w:val="00BB6E1A"/>
    <w:rsid w:val="00BB722A"/>
    <w:rsid w:val="00BC0E62"/>
    <w:rsid w:val="00BC25B0"/>
    <w:rsid w:val="00BC26E6"/>
    <w:rsid w:val="00BC299C"/>
    <w:rsid w:val="00BC3F06"/>
    <w:rsid w:val="00BC415D"/>
    <w:rsid w:val="00BC5BC5"/>
    <w:rsid w:val="00BC5C01"/>
    <w:rsid w:val="00BC65F2"/>
    <w:rsid w:val="00BC7C5A"/>
    <w:rsid w:val="00BD0CDF"/>
    <w:rsid w:val="00BD1C42"/>
    <w:rsid w:val="00BD2DF8"/>
    <w:rsid w:val="00BD40D3"/>
    <w:rsid w:val="00BD5387"/>
    <w:rsid w:val="00BD65FC"/>
    <w:rsid w:val="00BD7F50"/>
    <w:rsid w:val="00BE00DB"/>
    <w:rsid w:val="00BE0CBB"/>
    <w:rsid w:val="00BE1049"/>
    <w:rsid w:val="00BE1254"/>
    <w:rsid w:val="00BE1845"/>
    <w:rsid w:val="00BE19EF"/>
    <w:rsid w:val="00BE1C23"/>
    <w:rsid w:val="00BE20F5"/>
    <w:rsid w:val="00BE2A5D"/>
    <w:rsid w:val="00BE43A3"/>
    <w:rsid w:val="00BE45C2"/>
    <w:rsid w:val="00BE49F3"/>
    <w:rsid w:val="00BE5F76"/>
    <w:rsid w:val="00BE7B8C"/>
    <w:rsid w:val="00BF18FB"/>
    <w:rsid w:val="00BF355F"/>
    <w:rsid w:val="00BF4800"/>
    <w:rsid w:val="00BF4B2E"/>
    <w:rsid w:val="00BF5109"/>
    <w:rsid w:val="00BF537B"/>
    <w:rsid w:val="00BF742A"/>
    <w:rsid w:val="00BF7685"/>
    <w:rsid w:val="00BF7922"/>
    <w:rsid w:val="00BF7E62"/>
    <w:rsid w:val="00BF7F04"/>
    <w:rsid w:val="00BF7F35"/>
    <w:rsid w:val="00C0229A"/>
    <w:rsid w:val="00C03071"/>
    <w:rsid w:val="00C03A0E"/>
    <w:rsid w:val="00C03BC8"/>
    <w:rsid w:val="00C04451"/>
    <w:rsid w:val="00C0448A"/>
    <w:rsid w:val="00C04599"/>
    <w:rsid w:val="00C04AF1"/>
    <w:rsid w:val="00C057C8"/>
    <w:rsid w:val="00C073A5"/>
    <w:rsid w:val="00C07779"/>
    <w:rsid w:val="00C077DF"/>
    <w:rsid w:val="00C10315"/>
    <w:rsid w:val="00C114D6"/>
    <w:rsid w:val="00C11854"/>
    <w:rsid w:val="00C1210E"/>
    <w:rsid w:val="00C126DE"/>
    <w:rsid w:val="00C12A7D"/>
    <w:rsid w:val="00C12F5D"/>
    <w:rsid w:val="00C1367B"/>
    <w:rsid w:val="00C14E05"/>
    <w:rsid w:val="00C1541A"/>
    <w:rsid w:val="00C164AE"/>
    <w:rsid w:val="00C164CA"/>
    <w:rsid w:val="00C2582F"/>
    <w:rsid w:val="00C26EF2"/>
    <w:rsid w:val="00C27A8D"/>
    <w:rsid w:val="00C27E9B"/>
    <w:rsid w:val="00C27FAA"/>
    <w:rsid w:val="00C3078A"/>
    <w:rsid w:val="00C307FB"/>
    <w:rsid w:val="00C30946"/>
    <w:rsid w:val="00C31E91"/>
    <w:rsid w:val="00C33582"/>
    <w:rsid w:val="00C34E7C"/>
    <w:rsid w:val="00C3541D"/>
    <w:rsid w:val="00C355D3"/>
    <w:rsid w:val="00C357E8"/>
    <w:rsid w:val="00C37597"/>
    <w:rsid w:val="00C37665"/>
    <w:rsid w:val="00C4082A"/>
    <w:rsid w:val="00C40B8F"/>
    <w:rsid w:val="00C41147"/>
    <w:rsid w:val="00C4172B"/>
    <w:rsid w:val="00C41844"/>
    <w:rsid w:val="00C4315D"/>
    <w:rsid w:val="00C435A4"/>
    <w:rsid w:val="00C4487D"/>
    <w:rsid w:val="00C45349"/>
    <w:rsid w:val="00C45424"/>
    <w:rsid w:val="00C4648D"/>
    <w:rsid w:val="00C464D9"/>
    <w:rsid w:val="00C46FF1"/>
    <w:rsid w:val="00C47437"/>
    <w:rsid w:val="00C47477"/>
    <w:rsid w:val="00C47F11"/>
    <w:rsid w:val="00C5094E"/>
    <w:rsid w:val="00C51755"/>
    <w:rsid w:val="00C5251B"/>
    <w:rsid w:val="00C5313D"/>
    <w:rsid w:val="00C53364"/>
    <w:rsid w:val="00C5511F"/>
    <w:rsid w:val="00C56460"/>
    <w:rsid w:val="00C56D5A"/>
    <w:rsid w:val="00C57E84"/>
    <w:rsid w:val="00C60ED7"/>
    <w:rsid w:val="00C6193A"/>
    <w:rsid w:val="00C628F5"/>
    <w:rsid w:val="00C62D0C"/>
    <w:rsid w:val="00C63557"/>
    <w:rsid w:val="00C63931"/>
    <w:rsid w:val="00C63EEE"/>
    <w:rsid w:val="00C647F7"/>
    <w:rsid w:val="00C64951"/>
    <w:rsid w:val="00C667B3"/>
    <w:rsid w:val="00C66BA7"/>
    <w:rsid w:val="00C70243"/>
    <w:rsid w:val="00C71436"/>
    <w:rsid w:val="00C72194"/>
    <w:rsid w:val="00C72DD5"/>
    <w:rsid w:val="00C734B1"/>
    <w:rsid w:val="00C736DB"/>
    <w:rsid w:val="00C75961"/>
    <w:rsid w:val="00C76819"/>
    <w:rsid w:val="00C768FF"/>
    <w:rsid w:val="00C769CE"/>
    <w:rsid w:val="00C77BAE"/>
    <w:rsid w:val="00C77CF3"/>
    <w:rsid w:val="00C80795"/>
    <w:rsid w:val="00C81A54"/>
    <w:rsid w:val="00C82BDF"/>
    <w:rsid w:val="00C82DD3"/>
    <w:rsid w:val="00C82F92"/>
    <w:rsid w:val="00C839D8"/>
    <w:rsid w:val="00C84EA3"/>
    <w:rsid w:val="00C84F00"/>
    <w:rsid w:val="00C86872"/>
    <w:rsid w:val="00C86C2F"/>
    <w:rsid w:val="00C87340"/>
    <w:rsid w:val="00C87CD3"/>
    <w:rsid w:val="00C90CC7"/>
    <w:rsid w:val="00C91567"/>
    <w:rsid w:val="00C923F6"/>
    <w:rsid w:val="00C92E27"/>
    <w:rsid w:val="00C93269"/>
    <w:rsid w:val="00C945D4"/>
    <w:rsid w:val="00C94710"/>
    <w:rsid w:val="00C94763"/>
    <w:rsid w:val="00C9486A"/>
    <w:rsid w:val="00C94FA8"/>
    <w:rsid w:val="00C950D9"/>
    <w:rsid w:val="00C95DD1"/>
    <w:rsid w:val="00C95E9F"/>
    <w:rsid w:val="00C97929"/>
    <w:rsid w:val="00C97ABF"/>
    <w:rsid w:val="00CA04B6"/>
    <w:rsid w:val="00CA0C84"/>
    <w:rsid w:val="00CA128B"/>
    <w:rsid w:val="00CA3C70"/>
    <w:rsid w:val="00CA401C"/>
    <w:rsid w:val="00CA5FC7"/>
    <w:rsid w:val="00CA741F"/>
    <w:rsid w:val="00CA7DBD"/>
    <w:rsid w:val="00CB01DF"/>
    <w:rsid w:val="00CB0948"/>
    <w:rsid w:val="00CB0C24"/>
    <w:rsid w:val="00CB1449"/>
    <w:rsid w:val="00CB3213"/>
    <w:rsid w:val="00CB3AA5"/>
    <w:rsid w:val="00CB3BA1"/>
    <w:rsid w:val="00CB3E9F"/>
    <w:rsid w:val="00CB3EC4"/>
    <w:rsid w:val="00CB4B85"/>
    <w:rsid w:val="00CB5288"/>
    <w:rsid w:val="00CB6053"/>
    <w:rsid w:val="00CC1495"/>
    <w:rsid w:val="00CC199A"/>
    <w:rsid w:val="00CC1C4F"/>
    <w:rsid w:val="00CC1EE2"/>
    <w:rsid w:val="00CC281D"/>
    <w:rsid w:val="00CC3ED4"/>
    <w:rsid w:val="00CC3F77"/>
    <w:rsid w:val="00CC4607"/>
    <w:rsid w:val="00CC5145"/>
    <w:rsid w:val="00CC5D1E"/>
    <w:rsid w:val="00CC6957"/>
    <w:rsid w:val="00CC7C2F"/>
    <w:rsid w:val="00CC7F5E"/>
    <w:rsid w:val="00CD0A2E"/>
    <w:rsid w:val="00CD0A4B"/>
    <w:rsid w:val="00CD0D89"/>
    <w:rsid w:val="00CD172F"/>
    <w:rsid w:val="00CD2356"/>
    <w:rsid w:val="00CD46CF"/>
    <w:rsid w:val="00CD4ABF"/>
    <w:rsid w:val="00CD5951"/>
    <w:rsid w:val="00CD6F03"/>
    <w:rsid w:val="00CD7336"/>
    <w:rsid w:val="00CD7646"/>
    <w:rsid w:val="00CE38E7"/>
    <w:rsid w:val="00CE43EF"/>
    <w:rsid w:val="00CE5C43"/>
    <w:rsid w:val="00CE5D9C"/>
    <w:rsid w:val="00CE6BB5"/>
    <w:rsid w:val="00CE77ED"/>
    <w:rsid w:val="00CE7D0C"/>
    <w:rsid w:val="00CF020C"/>
    <w:rsid w:val="00CF18BE"/>
    <w:rsid w:val="00CF22EA"/>
    <w:rsid w:val="00CF287A"/>
    <w:rsid w:val="00CF40CC"/>
    <w:rsid w:val="00CF5407"/>
    <w:rsid w:val="00CF5433"/>
    <w:rsid w:val="00D0042F"/>
    <w:rsid w:val="00D00E2B"/>
    <w:rsid w:val="00D021C4"/>
    <w:rsid w:val="00D03565"/>
    <w:rsid w:val="00D039BD"/>
    <w:rsid w:val="00D050A4"/>
    <w:rsid w:val="00D06146"/>
    <w:rsid w:val="00D062DF"/>
    <w:rsid w:val="00D06CB3"/>
    <w:rsid w:val="00D070C1"/>
    <w:rsid w:val="00D072E6"/>
    <w:rsid w:val="00D07D80"/>
    <w:rsid w:val="00D104CD"/>
    <w:rsid w:val="00D111FE"/>
    <w:rsid w:val="00D116C7"/>
    <w:rsid w:val="00D1206D"/>
    <w:rsid w:val="00D136E8"/>
    <w:rsid w:val="00D15231"/>
    <w:rsid w:val="00D15A1D"/>
    <w:rsid w:val="00D1632E"/>
    <w:rsid w:val="00D16F0D"/>
    <w:rsid w:val="00D207A1"/>
    <w:rsid w:val="00D20C56"/>
    <w:rsid w:val="00D20F1B"/>
    <w:rsid w:val="00D226E3"/>
    <w:rsid w:val="00D2275E"/>
    <w:rsid w:val="00D23C1A"/>
    <w:rsid w:val="00D302B4"/>
    <w:rsid w:val="00D31634"/>
    <w:rsid w:val="00D32955"/>
    <w:rsid w:val="00D32CAF"/>
    <w:rsid w:val="00D32DA0"/>
    <w:rsid w:val="00D33337"/>
    <w:rsid w:val="00D33928"/>
    <w:rsid w:val="00D34AC6"/>
    <w:rsid w:val="00D34AF7"/>
    <w:rsid w:val="00D34E0D"/>
    <w:rsid w:val="00D34FE0"/>
    <w:rsid w:val="00D3523D"/>
    <w:rsid w:val="00D35D06"/>
    <w:rsid w:val="00D368AD"/>
    <w:rsid w:val="00D41139"/>
    <w:rsid w:val="00D41693"/>
    <w:rsid w:val="00D448F6"/>
    <w:rsid w:val="00D44D12"/>
    <w:rsid w:val="00D4717A"/>
    <w:rsid w:val="00D47A44"/>
    <w:rsid w:val="00D47F57"/>
    <w:rsid w:val="00D5152E"/>
    <w:rsid w:val="00D5302F"/>
    <w:rsid w:val="00D54603"/>
    <w:rsid w:val="00D54982"/>
    <w:rsid w:val="00D54E3F"/>
    <w:rsid w:val="00D55565"/>
    <w:rsid w:val="00D56754"/>
    <w:rsid w:val="00D57371"/>
    <w:rsid w:val="00D606B3"/>
    <w:rsid w:val="00D61345"/>
    <w:rsid w:val="00D61BA5"/>
    <w:rsid w:val="00D63415"/>
    <w:rsid w:val="00D6347A"/>
    <w:rsid w:val="00D635BD"/>
    <w:rsid w:val="00D63682"/>
    <w:rsid w:val="00D65E6A"/>
    <w:rsid w:val="00D66DDF"/>
    <w:rsid w:val="00D67B18"/>
    <w:rsid w:val="00D700C8"/>
    <w:rsid w:val="00D7021A"/>
    <w:rsid w:val="00D704DF"/>
    <w:rsid w:val="00D70763"/>
    <w:rsid w:val="00D70F66"/>
    <w:rsid w:val="00D71C53"/>
    <w:rsid w:val="00D728A7"/>
    <w:rsid w:val="00D73674"/>
    <w:rsid w:val="00D736B7"/>
    <w:rsid w:val="00D7796E"/>
    <w:rsid w:val="00D77DCB"/>
    <w:rsid w:val="00D8023D"/>
    <w:rsid w:val="00D80AC3"/>
    <w:rsid w:val="00D81055"/>
    <w:rsid w:val="00D814AD"/>
    <w:rsid w:val="00D8231F"/>
    <w:rsid w:val="00D82E13"/>
    <w:rsid w:val="00D836DA"/>
    <w:rsid w:val="00D8370E"/>
    <w:rsid w:val="00D84DD7"/>
    <w:rsid w:val="00D86592"/>
    <w:rsid w:val="00D86D96"/>
    <w:rsid w:val="00D87661"/>
    <w:rsid w:val="00D903B5"/>
    <w:rsid w:val="00D90580"/>
    <w:rsid w:val="00D90632"/>
    <w:rsid w:val="00D90772"/>
    <w:rsid w:val="00D92781"/>
    <w:rsid w:val="00D92AFA"/>
    <w:rsid w:val="00D92F5F"/>
    <w:rsid w:val="00D92FFA"/>
    <w:rsid w:val="00D93071"/>
    <w:rsid w:val="00D93F81"/>
    <w:rsid w:val="00D94331"/>
    <w:rsid w:val="00D949E0"/>
    <w:rsid w:val="00D95BAE"/>
    <w:rsid w:val="00D961D2"/>
    <w:rsid w:val="00D9650A"/>
    <w:rsid w:val="00DA1264"/>
    <w:rsid w:val="00DA2274"/>
    <w:rsid w:val="00DA23F5"/>
    <w:rsid w:val="00DA2582"/>
    <w:rsid w:val="00DA2908"/>
    <w:rsid w:val="00DA2994"/>
    <w:rsid w:val="00DA2CFC"/>
    <w:rsid w:val="00DA326E"/>
    <w:rsid w:val="00DA48B2"/>
    <w:rsid w:val="00DA5119"/>
    <w:rsid w:val="00DA5509"/>
    <w:rsid w:val="00DA5C3E"/>
    <w:rsid w:val="00DA6DA2"/>
    <w:rsid w:val="00DA72EB"/>
    <w:rsid w:val="00DA9CAF"/>
    <w:rsid w:val="00DB03B1"/>
    <w:rsid w:val="00DB04D6"/>
    <w:rsid w:val="00DB0969"/>
    <w:rsid w:val="00DB156A"/>
    <w:rsid w:val="00DB1D79"/>
    <w:rsid w:val="00DB1EE8"/>
    <w:rsid w:val="00DB2968"/>
    <w:rsid w:val="00DB2C82"/>
    <w:rsid w:val="00DB2D6C"/>
    <w:rsid w:val="00DB3969"/>
    <w:rsid w:val="00DB4207"/>
    <w:rsid w:val="00DB4401"/>
    <w:rsid w:val="00DB4DC0"/>
    <w:rsid w:val="00DB570B"/>
    <w:rsid w:val="00DB6B78"/>
    <w:rsid w:val="00DB6C91"/>
    <w:rsid w:val="00DB6E30"/>
    <w:rsid w:val="00DC201A"/>
    <w:rsid w:val="00DC365C"/>
    <w:rsid w:val="00DC3826"/>
    <w:rsid w:val="00DC4B02"/>
    <w:rsid w:val="00DC4BE8"/>
    <w:rsid w:val="00DC610D"/>
    <w:rsid w:val="00DC677F"/>
    <w:rsid w:val="00DC67E4"/>
    <w:rsid w:val="00DC7DC4"/>
    <w:rsid w:val="00DD179B"/>
    <w:rsid w:val="00DD20C1"/>
    <w:rsid w:val="00DD2558"/>
    <w:rsid w:val="00DD391B"/>
    <w:rsid w:val="00DD3EC1"/>
    <w:rsid w:val="00DD4140"/>
    <w:rsid w:val="00DD4DDA"/>
    <w:rsid w:val="00DD66BF"/>
    <w:rsid w:val="00DD69F1"/>
    <w:rsid w:val="00DD6AFD"/>
    <w:rsid w:val="00DD6DCB"/>
    <w:rsid w:val="00DE0F0B"/>
    <w:rsid w:val="00DE1080"/>
    <w:rsid w:val="00DE11A9"/>
    <w:rsid w:val="00DE1657"/>
    <w:rsid w:val="00DE2758"/>
    <w:rsid w:val="00DE298B"/>
    <w:rsid w:val="00DE3347"/>
    <w:rsid w:val="00DE4DB1"/>
    <w:rsid w:val="00DE5DE3"/>
    <w:rsid w:val="00DE5F30"/>
    <w:rsid w:val="00DE6DCC"/>
    <w:rsid w:val="00DE7033"/>
    <w:rsid w:val="00DE7202"/>
    <w:rsid w:val="00DF0A20"/>
    <w:rsid w:val="00DF1310"/>
    <w:rsid w:val="00DF17E4"/>
    <w:rsid w:val="00DF39FA"/>
    <w:rsid w:val="00DF3E60"/>
    <w:rsid w:val="00DF5ADC"/>
    <w:rsid w:val="00DF74B4"/>
    <w:rsid w:val="00E02715"/>
    <w:rsid w:val="00E02E35"/>
    <w:rsid w:val="00E04A1A"/>
    <w:rsid w:val="00E0678D"/>
    <w:rsid w:val="00E0785D"/>
    <w:rsid w:val="00E07DB6"/>
    <w:rsid w:val="00E10B07"/>
    <w:rsid w:val="00E10B66"/>
    <w:rsid w:val="00E11377"/>
    <w:rsid w:val="00E11546"/>
    <w:rsid w:val="00E14C00"/>
    <w:rsid w:val="00E164E7"/>
    <w:rsid w:val="00E16BB9"/>
    <w:rsid w:val="00E17BDA"/>
    <w:rsid w:val="00E208A1"/>
    <w:rsid w:val="00E20A74"/>
    <w:rsid w:val="00E20CB8"/>
    <w:rsid w:val="00E20E85"/>
    <w:rsid w:val="00E210B0"/>
    <w:rsid w:val="00E21641"/>
    <w:rsid w:val="00E22396"/>
    <w:rsid w:val="00E2409D"/>
    <w:rsid w:val="00E247AC"/>
    <w:rsid w:val="00E24B5C"/>
    <w:rsid w:val="00E267B9"/>
    <w:rsid w:val="00E26882"/>
    <w:rsid w:val="00E26923"/>
    <w:rsid w:val="00E27043"/>
    <w:rsid w:val="00E30411"/>
    <w:rsid w:val="00E30548"/>
    <w:rsid w:val="00E31A3E"/>
    <w:rsid w:val="00E32D29"/>
    <w:rsid w:val="00E37CD3"/>
    <w:rsid w:val="00E40A53"/>
    <w:rsid w:val="00E40B58"/>
    <w:rsid w:val="00E40DB6"/>
    <w:rsid w:val="00E42290"/>
    <w:rsid w:val="00E424E0"/>
    <w:rsid w:val="00E43B94"/>
    <w:rsid w:val="00E44F7C"/>
    <w:rsid w:val="00E47098"/>
    <w:rsid w:val="00E5002D"/>
    <w:rsid w:val="00E5042C"/>
    <w:rsid w:val="00E505DE"/>
    <w:rsid w:val="00E51161"/>
    <w:rsid w:val="00E5208E"/>
    <w:rsid w:val="00E529C9"/>
    <w:rsid w:val="00E538E1"/>
    <w:rsid w:val="00E53D2F"/>
    <w:rsid w:val="00E55539"/>
    <w:rsid w:val="00E62094"/>
    <w:rsid w:val="00E62EF1"/>
    <w:rsid w:val="00E637B7"/>
    <w:rsid w:val="00E63FAD"/>
    <w:rsid w:val="00E649D5"/>
    <w:rsid w:val="00E64D37"/>
    <w:rsid w:val="00E64F43"/>
    <w:rsid w:val="00E65782"/>
    <w:rsid w:val="00E66332"/>
    <w:rsid w:val="00E67A1D"/>
    <w:rsid w:val="00E67C6A"/>
    <w:rsid w:val="00E70D2E"/>
    <w:rsid w:val="00E73CCF"/>
    <w:rsid w:val="00E73E19"/>
    <w:rsid w:val="00E7504B"/>
    <w:rsid w:val="00E7550C"/>
    <w:rsid w:val="00E755DD"/>
    <w:rsid w:val="00E75D0D"/>
    <w:rsid w:val="00E767E1"/>
    <w:rsid w:val="00E7719C"/>
    <w:rsid w:val="00E77FF9"/>
    <w:rsid w:val="00E82252"/>
    <w:rsid w:val="00E82FC4"/>
    <w:rsid w:val="00E832BC"/>
    <w:rsid w:val="00E8384B"/>
    <w:rsid w:val="00E83DA4"/>
    <w:rsid w:val="00E84B8E"/>
    <w:rsid w:val="00E86631"/>
    <w:rsid w:val="00E9174B"/>
    <w:rsid w:val="00E91874"/>
    <w:rsid w:val="00E92E9A"/>
    <w:rsid w:val="00E93077"/>
    <w:rsid w:val="00E931A2"/>
    <w:rsid w:val="00E93D13"/>
    <w:rsid w:val="00E970D3"/>
    <w:rsid w:val="00EA0BA4"/>
    <w:rsid w:val="00EA1B89"/>
    <w:rsid w:val="00EA2898"/>
    <w:rsid w:val="00EA29C6"/>
    <w:rsid w:val="00EA3915"/>
    <w:rsid w:val="00EA3F83"/>
    <w:rsid w:val="00EA42DD"/>
    <w:rsid w:val="00EA63AF"/>
    <w:rsid w:val="00EA7DD0"/>
    <w:rsid w:val="00EB0856"/>
    <w:rsid w:val="00EB2205"/>
    <w:rsid w:val="00EB2857"/>
    <w:rsid w:val="00EB2AC9"/>
    <w:rsid w:val="00EB2F43"/>
    <w:rsid w:val="00EB3E12"/>
    <w:rsid w:val="00EB42FB"/>
    <w:rsid w:val="00EB4D95"/>
    <w:rsid w:val="00EB4DC5"/>
    <w:rsid w:val="00EB583B"/>
    <w:rsid w:val="00EB5FF9"/>
    <w:rsid w:val="00EC0202"/>
    <w:rsid w:val="00EC026B"/>
    <w:rsid w:val="00EC0685"/>
    <w:rsid w:val="00EC0A82"/>
    <w:rsid w:val="00EC0BB0"/>
    <w:rsid w:val="00EC1223"/>
    <w:rsid w:val="00EC21C4"/>
    <w:rsid w:val="00EC2206"/>
    <w:rsid w:val="00EC5CA3"/>
    <w:rsid w:val="00EC61DA"/>
    <w:rsid w:val="00EC63FA"/>
    <w:rsid w:val="00EC6759"/>
    <w:rsid w:val="00EC69C7"/>
    <w:rsid w:val="00EC72E5"/>
    <w:rsid w:val="00ED03C0"/>
    <w:rsid w:val="00ED05CF"/>
    <w:rsid w:val="00ED2EA5"/>
    <w:rsid w:val="00ED3912"/>
    <w:rsid w:val="00ED4BD4"/>
    <w:rsid w:val="00ED55CC"/>
    <w:rsid w:val="00ED5D22"/>
    <w:rsid w:val="00ED5F4E"/>
    <w:rsid w:val="00ED6B45"/>
    <w:rsid w:val="00ED7BDC"/>
    <w:rsid w:val="00EE026D"/>
    <w:rsid w:val="00EE06CB"/>
    <w:rsid w:val="00EE16E6"/>
    <w:rsid w:val="00EE1EDB"/>
    <w:rsid w:val="00EE3925"/>
    <w:rsid w:val="00EE47C5"/>
    <w:rsid w:val="00EE505C"/>
    <w:rsid w:val="00EE5113"/>
    <w:rsid w:val="00EE5F31"/>
    <w:rsid w:val="00EE6530"/>
    <w:rsid w:val="00EE694D"/>
    <w:rsid w:val="00EE747B"/>
    <w:rsid w:val="00EF154A"/>
    <w:rsid w:val="00EF2E1C"/>
    <w:rsid w:val="00EF3472"/>
    <w:rsid w:val="00EF446E"/>
    <w:rsid w:val="00EF503B"/>
    <w:rsid w:val="00EF6792"/>
    <w:rsid w:val="00EF75D2"/>
    <w:rsid w:val="00F005CC"/>
    <w:rsid w:val="00F014BC"/>
    <w:rsid w:val="00F01F6F"/>
    <w:rsid w:val="00F02510"/>
    <w:rsid w:val="00F03F9C"/>
    <w:rsid w:val="00F043D1"/>
    <w:rsid w:val="00F04FFE"/>
    <w:rsid w:val="00F05AE6"/>
    <w:rsid w:val="00F05B02"/>
    <w:rsid w:val="00F07325"/>
    <w:rsid w:val="00F0743E"/>
    <w:rsid w:val="00F076ED"/>
    <w:rsid w:val="00F07A34"/>
    <w:rsid w:val="00F07C93"/>
    <w:rsid w:val="00F10F20"/>
    <w:rsid w:val="00F10FDE"/>
    <w:rsid w:val="00F1131A"/>
    <w:rsid w:val="00F117D1"/>
    <w:rsid w:val="00F11F99"/>
    <w:rsid w:val="00F135B5"/>
    <w:rsid w:val="00F16220"/>
    <w:rsid w:val="00F16322"/>
    <w:rsid w:val="00F176DD"/>
    <w:rsid w:val="00F20176"/>
    <w:rsid w:val="00F21651"/>
    <w:rsid w:val="00F219B1"/>
    <w:rsid w:val="00F22353"/>
    <w:rsid w:val="00F2243B"/>
    <w:rsid w:val="00F226FA"/>
    <w:rsid w:val="00F227EB"/>
    <w:rsid w:val="00F2281F"/>
    <w:rsid w:val="00F233AE"/>
    <w:rsid w:val="00F233F6"/>
    <w:rsid w:val="00F244D8"/>
    <w:rsid w:val="00F24BD3"/>
    <w:rsid w:val="00F25988"/>
    <w:rsid w:val="00F30E9C"/>
    <w:rsid w:val="00F321D0"/>
    <w:rsid w:val="00F32551"/>
    <w:rsid w:val="00F32775"/>
    <w:rsid w:val="00F350FE"/>
    <w:rsid w:val="00F35E05"/>
    <w:rsid w:val="00F36A19"/>
    <w:rsid w:val="00F400BF"/>
    <w:rsid w:val="00F40178"/>
    <w:rsid w:val="00F407AC"/>
    <w:rsid w:val="00F4252D"/>
    <w:rsid w:val="00F437B1"/>
    <w:rsid w:val="00F43E40"/>
    <w:rsid w:val="00F44ED3"/>
    <w:rsid w:val="00F45167"/>
    <w:rsid w:val="00F463DC"/>
    <w:rsid w:val="00F46507"/>
    <w:rsid w:val="00F468F8"/>
    <w:rsid w:val="00F47948"/>
    <w:rsid w:val="00F47BF0"/>
    <w:rsid w:val="00F52EEC"/>
    <w:rsid w:val="00F530EF"/>
    <w:rsid w:val="00F54F4F"/>
    <w:rsid w:val="00F60185"/>
    <w:rsid w:val="00F61619"/>
    <w:rsid w:val="00F61DFF"/>
    <w:rsid w:val="00F632C8"/>
    <w:rsid w:val="00F63AE2"/>
    <w:rsid w:val="00F659E2"/>
    <w:rsid w:val="00F65ABB"/>
    <w:rsid w:val="00F66EBC"/>
    <w:rsid w:val="00F67A6A"/>
    <w:rsid w:val="00F71DC0"/>
    <w:rsid w:val="00F725EA"/>
    <w:rsid w:val="00F73262"/>
    <w:rsid w:val="00F7453C"/>
    <w:rsid w:val="00F7527A"/>
    <w:rsid w:val="00F75529"/>
    <w:rsid w:val="00F75B71"/>
    <w:rsid w:val="00F76434"/>
    <w:rsid w:val="00F76DFF"/>
    <w:rsid w:val="00F770C2"/>
    <w:rsid w:val="00F7714C"/>
    <w:rsid w:val="00F817A7"/>
    <w:rsid w:val="00F81DEA"/>
    <w:rsid w:val="00F82A8F"/>
    <w:rsid w:val="00F8417E"/>
    <w:rsid w:val="00F84233"/>
    <w:rsid w:val="00F848DE"/>
    <w:rsid w:val="00F860CF"/>
    <w:rsid w:val="00F8776A"/>
    <w:rsid w:val="00F877EF"/>
    <w:rsid w:val="00F879F2"/>
    <w:rsid w:val="00F87A28"/>
    <w:rsid w:val="00F90550"/>
    <w:rsid w:val="00F908DD"/>
    <w:rsid w:val="00F90A69"/>
    <w:rsid w:val="00F91772"/>
    <w:rsid w:val="00F92ED2"/>
    <w:rsid w:val="00F93580"/>
    <w:rsid w:val="00F93964"/>
    <w:rsid w:val="00F944C8"/>
    <w:rsid w:val="00F97BF6"/>
    <w:rsid w:val="00FA19D1"/>
    <w:rsid w:val="00FA19FD"/>
    <w:rsid w:val="00FA2328"/>
    <w:rsid w:val="00FA24EB"/>
    <w:rsid w:val="00FA2F47"/>
    <w:rsid w:val="00FA3CC6"/>
    <w:rsid w:val="00FA3FAF"/>
    <w:rsid w:val="00FA4821"/>
    <w:rsid w:val="00FA6EC9"/>
    <w:rsid w:val="00FA7AAE"/>
    <w:rsid w:val="00FA7F0B"/>
    <w:rsid w:val="00FB0803"/>
    <w:rsid w:val="00FB0FE8"/>
    <w:rsid w:val="00FB1172"/>
    <w:rsid w:val="00FB3BB8"/>
    <w:rsid w:val="00FB3F62"/>
    <w:rsid w:val="00FB5413"/>
    <w:rsid w:val="00FB5CB6"/>
    <w:rsid w:val="00FB6A8D"/>
    <w:rsid w:val="00FC0261"/>
    <w:rsid w:val="00FC044B"/>
    <w:rsid w:val="00FC086B"/>
    <w:rsid w:val="00FC125A"/>
    <w:rsid w:val="00FC2A07"/>
    <w:rsid w:val="00FC3C19"/>
    <w:rsid w:val="00FC44DA"/>
    <w:rsid w:val="00FC4973"/>
    <w:rsid w:val="00FC6519"/>
    <w:rsid w:val="00FC65E8"/>
    <w:rsid w:val="00FC6665"/>
    <w:rsid w:val="00FC7149"/>
    <w:rsid w:val="00FC72D0"/>
    <w:rsid w:val="00FC7C8E"/>
    <w:rsid w:val="00FD0D20"/>
    <w:rsid w:val="00FD2201"/>
    <w:rsid w:val="00FD2B89"/>
    <w:rsid w:val="00FD356B"/>
    <w:rsid w:val="00FD410F"/>
    <w:rsid w:val="00FD415C"/>
    <w:rsid w:val="00FD4490"/>
    <w:rsid w:val="00FD4775"/>
    <w:rsid w:val="00FD4A5A"/>
    <w:rsid w:val="00FD5ADE"/>
    <w:rsid w:val="00FD65A7"/>
    <w:rsid w:val="00FD69AD"/>
    <w:rsid w:val="00FD6BE1"/>
    <w:rsid w:val="00FE0808"/>
    <w:rsid w:val="00FE0C40"/>
    <w:rsid w:val="00FE1B4C"/>
    <w:rsid w:val="00FE2B35"/>
    <w:rsid w:val="00FE3665"/>
    <w:rsid w:val="00FE425E"/>
    <w:rsid w:val="00FE49FF"/>
    <w:rsid w:val="00FE4CE7"/>
    <w:rsid w:val="00FE5084"/>
    <w:rsid w:val="00FE70EB"/>
    <w:rsid w:val="00FE7AFA"/>
    <w:rsid w:val="00FE7E1B"/>
    <w:rsid w:val="00FF095E"/>
    <w:rsid w:val="00FF097F"/>
    <w:rsid w:val="00FF1046"/>
    <w:rsid w:val="00FF1678"/>
    <w:rsid w:val="00FF21C3"/>
    <w:rsid w:val="00FF38CE"/>
    <w:rsid w:val="00FF3A84"/>
    <w:rsid w:val="00FF3C0D"/>
    <w:rsid w:val="00FF4E1A"/>
    <w:rsid w:val="00FF60CA"/>
    <w:rsid w:val="00FF6AAB"/>
    <w:rsid w:val="01066F40"/>
    <w:rsid w:val="0145C5D7"/>
    <w:rsid w:val="01A45A6D"/>
    <w:rsid w:val="01AD0E71"/>
    <w:rsid w:val="01B2281C"/>
    <w:rsid w:val="01B83F04"/>
    <w:rsid w:val="021864CB"/>
    <w:rsid w:val="02236938"/>
    <w:rsid w:val="024AC39E"/>
    <w:rsid w:val="02766D10"/>
    <w:rsid w:val="028B2706"/>
    <w:rsid w:val="0293633F"/>
    <w:rsid w:val="029BA32A"/>
    <w:rsid w:val="02B4CEC2"/>
    <w:rsid w:val="02F6765D"/>
    <w:rsid w:val="02F8DBD9"/>
    <w:rsid w:val="0307707D"/>
    <w:rsid w:val="0316A95B"/>
    <w:rsid w:val="031A849E"/>
    <w:rsid w:val="03272100"/>
    <w:rsid w:val="0332F7FB"/>
    <w:rsid w:val="0345A5F2"/>
    <w:rsid w:val="03616B81"/>
    <w:rsid w:val="03A6A1F4"/>
    <w:rsid w:val="03ABDC22"/>
    <w:rsid w:val="03B61A3A"/>
    <w:rsid w:val="03B73B54"/>
    <w:rsid w:val="03D08A13"/>
    <w:rsid w:val="03DC9C03"/>
    <w:rsid w:val="03E50F4C"/>
    <w:rsid w:val="03EC776E"/>
    <w:rsid w:val="040812D2"/>
    <w:rsid w:val="040ADAB0"/>
    <w:rsid w:val="042EAE9C"/>
    <w:rsid w:val="04337779"/>
    <w:rsid w:val="044BF221"/>
    <w:rsid w:val="04509F23"/>
    <w:rsid w:val="048F9FAA"/>
    <w:rsid w:val="04B04564"/>
    <w:rsid w:val="04D9F021"/>
    <w:rsid w:val="04E69378"/>
    <w:rsid w:val="04F8DB29"/>
    <w:rsid w:val="04FA9EB0"/>
    <w:rsid w:val="05048DD6"/>
    <w:rsid w:val="0507D479"/>
    <w:rsid w:val="053A7F37"/>
    <w:rsid w:val="058F74C7"/>
    <w:rsid w:val="059B51BD"/>
    <w:rsid w:val="05B444C7"/>
    <w:rsid w:val="05CCCCFB"/>
    <w:rsid w:val="05D382D9"/>
    <w:rsid w:val="060C165E"/>
    <w:rsid w:val="060D0B2C"/>
    <w:rsid w:val="061D1AE0"/>
    <w:rsid w:val="06226ED6"/>
    <w:rsid w:val="0645D983"/>
    <w:rsid w:val="0651C147"/>
    <w:rsid w:val="065C8567"/>
    <w:rsid w:val="067D46B4"/>
    <w:rsid w:val="06B167CF"/>
    <w:rsid w:val="06E092E5"/>
    <w:rsid w:val="06F8E099"/>
    <w:rsid w:val="071C1896"/>
    <w:rsid w:val="0729EA8D"/>
    <w:rsid w:val="075747C0"/>
    <w:rsid w:val="07744A09"/>
    <w:rsid w:val="077FCBE1"/>
    <w:rsid w:val="0788C2C4"/>
    <w:rsid w:val="07A4B4C1"/>
    <w:rsid w:val="07B6FF96"/>
    <w:rsid w:val="0800573E"/>
    <w:rsid w:val="08090227"/>
    <w:rsid w:val="08213373"/>
    <w:rsid w:val="08389D65"/>
    <w:rsid w:val="08CB8873"/>
    <w:rsid w:val="08E076DF"/>
    <w:rsid w:val="08E47597"/>
    <w:rsid w:val="0917F19D"/>
    <w:rsid w:val="09593CE3"/>
    <w:rsid w:val="0970E8E2"/>
    <w:rsid w:val="09913926"/>
    <w:rsid w:val="099643F5"/>
    <w:rsid w:val="09998E5F"/>
    <w:rsid w:val="09B52070"/>
    <w:rsid w:val="09BFE6F6"/>
    <w:rsid w:val="09F1B92D"/>
    <w:rsid w:val="0A02CAEB"/>
    <w:rsid w:val="0A71D937"/>
    <w:rsid w:val="0AA1BCDE"/>
    <w:rsid w:val="0AA3B51C"/>
    <w:rsid w:val="0AE51AB1"/>
    <w:rsid w:val="0B06C78F"/>
    <w:rsid w:val="0B3530CC"/>
    <w:rsid w:val="0B50B7D7"/>
    <w:rsid w:val="0B57A681"/>
    <w:rsid w:val="0B622A7E"/>
    <w:rsid w:val="0B78298F"/>
    <w:rsid w:val="0B86945B"/>
    <w:rsid w:val="0BC0F3ED"/>
    <w:rsid w:val="0BC2739B"/>
    <w:rsid w:val="0BCF53F4"/>
    <w:rsid w:val="0BE7ADE8"/>
    <w:rsid w:val="0BEE9A7D"/>
    <w:rsid w:val="0C236025"/>
    <w:rsid w:val="0C618249"/>
    <w:rsid w:val="0C85733C"/>
    <w:rsid w:val="0CA3020D"/>
    <w:rsid w:val="0CCC407D"/>
    <w:rsid w:val="0CE25F92"/>
    <w:rsid w:val="0CFF29F9"/>
    <w:rsid w:val="0D0C6A6C"/>
    <w:rsid w:val="0D0EA59A"/>
    <w:rsid w:val="0D11376C"/>
    <w:rsid w:val="0D20D7D2"/>
    <w:rsid w:val="0D2959EF"/>
    <w:rsid w:val="0D30B8BD"/>
    <w:rsid w:val="0D4199ED"/>
    <w:rsid w:val="0D73E199"/>
    <w:rsid w:val="0D9ABFA5"/>
    <w:rsid w:val="0DDEB72A"/>
    <w:rsid w:val="0DF24974"/>
    <w:rsid w:val="0DF6918C"/>
    <w:rsid w:val="0E015D02"/>
    <w:rsid w:val="0E0FA7D2"/>
    <w:rsid w:val="0E10140B"/>
    <w:rsid w:val="0E146C46"/>
    <w:rsid w:val="0E34D153"/>
    <w:rsid w:val="0E4FB700"/>
    <w:rsid w:val="0E57FDFB"/>
    <w:rsid w:val="0E87E7F2"/>
    <w:rsid w:val="0E8ED6DF"/>
    <w:rsid w:val="0E979E13"/>
    <w:rsid w:val="0E9AC71C"/>
    <w:rsid w:val="0EA83ACD"/>
    <w:rsid w:val="0F04D9C4"/>
    <w:rsid w:val="0F076778"/>
    <w:rsid w:val="0F2BC5FC"/>
    <w:rsid w:val="0F618964"/>
    <w:rsid w:val="0F99C3A0"/>
    <w:rsid w:val="0F9BC22F"/>
    <w:rsid w:val="0FA2E73A"/>
    <w:rsid w:val="0FB3D3FA"/>
    <w:rsid w:val="0FC1155C"/>
    <w:rsid w:val="10320EFC"/>
    <w:rsid w:val="1033A3E1"/>
    <w:rsid w:val="103F8A45"/>
    <w:rsid w:val="104C96D1"/>
    <w:rsid w:val="1052432F"/>
    <w:rsid w:val="10695ECF"/>
    <w:rsid w:val="10A6CEC6"/>
    <w:rsid w:val="10BA4179"/>
    <w:rsid w:val="10C7965D"/>
    <w:rsid w:val="10E35A91"/>
    <w:rsid w:val="10FC36BE"/>
    <w:rsid w:val="10FEAEEE"/>
    <w:rsid w:val="11226CEA"/>
    <w:rsid w:val="11349463"/>
    <w:rsid w:val="1145B69C"/>
    <w:rsid w:val="11537715"/>
    <w:rsid w:val="1155C280"/>
    <w:rsid w:val="116B19FF"/>
    <w:rsid w:val="1180304F"/>
    <w:rsid w:val="119BC730"/>
    <w:rsid w:val="11AD9B11"/>
    <w:rsid w:val="11B7D0F9"/>
    <w:rsid w:val="11BF2B4E"/>
    <w:rsid w:val="11F25408"/>
    <w:rsid w:val="11FCA1FC"/>
    <w:rsid w:val="121AF0DA"/>
    <w:rsid w:val="121EA943"/>
    <w:rsid w:val="124497E0"/>
    <w:rsid w:val="124DCABA"/>
    <w:rsid w:val="1274CE3D"/>
    <w:rsid w:val="128035E8"/>
    <w:rsid w:val="12CEB50C"/>
    <w:rsid w:val="12D5F5B5"/>
    <w:rsid w:val="12F4999C"/>
    <w:rsid w:val="1305DE4E"/>
    <w:rsid w:val="132B4385"/>
    <w:rsid w:val="13352A2D"/>
    <w:rsid w:val="135E3DA1"/>
    <w:rsid w:val="13B9CA17"/>
    <w:rsid w:val="13BEB57F"/>
    <w:rsid w:val="13C1399D"/>
    <w:rsid w:val="13F4D64E"/>
    <w:rsid w:val="13FF371F"/>
    <w:rsid w:val="140127FE"/>
    <w:rsid w:val="141E3333"/>
    <w:rsid w:val="14290BFC"/>
    <w:rsid w:val="1430128B"/>
    <w:rsid w:val="1466F185"/>
    <w:rsid w:val="146D1CA5"/>
    <w:rsid w:val="14A1AEAF"/>
    <w:rsid w:val="14D639AE"/>
    <w:rsid w:val="14EEB457"/>
    <w:rsid w:val="1505E378"/>
    <w:rsid w:val="151740C0"/>
    <w:rsid w:val="15231684"/>
    <w:rsid w:val="1543EDA6"/>
    <w:rsid w:val="15458D6F"/>
    <w:rsid w:val="1548AF5B"/>
    <w:rsid w:val="155A85E0"/>
    <w:rsid w:val="15968C6C"/>
    <w:rsid w:val="15F21E8A"/>
    <w:rsid w:val="1608885F"/>
    <w:rsid w:val="161A6A5E"/>
    <w:rsid w:val="1621EE87"/>
    <w:rsid w:val="164D6F05"/>
    <w:rsid w:val="164EA941"/>
    <w:rsid w:val="16536EA1"/>
    <w:rsid w:val="16565D22"/>
    <w:rsid w:val="1688382A"/>
    <w:rsid w:val="168C4B1D"/>
    <w:rsid w:val="16B0E12A"/>
    <w:rsid w:val="16B65A50"/>
    <w:rsid w:val="16C232FC"/>
    <w:rsid w:val="16E8D2F6"/>
    <w:rsid w:val="16E98EC2"/>
    <w:rsid w:val="1712365B"/>
    <w:rsid w:val="17324E15"/>
    <w:rsid w:val="1765F4FD"/>
    <w:rsid w:val="1775E455"/>
    <w:rsid w:val="17A70FA5"/>
    <w:rsid w:val="17C562D2"/>
    <w:rsid w:val="17EA79A2"/>
    <w:rsid w:val="17F64428"/>
    <w:rsid w:val="17FF450A"/>
    <w:rsid w:val="18113D6A"/>
    <w:rsid w:val="1818BDF8"/>
    <w:rsid w:val="1883D4A7"/>
    <w:rsid w:val="188F60EB"/>
    <w:rsid w:val="189F346E"/>
    <w:rsid w:val="189FB4D2"/>
    <w:rsid w:val="18A0F6A3"/>
    <w:rsid w:val="18C0E653"/>
    <w:rsid w:val="18C53F69"/>
    <w:rsid w:val="18D456D1"/>
    <w:rsid w:val="1911E7E6"/>
    <w:rsid w:val="1914D825"/>
    <w:rsid w:val="1941ECAA"/>
    <w:rsid w:val="195636B5"/>
    <w:rsid w:val="1974481A"/>
    <w:rsid w:val="19A8CB47"/>
    <w:rsid w:val="19CCB1E3"/>
    <w:rsid w:val="19F1ED78"/>
    <w:rsid w:val="19F4E5F8"/>
    <w:rsid w:val="1A0FD33A"/>
    <w:rsid w:val="1A2073B8"/>
    <w:rsid w:val="1A28BF0E"/>
    <w:rsid w:val="1A3B04CF"/>
    <w:rsid w:val="1A598F89"/>
    <w:rsid w:val="1A6AA0CB"/>
    <w:rsid w:val="1AAFC14C"/>
    <w:rsid w:val="1AC1C66C"/>
    <w:rsid w:val="1ADD77BC"/>
    <w:rsid w:val="1B08A077"/>
    <w:rsid w:val="1B2B02CA"/>
    <w:rsid w:val="1B2D6177"/>
    <w:rsid w:val="1B538780"/>
    <w:rsid w:val="1B82FA37"/>
    <w:rsid w:val="1B87566C"/>
    <w:rsid w:val="1BABA39B"/>
    <w:rsid w:val="1BFB7EEA"/>
    <w:rsid w:val="1BFEE958"/>
    <w:rsid w:val="1C0ADC0F"/>
    <w:rsid w:val="1C29DFC8"/>
    <w:rsid w:val="1C4106CA"/>
    <w:rsid w:val="1CCB4EB7"/>
    <w:rsid w:val="1CDFD491"/>
    <w:rsid w:val="1D0BF657"/>
    <w:rsid w:val="1D540EEA"/>
    <w:rsid w:val="1D55B97B"/>
    <w:rsid w:val="1D695A45"/>
    <w:rsid w:val="1D6EF8FB"/>
    <w:rsid w:val="1DAA772B"/>
    <w:rsid w:val="1DB223C7"/>
    <w:rsid w:val="1DCD8491"/>
    <w:rsid w:val="1DCE39B1"/>
    <w:rsid w:val="1DD7B3FA"/>
    <w:rsid w:val="1E00EFF2"/>
    <w:rsid w:val="1E08DD78"/>
    <w:rsid w:val="1E0B4A57"/>
    <w:rsid w:val="1E165129"/>
    <w:rsid w:val="1E42BD5E"/>
    <w:rsid w:val="1E4B11E0"/>
    <w:rsid w:val="1E8F8B82"/>
    <w:rsid w:val="1E9795ED"/>
    <w:rsid w:val="1EA5A281"/>
    <w:rsid w:val="1EB0EAE6"/>
    <w:rsid w:val="1EBAD0AA"/>
    <w:rsid w:val="1ECB878B"/>
    <w:rsid w:val="1F44FA19"/>
    <w:rsid w:val="1F501F98"/>
    <w:rsid w:val="1F52D83E"/>
    <w:rsid w:val="1F657872"/>
    <w:rsid w:val="1F9B4D68"/>
    <w:rsid w:val="1FA2BAC9"/>
    <w:rsid w:val="1FBAAE3F"/>
    <w:rsid w:val="1FE4D7B6"/>
    <w:rsid w:val="1FF07054"/>
    <w:rsid w:val="20059869"/>
    <w:rsid w:val="2031D53A"/>
    <w:rsid w:val="203B8070"/>
    <w:rsid w:val="204CBB47"/>
    <w:rsid w:val="20712223"/>
    <w:rsid w:val="209BE360"/>
    <w:rsid w:val="20CAFC19"/>
    <w:rsid w:val="2117DF93"/>
    <w:rsid w:val="217BF32C"/>
    <w:rsid w:val="21958110"/>
    <w:rsid w:val="2197F630"/>
    <w:rsid w:val="21CD50E3"/>
    <w:rsid w:val="21DE0AAB"/>
    <w:rsid w:val="21EA4F86"/>
    <w:rsid w:val="21F21585"/>
    <w:rsid w:val="220A3C3B"/>
    <w:rsid w:val="220D8593"/>
    <w:rsid w:val="2219F509"/>
    <w:rsid w:val="226694FB"/>
    <w:rsid w:val="22902A22"/>
    <w:rsid w:val="22A79D2E"/>
    <w:rsid w:val="22C9C641"/>
    <w:rsid w:val="22E2F187"/>
    <w:rsid w:val="230F5D1C"/>
    <w:rsid w:val="233A76A7"/>
    <w:rsid w:val="23697C77"/>
    <w:rsid w:val="236F01A8"/>
    <w:rsid w:val="237913A4"/>
    <w:rsid w:val="23AF9243"/>
    <w:rsid w:val="23BC33CB"/>
    <w:rsid w:val="23CADAA3"/>
    <w:rsid w:val="23CC1BE0"/>
    <w:rsid w:val="249A6B91"/>
    <w:rsid w:val="24B5A039"/>
    <w:rsid w:val="24DCD2CD"/>
    <w:rsid w:val="25091DDC"/>
    <w:rsid w:val="251B343C"/>
    <w:rsid w:val="25379729"/>
    <w:rsid w:val="254248D8"/>
    <w:rsid w:val="2549FB07"/>
    <w:rsid w:val="2558042C"/>
    <w:rsid w:val="2566E99A"/>
    <w:rsid w:val="25C080A1"/>
    <w:rsid w:val="25D15C86"/>
    <w:rsid w:val="25D3CBD3"/>
    <w:rsid w:val="25E773D1"/>
    <w:rsid w:val="25ED072E"/>
    <w:rsid w:val="25F9F8F6"/>
    <w:rsid w:val="2633BB20"/>
    <w:rsid w:val="266CD5B9"/>
    <w:rsid w:val="267958BA"/>
    <w:rsid w:val="26AADA4D"/>
    <w:rsid w:val="26CD4FD0"/>
    <w:rsid w:val="2712ACE0"/>
    <w:rsid w:val="275CF0B7"/>
    <w:rsid w:val="2788D78F"/>
    <w:rsid w:val="27AA2A94"/>
    <w:rsid w:val="27B7C58F"/>
    <w:rsid w:val="27C572EC"/>
    <w:rsid w:val="27D59A2C"/>
    <w:rsid w:val="27D98E5B"/>
    <w:rsid w:val="27FB8239"/>
    <w:rsid w:val="2804D527"/>
    <w:rsid w:val="28065FE6"/>
    <w:rsid w:val="281D8E3D"/>
    <w:rsid w:val="284A0F39"/>
    <w:rsid w:val="28715E63"/>
    <w:rsid w:val="287C9DD7"/>
    <w:rsid w:val="28CE2F49"/>
    <w:rsid w:val="28D9A46E"/>
    <w:rsid w:val="28F35D69"/>
    <w:rsid w:val="2939E50E"/>
    <w:rsid w:val="2982D221"/>
    <w:rsid w:val="299BD60E"/>
    <w:rsid w:val="29DCEC2D"/>
    <w:rsid w:val="29DFF4A4"/>
    <w:rsid w:val="29E262B6"/>
    <w:rsid w:val="29F518B1"/>
    <w:rsid w:val="2A05AE34"/>
    <w:rsid w:val="2A0BD23A"/>
    <w:rsid w:val="2A3709A5"/>
    <w:rsid w:val="2A4B8E18"/>
    <w:rsid w:val="2A4F0312"/>
    <w:rsid w:val="2ACA9A8E"/>
    <w:rsid w:val="2AE33B58"/>
    <w:rsid w:val="2AEC570C"/>
    <w:rsid w:val="2B0AEAD6"/>
    <w:rsid w:val="2B106C8B"/>
    <w:rsid w:val="2B139C20"/>
    <w:rsid w:val="2B2F82D0"/>
    <w:rsid w:val="2B3322FB"/>
    <w:rsid w:val="2B5C0F41"/>
    <w:rsid w:val="2B5F8CA1"/>
    <w:rsid w:val="2B7A0DEF"/>
    <w:rsid w:val="2B9A6E18"/>
    <w:rsid w:val="2BB6E585"/>
    <w:rsid w:val="2BD5502C"/>
    <w:rsid w:val="2BFCA5BF"/>
    <w:rsid w:val="2C25E8A8"/>
    <w:rsid w:val="2C71F60A"/>
    <w:rsid w:val="2C90512B"/>
    <w:rsid w:val="2CAA328F"/>
    <w:rsid w:val="2CB8EDF4"/>
    <w:rsid w:val="2CDF0A77"/>
    <w:rsid w:val="2D06C6E8"/>
    <w:rsid w:val="2D723A88"/>
    <w:rsid w:val="2D73C763"/>
    <w:rsid w:val="2D76F3D4"/>
    <w:rsid w:val="2DA1A06C"/>
    <w:rsid w:val="2E2FAE5C"/>
    <w:rsid w:val="2E4249F6"/>
    <w:rsid w:val="2E4537AE"/>
    <w:rsid w:val="2E652626"/>
    <w:rsid w:val="2E655CF6"/>
    <w:rsid w:val="2F35B826"/>
    <w:rsid w:val="2F4ACEDF"/>
    <w:rsid w:val="2FA9078C"/>
    <w:rsid w:val="2FB45F41"/>
    <w:rsid w:val="2FC455F8"/>
    <w:rsid w:val="2FC5339C"/>
    <w:rsid w:val="2FD37E67"/>
    <w:rsid w:val="2FEBE3C6"/>
    <w:rsid w:val="30176090"/>
    <w:rsid w:val="30209C66"/>
    <w:rsid w:val="303133C0"/>
    <w:rsid w:val="30604CD7"/>
    <w:rsid w:val="30616161"/>
    <w:rsid w:val="3082CEC4"/>
    <w:rsid w:val="30B3028A"/>
    <w:rsid w:val="30BEDC0B"/>
    <w:rsid w:val="30E443CD"/>
    <w:rsid w:val="30F0D223"/>
    <w:rsid w:val="30FD7A06"/>
    <w:rsid w:val="3118A478"/>
    <w:rsid w:val="311B9293"/>
    <w:rsid w:val="3123EBC3"/>
    <w:rsid w:val="314EC26F"/>
    <w:rsid w:val="315E8A2F"/>
    <w:rsid w:val="319B0A3B"/>
    <w:rsid w:val="31A2647F"/>
    <w:rsid w:val="31C3D9D5"/>
    <w:rsid w:val="31FEAF72"/>
    <w:rsid w:val="32002A96"/>
    <w:rsid w:val="320E3679"/>
    <w:rsid w:val="325AAC6C"/>
    <w:rsid w:val="32CBEA94"/>
    <w:rsid w:val="3346B225"/>
    <w:rsid w:val="334C39B8"/>
    <w:rsid w:val="3369FCCB"/>
    <w:rsid w:val="33806D9F"/>
    <w:rsid w:val="33871812"/>
    <w:rsid w:val="33A805BF"/>
    <w:rsid w:val="33B186E9"/>
    <w:rsid w:val="33B60633"/>
    <w:rsid w:val="33CA97D2"/>
    <w:rsid w:val="33D59736"/>
    <w:rsid w:val="33F778EC"/>
    <w:rsid w:val="341EAB8C"/>
    <w:rsid w:val="34405440"/>
    <w:rsid w:val="3471A345"/>
    <w:rsid w:val="34AAF997"/>
    <w:rsid w:val="34CBF35A"/>
    <w:rsid w:val="34DDB8F0"/>
    <w:rsid w:val="34FF8A34"/>
    <w:rsid w:val="35223FE8"/>
    <w:rsid w:val="352612B5"/>
    <w:rsid w:val="358205B9"/>
    <w:rsid w:val="35962E45"/>
    <w:rsid w:val="35B0081A"/>
    <w:rsid w:val="35B6143D"/>
    <w:rsid w:val="35C983E9"/>
    <w:rsid w:val="35DF30A8"/>
    <w:rsid w:val="360205D9"/>
    <w:rsid w:val="360ABF6F"/>
    <w:rsid w:val="36211718"/>
    <w:rsid w:val="36527A2A"/>
    <w:rsid w:val="3667C0DC"/>
    <w:rsid w:val="3668B9DF"/>
    <w:rsid w:val="366EC7FC"/>
    <w:rsid w:val="36702D80"/>
    <w:rsid w:val="367ABEFF"/>
    <w:rsid w:val="368E2F7D"/>
    <w:rsid w:val="36EE24DB"/>
    <w:rsid w:val="36F8693C"/>
    <w:rsid w:val="372866FC"/>
    <w:rsid w:val="3736E215"/>
    <w:rsid w:val="373FF6F6"/>
    <w:rsid w:val="3750C48E"/>
    <w:rsid w:val="378C0A0A"/>
    <w:rsid w:val="379B5A9A"/>
    <w:rsid w:val="379F143B"/>
    <w:rsid w:val="37A23A2E"/>
    <w:rsid w:val="37A8F620"/>
    <w:rsid w:val="37F04E53"/>
    <w:rsid w:val="37FF2ABB"/>
    <w:rsid w:val="3820D64B"/>
    <w:rsid w:val="382BF81C"/>
    <w:rsid w:val="3852415A"/>
    <w:rsid w:val="389956C1"/>
    <w:rsid w:val="38B79A73"/>
    <w:rsid w:val="38C07DB9"/>
    <w:rsid w:val="3925DFF1"/>
    <w:rsid w:val="3929AAFF"/>
    <w:rsid w:val="393E963C"/>
    <w:rsid w:val="395F639F"/>
    <w:rsid w:val="396CCC9E"/>
    <w:rsid w:val="397EAE36"/>
    <w:rsid w:val="398BCBD9"/>
    <w:rsid w:val="399E2F95"/>
    <w:rsid w:val="39C5D03F"/>
    <w:rsid w:val="39E3B874"/>
    <w:rsid w:val="3A10BB0D"/>
    <w:rsid w:val="3A5D9040"/>
    <w:rsid w:val="3A61B805"/>
    <w:rsid w:val="3A6FF11F"/>
    <w:rsid w:val="3A952FC8"/>
    <w:rsid w:val="3A9D900B"/>
    <w:rsid w:val="3AE74DBF"/>
    <w:rsid w:val="3AF23BE5"/>
    <w:rsid w:val="3AF516EC"/>
    <w:rsid w:val="3AF7E50F"/>
    <w:rsid w:val="3B001483"/>
    <w:rsid w:val="3B40AF3D"/>
    <w:rsid w:val="3B592221"/>
    <w:rsid w:val="3B6826E0"/>
    <w:rsid w:val="3B73A5C0"/>
    <w:rsid w:val="3B7E6FFF"/>
    <w:rsid w:val="3BB7E137"/>
    <w:rsid w:val="3BDD1533"/>
    <w:rsid w:val="3BED543C"/>
    <w:rsid w:val="3C17578B"/>
    <w:rsid w:val="3C26BE50"/>
    <w:rsid w:val="3C3E6180"/>
    <w:rsid w:val="3C54E63B"/>
    <w:rsid w:val="3C802C4E"/>
    <w:rsid w:val="3C87AFBD"/>
    <w:rsid w:val="3C90D3E0"/>
    <w:rsid w:val="3CA9FAEB"/>
    <w:rsid w:val="3CBB6711"/>
    <w:rsid w:val="3D23E2BE"/>
    <w:rsid w:val="3D59F5DF"/>
    <w:rsid w:val="3D5BFD48"/>
    <w:rsid w:val="3D66AEA1"/>
    <w:rsid w:val="3D911B57"/>
    <w:rsid w:val="3DB08418"/>
    <w:rsid w:val="3DBA2CC1"/>
    <w:rsid w:val="3DC430ED"/>
    <w:rsid w:val="3DCF30D6"/>
    <w:rsid w:val="3DD33C82"/>
    <w:rsid w:val="3DD435EF"/>
    <w:rsid w:val="3DFC4F6F"/>
    <w:rsid w:val="3E2972C9"/>
    <w:rsid w:val="3E5460D4"/>
    <w:rsid w:val="3E6244DF"/>
    <w:rsid w:val="3E62D02F"/>
    <w:rsid w:val="3E716DE7"/>
    <w:rsid w:val="3EA11578"/>
    <w:rsid w:val="3EB8D7BE"/>
    <w:rsid w:val="3F20FA7E"/>
    <w:rsid w:val="3F32C2EB"/>
    <w:rsid w:val="3F3C58D7"/>
    <w:rsid w:val="3F610D11"/>
    <w:rsid w:val="3FB7CD10"/>
    <w:rsid w:val="3FD233D3"/>
    <w:rsid w:val="400F0F31"/>
    <w:rsid w:val="40645049"/>
    <w:rsid w:val="407B7F1D"/>
    <w:rsid w:val="40E00CE9"/>
    <w:rsid w:val="40F1360B"/>
    <w:rsid w:val="4126DFE8"/>
    <w:rsid w:val="412C803F"/>
    <w:rsid w:val="4131F031"/>
    <w:rsid w:val="416775EF"/>
    <w:rsid w:val="4171D59D"/>
    <w:rsid w:val="41796845"/>
    <w:rsid w:val="41882AF1"/>
    <w:rsid w:val="418D392E"/>
    <w:rsid w:val="41A3C3FE"/>
    <w:rsid w:val="41A413F3"/>
    <w:rsid w:val="41E7DBF2"/>
    <w:rsid w:val="42153263"/>
    <w:rsid w:val="423B7027"/>
    <w:rsid w:val="4246D442"/>
    <w:rsid w:val="427A9569"/>
    <w:rsid w:val="428D411D"/>
    <w:rsid w:val="429BC32D"/>
    <w:rsid w:val="42A6ADA5"/>
    <w:rsid w:val="42B78E70"/>
    <w:rsid w:val="42C78270"/>
    <w:rsid w:val="42D97661"/>
    <w:rsid w:val="42DC4380"/>
    <w:rsid w:val="42F86037"/>
    <w:rsid w:val="43088AFE"/>
    <w:rsid w:val="432A4549"/>
    <w:rsid w:val="432C8F04"/>
    <w:rsid w:val="43658F48"/>
    <w:rsid w:val="436EF35A"/>
    <w:rsid w:val="438C0105"/>
    <w:rsid w:val="439AD3A9"/>
    <w:rsid w:val="43B9F4CD"/>
    <w:rsid w:val="43D185B4"/>
    <w:rsid w:val="43D77C19"/>
    <w:rsid w:val="43D8AFC8"/>
    <w:rsid w:val="43F75951"/>
    <w:rsid w:val="4408BE68"/>
    <w:rsid w:val="44396C46"/>
    <w:rsid w:val="44949616"/>
    <w:rsid w:val="44A25C6C"/>
    <w:rsid w:val="450ACCFB"/>
    <w:rsid w:val="45556660"/>
    <w:rsid w:val="455CB4CE"/>
    <w:rsid w:val="4560A07E"/>
    <w:rsid w:val="457869DB"/>
    <w:rsid w:val="4580AB2B"/>
    <w:rsid w:val="4589227B"/>
    <w:rsid w:val="45967B94"/>
    <w:rsid w:val="45A60965"/>
    <w:rsid w:val="45AEC1FF"/>
    <w:rsid w:val="45C6C359"/>
    <w:rsid w:val="4627EF4B"/>
    <w:rsid w:val="462889B8"/>
    <w:rsid w:val="4646B48B"/>
    <w:rsid w:val="465511F0"/>
    <w:rsid w:val="466650FD"/>
    <w:rsid w:val="46F97173"/>
    <w:rsid w:val="470F7CF6"/>
    <w:rsid w:val="4751EAD6"/>
    <w:rsid w:val="476FC96F"/>
    <w:rsid w:val="478ADE46"/>
    <w:rsid w:val="4792B1C5"/>
    <w:rsid w:val="47BCE648"/>
    <w:rsid w:val="47FAA5F6"/>
    <w:rsid w:val="480163AF"/>
    <w:rsid w:val="4801EB52"/>
    <w:rsid w:val="4802215E"/>
    <w:rsid w:val="4802A43D"/>
    <w:rsid w:val="4807C1B4"/>
    <w:rsid w:val="48363DE7"/>
    <w:rsid w:val="483F348E"/>
    <w:rsid w:val="48644774"/>
    <w:rsid w:val="48A54FCD"/>
    <w:rsid w:val="48FF2B83"/>
    <w:rsid w:val="4905E775"/>
    <w:rsid w:val="490CAA98"/>
    <w:rsid w:val="491CC56C"/>
    <w:rsid w:val="493FCF38"/>
    <w:rsid w:val="49576DB6"/>
    <w:rsid w:val="495F1DB8"/>
    <w:rsid w:val="4964F8DC"/>
    <w:rsid w:val="4980983B"/>
    <w:rsid w:val="4989F461"/>
    <w:rsid w:val="4992748B"/>
    <w:rsid w:val="4993A31E"/>
    <w:rsid w:val="4995FD7B"/>
    <w:rsid w:val="499F4870"/>
    <w:rsid w:val="49B9A219"/>
    <w:rsid w:val="4A5D1D5D"/>
    <w:rsid w:val="4A65019B"/>
    <w:rsid w:val="4A935FD1"/>
    <w:rsid w:val="4A96BDD8"/>
    <w:rsid w:val="4A9A9499"/>
    <w:rsid w:val="4AA2E8CB"/>
    <w:rsid w:val="4AC62451"/>
    <w:rsid w:val="4AE7DC6A"/>
    <w:rsid w:val="4AF1E5CD"/>
    <w:rsid w:val="4B16A92E"/>
    <w:rsid w:val="4B181756"/>
    <w:rsid w:val="4B38041D"/>
    <w:rsid w:val="4B452C7F"/>
    <w:rsid w:val="4B477BCD"/>
    <w:rsid w:val="4B71E51D"/>
    <w:rsid w:val="4B8ADFD6"/>
    <w:rsid w:val="4BAAC588"/>
    <w:rsid w:val="4BB270F1"/>
    <w:rsid w:val="4C1950AE"/>
    <w:rsid w:val="4C40F2C3"/>
    <w:rsid w:val="4CBD3037"/>
    <w:rsid w:val="4CC1C7F4"/>
    <w:rsid w:val="4CC44DEC"/>
    <w:rsid w:val="4CCCD774"/>
    <w:rsid w:val="4CCD4054"/>
    <w:rsid w:val="4CF2E827"/>
    <w:rsid w:val="4D25AF95"/>
    <w:rsid w:val="4D27CF95"/>
    <w:rsid w:val="4D28965B"/>
    <w:rsid w:val="4D33A4DB"/>
    <w:rsid w:val="4D595508"/>
    <w:rsid w:val="4D7CD268"/>
    <w:rsid w:val="4DA05F56"/>
    <w:rsid w:val="4DB3E4A3"/>
    <w:rsid w:val="4DEBF6AA"/>
    <w:rsid w:val="4DF0279F"/>
    <w:rsid w:val="4E036897"/>
    <w:rsid w:val="4E29ABF5"/>
    <w:rsid w:val="4E39C0F9"/>
    <w:rsid w:val="4E7982A1"/>
    <w:rsid w:val="4EE39691"/>
    <w:rsid w:val="4EF52569"/>
    <w:rsid w:val="4EF72860"/>
    <w:rsid w:val="4F7DB281"/>
    <w:rsid w:val="4F937B5A"/>
    <w:rsid w:val="4F94CA8C"/>
    <w:rsid w:val="4FA7ED7F"/>
    <w:rsid w:val="4FCDF0DA"/>
    <w:rsid w:val="4FE26732"/>
    <w:rsid w:val="50148518"/>
    <w:rsid w:val="502958E0"/>
    <w:rsid w:val="503ED8B3"/>
    <w:rsid w:val="506987EE"/>
    <w:rsid w:val="50AED342"/>
    <w:rsid w:val="50BDB116"/>
    <w:rsid w:val="50D5A2E0"/>
    <w:rsid w:val="50F82CC4"/>
    <w:rsid w:val="5106875B"/>
    <w:rsid w:val="5125D023"/>
    <w:rsid w:val="5152B31D"/>
    <w:rsid w:val="51656A3D"/>
    <w:rsid w:val="51699825"/>
    <w:rsid w:val="5179D6DA"/>
    <w:rsid w:val="517B4D4D"/>
    <w:rsid w:val="5181C463"/>
    <w:rsid w:val="5181D312"/>
    <w:rsid w:val="518C6BF9"/>
    <w:rsid w:val="519695A7"/>
    <w:rsid w:val="519B8059"/>
    <w:rsid w:val="51A02767"/>
    <w:rsid w:val="51C91FFA"/>
    <w:rsid w:val="51CB7614"/>
    <w:rsid w:val="521A2509"/>
    <w:rsid w:val="522ACDED"/>
    <w:rsid w:val="5231E98A"/>
    <w:rsid w:val="5259BD08"/>
    <w:rsid w:val="525D842E"/>
    <w:rsid w:val="5275451D"/>
    <w:rsid w:val="52771C44"/>
    <w:rsid w:val="53166A0D"/>
    <w:rsid w:val="531D15DA"/>
    <w:rsid w:val="5335906D"/>
    <w:rsid w:val="53656FAD"/>
    <w:rsid w:val="537DABA2"/>
    <w:rsid w:val="5383E13F"/>
    <w:rsid w:val="53891EE3"/>
    <w:rsid w:val="53926960"/>
    <w:rsid w:val="539E7E72"/>
    <w:rsid w:val="53C6FE6B"/>
    <w:rsid w:val="53D0BF7E"/>
    <w:rsid w:val="53DCEB09"/>
    <w:rsid w:val="53E260FC"/>
    <w:rsid w:val="53EF9704"/>
    <w:rsid w:val="53F10817"/>
    <w:rsid w:val="54095C8F"/>
    <w:rsid w:val="54236C7F"/>
    <w:rsid w:val="545123A4"/>
    <w:rsid w:val="546B045A"/>
    <w:rsid w:val="5473D6BE"/>
    <w:rsid w:val="547EEC4F"/>
    <w:rsid w:val="54902726"/>
    <w:rsid w:val="549814AC"/>
    <w:rsid w:val="54A0D440"/>
    <w:rsid w:val="54A39C98"/>
    <w:rsid w:val="54D1F082"/>
    <w:rsid w:val="54FAEA18"/>
    <w:rsid w:val="551C1A38"/>
    <w:rsid w:val="553A4ED3"/>
    <w:rsid w:val="5541EEED"/>
    <w:rsid w:val="5545E2B6"/>
    <w:rsid w:val="5552D815"/>
    <w:rsid w:val="5563AC70"/>
    <w:rsid w:val="5582D066"/>
    <w:rsid w:val="558B6765"/>
    <w:rsid w:val="55B2F90F"/>
    <w:rsid w:val="55DDF3FA"/>
    <w:rsid w:val="55FC5FB7"/>
    <w:rsid w:val="562980E0"/>
    <w:rsid w:val="56451FE4"/>
    <w:rsid w:val="564528A1"/>
    <w:rsid w:val="566310D6"/>
    <w:rsid w:val="56A3CE0A"/>
    <w:rsid w:val="56B7EA99"/>
    <w:rsid w:val="56B84CD6"/>
    <w:rsid w:val="56BBEF52"/>
    <w:rsid w:val="56F01BFB"/>
    <w:rsid w:val="572E5AD6"/>
    <w:rsid w:val="5787695A"/>
    <w:rsid w:val="5797FF56"/>
    <w:rsid w:val="579D9120"/>
    <w:rsid w:val="57A7576E"/>
    <w:rsid w:val="57C0AF88"/>
    <w:rsid w:val="57E0F045"/>
    <w:rsid w:val="57E58714"/>
    <w:rsid w:val="5803BE16"/>
    <w:rsid w:val="581C07A8"/>
    <w:rsid w:val="581F0463"/>
    <w:rsid w:val="5848E801"/>
    <w:rsid w:val="586B7E58"/>
    <w:rsid w:val="586D5129"/>
    <w:rsid w:val="5888223C"/>
    <w:rsid w:val="58D841EE"/>
    <w:rsid w:val="595C4390"/>
    <w:rsid w:val="595E644F"/>
    <w:rsid w:val="597F5FB6"/>
    <w:rsid w:val="5983D05C"/>
    <w:rsid w:val="59F9E9F9"/>
    <w:rsid w:val="5A0B9FB0"/>
    <w:rsid w:val="5A0DBFF6"/>
    <w:rsid w:val="5A264938"/>
    <w:rsid w:val="5A2E2093"/>
    <w:rsid w:val="5A4AAC8C"/>
    <w:rsid w:val="5A6420E2"/>
    <w:rsid w:val="5A8C1C28"/>
    <w:rsid w:val="5A8FD1D2"/>
    <w:rsid w:val="5AB6BB45"/>
    <w:rsid w:val="5B2B34B4"/>
    <w:rsid w:val="5B9EA928"/>
    <w:rsid w:val="5BB6E866"/>
    <w:rsid w:val="5BDD5B0E"/>
    <w:rsid w:val="5BF32B9D"/>
    <w:rsid w:val="5C3BE9EF"/>
    <w:rsid w:val="5C5ECFDA"/>
    <w:rsid w:val="5C61C201"/>
    <w:rsid w:val="5CCD263B"/>
    <w:rsid w:val="5CEF78CB"/>
    <w:rsid w:val="5D58CC21"/>
    <w:rsid w:val="5D8FC03C"/>
    <w:rsid w:val="5DA71A21"/>
    <w:rsid w:val="5DE73554"/>
    <w:rsid w:val="5E0BA93C"/>
    <w:rsid w:val="5E151145"/>
    <w:rsid w:val="5E5031C9"/>
    <w:rsid w:val="5E6EEBD4"/>
    <w:rsid w:val="5E735A67"/>
    <w:rsid w:val="5E7D9DAD"/>
    <w:rsid w:val="5E885D3B"/>
    <w:rsid w:val="5E92D643"/>
    <w:rsid w:val="5E9A4908"/>
    <w:rsid w:val="5E9C21E1"/>
    <w:rsid w:val="5EB17D36"/>
    <w:rsid w:val="5EB49A74"/>
    <w:rsid w:val="5EE7D3C2"/>
    <w:rsid w:val="5F050DAD"/>
    <w:rsid w:val="5F0C45CA"/>
    <w:rsid w:val="5F1070B2"/>
    <w:rsid w:val="5F4651A1"/>
    <w:rsid w:val="5F6AFA3B"/>
    <w:rsid w:val="5F7118DA"/>
    <w:rsid w:val="5F7549C0"/>
    <w:rsid w:val="5F857957"/>
    <w:rsid w:val="5FA554AF"/>
    <w:rsid w:val="5FC6F566"/>
    <w:rsid w:val="5FDCEA35"/>
    <w:rsid w:val="5FE0FD3C"/>
    <w:rsid w:val="5FE3800D"/>
    <w:rsid w:val="6001D3C0"/>
    <w:rsid w:val="6011DD71"/>
    <w:rsid w:val="6023CA13"/>
    <w:rsid w:val="603A1494"/>
    <w:rsid w:val="60462684"/>
    <w:rsid w:val="60631FBF"/>
    <w:rsid w:val="609474EA"/>
    <w:rsid w:val="60B8C4A8"/>
    <w:rsid w:val="60E9F206"/>
    <w:rsid w:val="60EF9E10"/>
    <w:rsid w:val="614A32C7"/>
    <w:rsid w:val="6163B476"/>
    <w:rsid w:val="617A1A78"/>
    <w:rsid w:val="618026BE"/>
    <w:rsid w:val="61E1F6E5"/>
    <w:rsid w:val="620BCEA4"/>
    <w:rsid w:val="62393129"/>
    <w:rsid w:val="625724BC"/>
    <w:rsid w:val="62630471"/>
    <w:rsid w:val="62689CFF"/>
    <w:rsid w:val="62A5E7FB"/>
    <w:rsid w:val="62E60328"/>
    <w:rsid w:val="62EAD574"/>
    <w:rsid w:val="631A27E5"/>
    <w:rsid w:val="635C1F0C"/>
    <w:rsid w:val="63720AEA"/>
    <w:rsid w:val="639BD157"/>
    <w:rsid w:val="63A79749"/>
    <w:rsid w:val="63EB5D13"/>
    <w:rsid w:val="63F459D2"/>
    <w:rsid w:val="643F0B1E"/>
    <w:rsid w:val="646B8E2A"/>
    <w:rsid w:val="647E1EB2"/>
    <w:rsid w:val="6481D389"/>
    <w:rsid w:val="64951019"/>
    <w:rsid w:val="64A7C614"/>
    <w:rsid w:val="64DFCD4F"/>
    <w:rsid w:val="64E61038"/>
    <w:rsid w:val="65237FC9"/>
    <w:rsid w:val="652671ED"/>
    <w:rsid w:val="653120BC"/>
    <w:rsid w:val="6570D1EB"/>
    <w:rsid w:val="6584B2CC"/>
    <w:rsid w:val="660E82F7"/>
    <w:rsid w:val="6624BB4B"/>
    <w:rsid w:val="6629985D"/>
    <w:rsid w:val="66303CF2"/>
    <w:rsid w:val="663737B1"/>
    <w:rsid w:val="66532D0F"/>
    <w:rsid w:val="666F439F"/>
    <w:rsid w:val="66849A32"/>
    <w:rsid w:val="66AB552E"/>
    <w:rsid w:val="66DED0F5"/>
    <w:rsid w:val="66E0A238"/>
    <w:rsid w:val="66E8114A"/>
    <w:rsid w:val="66F37B3E"/>
    <w:rsid w:val="66FA0C8B"/>
    <w:rsid w:val="670CA24C"/>
    <w:rsid w:val="671D4C7F"/>
    <w:rsid w:val="672E5F20"/>
    <w:rsid w:val="672EE6A1"/>
    <w:rsid w:val="67481844"/>
    <w:rsid w:val="675A0B35"/>
    <w:rsid w:val="676CEB90"/>
    <w:rsid w:val="6773560F"/>
    <w:rsid w:val="6809638E"/>
    <w:rsid w:val="680EE543"/>
    <w:rsid w:val="68216BBB"/>
    <w:rsid w:val="68502C57"/>
    <w:rsid w:val="68610B41"/>
    <w:rsid w:val="687C7299"/>
    <w:rsid w:val="6888EE78"/>
    <w:rsid w:val="68A872AD"/>
    <w:rsid w:val="68E41D16"/>
    <w:rsid w:val="6915CC22"/>
    <w:rsid w:val="6925EE65"/>
    <w:rsid w:val="692B75F8"/>
    <w:rsid w:val="6945C9C5"/>
    <w:rsid w:val="695544AC"/>
    <w:rsid w:val="695C35F8"/>
    <w:rsid w:val="69610284"/>
    <w:rsid w:val="699CD2F1"/>
    <w:rsid w:val="69A36ED3"/>
    <w:rsid w:val="69B13F8E"/>
    <w:rsid w:val="69C2488F"/>
    <w:rsid w:val="69E19021"/>
    <w:rsid w:val="69EEE16A"/>
    <w:rsid w:val="69F5DD8D"/>
    <w:rsid w:val="6A164F46"/>
    <w:rsid w:val="6A5FB0A7"/>
    <w:rsid w:val="6A62FE09"/>
    <w:rsid w:val="6A73F23C"/>
    <w:rsid w:val="6A77E0FF"/>
    <w:rsid w:val="6AA00C2E"/>
    <w:rsid w:val="6AB9B3B9"/>
    <w:rsid w:val="6AF47DC4"/>
    <w:rsid w:val="6AF8245E"/>
    <w:rsid w:val="6B383B21"/>
    <w:rsid w:val="6B3C670B"/>
    <w:rsid w:val="6B46E64C"/>
    <w:rsid w:val="6B8853EE"/>
    <w:rsid w:val="6BE5A60D"/>
    <w:rsid w:val="6BF81490"/>
    <w:rsid w:val="6C43CE27"/>
    <w:rsid w:val="6C611832"/>
    <w:rsid w:val="6C6F181C"/>
    <w:rsid w:val="6C92F03F"/>
    <w:rsid w:val="6CCBDBAA"/>
    <w:rsid w:val="6CCE4BF7"/>
    <w:rsid w:val="6CD90A78"/>
    <w:rsid w:val="6CDDD692"/>
    <w:rsid w:val="6D11EB92"/>
    <w:rsid w:val="6D3F3733"/>
    <w:rsid w:val="6D43373E"/>
    <w:rsid w:val="6D4E376F"/>
    <w:rsid w:val="6D62BB70"/>
    <w:rsid w:val="6DB3D209"/>
    <w:rsid w:val="6DB49DF2"/>
    <w:rsid w:val="6DC2A0F9"/>
    <w:rsid w:val="6DE0372B"/>
    <w:rsid w:val="6DF4F4DA"/>
    <w:rsid w:val="6DF71443"/>
    <w:rsid w:val="6DFB55C1"/>
    <w:rsid w:val="6DFBB71A"/>
    <w:rsid w:val="6E12B664"/>
    <w:rsid w:val="6E5E8CAC"/>
    <w:rsid w:val="6EB48277"/>
    <w:rsid w:val="6ECAD8AE"/>
    <w:rsid w:val="6EF0AA30"/>
    <w:rsid w:val="6EFDDF25"/>
    <w:rsid w:val="6F27C7CC"/>
    <w:rsid w:val="6F46E711"/>
    <w:rsid w:val="6F4C4E4C"/>
    <w:rsid w:val="6F6C2663"/>
    <w:rsid w:val="6F73D82D"/>
    <w:rsid w:val="6F848194"/>
    <w:rsid w:val="6F98597A"/>
    <w:rsid w:val="6F9906F9"/>
    <w:rsid w:val="6FD1EF79"/>
    <w:rsid w:val="6FD9A967"/>
    <w:rsid w:val="6FDD835C"/>
    <w:rsid w:val="6FFD667D"/>
    <w:rsid w:val="700A0537"/>
    <w:rsid w:val="7027940F"/>
    <w:rsid w:val="704257F3"/>
    <w:rsid w:val="7056AB2B"/>
    <w:rsid w:val="707B7930"/>
    <w:rsid w:val="70CFECE2"/>
    <w:rsid w:val="70ED66CA"/>
    <w:rsid w:val="712055F0"/>
    <w:rsid w:val="7186491C"/>
    <w:rsid w:val="718C2814"/>
    <w:rsid w:val="718CC43B"/>
    <w:rsid w:val="71C99BD1"/>
    <w:rsid w:val="722B8F67"/>
    <w:rsid w:val="722FD0BE"/>
    <w:rsid w:val="72609DB6"/>
    <w:rsid w:val="727E5187"/>
    <w:rsid w:val="729B20F7"/>
    <w:rsid w:val="72C03AD4"/>
    <w:rsid w:val="72C0899A"/>
    <w:rsid w:val="72D08176"/>
    <w:rsid w:val="72D2B545"/>
    <w:rsid w:val="72E6F22C"/>
    <w:rsid w:val="73011824"/>
    <w:rsid w:val="73031EFE"/>
    <w:rsid w:val="7347E22D"/>
    <w:rsid w:val="734CFBFB"/>
    <w:rsid w:val="734E985F"/>
    <w:rsid w:val="73532B81"/>
    <w:rsid w:val="7363A342"/>
    <w:rsid w:val="73955FE9"/>
    <w:rsid w:val="739BD896"/>
    <w:rsid w:val="73A46F65"/>
    <w:rsid w:val="73A5382B"/>
    <w:rsid w:val="73CCC8C7"/>
    <w:rsid w:val="73E9FE18"/>
    <w:rsid w:val="73FB38EF"/>
    <w:rsid w:val="7440F0EE"/>
    <w:rsid w:val="7450EBD9"/>
    <w:rsid w:val="74875B97"/>
    <w:rsid w:val="748986A3"/>
    <w:rsid w:val="74980007"/>
    <w:rsid w:val="74B76520"/>
    <w:rsid w:val="74EAA872"/>
    <w:rsid w:val="753D98B3"/>
    <w:rsid w:val="757922ED"/>
    <w:rsid w:val="7585CE79"/>
    <w:rsid w:val="758BBA46"/>
    <w:rsid w:val="7599AD79"/>
    <w:rsid w:val="75C9C2E4"/>
    <w:rsid w:val="75F64438"/>
    <w:rsid w:val="763CB7FE"/>
    <w:rsid w:val="764C6BE8"/>
    <w:rsid w:val="767ACA9F"/>
    <w:rsid w:val="76AC1CB9"/>
    <w:rsid w:val="76CDE6F2"/>
    <w:rsid w:val="774935B3"/>
    <w:rsid w:val="7765DA3D"/>
    <w:rsid w:val="779340A1"/>
    <w:rsid w:val="779BB1C7"/>
    <w:rsid w:val="77A56FBD"/>
    <w:rsid w:val="786C33CB"/>
    <w:rsid w:val="78799974"/>
    <w:rsid w:val="7879E3AF"/>
    <w:rsid w:val="78CAA75B"/>
    <w:rsid w:val="78D0C451"/>
    <w:rsid w:val="78F893D7"/>
    <w:rsid w:val="7950EADA"/>
    <w:rsid w:val="79533CCD"/>
    <w:rsid w:val="79D04CFD"/>
    <w:rsid w:val="79E91B87"/>
    <w:rsid w:val="7A0BF1B6"/>
    <w:rsid w:val="7A2C140C"/>
    <w:rsid w:val="7A593F9C"/>
    <w:rsid w:val="7A5E041C"/>
    <w:rsid w:val="7A83A2D0"/>
    <w:rsid w:val="7A8D0A7F"/>
    <w:rsid w:val="7AA62386"/>
    <w:rsid w:val="7AD9C904"/>
    <w:rsid w:val="7B278DF5"/>
    <w:rsid w:val="7B292240"/>
    <w:rsid w:val="7B605AE3"/>
    <w:rsid w:val="7B7265F2"/>
    <w:rsid w:val="7BA691D1"/>
    <w:rsid w:val="7BAC6F56"/>
    <w:rsid w:val="7BF6ECCC"/>
    <w:rsid w:val="7C072077"/>
    <w:rsid w:val="7C1D3A19"/>
    <w:rsid w:val="7C3B7816"/>
    <w:rsid w:val="7C51324F"/>
    <w:rsid w:val="7C55FA8D"/>
    <w:rsid w:val="7C5B8EE2"/>
    <w:rsid w:val="7C6442F3"/>
    <w:rsid w:val="7C69B01F"/>
    <w:rsid w:val="7CB907E8"/>
    <w:rsid w:val="7CF11D19"/>
    <w:rsid w:val="7D1AE3BA"/>
    <w:rsid w:val="7D2D29E7"/>
    <w:rsid w:val="7D4D1D00"/>
    <w:rsid w:val="7D708B27"/>
    <w:rsid w:val="7D8412D6"/>
    <w:rsid w:val="7D8EB87A"/>
    <w:rsid w:val="7DAA08BB"/>
    <w:rsid w:val="7DC5DFAF"/>
    <w:rsid w:val="7DE4F7FE"/>
    <w:rsid w:val="7E0E8433"/>
    <w:rsid w:val="7E642406"/>
    <w:rsid w:val="7E730870"/>
    <w:rsid w:val="7EC97735"/>
    <w:rsid w:val="7ED19691"/>
    <w:rsid w:val="7EE4F66C"/>
    <w:rsid w:val="7EECE96E"/>
    <w:rsid w:val="7EFD18EF"/>
    <w:rsid w:val="7F0315F9"/>
    <w:rsid w:val="7F19DF12"/>
    <w:rsid w:val="7F320514"/>
    <w:rsid w:val="7F543F33"/>
    <w:rsid w:val="7F6F3D85"/>
    <w:rsid w:val="7F726F80"/>
    <w:rsid w:val="7F760A9E"/>
    <w:rsid w:val="7F766C2E"/>
    <w:rsid w:val="7F82DEB4"/>
    <w:rsid w:val="7F84ADC3"/>
    <w:rsid w:val="7F9112B8"/>
    <w:rsid w:val="7F958CFC"/>
    <w:rsid w:val="7FAD4356"/>
    <w:rsid w:val="7FEE55F8"/>
    <w:rsid w:val="7FFFF4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43E04"/>
  <w15:docId w15:val="{AA435EB8-97D0-4A69-B97C-7844D774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E1A"/>
    <w:rPr>
      <w:rFonts w:eastAsia="Times New Roman"/>
    </w:rPr>
  </w:style>
  <w:style w:type="paragraph" w:styleId="Heading1">
    <w:name w:val="heading 1"/>
    <w:basedOn w:val="Normal"/>
    <w:next w:val="Normal"/>
    <w:uiPriority w:val="9"/>
    <w:qFormat/>
    <w:pPr>
      <w:outlineLvl w:val="0"/>
    </w:pPr>
    <w:rPr>
      <w:rFonts w:eastAsia="SimSun"/>
      <w:b/>
      <w:sz w:val="48"/>
      <w:szCs w:val="48"/>
    </w:rPr>
  </w:style>
  <w:style w:type="paragraph" w:styleId="Heading2">
    <w:name w:val="heading 2"/>
    <w:basedOn w:val="Normal"/>
    <w:next w:val="Normal"/>
    <w:uiPriority w:val="9"/>
    <w:semiHidden/>
    <w:unhideWhenUsed/>
    <w:qFormat/>
    <w:pPr>
      <w:keepNext/>
      <w:keepLines/>
      <w:spacing w:before="360" w:after="80"/>
      <w:outlineLvl w:val="1"/>
    </w:pPr>
    <w:rPr>
      <w:rFonts w:eastAsia="SimSu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eastAsia="SimSun"/>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BE00DB"/>
    <w:rPr>
      <w:color w:val="808080"/>
    </w:rPr>
  </w:style>
  <w:style w:type="character" w:styleId="CommentReference">
    <w:name w:val="annotation reference"/>
    <w:basedOn w:val="DefaultParagraphFont"/>
    <w:uiPriority w:val="99"/>
    <w:semiHidden/>
    <w:unhideWhenUsed/>
    <w:rsid w:val="00490889"/>
    <w:rPr>
      <w:sz w:val="16"/>
      <w:szCs w:val="16"/>
    </w:rPr>
  </w:style>
  <w:style w:type="paragraph" w:styleId="CommentText">
    <w:name w:val="annotation text"/>
    <w:basedOn w:val="Normal"/>
    <w:link w:val="CommentTextChar"/>
    <w:uiPriority w:val="99"/>
    <w:semiHidden/>
    <w:unhideWhenUsed/>
    <w:rsid w:val="00490889"/>
    <w:rPr>
      <w:rFonts w:eastAsia="SimSun"/>
      <w:sz w:val="20"/>
      <w:szCs w:val="20"/>
    </w:rPr>
  </w:style>
  <w:style w:type="character" w:customStyle="1" w:styleId="CommentTextChar">
    <w:name w:val="Comment Text Char"/>
    <w:basedOn w:val="DefaultParagraphFont"/>
    <w:link w:val="CommentText"/>
    <w:uiPriority w:val="99"/>
    <w:semiHidden/>
    <w:rsid w:val="00490889"/>
    <w:rPr>
      <w:sz w:val="20"/>
      <w:szCs w:val="20"/>
    </w:rPr>
  </w:style>
  <w:style w:type="paragraph" w:styleId="CommentSubject">
    <w:name w:val="annotation subject"/>
    <w:basedOn w:val="CommentText"/>
    <w:next w:val="CommentText"/>
    <w:link w:val="CommentSubjectChar"/>
    <w:uiPriority w:val="99"/>
    <w:semiHidden/>
    <w:unhideWhenUsed/>
    <w:rsid w:val="00490889"/>
    <w:rPr>
      <w:b/>
      <w:bCs/>
    </w:rPr>
  </w:style>
  <w:style w:type="character" w:customStyle="1" w:styleId="CommentSubjectChar">
    <w:name w:val="Comment Subject Char"/>
    <w:basedOn w:val="CommentTextChar"/>
    <w:link w:val="CommentSubject"/>
    <w:uiPriority w:val="99"/>
    <w:semiHidden/>
    <w:rsid w:val="00490889"/>
    <w:rPr>
      <w:b/>
      <w:bCs/>
      <w:sz w:val="20"/>
      <w:szCs w:val="20"/>
    </w:rPr>
  </w:style>
  <w:style w:type="paragraph" w:styleId="Footer">
    <w:name w:val="footer"/>
    <w:basedOn w:val="Normal"/>
    <w:link w:val="FooterChar"/>
    <w:uiPriority w:val="99"/>
    <w:unhideWhenUsed/>
    <w:rsid w:val="00950034"/>
    <w:pPr>
      <w:tabs>
        <w:tab w:val="center" w:pos="4513"/>
        <w:tab w:val="right" w:pos="9026"/>
      </w:tabs>
    </w:pPr>
    <w:rPr>
      <w:rFonts w:eastAsia="SimSun"/>
    </w:rPr>
  </w:style>
  <w:style w:type="character" w:customStyle="1" w:styleId="FooterChar">
    <w:name w:val="Footer Char"/>
    <w:basedOn w:val="DefaultParagraphFont"/>
    <w:link w:val="Footer"/>
    <w:uiPriority w:val="99"/>
    <w:rsid w:val="00950034"/>
  </w:style>
  <w:style w:type="character" w:styleId="PageNumber">
    <w:name w:val="page number"/>
    <w:basedOn w:val="DefaultParagraphFont"/>
    <w:uiPriority w:val="99"/>
    <w:semiHidden/>
    <w:unhideWhenUsed/>
    <w:rsid w:val="00950034"/>
  </w:style>
  <w:style w:type="character" w:styleId="LineNumber">
    <w:name w:val="line number"/>
    <w:basedOn w:val="DefaultParagraphFont"/>
    <w:uiPriority w:val="99"/>
    <w:semiHidden/>
    <w:unhideWhenUsed/>
    <w:rsid w:val="000160A2"/>
  </w:style>
  <w:style w:type="character" w:styleId="Hyperlink">
    <w:name w:val="Hyperlink"/>
    <w:basedOn w:val="DefaultParagraphFont"/>
    <w:uiPriority w:val="99"/>
    <w:unhideWhenUsed/>
    <w:rsid w:val="00767124"/>
    <w:rPr>
      <w:color w:val="0000FF" w:themeColor="hyperlink"/>
      <w:u w:val="single"/>
    </w:rPr>
  </w:style>
  <w:style w:type="character" w:styleId="UnresolvedMention">
    <w:name w:val="Unresolved Mention"/>
    <w:basedOn w:val="DefaultParagraphFont"/>
    <w:uiPriority w:val="99"/>
    <w:semiHidden/>
    <w:unhideWhenUsed/>
    <w:rsid w:val="00767124"/>
    <w:rPr>
      <w:color w:val="605E5C"/>
      <w:shd w:val="clear" w:color="auto" w:fill="E1DFDD"/>
    </w:rPr>
  </w:style>
  <w:style w:type="paragraph" w:styleId="NormalWeb">
    <w:name w:val="Normal (Web)"/>
    <w:basedOn w:val="Normal"/>
    <w:uiPriority w:val="99"/>
    <w:semiHidden/>
    <w:unhideWhenUsed/>
    <w:rsid w:val="0072243B"/>
    <w:pPr>
      <w:spacing w:before="100" w:beforeAutospacing="1" w:after="100" w:afterAutospacing="1"/>
    </w:pPr>
  </w:style>
  <w:style w:type="paragraph" w:styleId="Header">
    <w:name w:val="header"/>
    <w:basedOn w:val="Normal"/>
    <w:link w:val="HeaderChar"/>
    <w:uiPriority w:val="99"/>
    <w:semiHidden/>
    <w:unhideWhenUsed/>
    <w:rsid w:val="001E0A10"/>
    <w:pPr>
      <w:tabs>
        <w:tab w:val="center" w:pos="4680"/>
        <w:tab w:val="right" w:pos="9360"/>
      </w:tabs>
    </w:pPr>
  </w:style>
  <w:style w:type="character" w:customStyle="1" w:styleId="HeaderChar">
    <w:name w:val="Header Char"/>
    <w:basedOn w:val="DefaultParagraphFont"/>
    <w:link w:val="Header"/>
    <w:uiPriority w:val="99"/>
    <w:semiHidden/>
    <w:rsid w:val="00B743B1"/>
  </w:style>
  <w:style w:type="paragraph" w:styleId="BalloonText">
    <w:name w:val="Balloon Text"/>
    <w:basedOn w:val="Normal"/>
    <w:link w:val="BalloonTextChar"/>
    <w:uiPriority w:val="99"/>
    <w:semiHidden/>
    <w:unhideWhenUsed/>
    <w:rsid w:val="00C431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15D"/>
    <w:rPr>
      <w:rFonts w:ascii="Segoe UI" w:hAnsi="Segoe UI" w:cs="Segoe UI"/>
      <w:sz w:val="18"/>
      <w:szCs w:val="18"/>
    </w:rPr>
  </w:style>
  <w:style w:type="paragraph" w:styleId="ListParagraph">
    <w:name w:val="List Paragraph"/>
    <w:basedOn w:val="Normal"/>
    <w:uiPriority w:val="34"/>
    <w:qFormat/>
    <w:rsid w:val="008C2537"/>
    <w:pPr>
      <w:ind w:left="720"/>
      <w:contextualSpacing/>
    </w:pPr>
    <w:rPr>
      <w:rFonts w:eastAsia="SimSun"/>
    </w:rPr>
  </w:style>
  <w:style w:type="character" w:customStyle="1" w:styleId="apple-converted-space">
    <w:name w:val="apple-converted-space"/>
    <w:basedOn w:val="DefaultParagraphFont"/>
    <w:rsid w:val="009335CD"/>
  </w:style>
  <w:style w:type="character" w:customStyle="1" w:styleId="data-value">
    <w:name w:val="data-value"/>
    <w:basedOn w:val="DefaultParagraphFont"/>
    <w:rsid w:val="009335CD"/>
  </w:style>
  <w:style w:type="paragraph" w:styleId="Revision">
    <w:name w:val="Revision"/>
    <w:hidden/>
    <w:uiPriority w:val="99"/>
    <w:semiHidden/>
    <w:rsid w:val="00ED4BD4"/>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4725">
      <w:bodyDiv w:val="1"/>
      <w:marLeft w:val="0"/>
      <w:marRight w:val="0"/>
      <w:marTop w:val="0"/>
      <w:marBottom w:val="0"/>
      <w:divBdr>
        <w:top w:val="none" w:sz="0" w:space="0" w:color="auto"/>
        <w:left w:val="none" w:sz="0" w:space="0" w:color="auto"/>
        <w:bottom w:val="none" w:sz="0" w:space="0" w:color="auto"/>
        <w:right w:val="none" w:sz="0" w:space="0" w:color="auto"/>
      </w:divBdr>
    </w:div>
    <w:div w:id="60491783">
      <w:bodyDiv w:val="1"/>
      <w:marLeft w:val="0"/>
      <w:marRight w:val="0"/>
      <w:marTop w:val="0"/>
      <w:marBottom w:val="0"/>
      <w:divBdr>
        <w:top w:val="none" w:sz="0" w:space="0" w:color="auto"/>
        <w:left w:val="none" w:sz="0" w:space="0" w:color="auto"/>
        <w:bottom w:val="none" w:sz="0" w:space="0" w:color="auto"/>
        <w:right w:val="none" w:sz="0" w:space="0" w:color="auto"/>
      </w:divBdr>
    </w:div>
    <w:div w:id="190191179">
      <w:bodyDiv w:val="1"/>
      <w:marLeft w:val="0"/>
      <w:marRight w:val="0"/>
      <w:marTop w:val="0"/>
      <w:marBottom w:val="0"/>
      <w:divBdr>
        <w:top w:val="none" w:sz="0" w:space="0" w:color="auto"/>
        <w:left w:val="none" w:sz="0" w:space="0" w:color="auto"/>
        <w:bottom w:val="none" w:sz="0" w:space="0" w:color="auto"/>
        <w:right w:val="none" w:sz="0" w:space="0" w:color="auto"/>
      </w:divBdr>
    </w:div>
    <w:div w:id="207036651">
      <w:bodyDiv w:val="1"/>
      <w:marLeft w:val="0"/>
      <w:marRight w:val="0"/>
      <w:marTop w:val="0"/>
      <w:marBottom w:val="0"/>
      <w:divBdr>
        <w:top w:val="none" w:sz="0" w:space="0" w:color="auto"/>
        <w:left w:val="none" w:sz="0" w:space="0" w:color="auto"/>
        <w:bottom w:val="none" w:sz="0" w:space="0" w:color="auto"/>
        <w:right w:val="none" w:sz="0" w:space="0" w:color="auto"/>
      </w:divBdr>
    </w:div>
    <w:div w:id="216211228">
      <w:bodyDiv w:val="1"/>
      <w:marLeft w:val="0"/>
      <w:marRight w:val="0"/>
      <w:marTop w:val="0"/>
      <w:marBottom w:val="0"/>
      <w:divBdr>
        <w:top w:val="none" w:sz="0" w:space="0" w:color="auto"/>
        <w:left w:val="none" w:sz="0" w:space="0" w:color="auto"/>
        <w:bottom w:val="none" w:sz="0" w:space="0" w:color="auto"/>
        <w:right w:val="none" w:sz="0" w:space="0" w:color="auto"/>
      </w:divBdr>
    </w:div>
    <w:div w:id="300817247">
      <w:bodyDiv w:val="1"/>
      <w:marLeft w:val="0"/>
      <w:marRight w:val="0"/>
      <w:marTop w:val="0"/>
      <w:marBottom w:val="0"/>
      <w:divBdr>
        <w:top w:val="none" w:sz="0" w:space="0" w:color="auto"/>
        <w:left w:val="none" w:sz="0" w:space="0" w:color="auto"/>
        <w:bottom w:val="none" w:sz="0" w:space="0" w:color="auto"/>
        <w:right w:val="none" w:sz="0" w:space="0" w:color="auto"/>
      </w:divBdr>
    </w:div>
    <w:div w:id="357006128">
      <w:bodyDiv w:val="1"/>
      <w:marLeft w:val="0"/>
      <w:marRight w:val="0"/>
      <w:marTop w:val="0"/>
      <w:marBottom w:val="0"/>
      <w:divBdr>
        <w:top w:val="none" w:sz="0" w:space="0" w:color="auto"/>
        <w:left w:val="none" w:sz="0" w:space="0" w:color="auto"/>
        <w:bottom w:val="none" w:sz="0" w:space="0" w:color="auto"/>
        <w:right w:val="none" w:sz="0" w:space="0" w:color="auto"/>
      </w:divBdr>
    </w:div>
    <w:div w:id="421606673">
      <w:bodyDiv w:val="1"/>
      <w:marLeft w:val="0"/>
      <w:marRight w:val="0"/>
      <w:marTop w:val="0"/>
      <w:marBottom w:val="0"/>
      <w:divBdr>
        <w:top w:val="none" w:sz="0" w:space="0" w:color="auto"/>
        <w:left w:val="none" w:sz="0" w:space="0" w:color="auto"/>
        <w:bottom w:val="none" w:sz="0" w:space="0" w:color="auto"/>
        <w:right w:val="none" w:sz="0" w:space="0" w:color="auto"/>
      </w:divBdr>
    </w:div>
    <w:div w:id="453404258">
      <w:bodyDiv w:val="1"/>
      <w:marLeft w:val="0"/>
      <w:marRight w:val="0"/>
      <w:marTop w:val="0"/>
      <w:marBottom w:val="0"/>
      <w:divBdr>
        <w:top w:val="none" w:sz="0" w:space="0" w:color="auto"/>
        <w:left w:val="none" w:sz="0" w:space="0" w:color="auto"/>
        <w:bottom w:val="none" w:sz="0" w:space="0" w:color="auto"/>
        <w:right w:val="none" w:sz="0" w:space="0" w:color="auto"/>
      </w:divBdr>
    </w:div>
    <w:div w:id="494150781">
      <w:bodyDiv w:val="1"/>
      <w:marLeft w:val="0"/>
      <w:marRight w:val="0"/>
      <w:marTop w:val="0"/>
      <w:marBottom w:val="0"/>
      <w:divBdr>
        <w:top w:val="none" w:sz="0" w:space="0" w:color="auto"/>
        <w:left w:val="none" w:sz="0" w:space="0" w:color="auto"/>
        <w:bottom w:val="none" w:sz="0" w:space="0" w:color="auto"/>
        <w:right w:val="none" w:sz="0" w:space="0" w:color="auto"/>
      </w:divBdr>
    </w:div>
    <w:div w:id="523979782">
      <w:bodyDiv w:val="1"/>
      <w:marLeft w:val="0"/>
      <w:marRight w:val="0"/>
      <w:marTop w:val="0"/>
      <w:marBottom w:val="0"/>
      <w:divBdr>
        <w:top w:val="none" w:sz="0" w:space="0" w:color="auto"/>
        <w:left w:val="none" w:sz="0" w:space="0" w:color="auto"/>
        <w:bottom w:val="none" w:sz="0" w:space="0" w:color="auto"/>
        <w:right w:val="none" w:sz="0" w:space="0" w:color="auto"/>
      </w:divBdr>
    </w:div>
    <w:div w:id="556012814">
      <w:bodyDiv w:val="1"/>
      <w:marLeft w:val="0"/>
      <w:marRight w:val="0"/>
      <w:marTop w:val="0"/>
      <w:marBottom w:val="0"/>
      <w:divBdr>
        <w:top w:val="none" w:sz="0" w:space="0" w:color="auto"/>
        <w:left w:val="none" w:sz="0" w:space="0" w:color="auto"/>
        <w:bottom w:val="none" w:sz="0" w:space="0" w:color="auto"/>
        <w:right w:val="none" w:sz="0" w:space="0" w:color="auto"/>
      </w:divBdr>
    </w:div>
    <w:div w:id="647785070">
      <w:bodyDiv w:val="1"/>
      <w:marLeft w:val="0"/>
      <w:marRight w:val="0"/>
      <w:marTop w:val="0"/>
      <w:marBottom w:val="0"/>
      <w:divBdr>
        <w:top w:val="none" w:sz="0" w:space="0" w:color="auto"/>
        <w:left w:val="none" w:sz="0" w:space="0" w:color="auto"/>
        <w:bottom w:val="none" w:sz="0" w:space="0" w:color="auto"/>
        <w:right w:val="none" w:sz="0" w:space="0" w:color="auto"/>
      </w:divBdr>
    </w:div>
    <w:div w:id="716662060">
      <w:bodyDiv w:val="1"/>
      <w:marLeft w:val="0"/>
      <w:marRight w:val="0"/>
      <w:marTop w:val="0"/>
      <w:marBottom w:val="0"/>
      <w:divBdr>
        <w:top w:val="none" w:sz="0" w:space="0" w:color="auto"/>
        <w:left w:val="none" w:sz="0" w:space="0" w:color="auto"/>
        <w:bottom w:val="none" w:sz="0" w:space="0" w:color="auto"/>
        <w:right w:val="none" w:sz="0" w:space="0" w:color="auto"/>
      </w:divBdr>
    </w:div>
    <w:div w:id="750347301">
      <w:bodyDiv w:val="1"/>
      <w:marLeft w:val="0"/>
      <w:marRight w:val="0"/>
      <w:marTop w:val="0"/>
      <w:marBottom w:val="0"/>
      <w:divBdr>
        <w:top w:val="none" w:sz="0" w:space="0" w:color="auto"/>
        <w:left w:val="none" w:sz="0" w:space="0" w:color="auto"/>
        <w:bottom w:val="none" w:sz="0" w:space="0" w:color="auto"/>
        <w:right w:val="none" w:sz="0" w:space="0" w:color="auto"/>
      </w:divBdr>
    </w:div>
    <w:div w:id="757941933">
      <w:bodyDiv w:val="1"/>
      <w:marLeft w:val="0"/>
      <w:marRight w:val="0"/>
      <w:marTop w:val="0"/>
      <w:marBottom w:val="0"/>
      <w:divBdr>
        <w:top w:val="none" w:sz="0" w:space="0" w:color="auto"/>
        <w:left w:val="none" w:sz="0" w:space="0" w:color="auto"/>
        <w:bottom w:val="none" w:sz="0" w:space="0" w:color="auto"/>
        <w:right w:val="none" w:sz="0" w:space="0" w:color="auto"/>
      </w:divBdr>
    </w:div>
    <w:div w:id="834951516">
      <w:bodyDiv w:val="1"/>
      <w:marLeft w:val="0"/>
      <w:marRight w:val="0"/>
      <w:marTop w:val="0"/>
      <w:marBottom w:val="0"/>
      <w:divBdr>
        <w:top w:val="none" w:sz="0" w:space="0" w:color="auto"/>
        <w:left w:val="none" w:sz="0" w:space="0" w:color="auto"/>
        <w:bottom w:val="none" w:sz="0" w:space="0" w:color="auto"/>
        <w:right w:val="none" w:sz="0" w:space="0" w:color="auto"/>
      </w:divBdr>
    </w:div>
    <w:div w:id="880703859">
      <w:bodyDiv w:val="1"/>
      <w:marLeft w:val="0"/>
      <w:marRight w:val="0"/>
      <w:marTop w:val="0"/>
      <w:marBottom w:val="0"/>
      <w:divBdr>
        <w:top w:val="none" w:sz="0" w:space="0" w:color="auto"/>
        <w:left w:val="none" w:sz="0" w:space="0" w:color="auto"/>
        <w:bottom w:val="none" w:sz="0" w:space="0" w:color="auto"/>
        <w:right w:val="none" w:sz="0" w:space="0" w:color="auto"/>
      </w:divBdr>
    </w:div>
    <w:div w:id="928001640">
      <w:bodyDiv w:val="1"/>
      <w:marLeft w:val="0"/>
      <w:marRight w:val="0"/>
      <w:marTop w:val="0"/>
      <w:marBottom w:val="0"/>
      <w:divBdr>
        <w:top w:val="none" w:sz="0" w:space="0" w:color="auto"/>
        <w:left w:val="none" w:sz="0" w:space="0" w:color="auto"/>
        <w:bottom w:val="none" w:sz="0" w:space="0" w:color="auto"/>
        <w:right w:val="none" w:sz="0" w:space="0" w:color="auto"/>
      </w:divBdr>
    </w:div>
    <w:div w:id="980771928">
      <w:bodyDiv w:val="1"/>
      <w:marLeft w:val="0"/>
      <w:marRight w:val="0"/>
      <w:marTop w:val="0"/>
      <w:marBottom w:val="0"/>
      <w:divBdr>
        <w:top w:val="none" w:sz="0" w:space="0" w:color="auto"/>
        <w:left w:val="none" w:sz="0" w:space="0" w:color="auto"/>
        <w:bottom w:val="none" w:sz="0" w:space="0" w:color="auto"/>
        <w:right w:val="none" w:sz="0" w:space="0" w:color="auto"/>
      </w:divBdr>
    </w:div>
    <w:div w:id="1177304059">
      <w:bodyDiv w:val="1"/>
      <w:marLeft w:val="0"/>
      <w:marRight w:val="0"/>
      <w:marTop w:val="0"/>
      <w:marBottom w:val="0"/>
      <w:divBdr>
        <w:top w:val="none" w:sz="0" w:space="0" w:color="auto"/>
        <w:left w:val="none" w:sz="0" w:space="0" w:color="auto"/>
        <w:bottom w:val="none" w:sz="0" w:space="0" w:color="auto"/>
        <w:right w:val="none" w:sz="0" w:space="0" w:color="auto"/>
      </w:divBdr>
    </w:div>
    <w:div w:id="1216117009">
      <w:bodyDiv w:val="1"/>
      <w:marLeft w:val="0"/>
      <w:marRight w:val="0"/>
      <w:marTop w:val="0"/>
      <w:marBottom w:val="0"/>
      <w:divBdr>
        <w:top w:val="none" w:sz="0" w:space="0" w:color="auto"/>
        <w:left w:val="none" w:sz="0" w:space="0" w:color="auto"/>
        <w:bottom w:val="none" w:sz="0" w:space="0" w:color="auto"/>
        <w:right w:val="none" w:sz="0" w:space="0" w:color="auto"/>
      </w:divBdr>
    </w:div>
    <w:div w:id="1269309157">
      <w:bodyDiv w:val="1"/>
      <w:marLeft w:val="0"/>
      <w:marRight w:val="0"/>
      <w:marTop w:val="0"/>
      <w:marBottom w:val="0"/>
      <w:divBdr>
        <w:top w:val="none" w:sz="0" w:space="0" w:color="auto"/>
        <w:left w:val="none" w:sz="0" w:space="0" w:color="auto"/>
        <w:bottom w:val="none" w:sz="0" w:space="0" w:color="auto"/>
        <w:right w:val="none" w:sz="0" w:space="0" w:color="auto"/>
      </w:divBdr>
    </w:div>
    <w:div w:id="1345400052">
      <w:bodyDiv w:val="1"/>
      <w:marLeft w:val="0"/>
      <w:marRight w:val="0"/>
      <w:marTop w:val="0"/>
      <w:marBottom w:val="0"/>
      <w:divBdr>
        <w:top w:val="none" w:sz="0" w:space="0" w:color="auto"/>
        <w:left w:val="none" w:sz="0" w:space="0" w:color="auto"/>
        <w:bottom w:val="none" w:sz="0" w:space="0" w:color="auto"/>
        <w:right w:val="none" w:sz="0" w:space="0" w:color="auto"/>
      </w:divBdr>
    </w:div>
    <w:div w:id="1391538238">
      <w:bodyDiv w:val="1"/>
      <w:marLeft w:val="0"/>
      <w:marRight w:val="0"/>
      <w:marTop w:val="0"/>
      <w:marBottom w:val="0"/>
      <w:divBdr>
        <w:top w:val="none" w:sz="0" w:space="0" w:color="auto"/>
        <w:left w:val="none" w:sz="0" w:space="0" w:color="auto"/>
        <w:bottom w:val="none" w:sz="0" w:space="0" w:color="auto"/>
        <w:right w:val="none" w:sz="0" w:space="0" w:color="auto"/>
      </w:divBdr>
    </w:div>
    <w:div w:id="1442410289">
      <w:bodyDiv w:val="1"/>
      <w:marLeft w:val="0"/>
      <w:marRight w:val="0"/>
      <w:marTop w:val="0"/>
      <w:marBottom w:val="0"/>
      <w:divBdr>
        <w:top w:val="none" w:sz="0" w:space="0" w:color="auto"/>
        <w:left w:val="none" w:sz="0" w:space="0" w:color="auto"/>
        <w:bottom w:val="none" w:sz="0" w:space="0" w:color="auto"/>
        <w:right w:val="none" w:sz="0" w:space="0" w:color="auto"/>
      </w:divBdr>
    </w:div>
    <w:div w:id="1475443791">
      <w:bodyDiv w:val="1"/>
      <w:marLeft w:val="0"/>
      <w:marRight w:val="0"/>
      <w:marTop w:val="0"/>
      <w:marBottom w:val="0"/>
      <w:divBdr>
        <w:top w:val="none" w:sz="0" w:space="0" w:color="auto"/>
        <w:left w:val="none" w:sz="0" w:space="0" w:color="auto"/>
        <w:bottom w:val="none" w:sz="0" w:space="0" w:color="auto"/>
        <w:right w:val="none" w:sz="0" w:space="0" w:color="auto"/>
      </w:divBdr>
    </w:div>
    <w:div w:id="1492482102">
      <w:bodyDiv w:val="1"/>
      <w:marLeft w:val="0"/>
      <w:marRight w:val="0"/>
      <w:marTop w:val="0"/>
      <w:marBottom w:val="0"/>
      <w:divBdr>
        <w:top w:val="none" w:sz="0" w:space="0" w:color="auto"/>
        <w:left w:val="none" w:sz="0" w:space="0" w:color="auto"/>
        <w:bottom w:val="none" w:sz="0" w:space="0" w:color="auto"/>
        <w:right w:val="none" w:sz="0" w:space="0" w:color="auto"/>
      </w:divBdr>
    </w:div>
    <w:div w:id="1642927130">
      <w:bodyDiv w:val="1"/>
      <w:marLeft w:val="0"/>
      <w:marRight w:val="0"/>
      <w:marTop w:val="0"/>
      <w:marBottom w:val="0"/>
      <w:divBdr>
        <w:top w:val="none" w:sz="0" w:space="0" w:color="auto"/>
        <w:left w:val="none" w:sz="0" w:space="0" w:color="auto"/>
        <w:bottom w:val="none" w:sz="0" w:space="0" w:color="auto"/>
        <w:right w:val="none" w:sz="0" w:space="0" w:color="auto"/>
      </w:divBdr>
    </w:div>
    <w:div w:id="1683700780">
      <w:bodyDiv w:val="1"/>
      <w:marLeft w:val="0"/>
      <w:marRight w:val="0"/>
      <w:marTop w:val="0"/>
      <w:marBottom w:val="0"/>
      <w:divBdr>
        <w:top w:val="none" w:sz="0" w:space="0" w:color="auto"/>
        <w:left w:val="none" w:sz="0" w:space="0" w:color="auto"/>
        <w:bottom w:val="none" w:sz="0" w:space="0" w:color="auto"/>
        <w:right w:val="none" w:sz="0" w:space="0" w:color="auto"/>
      </w:divBdr>
    </w:div>
    <w:div w:id="1692102261">
      <w:bodyDiv w:val="1"/>
      <w:marLeft w:val="0"/>
      <w:marRight w:val="0"/>
      <w:marTop w:val="0"/>
      <w:marBottom w:val="0"/>
      <w:divBdr>
        <w:top w:val="none" w:sz="0" w:space="0" w:color="auto"/>
        <w:left w:val="none" w:sz="0" w:space="0" w:color="auto"/>
        <w:bottom w:val="none" w:sz="0" w:space="0" w:color="auto"/>
        <w:right w:val="none" w:sz="0" w:space="0" w:color="auto"/>
      </w:divBdr>
    </w:div>
    <w:div w:id="1734742086">
      <w:bodyDiv w:val="1"/>
      <w:marLeft w:val="0"/>
      <w:marRight w:val="0"/>
      <w:marTop w:val="0"/>
      <w:marBottom w:val="0"/>
      <w:divBdr>
        <w:top w:val="none" w:sz="0" w:space="0" w:color="auto"/>
        <w:left w:val="none" w:sz="0" w:space="0" w:color="auto"/>
        <w:bottom w:val="none" w:sz="0" w:space="0" w:color="auto"/>
        <w:right w:val="none" w:sz="0" w:space="0" w:color="auto"/>
      </w:divBdr>
    </w:div>
    <w:div w:id="1745301811">
      <w:bodyDiv w:val="1"/>
      <w:marLeft w:val="0"/>
      <w:marRight w:val="0"/>
      <w:marTop w:val="0"/>
      <w:marBottom w:val="0"/>
      <w:divBdr>
        <w:top w:val="none" w:sz="0" w:space="0" w:color="auto"/>
        <w:left w:val="none" w:sz="0" w:space="0" w:color="auto"/>
        <w:bottom w:val="none" w:sz="0" w:space="0" w:color="auto"/>
        <w:right w:val="none" w:sz="0" w:space="0" w:color="auto"/>
      </w:divBdr>
    </w:div>
    <w:div w:id="1788700861">
      <w:bodyDiv w:val="1"/>
      <w:marLeft w:val="0"/>
      <w:marRight w:val="0"/>
      <w:marTop w:val="0"/>
      <w:marBottom w:val="0"/>
      <w:divBdr>
        <w:top w:val="none" w:sz="0" w:space="0" w:color="auto"/>
        <w:left w:val="none" w:sz="0" w:space="0" w:color="auto"/>
        <w:bottom w:val="none" w:sz="0" w:space="0" w:color="auto"/>
        <w:right w:val="none" w:sz="0" w:space="0" w:color="auto"/>
      </w:divBdr>
    </w:div>
    <w:div w:id="1810902098">
      <w:bodyDiv w:val="1"/>
      <w:marLeft w:val="0"/>
      <w:marRight w:val="0"/>
      <w:marTop w:val="0"/>
      <w:marBottom w:val="0"/>
      <w:divBdr>
        <w:top w:val="none" w:sz="0" w:space="0" w:color="auto"/>
        <w:left w:val="none" w:sz="0" w:space="0" w:color="auto"/>
        <w:bottom w:val="none" w:sz="0" w:space="0" w:color="auto"/>
        <w:right w:val="none" w:sz="0" w:space="0" w:color="auto"/>
      </w:divBdr>
    </w:div>
    <w:div w:id="1817259073">
      <w:bodyDiv w:val="1"/>
      <w:marLeft w:val="0"/>
      <w:marRight w:val="0"/>
      <w:marTop w:val="0"/>
      <w:marBottom w:val="0"/>
      <w:divBdr>
        <w:top w:val="none" w:sz="0" w:space="0" w:color="auto"/>
        <w:left w:val="none" w:sz="0" w:space="0" w:color="auto"/>
        <w:bottom w:val="none" w:sz="0" w:space="0" w:color="auto"/>
        <w:right w:val="none" w:sz="0" w:space="0" w:color="auto"/>
      </w:divBdr>
    </w:div>
    <w:div w:id="1846044795">
      <w:bodyDiv w:val="1"/>
      <w:marLeft w:val="0"/>
      <w:marRight w:val="0"/>
      <w:marTop w:val="0"/>
      <w:marBottom w:val="0"/>
      <w:divBdr>
        <w:top w:val="none" w:sz="0" w:space="0" w:color="auto"/>
        <w:left w:val="none" w:sz="0" w:space="0" w:color="auto"/>
        <w:bottom w:val="none" w:sz="0" w:space="0" w:color="auto"/>
        <w:right w:val="none" w:sz="0" w:space="0" w:color="auto"/>
      </w:divBdr>
    </w:div>
    <w:div w:id="1923488901">
      <w:bodyDiv w:val="1"/>
      <w:marLeft w:val="0"/>
      <w:marRight w:val="0"/>
      <w:marTop w:val="0"/>
      <w:marBottom w:val="0"/>
      <w:divBdr>
        <w:top w:val="none" w:sz="0" w:space="0" w:color="auto"/>
        <w:left w:val="none" w:sz="0" w:space="0" w:color="auto"/>
        <w:bottom w:val="none" w:sz="0" w:space="0" w:color="auto"/>
        <w:right w:val="none" w:sz="0" w:space="0" w:color="auto"/>
      </w:divBdr>
    </w:div>
    <w:div w:id="1942301090">
      <w:bodyDiv w:val="1"/>
      <w:marLeft w:val="0"/>
      <w:marRight w:val="0"/>
      <w:marTop w:val="0"/>
      <w:marBottom w:val="0"/>
      <w:divBdr>
        <w:top w:val="none" w:sz="0" w:space="0" w:color="auto"/>
        <w:left w:val="none" w:sz="0" w:space="0" w:color="auto"/>
        <w:bottom w:val="none" w:sz="0" w:space="0" w:color="auto"/>
        <w:right w:val="none" w:sz="0" w:space="0" w:color="auto"/>
      </w:divBdr>
    </w:div>
    <w:div w:id="1949460200">
      <w:bodyDiv w:val="1"/>
      <w:marLeft w:val="0"/>
      <w:marRight w:val="0"/>
      <w:marTop w:val="0"/>
      <w:marBottom w:val="0"/>
      <w:divBdr>
        <w:top w:val="none" w:sz="0" w:space="0" w:color="auto"/>
        <w:left w:val="none" w:sz="0" w:space="0" w:color="auto"/>
        <w:bottom w:val="none" w:sz="0" w:space="0" w:color="auto"/>
        <w:right w:val="none" w:sz="0" w:space="0" w:color="auto"/>
      </w:divBdr>
    </w:div>
    <w:div w:id="2008551289">
      <w:bodyDiv w:val="1"/>
      <w:marLeft w:val="0"/>
      <w:marRight w:val="0"/>
      <w:marTop w:val="0"/>
      <w:marBottom w:val="0"/>
      <w:divBdr>
        <w:top w:val="none" w:sz="0" w:space="0" w:color="auto"/>
        <w:left w:val="none" w:sz="0" w:space="0" w:color="auto"/>
        <w:bottom w:val="none" w:sz="0" w:space="0" w:color="auto"/>
        <w:right w:val="none" w:sz="0" w:space="0" w:color="auto"/>
      </w:divBdr>
    </w:div>
    <w:div w:id="2027320861">
      <w:bodyDiv w:val="1"/>
      <w:marLeft w:val="0"/>
      <w:marRight w:val="0"/>
      <w:marTop w:val="0"/>
      <w:marBottom w:val="0"/>
      <w:divBdr>
        <w:top w:val="none" w:sz="0" w:space="0" w:color="auto"/>
        <w:left w:val="none" w:sz="0" w:space="0" w:color="auto"/>
        <w:bottom w:val="none" w:sz="0" w:space="0" w:color="auto"/>
        <w:right w:val="none" w:sz="0" w:space="0" w:color="auto"/>
      </w:divBdr>
    </w:div>
    <w:div w:id="2122843335">
      <w:bodyDiv w:val="1"/>
      <w:marLeft w:val="0"/>
      <w:marRight w:val="0"/>
      <w:marTop w:val="0"/>
      <w:marBottom w:val="0"/>
      <w:divBdr>
        <w:top w:val="none" w:sz="0" w:space="0" w:color="auto"/>
        <w:left w:val="none" w:sz="0" w:space="0" w:color="auto"/>
        <w:bottom w:val="none" w:sz="0" w:space="0" w:color="auto"/>
        <w:right w:val="none" w:sz="0" w:space="0" w:color="auto"/>
      </w:divBdr>
    </w:div>
    <w:div w:id="2140410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804A8-61A5-3D44-8E6D-B05B35D6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19588</Words>
  <Characters>111656</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Shuai Wang</dc:creator>
  <cp:keywords/>
  <cp:lastModifiedBy>Shuai Wang</cp:lastModifiedBy>
  <cp:revision>3</cp:revision>
  <cp:lastPrinted>2021-07-28T12:52:00Z</cp:lastPrinted>
  <dcterms:created xsi:type="dcterms:W3CDTF">2022-02-11T02:27:00Z</dcterms:created>
  <dcterms:modified xsi:type="dcterms:W3CDTF">2022-02-11T02:29:00Z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http://www.zotero.org/styles/environmental-research-letters</vt:lpwstr>
  </property>
  <property fmtid="{D5CDD505-2E9C-101B-9397-08002B2CF9AE}" pid="13" name="Mendeley Recent Style Name 5_1">
    <vt:lpwstr>Environmental Research Letters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d902f061-35d7-3152-b900-60c8bb6d8e91</vt:lpwstr>
  </property>
  <property fmtid="{D5CDD505-2E9C-101B-9397-08002B2CF9AE}" pid="24" name="Mendeley Citation Style_1">
    <vt:lpwstr>http://www.zotero.org/styles/nature</vt:lpwstr>
  </property>
</Properties>
</file>