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D93" w:rsidRPr="00C0604B" w:rsidRDefault="00AD1D93" w:rsidP="00AD1D93">
      <w:pPr>
        <w:adjustRightInd w:val="0"/>
        <w:snapToGrid w:val="0"/>
        <w:spacing w:line="360" w:lineRule="auto"/>
        <w:rPr>
          <w:rFonts w:cs="Times New Roman"/>
          <w:b/>
          <w:sz w:val="48"/>
          <w:szCs w:val="48"/>
        </w:rPr>
      </w:pPr>
      <w:r w:rsidRPr="00C0604B">
        <w:rPr>
          <w:rFonts w:cs="Times New Roman"/>
          <w:b/>
          <w:sz w:val="48"/>
          <w:szCs w:val="48"/>
        </w:rPr>
        <w:t>Postoperative delirium associated with metabolic alterations following hemi-</w:t>
      </w:r>
      <w:proofErr w:type="spellStart"/>
      <w:r w:rsidRPr="00C0604B">
        <w:rPr>
          <w:rFonts w:cs="Times New Roman"/>
          <w:b/>
          <w:sz w:val="48"/>
          <w:szCs w:val="48"/>
        </w:rPr>
        <w:t>arthroplasty</w:t>
      </w:r>
      <w:proofErr w:type="spellEnd"/>
      <w:r w:rsidRPr="00C0604B">
        <w:rPr>
          <w:rFonts w:cs="Times New Roman"/>
          <w:b/>
          <w:sz w:val="48"/>
          <w:szCs w:val="48"/>
        </w:rPr>
        <w:t xml:space="preserve"> in older patients</w:t>
      </w:r>
    </w:p>
    <w:p w:rsidR="00AD1D93" w:rsidRPr="00C0604B" w:rsidRDefault="00AD1D93" w:rsidP="00AD1D93">
      <w:pPr>
        <w:adjustRightInd w:val="0"/>
        <w:snapToGrid w:val="0"/>
        <w:spacing w:line="360" w:lineRule="auto"/>
        <w:rPr>
          <w:rFonts w:ascii="Arial" w:hAnsi="Arial" w:cs="Arial"/>
          <w:b/>
          <w:sz w:val="28"/>
          <w:szCs w:val="28"/>
        </w:rPr>
      </w:pPr>
      <w:r w:rsidRPr="00C0604B">
        <w:rPr>
          <w:rFonts w:ascii="Arial" w:hAnsi="Arial" w:cs="Arial"/>
          <w:b/>
          <w:sz w:val="28"/>
          <w:szCs w:val="28"/>
        </w:rPr>
        <w:t>Abstract</w:t>
      </w:r>
    </w:p>
    <w:p w:rsidR="00AD1D93" w:rsidRPr="001D51D7" w:rsidRDefault="00AD1D93" w:rsidP="00AD1D93">
      <w:pPr>
        <w:adjustRightInd w:val="0"/>
        <w:snapToGrid w:val="0"/>
        <w:spacing w:line="360" w:lineRule="auto"/>
        <w:rPr>
          <w:rFonts w:ascii="Times New Roman" w:hAnsi="Times New Roman" w:cs="Times New Roman"/>
          <w:sz w:val="24"/>
          <w:szCs w:val="24"/>
        </w:rPr>
      </w:pPr>
      <w:r w:rsidRPr="00C0604B">
        <w:rPr>
          <w:rFonts w:ascii="Times New Roman" w:hAnsi="Times New Roman" w:cs="Times New Roman"/>
          <w:b/>
          <w:sz w:val="24"/>
          <w:szCs w:val="24"/>
        </w:rPr>
        <w:t xml:space="preserve">Background: </w:t>
      </w:r>
      <w:r w:rsidRPr="001D51D7">
        <w:rPr>
          <w:rFonts w:ascii="Times New Roman" w:hAnsi="Times New Roman" w:cs="Times New Roman"/>
          <w:sz w:val="24"/>
          <w:szCs w:val="24"/>
        </w:rPr>
        <w:t>Postoperative delirium (POD) is a common complication in older patients, though a possible link between metabolic changes and POD development has yet to be investigated.</w:t>
      </w:r>
    </w:p>
    <w:p w:rsidR="00AD1D93" w:rsidRPr="001D51D7" w:rsidRDefault="00AD1D93" w:rsidP="00AD1D93">
      <w:pPr>
        <w:adjustRightInd w:val="0"/>
        <w:snapToGrid w:val="0"/>
        <w:spacing w:line="360" w:lineRule="auto"/>
        <w:rPr>
          <w:rFonts w:ascii="Times New Roman" w:hAnsi="Times New Roman" w:cs="Times New Roman"/>
          <w:sz w:val="24"/>
          <w:szCs w:val="24"/>
        </w:rPr>
      </w:pPr>
      <w:r w:rsidRPr="00C0604B">
        <w:rPr>
          <w:rFonts w:ascii="Times New Roman" w:hAnsi="Times New Roman" w:cs="Times New Roman"/>
          <w:b/>
          <w:sz w:val="24"/>
          <w:szCs w:val="24"/>
        </w:rPr>
        <w:t>Methods:</w:t>
      </w:r>
      <w:r w:rsidRPr="001D51D7">
        <w:rPr>
          <w:rFonts w:ascii="Times New Roman" w:hAnsi="Times New Roman" w:cs="Times New Roman"/>
          <w:sz w:val="24"/>
          <w:szCs w:val="24"/>
        </w:rPr>
        <w:t xml:space="preserve"> Older patients with hip fracture who underwent hemi-</w:t>
      </w:r>
      <w:proofErr w:type="spellStart"/>
      <w:r w:rsidRPr="001D51D7">
        <w:rPr>
          <w:rFonts w:ascii="Times New Roman" w:hAnsi="Times New Roman" w:cs="Times New Roman"/>
          <w:sz w:val="24"/>
          <w:szCs w:val="24"/>
        </w:rPr>
        <w:t>arthroplasty</w:t>
      </w:r>
      <w:proofErr w:type="spellEnd"/>
      <w:r w:rsidRPr="001D51D7">
        <w:rPr>
          <w:rFonts w:ascii="Times New Roman" w:hAnsi="Times New Roman" w:cs="Times New Roman"/>
          <w:sz w:val="24"/>
          <w:szCs w:val="24"/>
        </w:rPr>
        <w:t xml:space="preserve"> were recruited, and delirious states were assessed for three days after surgery using the confusion Assessment Method-Chinese Revision. Simultaneously, fasting blood samples were collected on the morning of surgery and on the first postoperative day. Ultimately, 244 older patients who met the inclusion and exclusion criteria were assessed. Blood samples from 60 patients with POD and 60 matched controls were </w:t>
      </w:r>
      <w:proofErr w:type="spellStart"/>
      <w:r w:rsidRPr="001D51D7">
        <w:rPr>
          <w:rFonts w:ascii="Times New Roman" w:hAnsi="Times New Roman" w:cs="Times New Roman"/>
          <w:sz w:val="24"/>
          <w:szCs w:val="24"/>
        </w:rPr>
        <w:t>analysed</w:t>
      </w:r>
      <w:proofErr w:type="spellEnd"/>
      <w:r w:rsidRPr="001D51D7">
        <w:rPr>
          <w:rFonts w:ascii="Times New Roman" w:hAnsi="Times New Roman" w:cs="Times New Roman"/>
          <w:sz w:val="24"/>
          <w:szCs w:val="24"/>
        </w:rPr>
        <w:t xml:space="preserve"> via metabolomics platforms.</w:t>
      </w:r>
    </w:p>
    <w:p w:rsidR="00AD1D93" w:rsidRPr="001D51D7" w:rsidRDefault="00AD1D93" w:rsidP="00AD1D93">
      <w:pPr>
        <w:adjustRightInd w:val="0"/>
        <w:snapToGrid w:val="0"/>
        <w:spacing w:line="360" w:lineRule="auto"/>
        <w:rPr>
          <w:rFonts w:ascii="Times New Roman" w:hAnsi="Times New Roman" w:cs="Times New Roman"/>
          <w:sz w:val="24"/>
          <w:szCs w:val="24"/>
        </w:rPr>
      </w:pPr>
      <w:r w:rsidRPr="00C0604B">
        <w:rPr>
          <w:rFonts w:ascii="Times New Roman" w:hAnsi="Times New Roman" w:cs="Times New Roman"/>
          <w:b/>
          <w:sz w:val="24"/>
          <w:szCs w:val="24"/>
        </w:rPr>
        <w:t>Results:</w:t>
      </w:r>
      <w:r w:rsidRPr="001D51D7">
        <w:rPr>
          <w:rFonts w:ascii="Times New Roman" w:hAnsi="Times New Roman" w:cs="Times New Roman"/>
          <w:sz w:val="24"/>
          <w:szCs w:val="24"/>
        </w:rPr>
        <w:t xml:space="preserve"> Sixty patients (24.6%) developed POD. Principal component analysis score plot and cross validated score plots from orthogonal partial least squares-discriminant analysis were implemented to visualize the differences in metabolites between the two groups before and after surgery</w:t>
      </w:r>
      <w:r>
        <w:rPr>
          <w:rFonts w:ascii="Times New Roman" w:hAnsi="Times New Roman" w:cs="Times New Roman" w:hint="eastAsia"/>
          <w:sz w:val="24"/>
          <w:szCs w:val="24"/>
        </w:rPr>
        <w:t xml:space="preserve"> (p&lt;0.05)</w:t>
      </w:r>
      <w:r w:rsidRPr="001D51D7">
        <w:rPr>
          <w:rFonts w:ascii="Times New Roman" w:hAnsi="Times New Roman" w:cs="Times New Roman"/>
          <w:sz w:val="24"/>
          <w:szCs w:val="24"/>
        </w:rPr>
        <w:t xml:space="preserve">. Our data indicate that levels of ω3 and ω6 fatty acids were lower in the POD group than in the NPOD (non-POD) group both before and after surgery, </w:t>
      </w:r>
      <w:proofErr w:type="spellStart"/>
      <w:r w:rsidRPr="001D51D7">
        <w:rPr>
          <w:rFonts w:ascii="Times New Roman" w:hAnsi="Times New Roman" w:cs="Times New Roman"/>
          <w:sz w:val="24"/>
          <w:szCs w:val="24"/>
        </w:rPr>
        <w:t>tricarboxylic</w:t>
      </w:r>
      <w:proofErr w:type="spellEnd"/>
      <w:r w:rsidRPr="001D51D7">
        <w:rPr>
          <w:rFonts w:ascii="Times New Roman" w:hAnsi="Times New Roman" w:cs="Times New Roman"/>
          <w:sz w:val="24"/>
          <w:szCs w:val="24"/>
        </w:rPr>
        <w:t xml:space="preserve"> cycle intermediate levels were lower in the POD group than in the NPOD group but glycolysis products were higher in the POD group than in the NPOD group after surgery. Furthermore, the branched-chain amino acid (BCAA)/aromatic amino acid (AAA) ratio was lower in the POD group than in the NPOD group after surgery.</w:t>
      </w:r>
      <w:r w:rsidRPr="001D51D7">
        <w:rPr>
          <w:rFonts w:ascii="Times New Roman" w:hAnsi="Times New Roman" w:cs="Times New Roman"/>
          <w:sz w:val="24"/>
          <w:szCs w:val="24"/>
        </w:rPr>
        <w:cr/>
      </w:r>
      <w:r w:rsidRPr="00C0604B">
        <w:rPr>
          <w:rFonts w:ascii="Times New Roman" w:hAnsi="Times New Roman" w:cs="Times New Roman"/>
          <w:b/>
          <w:sz w:val="24"/>
          <w:szCs w:val="24"/>
        </w:rPr>
        <w:t xml:space="preserve">Conclusions: </w:t>
      </w:r>
      <w:r w:rsidRPr="001D51D7">
        <w:rPr>
          <w:rFonts w:ascii="Times New Roman" w:hAnsi="Times New Roman" w:cs="Times New Roman"/>
          <w:sz w:val="24"/>
          <w:szCs w:val="24"/>
        </w:rPr>
        <w:t xml:space="preserve">Metabolic abnormalities, including deficiencies in ω3 and ω6 fatty acids, perturbations in </w:t>
      </w:r>
      <w:proofErr w:type="spellStart"/>
      <w:r w:rsidRPr="001D51D7">
        <w:rPr>
          <w:rFonts w:ascii="Times New Roman" w:hAnsi="Times New Roman" w:cs="Times New Roman"/>
          <w:sz w:val="24"/>
          <w:szCs w:val="24"/>
        </w:rPr>
        <w:t>tricarboxylic</w:t>
      </w:r>
      <w:proofErr w:type="spellEnd"/>
      <w:r w:rsidRPr="001D51D7">
        <w:rPr>
          <w:rFonts w:ascii="Times New Roman" w:hAnsi="Times New Roman" w:cs="Times New Roman"/>
          <w:sz w:val="24"/>
          <w:szCs w:val="24"/>
        </w:rPr>
        <w:t xml:space="preserve"> cycle and oxidative stress, and metabolic imbalances in BCAA and AAA, might contribute to POD development.</w:t>
      </w:r>
    </w:p>
    <w:p w:rsidR="00AD1D93" w:rsidRPr="001D51D7" w:rsidRDefault="00AD1D93" w:rsidP="00AD1D93">
      <w:pPr>
        <w:adjustRightInd w:val="0"/>
        <w:snapToGrid w:val="0"/>
        <w:spacing w:line="360" w:lineRule="auto"/>
        <w:rPr>
          <w:rFonts w:ascii="Times New Roman" w:hAnsi="Times New Roman" w:cs="Times New Roman"/>
          <w:sz w:val="24"/>
          <w:szCs w:val="24"/>
        </w:rPr>
      </w:pPr>
    </w:p>
    <w:p w:rsidR="00AD1D93" w:rsidRPr="00C0604B" w:rsidRDefault="00AD1D93" w:rsidP="00AD1D93">
      <w:pPr>
        <w:adjustRightInd w:val="0"/>
        <w:snapToGrid w:val="0"/>
        <w:spacing w:line="360" w:lineRule="auto"/>
        <w:rPr>
          <w:rFonts w:ascii="Times New Roman" w:hAnsi="Times New Roman" w:cs="Times New Roman"/>
          <w:i/>
          <w:sz w:val="24"/>
          <w:szCs w:val="24"/>
        </w:rPr>
      </w:pPr>
      <w:r w:rsidRPr="00C0604B">
        <w:rPr>
          <w:rFonts w:ascii="Times New Roman" w:hAnsi="Times New Roman" w:cs="Times New Roman"/>
          <w:b/>
          <w:sz w:val="24"/>
          <w:szCs w:val="24"/>
        </w:rPr>
        <w:t>Keywords:</w:t>
      </w:r>
      <w:r w:rsidRPr="001D51D7">
        <w:rPr>
          <w:rFonts w:ascii="Times New Roman" w:hAnsi="Times New Roman" w:cs="Times New Roman"/>
          <w:sz w:val="24"/>
          <w:szCs w:val="24"/>
        </w:rPr>
        <w:t xml:space="preserve"> </w:t>
      </w:r>
      <w:r w:rsidRPr="00C0604B">
        <w:rPr>
          <w:rFonts w:ascii="Times New Roman" w:hAnsi="Times New Roman" w:cs="Times New Roman"/>
          <w:i/>
          <w:sz w:val="24"/>
          <w:szCs w:val="24"/>
        </w:rPr>
        <w:t>postoperative delirium, hip fracture, older patients, metabolomics</w:t>
      </w:r>
    </w:p>
    <w:p w:rsidR="00AD1D93" w:rsidRPr="001D51D7" w:rsidRDefault="00AD1D93" w:rsidP="00AD1D93">
      <w:pPr>
        <w:adjustRightInd w:val="0"/>
        <w:snapToGrid w:val="0"/>
        <w:spacing w:line="36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 w:val="28"/>
          <w:szCs w:val="28"/>
        </w:rPr>
      </w:pPr>
      <w:r w:rsidRPr="00C0604B">
        <w:rPr>
          <w:rFonts w:ascii="Arial" w:hAnsi="Arial" w:cs="Arial"/>
          <w:b/>
          <w:sz w:val="28"/>
          <w:szCs w:val="28"/>
        </w:rPr>
        <w:lastRenderedPageBreak/>
        <w:t>Introduction</w:t>
      </w:r>
    </w:p>
    <w:p w:rsidR="00AD1D93" w:rsidRPr="001D51D7" w:rsidRDefault="00AD1D93" w:rsidP="00AD1D93">
      <w:pPr>
        <w:adjustRightInd w:val="0"/>
        <w:snapToGrid w:val="0"/>
        <w:spacing w:line="480" w:lineRule="auto"/>
        <w:ind w:firstLineChars="100" w:firstLine="240"/>
        <w:rPr>
          <w:rFonts w:ascii="Times New Roman" w:hAnsi="Times New Roman" w:cs="Times New Roman"/>
          <w:sz w:val="24"/>
          <w:szCs w:val="24"/>
        </w:rPr>
      </w:pPr>
      <w:r w:rsidRPr="001D51D7">
        <w:rPr>
          <w:rFonts w:ascii="Times New Roman" w:hAnsi="Times New Roman" w:cs="Times New Roman"/>
          <w:sz w:val="24"/>
          <w:szCs w:val="24"/>
        </w:rPr>
        <w:t xml:space="preserve">The incidence of postoperative delirium (POD) in older patients with hip fracture ranges from 20-50%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&lt;EndNote&gt;&lt;Cite&gt;&lt;Author&gt;Wang&lt;/Author&gt;&lt;Year&gt;2015&lt;/Year&gt;&lt;RecNum&gt;1&lt;/RecNum&gt;&lt;DisplayText&gt;[1]&lt;/DisplayText&gt;&lt;record&gt;&lt;rec-number&gt;1&lt;/rec-number&gt;&lt;foreign-keys&gt;&lt;key app="EN" db-id="sa5xr5fx6arrerert94552vvf9pd2pvv5x5d"&gt;1&lt;/key&gt;&lt;/foreign-keys&gt;&lt;ref-type name="Journal Article"&gt;17&lt;/ref-type&gt;&lt;contributors&gt;&lt;authors&gt;&lt;author&gt;Wang, N. Y.&lt;/author&gt;&lt;author&gt;Hirao, A.&lt;/author&gt;&lt;author&gt;Sieber, F.&lt;/author&gt;&lt;/authors&gt;&lt;/contributors&gt;&lt;auth-address&gt;Department of Medicine, Biostatistics, and Epidemiology, Johns Hopkins Medical Institutions, Baltimore, Maryland, United States of America.&amp;#xD;Department of Anesthesiology and Critical Care Medicine, Johns Hopkins Bayview Medical Center, Baltimore, Maryland, United States of America.&lt;/auth-address&gt;&lt;titles&gt;&lt;title&gt;Association between intraoperative blood pressure and postoperative delirium in elderly hip fracture patients&lt;/title&gt;&lt;secondary-title&gt;PLoS One&lt;/secondary-title&gt;&lt;alt-title&gt;PloS one&lt;/alt-title&gt;&lt;/titles&gt;&lt;pages&gt;e0123892&lt;/pages&gt;&lt;volume&gt;10&lt;/volume&gt;&lt;number&gt;4&lt;/number&gt;&lt;dates&gt;&lt;year&gt;2015&lt;/year&gt;&lt;/dates&gt;&lt;isbn&gt;1932-6203 (Electronic)&amp;#xD;1932-6203 (Linking)&lt;/isbn&gt;&lt;accession-num&gt;25860338&lt;/accession-num&gt;&lt;urls&gt;&lt;related-urls&gt;&lt;url&gt;http://www.ncbi.nlm.nih.gov/pubmed/25860338&lt;/url&gt;&lt;/related-urls&gt;&lt;/urls&gt;&lt;custom2&gt;4393126&lt;/custom2&gt;&lt;electronic-resource-num&gt;10.1371/journal.pone.0123892&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 w:tooltip="Wang, 2015 #1" w:history="1">
        <w:r>
          <w:rPr>
            <w:rFonts w:ascii="Times New Roman" w:hAnsi="Times New Roman" w:cs="Times New Roman"/>
            <w:noProof/>
            <w:sz w:val="24"/>
            <w:szCs w:val="24"/>
          </w:rPr>
          <w:t>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POD usually occurs in the early postoperative period and is characterized by acute and fluctuating neurological impairments, including disturbances in attention, memory, orientation, perception, and psychomotor </w:t>
      </w:r>
      <w:proofErr w:type="spellStart"/>
      <w:r w:rsidRPr="001D51D7">
        <w:rPr>
          <w:rFonts w:ascii="Times New Roman" w:hAnsi="Times New Roman" w:cs="Times New Roman"/>
          <w:sz w:val="24"/>
          <w:szCs w:val="24"/>
        </w:rPr>
        <w:t>behaviour</w:t>
      </w:r>
      <w:proofErr w:type="spellEnd"/>
      <w:r w:rsidRPr="001D51D7">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&lt;EndNote&gt;&lt;Cite&gt;&lt;Author&gt;Fricchione&lt;/Author&gt;&lt;Year&gt;2008&lt;/Year&gt;&lt;RecNum&gt;3&lt;/RecNum&gt;&lt;DisplayText&gt;[2]&lt;/DisplayText&gt;&lt;record&gt;&lt;rec-number&gt;3&lt;/rec-number&gt;&lt;foreign-keys&gt;&lt;key app="EN" db-id="sa5xr5fx6arrerert94552vvf9pd2pvv5x5d"&gt;3&lt;/key&gt;&lt;/foreign-keys&gt;&lt;ref-type name="Journal Article"&gt;17&lt;/ref-type&gt;&lt;contributors&gt;&lt;authors&gt;&lt;author&gt;Fricchione, G. L.&lt;/author&gt;&lt;author&gt;Nejad, S. H.&lt;/author&gt;&lt;author&gt;Esses, J. A.&lt;/author&gt;&lt;author&gt;Cummings, T. J., Jr.&lt;/author&gt;&lt;author&gt;Querques, J.&lt;/author&gt;&lt;author&gt;Cassem, N. H.&lt;/author&gt;&lt;author&gt;Murray, G. B.&lt;/author&gt;&lt;/authors&gt;&lt;/contributors&gt;&lt;auth-address&gt;Massachusetts General Hospital, Department of Psychiatry, Warren 615, 55 Fruit St., Boston, MA 02114, USA. gfricchione@partners.org&lt;/auth-address&gt;&lt;titles&gt;&lt;title&gt;Postoperative delirium&lt;/title&gt;&lt;secondary-title&gt;Am J Psychiatry&lt;/secondary-title&gt;&lt;alt-title&gt;The American journal of psychiatry&lt;/alt-title&gt;&lt;/titles&gt;&lt;pages&gt;803-12&lt;/pages&gt;&lt;volume&gt;165&lt;/volume&gt;&lt;number&gt;7&lt;/number&gt;&lt;keywords&gt;&lt;keyword&gt;Antipsychotic Agents/*therapeutic use&lt;/keyword&gt;&lt;keyword&gt;Delirium/diagnosis/*drug therapy/*etiology&lt;/keyword&gt;&lt;keyword&gt;Diagnosis, Differential&lt;/keyword&gt;&lt;keyword&gt;Electrocardiography&lt;/keyword&gt;&lt;keyword&gt;Electroencephalography&lt;/keyword&gt;&lt;keyword&gt;Haloperidol/*therapeutic use&lt;/keyword&gt;&lt;keyword&gt;Humans&lt;/keyword&gt;&lt;keyword&gt;Male&lt;/keyword&gt;&lt;keyword&gt;Middle Aged&lt;/keyword&gt;&lt;keyword&gt;Neuropsychological Tests&lt;/keyword&gt;&lt;keyword&gt;Postoperative Complications/*psychology&lt;/keyword&gt;&lt;keyword&gt;Tachycardia, Sinus/diagnosis&lt;/keyword&gt;&lt;/keywords&gt;&lt;dates&gt;&lt;year&gt;2008&lt;/year&gt;&lt;pub-dates&gt;&lt;date&gt;Jul&lt;/date&gt;&lt;/pub-dates&gt;&lt;/dates&gt;&lt;isbn&gt;1535-7228 (Electronic)&amp;#xD;0002-953X (Linking)&lt;/isbn&gt;&lt;accession-num&gt;18593786&lt;/accession-num&gt;&lt;urls&gt;&lt;related-urls&gt;&lt;url&gt;http://www.ncbi.nlm.nih.gov/pubmed/18593786&lt;/url&gt;&lt;/related-urls&gt;&lt;/urls&gt;&lt;electronic-resource-num&gt;10.1176/appi.ajp.2008.08020181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 w:tooltip="Fricchione, 2008 #3" w:history="1">
        <w:r>
          <w:rPr>
            <w:rFonts w:ascii="Times New Roman" w:hAnsi="Times New Roman" w:cs="Times New Roman"/>
            <w:noProof/>
            <w:sz w:val="24"/>
            <w:szCs w:val="24"/>
          </w:rPr>
          <w:t>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This condition contributes to poor functional recovery and cognitive impairment, leading to decreased quality of life and extended hospitalization</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&lt;EndNote&gt;&lt;Cite&gt;&lt;Author&gt;Maldonado&lt;/Author&gt;&lt;Year&gt;2017&lt;/Year&gt;&lt;RecNum&gt;77&lt;/RecNum&gt;&lt;DisplayText&gt;[3]&lt;/DisplayText&gt;&lt;record&gt;&lt;rec-number&gt;77&lt;/rec-number&gt;&lt;foreign-keys&gt;&lt;key app="EN" db-id="sa5xr5fx6arrerert94552vvf9pd2pvv5x5d"&gt;77&lt;/key&gt;&lt;/foreign-keys&gt;&lt;ref-type name="Journal Article"&gt;17&lt;/ref-type&gt;&lt;contributors&gt;&lt;authors&gt;&lt;author&gt;Maldonado, J. R.&lt;/author&gt;&lt;/authors&gt;&lt;/contributors&gt;&lt;auth-address&gt;Psychosomatic Medicine Service, Emergency Psychiatry Service, Department of Psychiatry and Behavioral Sciences, Stanford University School of Medicine, 401 Quarry Road, Suite 2317, Stanford, CA 94305-5718, USA. Electronic address: jrm@stanford.edu.&lt;/auth-address&gt;&lt;titles&gt;&lt;title&gt;Acute Brain Failure: Pathophysiology, Diagnosis, Management, and Sequelae of Delirium&lt;/title&gt;&lt;secondary-title&gt;Crit Care Clin&lt;/secondary-title&gt;&lt;alt-title&gt;Critical care clinics&lt;/alt-title&gt;&lt;/titles&gt;&lt;periodical&gt;&lt;full-title&gt;Crit Care Clin&lt;/full-title&gt;&lt;abbr-1&gt;Critical care clinics&lt;/abbr-1&gt;&lt;/periodical&gt;&lt;alt-periodical&gt;&lt;full-title&gt;Crit Care Clin&lt;/full-title&gt;&lt;abbr-1&gt;Critical care clinics&lt;/abbr-1&gt;&lt;/alt-periodical&gt;&lt;pages&gt;461-519&lt;/pages&gt;&lt;volume&gt;33&lt;/volume&gt;&lt;number&gt;3&lt;/number&gt;&lt;keywords&gt;&lt;keyword&gt;Acute Disease&lt;/keyword&gt;&lt;keyword&gt;Critical Care&lt;/keyword&gt;&lt;keyword&gt;*Delirium/complications/diagnosis/physiopathology/therapy&lt;/keyword&gt;&lt;keyword&gt;Humans&lt;/keyword&gt;&lt;keyword&gt;Intensive Care Units&lt;/keyword&gt;&lt;keyword&gt;Length of Stay&lt;/keyword&gt;&lt;keyword&gt;Quality of Life&lt;/keyword&gt;&lt;keyword&gt;Risk Factors&lt;/keyword&gt;&lt;/keywords&gt;&lt;dates&gt;&lt;year&gt;2017&lt;/year&gt;&lt;pub-dates&gt;&lt;date&gt;Jul&lt;/date&gt;&lt;/pub-dates&gt;&lt;/dates&gt;&lt;isbn&gt;1557-8232 (Electronic)&amp;#xD;0749-0704 (Linking)&lt;/isbn&gt;&lt;accession-num&gt;28601132&lt;/accession-num&gt;&lt;urls&gt;&lt;related-urls&gt;&lt;url&gt;http://www.ncbi.nlm.nih.gov/pubmed/28601132&lt;/url&gt;&lt;/related-urls&gt;&lt;/urls&gt;&lt;electronic-resource-num&gt;10.1016/j.ccc.2017.03.013&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Maldonado, 2017 #77" w:history="1">
        <w:r>
          <w:rPr>
            <w:rFonts w:ascii="Times New Roman" w:hAnsi="Times New Roman" w:cs="Times New Roman"/>
            <w:noProof/>
            <w:sz w:val="24"/>
            <w:szCs w:val="24"/>
          </w:rPr>
          <w:t>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w:t>
      </w:r>
    </w:p>
    <w:p w:rsidR="00AD1D93" w:rsidRPr="001D51D7" w:rsidRDefault="00AD1D93" w:rsidP="00AD1D93">
      <w:pPr>
        <w:adjustRightInd w:val="0"/>
        <w:snapToGrid w:val="0"/>
        <w:spacing w:line="480" w:lineRule="auto"/>
        <w:ind w:firstLineChars="100" w:firstLine="240"/>
        <w:rPr>
          <w:rFonts w:ascii="Times New Roman" w:hAnsi="Times New Roman" w:cs="Times New Roman"/>
          <w:sz w:val="24"/>
          <w:szCs w:val="24"/>
        </w:rPr>
      </w:pPr>
      <w:r w:rsidRPr="001D51D7">
        <w:rPr>
          <w:rFonts w:ascii="Times New Roman" w:hAnsi="Times New Roman" w:cs="Times New Roman"/>
          <w:sz w:val="24"/>
          <w:szCs w:val="24"/>
        </w:rPr>
        <w:t xml:space="preserve">Hypotheses for delirium development, including </w:t>
      </w:r>
      <w:proofErr w:type="spellStart"/>
      <w:r w:rsidRPr="001D51D7">
        <w:rPr>
          <w:rFonts w:ascii="Times New Roman" w:hAnsi="Times New Roman" w:cs="Times New Roman"/>
          <w:sz w:val="24"/>
          <w:szCs w:val="24"/>
        </w:rPr>
        <w:t>neuroinflammatory</w:t>
      </w:r>
      <w:proofErr w:type="spellEnd"/>
      <w:r w:rsidRPr="001D51D7">
        <w:rPr>
          <w:rFonts w:ascii="Times New Roman" w:hAnsi="Times New Roman" w:cs="Times New Roman"/>
          <w:sz w:val="24"/>
          <w:szCs w:val="24"/>
        </w:rPr>
        <w:t>, neuronal ageing, oxidative stress, neurotransmitter imbalances and neuroendocrine abnormalities, have been proposed</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&lt;EndNote&gt;&lt;Cite&gt;&lt;Author&gt;Maldonado&lt;/Author&gt;&lt;Year&gt;2017&lt;/Year&gt;&lt;RecNum&gt;77&lt;/RecNum&gt;&lt;DisplayText&gt;[3]&lt;/DisplayText&gt;&lt;record&gt;&lt;rec-number&gt;77&lt;/rec-number&gt;&lt;foreign-keys&gt;&lt;key app="EN" db-id="sa5xr5fx6arrerert94552vvf9pd2pvv5x5d"&gt;77&lt;/key&gt;&lt;/foreign-keys&gt;&lt;ref-type name="Journal Article"&gt;17&lt;/ref-type&gt;&lt;contributors&gt;&lt;authors&gt;&lt;author&gt;Maldonado, J. R.&lt;/author&gt;&lt;/authors&gt;&lt;/contributors&gt;&lt;auth-address&gt;Psychosomatic Medicine Service, Emergency Psychiatry Service, Department of Psychiatry and Behavioral Sciences, Stanford University School of Medicine, 401 Quarry Road, Suite 2317, Stanford, CA 94305-5718, USA. Electronic address: jrm@stanford.edu.&lt;/auth-address&gt;&lt;titles&gt;&lt;title&gt;Acute Brain Failure: Pathophysiology, Diagnosis, Management, and Sequelae of Delirium&lt;/title&gt;&lt;secondary-title&gt;Crit Care Clin&lt;/secondary-title&gt;&lt;alt-title&gt;Critical care clinics&lt;/alt-title&gt;&lt;/titles&gt;&lt;periodical&gt;&lt;full-title&gt;Crit Care Clin&lt;/full-title&gt;&lt;abbr-1&gt;Critical care clinics&lt;/abbr-1&gt;&lt;/periodical&gt;&lt;alt-periodical&gt;&lt;full-title&gt;Crit Care Clin&lt;/full-title&gt;&lt;abbr-1&gt;Critical care clinics&lt;/abbr-1&gt;&lt;/alt-periodical&gt;&lt;pages&gt;461-519&lt;/pages&gt;&lt;volume&gt;33&lt;/volume&gt;&lt;number&gt;3&lt;/number&gt;&lt;keywords&gt;&lt;keyword&gt;Acute Disease&lt;/keyword&gt;&lt;keyword&gt;Critical Care&lt;/keyword&gt;&lt;keyword&gt;*Delirium/complications/diagnosis/physiopathology/therapy&lt;/keyword&gt;&lt;keyword&gt;Humans&lt;/keyword&gt;&lt;keyword&gt;Intensive Care Units&lt;/keyword&gt;&lt;keyword&gt;Length of Stay&lt;/keyword&gt;&lt;keyword&gt;Quality of Life&lt;/keyword&gt;&lt;keyword&gt;Risk Factors&lt;/keyword&gt;&lt;/keywords&gt;&lt;dates&gt;&lt;year&gt;2017&lt;/year&gt;&lt;pub-dates&gt;&lt;date&gt;Jul&lt;/date&gt;&lt;/pub-dates&gt;&lt;/dates&gt;&lt;isbn&gt;1557-8232 (Electronic)&amp;#xD;0749-0704 (Linking)&lt;/isbn&gt;&lt;accession-num&gt;28601132&lt;/accession-num&gt;&lt;urls&gt;&lt;related-urls&gt;&lt;url&gt;http://www.ncbi.nlm.nih.gov/pubmed/28601132&lt;/url&gt;&lt;/related-urls&gt;&lt;/urls&gt;&lt;electronic-resource-num&gt;10.1016/j.ccc.2017.03.013&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Maldonado, 2017 #77" w:history="1">
        <w:r>
          <w:rPr>
            <w:rFonts w:ascii="Times New Roman" w:hAnsi="Times New Roman" w:cs="Times New Roman"/>
            <w:noProof/>
            <w:sz w:val="24"/>
            <w:szCs w:val="24"/>
          </w:rPr>
          <w:t>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In addition, surgical stress might cause activation of the hypothalamic-pituitary-adrenal axis (HPA)</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&lt;EndNote&gt;&lt;Cite&gt;&lt;Author&gt;Maldonado&lt;/Author&gt;&lt;Year&gt;2017&lt;/Year&gt;&lt;RecNum&gt;77&lt;/RecNum&gt;&lt;DisplayText&gt;[3]&lt;/DisplayText&gt;&lt;record&gt;&lt;rec-number&gt;77&lt;/rec-number&gt;&lt;foreign-keys&gt;&lt;key app="EN" db-id="sa5xr5fx6arrerert94552vvf9pd2pvv5x5d"&gt;77&lt;/key&gt;&lt;/foreign-keys&gt;&lt;ref-type name="Journal Article"&gt;17&lt;/ref-type&gt;&lt;contributors&gt;&lt;authors&gt;&lt;author&gt;Maldonado, J. R.&lt;/author&gt;&lt;/authors&gt;&lt;/contributors&gt;&lt;auth-address&gt;Psychosomatic Medicine Service, Emergency Psychiatry Service, Department of Psychiatry and Behavioral Sciences, Stanford University School of Medicine, 401 Quarry Road, Suite 2317, Stanford, CA 94305-5718, USA. Electronic address: jrm@stanford.edu.&lt;/auth-address&gt;&lt;titles&gt;&lt;title&gt;Acute Brain Failure: Pathophysiology, Diagnosis, Management, and Sequelae of Delirium&lt;/title&gt;&lt;secondary-title&gt;Crit Care Clin&lt;/secondary-title&gt;&lt;alt-title&gt;Critical care clinics&lt;/alt-title&gt;&lt;/titles&gt;&lt;periodical&gt;&lt;full-title&gt;Crit Care Clin&lt;/full-title&gt;&lt;abbr-1&gt;Critical care clinics&lt;/abbr-1&gt;&lt;/periodical&gt;&lt;alt-periodical&gt;&lt;full-title&gt;Crit Care Clin&lt;/full-title&gt;&lt;abbr-1&gt;Critical care clinics&lt;/abbr-1&gt;&lt;/alt-periodical&gt;&lt;pages&gt;461-519&lt;/pages&gt;&lt;volume&gt;33&lt;/volume&gt;&lt;number&gt;3&lt;/number&gt;&lt;keywords&gt;&lt;keyword&gt;Acute Disease&lt;/keyword&gt;&lt;keyword&gt;Critical Care&lt;/keyword&gt;&lt;keyword&gt;*Delirium/complications/diagnosis/physiopathology/therapy&lt;/keyword&gt;&lt;keyword&gt;Humans&lt;/keyword&gt;&lt;keyword&gt;Intensive Care Units&lt;/keyword&gt;&lt;keyword&gt;Length of Stay&lt;/keyword&gt;&lt;keyword&gt;Quality of Life&lt;/keyword&gt;&lt;keyword&gt;Risk Factors&lt;/keyword&gt;&lt;/keywords&gt;&lt;dates&gt;&lt;year&gt;2017&lt;/year&gt;&lt;pub-dates&gt;&lt;date&gt;Jul&lt;/date&gt;&lt;/pub-dates&gt;&lt;/dates&gt;&lt;isbn&gt;1557-8232 (Electronic)&amp;#xD;0749-0704 (Linking)&lt;/isbn&gt;&lt;accession-num&gt;28601132&lt;/accession-num&gt;&lt;urls&gt;&lt;related-urls&gt;&lt;url&gt;http://www.ncbi.nlm.nih.gov/pubmed/28601132&lt;/url&gt;&lt;/related-urls&gt;&lt;/urls&gt;&lt;electronic-resource-num&gt;10.1016/j.ccc.2017.03.013&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Maldonado, 2017 #77" w:history="1">
        <w:r>
          <w:rPr>
            <w:rFonts w:ascii="Times New Roman" w:hAnsi="Times New Roman" w:cs="Times New Roman"/>
            <w:noProof/>
            <w:sz w:val="24"/>
            <w:szCs w:val="24"/>
          </w:rPr>
          <w:t>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Patients undergoing hip surgery often experience substantial blood loss (400-1000 mL)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&lt;EndNote&gt;&lt;Cite&gt;&lt;Author&gt;Liu&lt;/Author&gt;&lt;Year&gt;2011&lt;/Year&gt;&lt;RecNum&gt;49&lt;/RecNum&gt;&lt;DisplayText&gt;[4]&lt;/DisplayText&gt;&lt;record&gt;&lt;rec-number&gt;49&lt;/rec-number&gt;&lt;foreign-keys&gt;&lt;key app="EN" db-id="sa5xr5fx6arrerert94552vvf9pd2pvv5x5d"&gt;49&lt;/key&gt;&lt;/foreign-keys&gt;&lt;ref-type name="Journal Article"&gt;17&lt;/ref-type&gt;&lt;contributors&gt;&lt;authors&gt;&lt;author&gt;Liu, X.&lt;/author&gt;&lt;author&gt;Zhang, X.&lt;/author&gt;&lt;author&gt;Chen, Y.&lt;/author&gt;&lt;author&gt;Wang, Q.&lt;/author&gt;&lt;author&gt;Jiang, Y.&lt;/author&gt;&lt;author&gt;Zeng, B.&lt;/author&gt;&lt;/authors&gt;&lt;/contributors&gt;&lt;auth-address&gt;Department of Orthopaedic Surgery, Shanghai Sixth People&amp;apos;s Hospital Affiliated to Shanghai JiaoTong University, Shanghai, PR China.&lt;/auth-address&gt;&lt;titles&gt;&lt;title&gt;Hidden blood loss after total hip arthroplasty&lt;/title&gt;&lt;secondary-title&gt;J Arthroplasty&lt;/secondary-title&gt;&lt;alt-title&gt;The Journal of arthroplasty&lt;/alt-title&gt;&lt;/titles&gt;&lt;pages&gt;1100-5 e1&lt;/pages&gt;&lt;volume&gt;26&lt;/volume&gt;&lt;number&gt;7&lt;/number&gt;&lt;keywords&gt;&lt;keyword&gt;*Arthroplasty, Replacement, Hip&lt;/keyword&gt;&lt;keyword&gt;*Blood Loss, Surgical&lt;/keyword&gt;&lt;keyword&gt;Blood Transfusion&lt;/keyword&gt;&lt;keyword&gt;Female&lt;/keyword&gt;&lt;keyword&gt;Hematocrit&lt;/keyword&gt;&lt;keyword&gt;Hemoglobins/analysis&lt;/keyword&gt;&lt;keyword&gt;Humans&lt;/keyword&gt;&lt;keyword&gt;Male&lt;/keyword&gt;&lt;keyword&gt;Middle Aged&lt;/keyword&gt;&lt;keyword&gt;Minimally Invasive Surgical Procedures&lt;/keyword&gt;&lt;/keywords&gt;&lt;dates&gt;&lt;year&gt;2011&lt;/year&gt;&lt;pub-dates&gt;&lt;date&gt;Oct&lt;/date&gt;&lt;/pub-dates&gt;&lt;/dates&gt;&lt;isbn&gt;1532-8406 (Electronic)&amp;#xD;0883-5403 (Linking)&lt;/isbn&gt;&lt;accession-num&gt;21256705&lt;/accession-num&gt;&lt;urls&gt;&lt;related-urls&gt;&lt;url&gt;http://www.ncbi.nlm.nih.gov/pubmed/21256705&lt;/url&gt;&lt;/related-urls&gt;&lt;/urls&gt;&lt;electronic-resource-num&gt;10.1016/j.arth.2010.11.013&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 w:tooltip="Liu, 2011 #49" w:history="1">
        <w:r>
          <w:rPr>
            <w:rFonts w:ascii="Times New Roman" w:hAnsi="Times New Roman" w:cs="Times New Roman"/>
            <w:noProof/>
            <w:sz w:val="24"/>
            <w:szCs w:val="24"/>
          </w:rPr>
          <w:t>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and brain hypoxia due to such </w:t>
      </w:r>
      <w:proofErr w:type="spellStart"/>
      <w:r w:rsidRPr="001D51D7">
        <w:rPr>
          <w:rFonts w:ascii="Times New Roman" w:hAnsi="Times New Roman" w:cs="Times New Roman"/>
          <w:sz w:val="24"/>
          <w:szCs w:val="24"/>
        </w:rPr>
        <w:t>hypoperfusion</w:t>
      </w:r>
      <w:proofErr w:type="spellEnd"/>
      <w:r w:rsidRPr="001D51D7">
        <w:rPr>
          <w:rFonts w:ascii="Times New Roman" w:hAnsi="Times New Roman" w:cs="Times New Roman"/>
          <w:sz w:val="24"/>
          <w:szCs w:val="24"/>
        </w:rPr>
        <w:t xml:space="preserve"> causes oxygen consumption and supply imbalance and possibly brain damage. </w:t>
      </w:r>
    </w:p>
    <w:p w:rsidR="00AD1D93" w:rsidRPr="001D51D7" w:rsidRDefault="00AD1D93" w:rsidP="00AD1D93">
      <w:pPr>
        <w:adjustRightInd w:val="0"/>
        <w:snapToGrid w:val="0"/>
        <w:spacing w:line="480" w:lineRule="auto"/>
        <w:ind w:firstLineChars="100" w:firstLine="240"/>
        <w:rPr>
          <w:rFonts w:ascii="Times New Roman" w:hAnsi="Times New Roman" w:cs="Times New Roman"/>
          <w:sz w:val="24"/>
          <w:szCs w:val="24"/>
        </w:rPr>
      </w:pPr>
      <w:r w:rsidRPr="001D51D7">
        <w:rPr>
          <w:rFonts w:ascii="Times New Roman" w:hAnsi="Times New Roman" w:cs="Times New Roman"/>
          <w:sz w:val="24"/>
          <w:szCs w:val="24"/>
        </w:rPr>
        <w:t xml:space="preserve">Elevated baseline levels of IL-6 (Interleukin-6), TNFα (Tumor necrosis factor α) and IL-1β (Interleukin-1β) have been detected in healthy older humans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&lt;EndNote&gt;&lt;Cite&gt;&lt;Author&gt;Man&lt;/Author&gt;&lt;Year&gt;2014&lt;/Year&gt;&lt;RecNum&gt;54&lt;/RecNum&gt;&lt;DisplayText&gt;[5]&lt;/DisplayText&gt;&lt;record&gt;&lt;rec-number&gt;54&lt;/rec-number&gt;&lt;foreign-keys&gt;&lt;key app="EN" db-id="sa5xr5fx6arrerert94552vvf9pd2pvv5x5d"&gt;54&lt;/key&gt;&lt;/foreign-keys&gt;&lt;ref-type name="Journal Article"&gt;17&lt;/ref-type&gt;&lt;contributors&gt;&lt;authors&gt;&lt;author&gt;Man, A. L.&lt;/author&gt;&lt;author&gt;Gicheva, N.&lt;/author&gt;&lt;author&gt;Nicoletti, C.&lt;/author&gt;&lt;/authors&gt;&lt;/contributors&gt;&lt;auth-address&gt;Gut Health and Food Safety Institute Strategic Programme, Institute of Food Research, Norwich, United Kingdom.&amp;#xD;Gut Health and Food Safety Institute Strategic Programme, Institute of Food Research, Norwich, United Kingdom. Electronic address: claudio.nicoletti@ifr.ac.uk.&lt;/auth-address&gt;&lt;titles&gt;&lt;title&gt;The impact of ageing on the intestinal epithelial barrier and immune system&lt;/title&gt;&lt;secondary-title&gt;Cell Immunol&lt;/secondary-title&gt;&lt;alt-title&gt;Cellular immunology&lt;/alt-title&gt;&lt;/titles&gt;&lt;pages&gt;112-8&lt;/pages&gt;&lt;volume&gt;289&lt;/volume&gt;&lt;number&gt;1-2&lt;/number&gt;&lt;keywords&gt;&lt;keyword&gt;Aging/*immunology&lt;/keyword&gt;&lt;keyword&gt;Antigen Presentation/immunology&lt;/keyword&gt;&lt;keyword&gt;Humans&lt;/keyword&gt;&lt;keyword&gt;Immunoglobulin A/immunology&lt;/keyword&gt;&lt;keyword&gt;Intestinal Mucosa/*immunology&lt;/keyword&gt;&lt;keyword&gt;Lymphocytes/immunology&lt;/keyword&gt;&lt;keyword&gt;Microbiota/immunology&lt;/keyword&gt;&lt;/keywords&gt;&lt;dates&gt;&lt;year&gt;2014&lt;/year&gt;&lt;pub-dates&gt;&lt;date&gt;May-Jun&lt;/date&gt;&lt;/pub-dates&gt;&lt;/dates&gt;&lt;isbn&gt;1090-2163 (Electronic)&amp;#xD;0008-8749 (Linking)&lt;/isbn&gt;&lt;accession-num&gt;24759078&lt;/accession-num&gt;&lt;urls&gt;&lt;related-urls&gt;&lt;url&gt;http://www.ncbi.nlm.nih.gov/pubmed/24759078&lt;/url&gt;&lt;/related-urls&gt;&lt;/urls&gt;&lt;electronic-resource-num&gt;10.1016/j.cellimm.2014.04.001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 w:tooltip="Man, 2014 #54" w:history="1">
        <w:r>
          <w:rPr>
            <w:rFonts w:ascii="Times New Roman" w:hAnsi="Times New Roman" w:cs="Times New Roman"/>
            <w:noProof/>
            <w:sz w:val="24"/>
            <w:szCs w:val="24"/>
          </w:rPr>
          <w:t>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resulting in constitutive activation of the parenchymal microglia in the brain, accompanied by increased levels of ROS (reactive oxygen species), NOS (Nitric oxide synthase) and GLU (Glutamate)</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fldData xml:space="preserve">PEVuZE5vdGU+PENpdGU+PEF1dGhvcj5Tb2Nob2NrYTwvQXV0aG9yPjxZZWFyPjIwMTc8L1llYXI+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PEVuZE5vdGU+PENpdGU+PEF1dGhvcj5Tb2Nob2NrYTwvQXV0aG9yPjxZZWFyPjIwMTc8L1llYXI+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 w:tooltip="Sochocka, 2017 #74" w:history="1">
        <w:r>
          <w:rPr>
            <w:rFonts w:ascii="Times New Roman" w:hAnsi="Times New Roman" w:cs="Times New Roman"/>
            <w:noProof/>
            <w:sz w:val="24"/>
            <w:szCs w:val="24"/>
          </w:rPr>
          <w:t>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In addition, the ageing process is accompanied by the loss of Ach-producing cells as well as diminished oxidative metabolism in the brain, which inhibits Ach synthesis</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&lt;EndNote&gt;&lt;Cite&gt;&lt;Author&gt;Maldonado&lt;/Author&gt;&lt;Year&gt;2017&lt;/Year&gt;&lt;RecNum&gt;77&lt;/RecNum&gt;&lt;DisplayText&gt;[3]&lt;/DisplayText&gt;&lt;record&gt;&lt;rec-number&gt;77&lt;/rec-number&gt;&lt;foreign-keys&gt;&lt;key app="EN" db-id="sa5xr5fx6arrerert94552vvf9pd2pvv5x5d"&gt;77&lt;/key&gt;&lt;/foreign-keys&gt;&lt;ref-type name="Journal Article"&gt;17&lt;/ref-type&gt;&lt;contributors&gt;&lt;authors&gt;&lt;author&gt;Maldonado, J. R.&lt;/author&gt;&lt;/authors&gt;&lt;/contributors&gt;&lt;auth-address&gt;Psychosomatic Medicine Service, Emergency Psychiatry Service, Department of Psychiatry and Behavioral Sciences, Stanford University School of Medicine, 401 Quarry Road, Suite 2317, Stanford, CA 94305-5718, USA. Electronic address: jrm@stanford.edu.&lt;/auth-address&gt;&lt;titles&gt;&lt;title&gt;Acute Brain Failure: Pathophysiology, Diagnosis, Management, and Sequelae of Delirium&lt;/title&gt;&lt;secondary-title&gt;Crit Care Clin&lt;/secondary-title&gt;&lt;alt-title&gt;Critical care clinics&lt;/alt-title&gt;&lt;/titles&gt;&lt;periodical&gt;&lt;full-title&gt;Crit Care Clin&lt;/full-title&gt;&lt;abbr-1&gt;Critical care clinics&lt;/abbr-1&gt;&lt;/periodical&gt;&lt;alt-periodical&gt;&lt;full-title&gt;Crit Care Clin&lt;/full-title&gt;&lt;abbr-1&gt;Critical care clinics&lt;/abbr-1&gt;&lt;/alt-periodical&gt;&lt;pages&gt;461-519&lt;/pages&gt;&lt;volume&gt;33&lt;/volume&gt;&lt;number&gt;3&lt;/number&gt;&lt;keywords&gt;&lt;keyword&gt;Acute Disease&lt;/keyword&gt;&lt;keyword&gt;Critical Care&lt;/keyword&gt;&lt;keyword&gt;*Delirium/complications/diagnosis/physiopathology/therapy&lt;/keyword&gt;&lt;keyword&gt;Humans&lt;/keyword&gt;&lt;keyword&gt;Intensive Care Units&lt;/keyword&gt;&lt;keyword&gt;Length of Stay&lt;/keyword&gt;&lt;keyword&gt;Quality of Life&lt;/keyword&gt;&lt;keyword&gt;Risk Factors&lt;/keyword&gt;&lt;/keywords&gt;&lt;dates&gt;&lt;year&gt;2017&lt;/year&gt;&lt;pub-dates&gt;&lt;date&gt;Jul&lt;/date&gt;&lt;/pub-dates&gt;&lt;/dates&gt;&lt;isbn&gt;1557-8232 (Electronic)&amp;#xD;0749-0704 (Linking)&lt;/isbn&gt;&lt;accession-num&gt;28601132&lt;/accession-num&gt;&lt;urls&gt;&lt;related-urls&gt;&lt;url&gt;http://www.ncbi.nlm.nih.gov/pubmed/28601132&lt;/url&gt;&lt;/related-urls&gt;&lt;/urls&gt;&lt;electronic-resource-num&gt;10.1016/j.ccc.2017.03.013&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Maldonado, 2017 #77" w:history="1">
        <w:r>
          <w:rPr>
            <w:rFonts w:ascii="Times New Roman" w:hAnsi="Times New Roman" w:cs="Times New Roman"/>
            <w:noProof/>
            <w:sz w:val="24"/>
            <w:szCs w:val="24"/>
          </w:rPr>
          <w:t>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Therefore, surgery-induced inflammation and hypoxia are potent “second hits” that amplify these baseline conditions in older patients.</w:t>
      </w:r>
    </w:p>
    <w:p w:rsidR="00AD1D93" w:rsidRPr="001D51D7" w:rsidRDefault="00AD1D93" w:rsidP="00AD1D93">
      <w:pPr>
        <w:adjustRightInd w:val="0"/>
        <w:snapToGrid w:val="0"/>
        <w:spacing w:line="480" w:lineRule="auto"/>
        <w:ind w:firstLineChars="100" w:firstLine="240"/>
        <w:rPr>
          <w:rFonts w:ascii="Times New Roman" w:hAnsi="Times New Roman" w:cs="Times New Roman"/>
          <w:sz w:val="24"/>
          <w:szCs w:val="24"/>
        </w:rPr>
      </w:pPr>
      <w:r w:rsidRPr="001D51D7">
        <w:rPr>
          <w:rFonts w:ascii="Times New Roman" w:hAnsi="Times New Roman" w:cs="Times New Roman"/>
          <w:sz w:val="24"/>
          <w:szCs w:val="24"/>
        </w:rPr>
        <w:t xml:space="preserve">Metabolomics can be employed to study chemical fingerprints of cellular processes and allow dynamic monitoring of the biochemical alterations induced by various environmental and pathological stimuli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&lt;EndNote&gt;&lt;Cite&gt;&lt;Author&gt;Nicholson&lt;/Author&gt;&lt;Year&gt;2008&lt;/Year&gt;&lt;RecNum&gt;6&lt;/RecNum&gt;&lt;DisplayText&gt;[7]&lt;/DisplayText&gt;&lt;record&gt;&lt;rec-number&gt;6&lt;/rec-number&gt;&lt;foreign-keys&gt;&lt;key app="EN" db-id="sa5xr5fx6arrerert94552vvf9pd2pvv5x5d"&gt;6&lt;/key&gt;&lt;/foreign-keys&gt;&lt;ref-type name="Journal Article"&gt;17&lt;/ref-type&gt;&lt;contributors&gt;&lt;authors&gt;&lt;author&gt;Nicholson, J. K.&lt;/author&gt;&lt;author&gt;Lindon, J. C.&lt;/author&gt;&lt;/authors&gt;&lt;/contributors&gt;&lt;titles&gt;&lt;title&gt;Systems biology: Metabonomics&lt;/title&gt;&lt;secondary-title&gt;Nature&lt;/secondary-title&gt;&lt;alt-title&gt;Nature&lt;/alt-title&gt;&lt;/titles&gt;&lt;pages&gt;1054-6&lt;/pages&gt;&lt;volume&gt;455&lt;/volume&gt;&lt;number&gt;7216&lt;/number&gt;&lt;keywords&gt;&lt;keyword&gt;Biological Markers/metabolism&lt;/keyword&gt;&lt;keyword&gt;Drug Design&lt;/keyword&gt;&lt;keyword&gt;History, 16th Century&lt;/keyword&gt;&lt;keyword&gt;History, 20th Century&lt;/keyword&gt;&lt;keyword&gt;History, Ancient&lt;/keyword&gt;&lt;keyword&gt;History, Medieval&lt;/keyword&gt;&lt;keyword&gt;Humans&lt;/keyword&gt;&lt;keyword&gt;Magnetic Resonance Spectroscopy&lt;/keyword&gt;&lt;keyword&gt;Mass Spectrometry&lt;/keyword&gt;&lt;keyword&gt;*Metabolism&lt;/keyword&gt;&lt;keyword&gt;Principal Component Analysis&lt;/keyword&gt;&lt;keyword&gt;Systems Biology/history/*methods/trends&lt;/keyword&gt;&lt;/keywords&gt;&lt;dates&gt;&lt;year&gt;2008&lt;/year&gt;&lt;pub-dates&gt;&lt;date&gt;Oct 23&lt;/date&gt;&lt;/pub-dates&gt;&lt;/dates&gt;&lt;isbn&gt;1476-4687 (Electronic)&amp;#xD;0028-0836 (Linking)&lt;/isbn&gt;&lt;accession-num&gt;18948945&lt;/accession-num&gt;&lt;urls&gt;&lt;related-urls&gt;&lt;url&gt;http://www.ncbi.nlm.nih.gov/pubmed/18948945&lt;/url&gt;&lt;/related-urls&gt;&lt;/urls&gt;&lt;electronic-resource-num&gt;10.1038/4551054a&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7" w:tooltip="Nicholson, 2008 #6" w:history="1">
        <w:r>
          <w:rPr>
            <w:rFonts w:ascii="Times New Roman" w:hAnsi="Times New Roman" w:cs="Times New Roman"/>
            <w:noProof/>
            <w:sz w:val="24"/>
            <w:szCs w:val="24"/>
          </w:rPr>
          <w:t>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Delirium has often been defined as a </w:t>
      </w:r>
      <w:r w:rsidRPr="001D51D7">
        <w:rPr>
          <w:rFonts w:ascii="Times New Roman" w:hAnsi="Times New Roman" w:cs="Times New Roman"/>
          <w:sz w:val="24"/>
          <w:szCs w:val="24"/>
        </w:rPr>
        <w:lastRenderedPageBreak/>
        <w:t xml:space="preserve">neurobehavioral disruption caused by a derangement of functional systemic metabolism </w:t>
      </w:r>
      <w:r>
        <w:rPr>
          <w:rFonts w:ascii="Times New Roman" w:hAnsi="Times New Roman" w:cs="Times New Roman"/>
          <w:sz w:val="24"/>
          <w:szCs w:val="24"/>
        </w:rPr>
        <w:fldChar w:fldCharType="begin">
          <w:fldData xml:space="preserve">PEVuZE5vdGU+PENpdGU+PEF1dGhvcj5GcmljY2hpb25lPC9BdXRob3I+PFllYXI+MjAwODwvWWVh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PEVuZE5vdGU+PENpdGU+PEF1dGhvcj5GcmljY2hpb25lPC9BdXRob3I+PFllYXI+MjAwODwvWWVh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 w:tooltip="Fricchione, 2008 #3" w:history="1">
        <w:r>
          <w:rPr>
            <w:rFonts w:ascii="Times New Roman" w:hAnsi="Times New Roman" w:cs="Times New Roman"/>
            <w:noProof/>
            <w:sz w:val="24"/>
            <w:szCs w:val="24"/>
          </w:rPr>
          <w:t>2</w:t>
        </w:r>
      </w:hyperlink>
      <w:r>
        <w:rPr>
          <w:rFonts w:ascii="Times New Roman" w:hAnsi="Times New Roman" w:cs="Times New Roman"/>
          <w:noProof/>
          <w:sz w:val="24"/>
          <w:szCs w:val="24"/>
        </w:rPr>
        <w:t xml:space="preserve">, </w:t>
      </w:r>
      <w:hyperlink w:anchor="_ENREF_4" w:tooltip="Liu, 2011 #49" w:history="1">
        <w:r>
          <w:rPr>
            <w:rFonts w:ascii="Times New Roman" w:hAnsi="Times New Roman" w:cs="Times New Roman"/>
            <w:noProof/>
            <w:sz w:val="24"/>
            <w:szCs w:val="24"/>
          </w:rPr>
          <w:t>4</w:t>
        </w:r>
      </w:hyperlink>
      <w:r>
        <w:rPr>
          <w:rFonts w:ascii="Times New Roman" w:hAnsi="Times New Roman" w:cs="Times New Roman"/>
          <w:noProof/>
          <w:sz w:val="24"/>
          <w:szCs w:val="24"/>
        </w:rPr>
        <w:t xml:space="preserve">, </w:t>
      </w:r>
      <w:hyperlink w:anchor="_ENREF_8" w:tooltip="Pan, 2019 #75" w:history="1">
        <w:r>
          <w:rPr>
            <w:rFonts w:ascii="Times New Roman" w:hAnsi="Times New Roman" w:cs="Times New Roman"/>
            <w:noProof/>
            <w:sz w:val="24"/>
            <w:szCs w:val="24"/>
          </w:rPr>
          <w:t>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Therefore, studying the metabolism of patients with delirium using metabolomics should provide valuable information on both disease mechanisms and patient stratification.</w:t>
      </w:r>
    </w:p>
    <w:p w:rsidR="00AD1D93" w:rsidRPr="001D51D7" w:rsidRDefault="00AD1D93" w:rsidP="00AD1D93">
      <w:pPr>
        <w:adjustRightInd w:val="0"/>
        <w:snapToGrid w:val="0"/>
        <w:spacing w:line="480" w:lineRule="auto"/>
        <w:ind w:firstLineChars="100" w:firstLine="240"/>
        <w:rPr>
          <w:rFonts w:ascii="Times New Roman" w:hAnsi="Times New Roman" w:cs="Times New Roman"/>
          <w:sz w:val="24"/>
          <w:szCs w:val="24"/>
        </w:rPr>
      </w:pPr>
      <w:r w:rsidRPr="001D51D7">
        <w:rPr>
          <w:rFonts w:ascii="Times New Roman" w:hAnsi="Times New Roman" w:cs="Times New Roman"/>
          <w:sz w:val="24"/>
          <w:szCs w:val="24"/>
        </w:rPr>
        <w:t xml:space="preserve">A previous study suggested that preoperative serum metabolites are associated with POD in older hip-fracture patients </w:t>
      </w:r>
      <w:r>
        <w:rPr>
          <w:rFonts w:ascii="Times New Roman" w:hAnsi="Times New Roman" w:cs="Times New Roman"/>
          <w:sz w:val="24"/>
          <w:szCs w:val="24"/>
        </w:rPr>
        <w:fldChar w:fldCharType="begin">
          <w:fldData xml:space="preserve">PEVuZE5vdGU+PENpdGU+PEF1dGhvcj5HdW88L0F1dGhvcj48WWVhcj4yMDE3PC9ZZWFyPjxSZWNO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PEVuZE5vdGU+PENpdGU+PEF1dGhvcj5HdW88L0F1dGhvcj48WWVhcj4yMDE3PC9ZZWFyPjxSZWNO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9" w:tooltip="Guo, 2017 #56" w:history="1">
        <w:r>
          <w:rPr>
            <w:rFonts w:ascii="Times New Roman" w:hAnsi="Times New Roman" w:cs="Times New Roman"/>
            <w:noProof/>
            <w:sz w:val="24"/>
            <w:szCs w:val="24"/>
          </w:rPr>
          <w:t>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Nevertheless, the use of postoperative specimens may corroborate some of the findings obtained from preoperative specimens and also be potentially more informative with regard to delirium pathophysiology. Accordingly, we carried out this new study and collected matched pre- and postoperative samples from patients with or without POD. This study design allowed us to investigate the following: (1) surgery-induced metabolic changes via comparison of pre- and postoperative samples; (2) comparison of POD-associated metabolites of postoperative samples from POD patients with those from non-POD patients; and (3) metabolites that have predictive ability for patient stratification (e.g., high vs. low risk of POD).</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 w:val="24"/>
          <w:szCs w:val="24"/>
        </w:rPr>
      </w:pPr>
      <w:r w:rsidRPr="00C0604B">
        <w:rPr>
          <w:rFonts w:ascii="Arial" w:hAnsi="Arial" w:cs="Arial"/>
          <w:b/>
          <w:sz w:val="24"/>
          <w:szCs w:val="24"/>
        </w:rPr>
        <w:t>Methods</w:t>
      </w:r>
    </w:p>
    <w:p w:rsidR="00AD1D93" w:rsidRPr="00C0604B" w:rsidRDefault="00AD1D93" w:rsidP="00AD1D93">
      <w:pPr>
        <w:adjustRightInd w:val="0"/>
        <w:snapToGrid w:val="0"/>
        <w:spacing w:line="480" w:lineRule="auto"/>
        <w:rPr>
          <w:rFonts w:ascii="Arial" w:hAnsi="Arial" w:cs="Arial"/>
          <w:b/>
          <w:szCs w:val="21"/>
        </w:rPr>
      </w:pPr>
      <w:r w:rsidRPr="00C0604B">
        <w:rPr>
          <w:rFonts w:ascii="Arial" w:hAnsi="Arial" w:cs="Arial"/>
          <w:b/>
          <w:szCs w:val="21"/>
        </w:rPr>
        <w:t>Patients and Setting</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AD1D93">
        <w:rPr>
          <w:rFonts w:ascii="Times New Roman" w:hAnsi="Times New Roman" w:cs="Times New Roman"/>
          <w:sz w:val="24"/>
          <w:szCs w:val="24"/>
        </w:rPr>
        <w:t xml:space="preserve">As the flow chart (Supplementary Figure 1) shown, 566 patients </w:t>
      </w:r>
      <w:r w:rsidRPr="00AD1D93">
        <w:rPr>
          <w:rFonts w:ascii="Times New Roman" w:hAnsi="Times New Roman" w:cs="Times New Roman" w:hint="eastAsia"/>
          <w:sz w:val="24"/>
          <w:szCs w:val="24"/>
        </w:rPr>
        <w:t xml:space="preserve">with hip fracture </w:t>
      </w:r>
      <w:r w:rsidRPr="00AD1D93">
        <w:rPr>
          <w:rFonts w:ascii="Times New Roman" w:hAnsi="Times New Roman" w:cs="Times New Roman"/>
          <w:sz w:val="24"/>
          <w:szCs w:val="24"/>
        </w:rPr>
        <w:t>were originally assessed for eligibility before surgery, and a total of 244 patients who met our criteria were assessed</w:t>
      </w:r>
      <w:r w:rsidRPr="00AD1D93">
        <w:rPr>
          <w:rFonts w:ascii="Times New Roman" w:hAnsi="Times New Roman" w:cs="Times New Roman" w:hint="eastAsia"/>
          <w:sz w:val="24"/>
          <w:szCs w:val="24"/>
        </w:rPr>
        <w:t xml:space="preserve"> from Dec 2016 to July 2017</w:t>
      </w:r>
      <w:r w:rsidRPr="00AD1D93">
        <w:rPr>
          <w:rFonts w:ascii="Times New Roman" w:hAnsi="Times New Roman" w:cs="Times New Roman"/>
          <w:sz w:val="24"/>
          <w:szCs w:val="24"/>
        </w:rPr>
        <w:t xml:space="preserve">. </w:t>
      </w:r>
      <w:r w:rsidRPr="001D51D7">
        <w:rPr>
          <w:rFonts w:ascii="Times New Roman" w:hAnsi="Times New Roman" w:cs="Times New Roman"/>
          <w:sz w:val="24"/>
          <w:szCs w:val="24"/>
        </w:rPr>
        <w:t xml:space="preserve">The inclusion criteria were patients between 65 and 80 years of age with an American Society of Anesthesiologists (ASA) physical status of I-III. The following exclusion criteria were applied: a Mini-Mental State Examination (MMSE) score of &lt; 24 or dementia due to various </w:t>
      </w:r>
      <w:proofErr w:type="spellStart"/>
      <w:r w:rsidRPr="001D51D7">
        <w:rPr>
          <w:rFonts w:ascii="Times New Roman" w:hAnsi="Times New Roman" w:cs="Times New Roman"/>
          <w:sz w:val="24"/>
          <w:szCs w:val="24"/>
        </w:rPr>
        <w:t>aetiologies</w:t>
      </w:r>
      <w:proofErr w:type="spellEnd"/>
      <w:r w:rsidRPr="001D51D7">
        <w:rPr>
          <w:rFonts w:ascii="Times New Roman" w:hAnsi="Times New Roman" w:cs="Times New Roman"/>
          <w:sz w:val="24"/>
          <w:szCs w:val="24"/>
        </w:rPr>
        <w:t xml:space="preserve">; history of neurological or mental illness; current use of </w:t>
      </w:r>
      <w:r w:rsidRPr="001D51D7">
        <w:rPr>
          <w:rFonts w:ascii="Times New Roman" w:hAnsi="Times New Roman" w:cs="Times New Roman"/>
          <w:sz w:val="24"/>
          <w:szCs w:val="24"/>
        </w:rPr>
        <w:lastRenderedPageBreak/>
        <w:t xml:space="preserve">tranquilizers or antidepressants; history of endocrine or metabolic disorder; recent use of glucocorticoids or other hormones; </w:t>
      </w:r>
      <w:proofErr w:type="spellStart"/>
      <w:r w:rsidRPr="001D51D7">
        <w:rPr>
          <w:rFonts w:ascii="Times New Roman" w:hAnsi="Times New Roman" w:cs="Times New Roman"/>
          <w:sz w:val="24"/>
          <w:szCs w:val="24"/>
        </w:rPr>
        <w:t>anaesthesia</w:t>
      </w:r>
      <w:proofErr w:type="spellEnd"/>
      <w:r w:rsidRPr="001D51D7">
        <w:rPr>
          <w:rFonts w:ascii="Times New Roman" w:hAnsi="Times New Roman" w:cs="Times New Roman"/>
          <w:sz w:val="24"/>
          <w:szCs w:val="24"/>
        </w:rPr>
        <w:t xml:space="preserve">/surgery duration of &gt; 3 h; secondary surgery or history of severe infectious complications (the presence of more than two systemic inflammatory response syndrome (SIRS) criteria as a marker of inflammation (ACCP/SCCM, 1992)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&lt;EndNote&gt;&lt;Cite&gt;&lt;Year&gt;1992&lt;/Year&gt;&lt;RecNum&gt;12&lt;/RecNum&gt;&lt;DisplayText&gt;[10]&lt;/DisplayText&gt;&lt;record&gt;&lt;rec-number&gt;12&lt;/rec-number&gt;&lt;foreign-keys&gt;&lt;key app="EN" db-id="sa5xr5fx6arrerert94552vvf9pd2pvv5x5d"&gt;12&lt;/key&gt;&lt;/foreign-keys&gt;&lt;ref-type name="Journal Article"&gt;17&lt;/ref-type&gt;&lt;contributors&gt;&lt;/contributors&gt;&lt;titles&gt;&lt;title&gt;American College of Chest Physicians/Society of Critical Care Medicine Consensus Conference: definitions for sepsis and organ failure and guidelines for the use of innovative therapies in sepsis&lt;/title&gt;&lt;secondary-title&gt;Crit Care Med&lt;/secondary-title&gt;&lt;alt-title&gt;Critical care medicine&lt;/alt-title&gt;&lt;/titles&gt;&lt;pages&gt;864-74&lt;/pages&gt;&lt;volume&gt;20&lt;/volume&gt;&lt;number&gt;6&lt;/number&gt;&lt;keywords&gt;&lt;keyword&gt;Critical Care/*standards&lt;/keyword&gt;&lt;keyword&gt;Humans&lt;/keyword&gt;&lt;keyword&gt;Multiple Organ Failure/*therapy&lt;/keyword&gt;&lt;keyword&gt;Pulmonary Medicine&lt;/keyword&gt;&lt;keyword&gt;Sepsis/*therapy&lt;/keyword&gt;&lt;keyword&gt;Severity of Illness Index&lt;/keyword&gt;&lt;keyword&gt;Shock, Septic/therapy&lt;/keyword&gt;&lt;keyword&gt;Societies, Medical&lt;/keyword&gt;&lt;keyword&gt;Syndrome&lt;/keyword&gt;&lt;keyword&gt;*Terminology as Topic&lt;/keyword&gt;&lt;keyword&gt;United States&lt;/keyword&gt;&lt;/keywords&gt;&lt;dates&gt;&lt;year&gt;1992&lt;/year&gt;&lt;pub-dates&gt;&lt;date&gt;Jun&lt;/date&gt;&lt;/pub-dates&gt;&lt;/dates&gt;&lt;isbn&gt;0090-3493 (Print)&amp;#xD;0090-3493 (Linking)&lt;/isbn&gt;&lt;accession-num&gt;1597042&lt;/accession-num&gt;&lt;urls&gt;&lt;related-urls&gt;&lt;url&gt;http://www.ncbi.nlm.nih.gov/pubmed/1597042&lt;/url&gt;&lt;/related-urls&gt;&lt;/urls&gt;&lt;/record&gt;&lt;/Cite&gt;&lt;/EndNote&gt;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 w:tooltip=", 1992 #12" w:history="1">
        <w:r>
          <w:rPr>
            <w:rFonts w:ascii="Times New Roman" w:hAnsi="Times New Roman" w:cs="Times New Roman"/>
            <w:noProof/>
            <w:sz w:val="24"/>
            <w:szCs w:val="24"/>
          </w:rPr>
          <w:t>10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unwillingness to participate in the study or the presence of a language barrier; severe hearing or visual impairment; illiteracy; and alcohol or drug addiction. The study was approved by XXXXXX and was registered (XXXXXX). Written informed consent was obtained from all participants prior to the study.</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Cs w:val="21"/>
        </w:rPr>
      </w:pPr>
      <w:r w:rsidRPr="00C0604B">
        <w:rPr>
          <w:rFonts w:ascii="Arial" w:hAnsi="Arial" w:cs="Arial"/>
          <w:b/>
          <w:szCs w:val="21"/>
        </w:rPr>
        <w:t>Dietary Management</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After recruitment, all patients were placed on a bland diet and began fasting at 22:00 on the night before surgery. Patients were assigned a semi-liquid diet 6 h after surgery, after which a bland normal diet was implemented.</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Cs w:val="21"/>
        </w:rPr>
      </w:pPr>
      <w:proofErr w:type="spellStart"/>
      <w:r w:rsidRPr="00C0604B">
        <w:rPr>
          <w:rFonts w:ascii="Arial" w:hAnsi="Arial" w:cs="Arial"/>
          <w:b/>
          <w:szCs w:val="21"/>
        </w:rPr>
        <w:t>Anaesthesia</w:t>
      </w:r>
      <w:proofErr w:type="spellEnd"/>
      <w:r w:rsidRPr="00C0604B">
        <w:rPr>
          <w:rFonts w:ascii="Arial" w:hAnsi="Arial" w:cs="Arial"/>
          <w:b/>
          <w:szCs w:val="21"/>
        </w:rPr>
        <w:t xml:space="preserve"> and Surgical Management</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All patients underwent hemi-</w:t>
      </w:r>
      <w:proofErr w:type="spellStart"/>
      <w:r w:rsidRPr="001D51D7">
        <w:rPr>
          <w:rFonts w:ascii="Times New Roman" w:hAnsi="Times New Roman" w:cs="Times New Roman"/>
          <w:sz w:val="24"/>
          <w:szCs w:val="24"/>
        </w:rPr>
        <w:t>arthroplasty</w:t>
      </w:r>
      <w:proofErr w:type="spellEnd"/>
      <w:r w:rsidRPr="001D51D7">
        <w:rPr>
          <w:rFonts w:ascii="Times New Roman" w:hAnsi="Times New Roman" w:cs="Times New Roman"/>
          <w:sz w:val="24"/>
          <w:szCs w:val="24"/>
        </w:rPr>
        <w:t xml:space="preserve"> surgery under the same type of general </w:t>
      </w:r>
      <w:proofErr w:type="spellStart"/>
      <w:r w:rsidRPr="001D51D7">
        <w:rPr>
          <w:rFonts w:ascii="Times New Roman" w:hAnsi="Times New Roman" w:cs="Times New Roman"/>
          <w:sz w:val="24"/>
          <w:szCs w:val="24"/>
        </w:rPr>
        <w:t>anaesthesia</w:t>
      </w:r>
      <w:proofErr w:type="spellEnd"/>
      <w:r w:rsidRPr="001D51D7">
        <w:rPr>
          <w:rFonts w:ascii="Times New Roman" w:hAnsi="Times New Roman" w:cs="Times New Roman"/>
          <w:sz w:val="24"/>
          <w:szCs w:val="24"/>
        </w:rPr>
        <w:t xml:space="preserve">. None of the patients received premedication. Systolic blood pressure (SBP), diastolic blood pressure (DBP), pulse oxygen saturation (SPO2), electrocardiogram (ECG), the </w:t>
      </w:r>
      <w:proofErr w:type="spellStart"/>
      <w:r w:rsidRPr="001D51D7">
        <w:rPr>
          <w:rFonts w:ascii="Times New Roman" w:hAnsi="Times New Roman" w:cs="Times New Roman"/>
          <w:sz w:val="24"/>
          <w:szCs w:val="24"/>
        </w:rPr>
        <w:t>bispectral</w:t>
      </w:r>
      <w:proofErr w:type="spellEnd"/>
      <w:r w:rsidRPr="001D51D7">
        <w:rPr>
          <w:rFonts w:ascii="Times New Roman" w:hAnsi="Times New Roman" w:cs="Times New Roman"/>
          <w:sz w:val="24"/>
          <w:szCs w:val="24"/>
        </w:rPr>
        <w:t xml:space="preserve"> index (BIS) and end-tidal CO2 (ETCO2) were continuously monitored throughout </w:t>
      </w:r>
      <w:proofErr w:type="spellStart"/>
      <w:r w:rsidRPr="001D51D7">
        <w:rPr>
          <w:rFonts w:ascii="Times New Roman" w:hAnsi="Times New Roman" w:cs="Times New Roman"/>
          <w:sz w:val="24"/>
          <w:szCs w:val="24"/>
        </w:rPr>
        <w:t>anaesthesia</w:t>
      </w:r>
      <w:proofErr w:type="spellEnd"/>
      <w:r w:rsidRPr="001D51D7">
        <w:rPr>
          <w:rFonts w:ascii="Times New Roman" w:hAnsi="Times New Roman" w:cs="Times New Roman"/>
          <w:sz w:val="24"/>
          <w:szCs w:val="24"/>
        </w:rPr>
        <w:t xml:space="preserve">/surgery. ETCO2 was maintained at 30-40 mmHg, and the depth of </w:t>
      </w:r>
      <w:proofErr w:type="spellStart"/>
      <w:r w:rsidRPr="001D51D7">
        <w:rPr>
          <w:rFonts w:ascii="Times New Roman" w:hAnsi="Times New Roman" w:cs="Times New Roman"/>
          <w:sz w:val="24"/>
          <w:szCs w:val="24"/>
        </w:rPr>
        <w:t>anaesthesia</w:t>
      </w:r>
      <w:proofErr w:type="spellEnd"/>
      <w:r w:rsidRPr="001D51D7">
        <w:rPr>
          <w:rFonts w:ascii="Times New Roman" w:hAnsi="Times New Roman" w:cs="Times New Roman"/>
          <w:sz w:val="24"/>
          <w:szCs w:val="24"/>
        </w:rPr>
        <w:t xml:space="preserve"> was adjusted to maintain the BIS within the range of 40-60. Intraoperative blood pressure (BP) and heart rate (HR) fluctuations were maintained within ± 30% of the baseline value. These patients were transferred to our Geriatric ICU and received the same treatments after surgery.</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Cs w:val="21"/>
        </w:rPr>
      </w:pPr>
      <w:r w:rsidRPr="00C0604B">
        <w:rPr>
          <w:rFonts w:ascii="Arial" w:hAnsi="Arial" w:cs="Arial"/>
          <w:b/>
          <w:szCs w:val="21"/>
        </w:rPr>
        <w:lastRenderedPageBreak/>
        <w:t>Blood Sample Collection</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 xml:space="preserve">Fasting venous blood samples were collected at approximately 07:00 on the day of surgery and on the first postoperative day. The serum was then soon separated and stored at -80°C (SANYO, Japan) until the metabolomics analysis. Pooled quality control (QC) samples were prepared by combining 20 </w:t>
      </w:r>
      <w:proofErr w:type="spellStart"/>
      <w:r w:rsidRPr="001D51D7">
        <w:rPr>
          <w:rFonts w:ascii="Times New Roman" w:hAnsi="Times New Roman" w:cs="Times New Roman"/>
          <w:sz w:val="24"/>
          <w:szCs w:val="24"/>
        </w:rPr>
        <w:t>μL</w:t>
      </w:r>
      <w:proofErr w:type="spellEnd"/>
      <w:r w:rsidRPr="001D51D7">
        <w:rPr>
          <w:rFonts w:ascii="Times New Roman" w:hAnsi="Times New Roman" w:cs="Times New Roman"/>
          <w:sz w:val="24"/>
          <w:szCs w:val="24"/>
        </w:rPr>
        <w:t xml:space="preserve"> of each serum sample.</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Cs w:val="21"/>
        </w:rPr>
      </w:pPr>
      <w:r w:rsidRPr="00C0604B">
        <w:rPr>
          <w:rFonts w:ascii="Arial" w:hAnsi="Arial" w:cs="Arial"/>
          <w:b/>
          <w:szCs w:val="21"/>
        </w:rPr>
        <w:t>Postoperative Delirium Assessment</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 xml:space="preserve">To screen the patients’ preoperative cognitive function, the MMSE score was assessed one day before surgery and delirium was also assessed preoperatively by an attending physician. The delirium assessment was performed through the Confusion Assessment Method - Chinese Revision, which was derived from the Confusion Assessment Method (CAM)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&lt;EndNote&gt;&lt;Cite&gt;&lt;Author&gt;Juan&lt;/Author&gt;&lt;Year&gt;2003&lt;/Year&gt;&lt;RecNum&gt;72&lt;/RecNum&gt;&lt;DisplayText&gt;[11]&lt;/DisplayText&gt;&lt;record&gt;&lt;rec-number&gt;72&lt;/rec-number&gt;&lt;foreign-keys&gt;&lt;key app="EN" db-id="sa5xr5fx6arrerert94552vvf9pd2pvv5x5d"&gt;72&lt;/key&gt;&lt;/foreign-keys&gt;&lt;ref-type name="Journal Article"&gt;17&lt;/ref-type&gt;&lt;contributors&gt;&lt;authors&gt;&lt;author&gt;Li Juan&lt;/author&gt;&lt;author&gt;Zou Yizhuang&lt;/author&gt;&lt;author&gt;Feng Feng&lt;/author&gt;&lt;author&gt;Tian Yuying&lt;/author&gt;&lt;/authors&gt;&lt;/contributors&gt;&lt;titles&gt;&lt;title&gt;Reversion of CAM for assisting the evaluation and diagnosis of delirium&lt;/title&gt;&lt;secondary-title&gt;J Clin Psychol Med&lt;/secondary-title&gt;&lt;/titles&gt;&lt;pages&gt;147-49&lt;/pages&gt;&lt;volume&gt;13&lt;/volume&gt;&lt;number&gt;3&lt;/number&gt;&lt;dates&gt;&lt;year&gt;2003&lt;/year&gt;&lt;/dates&gt;&lt;urls&gt;&lt;/urls&gt;&lt;/record&gt;&lt;/Cite&gt;&lt;/EndNote&gt;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1" w:tooltip="Juan, 2003 #72" w:history="1">
        <w:r>
          <w:rPr>
            <w:rFonts w:ascii="Times New Roman" w:hAnsi="Times New Roman" w:cs="Times New Roman"/>
            <w:noProof/>
            <w:sz w:val="24"/>
            <w:szCs w:val="24"/>
          </w:rPr>
          <w:t>11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The diagnostic four-item algorithm for delirium requires the presence of (a) an acute onset and a fluctuating course, (b) inattention, and either (c) disorganized thinking or (d) an altered level of consciousness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&lt;EndNote&gt;&lt;Cite&gt;&lt;Author&gt;Inouye&lt;/Author&gt;&lt;Year&gt;1990&lt;/Year&gt;&lt;RecNum&gt;73&lt;/RecNum&gt;&lt;DisplayText&gt;[12]&lt;/DisplayText&gt;&lt;record&gt;&lt;rec-number&gt;73&lt;/rec-number&gt;&lt;foreign-keys&gt;&lt;key app="EN" db-id="sa5xr5fx6arrerert94552vvf9pd2pvv5x5d"&gt;73&lt;/key&gt;&lt;/foreign-keys&gt;&lt;ref-type name="Journal Article"&gt;17&lt;/ref-type&gt;&lt;contributors&gt;&lt;authors&gt;&lt;author&gt;Inouye, S. K.&lt;/author&gt;&lt;author&gt;van Dyck, C. H.&lt;/author&gt;&lt;author&gt;Alessi, C. A.&lt;/author&gt;&lt;author&gt;Balkin, S.&lt;/author&gt;&lt;author&gt;Siegal, A. P.&lt;/author&gt;&lt;author&gt;Horwitz, R. I.&lt;/author&gt;&lt;/authors&gt;&lt;/contributors&gt;&lt;auth-address&gt;Yale University School of Medicine, New Haven, Connecticut.&lt;/auth-address&gt;&lt;titles&gt;&lt;title&gt;Clarifying confusion: the confusion assessment method. A new method for detection of delirium&lt;/title&gt;&lt;secondary-title&gt;Ann Intern Med&lt;/secondary-title&gt;&lt;alt-title&gt;Annals of internal medicine&lt;/alt-title&gt;&lt;/titles&gt;&lt;pages&gt;941-8&lt;/pages&gt;&lt;volume&gt;113&lt;/volume&gt;&lt;number&gt;12&lt;/number&gt;&lt;keywords&gt;&lt;keyword&gt;Aged&lt;/keyword&gt;&lt;keyword&gt;Aged, 80 and over&lt;/keyword&gt;&lt;keyword&gt;Algorithms&lt;/keyword&gt;&lt;keyword&gt;Confusion/*diagnosis&lt;/keyword&gt;&lt;keyword&gt;Delirium/*diagnosis&lt;/keyword&gt;&lt;keyword&gt;Female&lt;/keyword&gt;&lt;keyword&gt;Humans&lt;/keyword&gt;&lt;keyword&gt;Male&lt;/keyword&gt;&lt;keyword&gt;Prospective Studies&lt;/keyword&gt;&lt;keyword&gt;*Psychiatric Status Rating Scales&lt;/keyword&gt;&lt;keyword&gt;Reproducibility of Results&lt;/keyword&gt;&lt;keyword&gt;Sensitivity and Specificity&lt;/keyword&gt;&lt;keyword&gt;Surveys and Questionnaires&lt;/keyword&gt;&lt;/keywords&gt;&lt;dates&gt;&lt;year&gt;1990&lt;/year&gt;&lt;pub-dates&gt;&lt;date&gt;Dec 15&lt;/date&gt;&lt;/pub-dates&gt;&lt;/dates&gt;&lt;isbn&gt;0003-4819 (Print)&amp;#xD;0003-4819 (Linking)&lt;/isbn&gt;&lt;accession-num&gt;2240918&lt;/accession-num&gt;&lt;urls&gt;&lt;related-urls&gt;&lt;url&gt;http://www.ncbi.nlm.nih.gov/pubmed/2240918&lt;/url&gt;&lt;/related-urls&gt;&lt;/urls&gt;&lt;/record&gt;&lt;/Cite&gt;&lt;/EndNote&gt;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 w:tooltip="Inouye, 1990 #73" w:history="1">
        <w:r>
          <w:rPr>
            <w:rFonts w:ascii="Times New Roman" w:hAnsi="Times New Roman" w:cs="Times New Roman"/>
            <w:noProof/>
            <w:sz w:val="24"/>
            <w:szCs w:val="24"/>
          </w:rPr>
          <w:t>12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w:t>
      </w:r>
    </w:p>
    <w:p w:rsidR="00AD1D93" w:rsidRPr="001D51D7" w:rsidRDefault="00AD1D93" w:rsidP="00AD1D93">
      <w:pPr>
        <w:adjustRightInd w:val="0"/>
        <w:snapToGrid w:val="0"/>
        <w:spacing w:line="480" w:lineRule="auto"/>
        <w:ind w:firstLineChars="100" w:firstLine="240"/>
        <w:rPr>
          <w:rFonts w:ascii="Times New Roman" w:hAnsi="Times New Roman" w:cs="Times New Roman"/>
          <w:sz w:val="24"/>
          <w:szCs w:val="24"/>
        </w:rPr>
      </w:pPr>
      <w:r w:rsidRPr="001D51D7">
        <w:rPr>
          <w:rFonts w:ascii="Times New Roman" w:hAnsi="Times New Roman" w:cs="Times New Roman"/>
          <w:sz w:val="24"/>
          <w:szCs w:val="24"/>
        </w:rPr>
        <w:t xml:space="preserve">The same attending </w:t>
      </w:r>
      <w:proofErr w:type="spellStart"/>
      <w:r w:rsidRPr="001D51D7">
        <w:rPr>
          <w:rFonts w:ascii="Times New Roman" w:hAnsi="Times New Roman" w:cs="Times New Roman"/>
          <w:sz w:val="24"/>
          <w:szCs w:val="24"/>
        </w:rPr>
        <w:t>anaesthesiologist</w:t>
      </w:r>
      <w:proofErr w:type="spellEnd"/>
      <w:r w:rsidRPr="001D51D7">
        <w:rPr>
          <w:rFonts w:ascii="Times New Roman" w:hAnsi="Times New Roman" w:cs="Times New Roman"/>
          <w:sz w:val="24"/>
          <w:szCs w:val="24"/>
        </w:rPr>
        <w:t xml:space="preserve"> assessed the patient’s delirium status twice daily (08:00 and 20:00) during the first three postoperative days. </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Cs w:val="21"/>
        </w:rPr>
      </w:pPr>
      <w:r w:rsidRPr="00C0604B">
        <w:rPr>
          <w:rFonts w:ascii="Arial" w:hAnsi="Arial" w:cs="Arial"/>
          <w:b/>
          <w:szCs w:val="21"/>
        </w:rPr>
        <w:t>Serum Sample Preparation, GC-TOF-MS/UPLC-QTOF-MS Analysis and Identification of Metabolic Profiles</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 xml:space="preserve">Serum samples were pretreated and </w:t>
      </w:r>
      <w:proofErr w:type="spellStart"/>
      <w:r w:rsidRPr="001D51D7">
        <w:rPr>
          <w:rFonts w:ascii="Times New Roman" w:hAnsi="Times New Roman" w:cs="Times New Roman"/>
          <w:sz w:val="24"/>
          <w:szCs w:val="24"/>
        </w:rPr>
        <w:t>analysed</w:t>
      </w:r>
      <w:proofErr w:type="spellEnd"/>
      <w:r w:rsidRPr="001D51D7">
        <w:rPr>
          <w:rFonts w:ascii="Times New Roman" w:hAnsi="Times New Roman" w:cs="Times New Roman"/>
          <w:sz w:val="24"/>
          <w:szCs w:val="24"/>
        </w:rPr>
        <w:t xml:space="preserve"> by gas chromatography time-of-flight mass spectrometry (GC-TOF-MS) and ultra-performance liquid chromatography </w:t>
      </w:r>
      <w:proofErr w:type="spellStart"/>
      <w:r w:rsidRPr="001D51D7">
        <w:rPr>
          <w:rFonts w:ascii="Times New Roman" w:hAnsi="Times New Roman" w:cs="Times New Roman"/>
          <w:sz w:val="24"/>
          <w:szCs w:val="24"/>
        </w:rPr>
        <w:t>quadrupole</w:t>
      </w:r>
      <w:proofErr w:type="spellEnd"/>
      <w:r w:rsidRPr="001D51D7">
        <w:rPr>
          <w:rFonts w:ascii="Times New Roman" w:hAnsi="Times New Roman" w:cs="Times New Roman"/>
          <w:sz w:val="24"/>
          <w:szCs w:val="24"/>
        </w:rPr>
        <w:t xml:space="preserve"> time-of-flight mass spectrometry (UPLC-QTOF-MS) (see Supplementary material for the metabolomics protocol).</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Cs w:val="21"/>
        </w:rPr>
      </w:pPr>
      <w:r w:rsidRPr="00C0604B">
        <w:rPr>
          <w:rFonts w:ascii="Arial" w:hAnsi="Arial" w:cs="Arial"/>
          <w:b/>
          <w:szCs w:val="21"/>
        </w:rPr>
        <w:t>Statistical Analyses</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 xml:space="preserve">Principal component analysis score plot and cross validated score plots from </w:t>
      </w:r>
      <w:r w:rsidRPr="001D51D7">
        <w:rPr>
          <w:rFonts w:ascii="Times New Roman" w:hAnsi="Times New Roman" w:cs="Times New Roman"/>
          <w:sz w:val="24"/>
          <w:szCs w:val="24"/>
        </w:rPr>
        <w:lastRenderedPageBreak/>
        <w:t xml:space="preserve">orthogonal partial least squares-discriminant analysis were implemented to visualize the differences in metabolites between the two groups before and after surgery. Data were statistically </w:t>
      </w:r>
      <w:proofErr w:type="spellStart"/>
      <w:r w:rsidRPr="001D51D7">
        <w:rPr>
          <w:rFonts w:ascii="Times New Roman" w:hAnsi="Times New Roman" w:cs="Times New Roman"/>
          <w:sz w:val="24"/>
          <w:szCs w:val="24"/>
        </w:rPr>
        <w:t>analysed</w:t>
      </w:r>
      <w:proofErr w:type="spellEnd"/>
      <w:r w:rsidRPr="001D51D7">
        <w:rPr>
          <w:rFonts w:ascii="Times New Roman" w:hAnsi="Times New Roman" w:cs="Times New Roman"/>
          <w:sz w:val="24"/>
          <w:szCs w:val="24"/>
        </w:rPr>
        <w:t xml:space="preserve"> using SPSS (SPSS, Chicago, IL, USA). If the assumptions of normality were met, then comparisons between the different study groups were performed using the independent samples t-test; otherwise, the Mann-Whitney-Wilcoxon test was used. The Kolmogorov−Smirnov (K−S) test was applied for data with a non-normal distribution. The chi-square test or Fisher’s exact test was utilized to compare qualitative data, and p &lt; 0.05 was considered to be statistically significant.</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 w:val="24"/>
          <w:szCs w:val="24"/>
        </w:rPr>
      </w:pPr>
      <w:r w:rsidRPr="00C0604B">
        <w:rPr>
          <w:rFonts w:ascii="Arial" w:hAnsi="Arial" w:cs="Arial"/>
          <w:b/>
          <w:sz w:val="24"/>
          <w:szCs w:val="24"/>
        </w:rPr>
        <w:t>Results</w:t>
      </w:r>
    </w:p>
    <w:p w:rsidR="00AD1D93" w:rsidRPr="00C0604B" w:rsidRDefault="00AD1D93" w:rsidP="00AD1D93">
      <w:pPr>
        <w:adjustRightInd w:val="0"/>
        <w:snapToGrid w:val="0"/>
        <w:spacing w:line="480" w:lineRule="auto"/>
        <w:rPr>
          <w:rFonts w:ascii="Arial" w:hAnsi="Arial" w:cs="Arial"/>
          <w:b/>
          <w:szCs w:val="21"/>
        </w:rPr>
      </w:pPr>
      <w:r w:rsidRPr="00C0604B">
        <w:rPr>
          <w:rFonts w:ascii="Arial" w:hAnsi="Arial" w:cs="Arial"/>
          <w:b/>
          <w:szCs w:val="21"/>
        </w:rPr>
        <w:t>Comparison of the General Characteristics of the POD and NPOD (non-POD) Groups</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A total of 244 patients met our criteria and were assessed (Supplementary Figure 1). Sixty patients were diagnosed with POD and comprised the POD group. Another 60 age-, sex- and body mass index-matched patients without POD were selected to comprise the NPOD group. The incidence of POD in older patients with hip fracture after hemi-</w:t>
      </w:r>
      <w:proofErr w:type="spellStart"/>
      <w:r w:rsidRPr="001D51D7">
        <w:rPr>
          <w:rFonts w:ascii="Times New Roman" w:hAnsi="Times New Roman" w:cs="Times New Roman"/>
          <w:sz w:val="24"/>
          <w:szCs w:val="24"/>
        </w:rPr>
        <w:t>arthroplasty</w:t>
      </w:r>
      <w:proofErr w:type="spellEnd"/>
      <w:r w:rsidRPr="001D51D7">
        <w:rPr>
          <w:rFonts w:ascii="Times New Roman" w:hAnsi="Times New Roman" w:cs="Times New Roman"/>
          <w:sz w:val="24"/>
          <w:szCs w:val="24"/>
        </w:rPr>
        <w:t xml:space="preserve"> was 24.6% (60/244). As shown in Table 1, no significant differences in age, sex, body mass index (BMI), education level, ASA grade, preoperative MMSE score, preoperative </w:t>
      </w:r>
      <w:proofErr w:type="spellStart"/>
      <w:r w:rsidRPr="001D51D7">
        <w:rPr>
          <w:rFonts w:ascii="Times New Roman" w:hAnsi="Times New Roman" w:cs="Times New Roman"/>
          <w:sz w:val="24"/>
          <w:szCs w:val="24"/>
        </w:rPr>
        <w:t>Charlson</w:t>
      </w:r>
      <w:proofErr w:type="spellEnd"/>
      <w:r w:rsidRPr="001D51D7">
        <w:rPr>
          <w:rFonts w:ascii="Times New Roman" w:hAnsi="Times New Roman" w:cs="Times New Roman"/>
          <w:sz w:val="24"/>
          <w:szCs w:val="24"/>
        </w:rPr>
        <w:t xml:space="preserve"> Comorbidity Index or other general characteristics were observed between the two groups (p &gt; 0.05).</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Cs w:val="21"/>
        </w:rPr>
      </w:pPr>
      <w:r w:rsidRPr="00C0604B">
        <w:rPr>
          <w:rFonts w:ascii="Arial" w:hAnsi="Arial" w:cs="Arial"/>
          <w:b/>
          <w:szCs w:val="21"/>
        </w:rPr>
        <w:t>Overall Differences between the Metabolic Profiles of the POD and NPOD Groups before and after Hemi-</w:t>
      </w:r>
      <w:proofErr w:type="spellStart"/>
      <w:r w:rsidRPr="00C0604B">
        <w:rPr>
          <w:rFonts w:ascii="Arial" w:hAnsi="Arial" w:cs="Arial"/>
          <w:b/>
          <w:szCs w:val="21"/>
        </w:rPr>
        <w:t>arthroplasty</w:t>
      </w:r>
      <w:proofErr w:type="spellEnd"/>
    </w:p>
    <w:p w:rsidR="00AD1D93"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 xml:space="preserve">Orthogonal partial least squares discriminant analysis (OPLS-DA) models for classifying the POD and NPOD groups at pre- or postsurgical time points were found </w:t>
      </w:r>
      <w:r w:rsidRPr="001D51D7">
        <w:rPr>
          <w:rFonts w:ascii="Times New Roman" w:hAnsi="Times New Roman" w:cs="Times New Roman"/>
          <w:sz w:val="24"/>
          <w:szCs w:val="24"/>
        </w:rPr>
        <w:lastRenderedPageBreak/>
        <w:t xml:space="preserve">to be significant (Figure 1). An AUC (area under curve) of 0.77 was observed in the ROC analysis based on cross-validated scores for the OPLS-DA model of POD and NPOD groups </w:t>
      </w:r>
      <w:proofErr w:type="spellStart"/>
      <w:r w:rsidRPr="001D51D7">
        <w:rPr>
          <w:rFonts w:ascii="Times New Roman" w:hAnsi="Times New Roman" w:cs="Times New Roman"/>
          <w:sz w:val="24"/>
          <w:szCs w:val="24"/>
        </w:rPr>
        <w:t>presurgery</w:t>
      </w:r>
      <w:proofErr w:type="spellEnd"/>
      <w:r w:rsidRPr="001D51D7">
        <w:rPr>
          <w:rFonts w:ascii="Times New Roman" w:hAnsi="Times New Roman" w:cs="Times New Roman"/>
          <w:sz w:val="24"/>
          <w:szCs w:val="24"/>
        </w:rPr>
        <w:t xml:space="preserve">. A total of 18 and 23 metabolites were differentially expressed between the POD and NPOD groups before and after surgery, respectively (Supplementary Tables 1 and 2). In addition, 30 metabolites for the POD group and 32 metabolites for the NPOD group were observed to differentiate pre- and </w:t>
      </w:r>
      <w:proofErr w:type="spellStart"/>
      <w:r w:rsidRPr="001D51D7">
        <w:rPr>
          <w:rFonts w:ascii="Times New Roman" w:hAnsi="Times New Roman" w:cs="Times New Roman"/>
          <w:sz w:val="24"/>
          <w:szCs w:val="24"/>
        </w:rPr>
        <w:t>postsurgery</w:t>
      </w:r>
      <w:proofErr w:type="spellEnd"/>
      <w:r w:rsidRPr="001D51D7">
        <w:rPr>
          <w:rFonts w:ascii="Times New Roman" w:hAnsi="Times New Roman" w:cs="Times New Roman"/>
          <w:sz w:val="24"/>
          <w:szCs w:val="24"/>
        </w:rPr>
        <w:t xml:space="preserve"> (Supplementary Tables 3 and 4).</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Cs w:val="21"/>
        </w:rPr>
      </w:pPr>
      <w:r w:rsidRPr="00C0604B">
        <w:rPr>
          <w:rFonts w:ascii="Arial" w:hAnsi="Arial" w:cs="Arial"/>
          <w:b/>
          <w:szCs w:val="21"/>
        </w:rPr>
        <w:t>Changes in Polyunsaturated and Saturated Free Fatty Acid Concentrations between the POD and NPOD Groups before and after Hemi-</w:t>
      </w:r>
      <w:proofErr w:type="spellStart"/>
      <w:r w:rsidRPr="00C0604B">
        <w:rPr>
          <w:rFonts w:ascii="Arial" w:hAnsi="Arial" w:cs="Arial"/>
          <w:b/>
          <w:szCs w:val="21"/>
        </w:rPr>
        <w:t>arthroplasty</w:t>
      </w:r>
      <w:proofErr w:type="spellEnd"/>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 xml:space="preserve">As shown in Figure 2A, the levels of both ω3 and ω6 polyunsaturated acids (PUFAs) were significantly decreased in the POD group after surgery compared to those in the NPOD group. The levels of some PUFAs, notably cis-8,11,14-eicosatetraenoic acid (ETA), </w:t>
      </w:r>
      <w:proofErr w:type="spellStart"/>
      <w:r w:rsidRPr="001D51D7">
        <w:rPr>
          <w:rFonts w:ascii="Times New Roman" w:hAnsi="Times New Roman" w:cs="Times New Roman"/>
          <w:sz w:val="24"/>
          <w:szCs w:val="24"/>
        </w:rPr>
        <w:t>arachidonic</w:t>
      </w:r>
      <w:proofErr w:type="spellEnd"/>
      <w:r w:rsidRPr="001D51D7">
        <w:rPr>
          <w:rFonts w:ascii="Times New Roman" w:hAnsi="Times New Roman" w:cs="Times New Roman"/>
          <w:sz w:val="24"/>
          <w:szCs w:val="24"/>
        </w:rPr>
        <w:t xml:space="preserve"> acid (AA), </w:t>
      </w:r>
      <w:proofErr w:type="spellStart"/>
      <w:r w:rsidRPr="001D51D7">
        <w:rPr>
          <w:rFonts w:ascii="Times New Roman" w:hAnsi="Times New Roman" w:cs="Times New Roman"/>
          <w:sz w:val="24"/>
          <w:szCs w:val="24"/>
        </w:rPr>
        <w:t>hexadecatrienoic</w:t>
      </w:r>
      <w:proofErr w:type="spellEnd"/>
      <w:r w:rsidRPr="001D51D7">
        <w:rPr>
          <w:rFonts w:ascii="Times New Roman" w:hAnsi="Times New Roman" w:cs="Times New Roman"/>
          <w:sz w:val="24"/>
          <w:szCs w:val="24"/>
        </w:rPr>
        <w:t xml:space="preserve"> acid, </w:t>
      </w:r>
      <w:proofErr w:type="spellStart"/>
      <w:r w:rsidRPr="001D51D7">
        <w:rPr>
          <w:rFonts w:ascii="Times New Roman" w:hAnsi="Times New Roman" w:cs="Times New Roman"/>
          <w:sz w:val="24"/>
          <w:szCs w:val="24"/>
        </w:rPr>
        <w:t>eicosapentaenoic</w:t>
      </w:r>
      <w:proofErr w:type="spellEnd"/>
      <w:r w:rsidRPr="001D51D7">
        <w:rPr>
          <w:rFonts w:ascii="Times New Roman" w:hAnsi="Times New Roman" w:cs="Times New Roman"/>
          <w:sz w:val="24"/>
          <w:szCs w:val="24"/>
        </w:rPr>
        <w:t xml:space="preserve"> acid (EPA) and </w:t>
      </w:r>
      <w:proofErr w:type="spellStart"/>
      <w:r w:rsidRPr="001D51D7">
        <w:rPr>
          <w:rFonts w:ascii="Times New Roman" w:hAnsi="Times New Roman" w:cs="Times New Roman"/>
          <w:sz w:val="24"/>
          <w:szCs w:val="24"/>
        </w:rPr>
        <w:t>docosahexaenoic</w:t>
      </w:r>
      <w:proofErr w:type="spellEnd"/>
      <w:r w:rsidRPr="001D51D7">
        <w:rPr>
          <w:rFonts w:ascii="Times New Roman" w:hAnsi="Times New Roman" w:cs="Times New Roman"/>
          <w:sz w:val="24"/>
          <w:szCs w:val="24"/>
        </w:rPr>
        <w:t xml:space="preserve"> acid (DHA), were decreased before surgery and even further reduced after surgery; therefore, these PUFAs may serve as biomarkers of the risk of delirium. In addition, levels of linoleic acid (unsaturated), </w:t>
      </w:r>
      <w:proofErr w:type="spellStart"/>
      <w:r w:rsidRPr="001D51D7">
        <w:rPr>
          <w:rFonts w:ascii="Times New Roman" w:hAnsi="Times New Roman" w:cs="Times New Roman"/>
          <w:sz w:val="24"/>
          <w:szCs w:val="24"/>
        </w:rPr>
        <w:t>linolenic</w:t>
      </w:r>
      <w:proofErr w:type="spellEnd"/>
      <w:r w:rsidRPr="001D51D7">
        <w:rPr>
          <w:rFonts w:ascii="Times New Roman" w:hAnsi="Times New Roman" w:cs="Times New Roman"/>
          <w:sz w:val="24"/>
          <w:szCs w:val="24"/>
        </w:rPr>
        <w:t xml:space="preserve"> acid (unsaturated) and </w:t>
      </w:r>
      <w:proofErr w:type="spellStart"/>
      <w:r w:rsidRPr="001D51D7">
        <w:rPr>
          <w:rFonts w:ascii="Times New Roman" w:hAnsi="Times New Roman" w:cs="Times New Roman"/>
          <w:sz w:val="24"/>
          <w:szCs w:val="24"/>
        </w:rPr>
        <w:t>octadecanoic</w:t>
      </w:r>
      <w:proofErr w:type="spellEnd"/>
      <w:r w:rsidRPr="001D51D7">
        <w:rPr>
          <w:rFonts w:ascii="Times New Roman" w:hAnsi="Times New Roman" w:cs="Times New Roman"/>
          <w:sz w:val="24"/>
          <w:szCs w:val="24"/>
        </w:rPr>
        <w:t xml:space="preserve"> acid (saturated) were not decreased preoperatively but were postoperatively (Supplementary Tables 1 and 2). Therefore, these may be biomarkers of the end-product of POD development.</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Cs w:val="21"/>
        </w:rPr>
      </w:pPr>
      <w:r w:rsidRPr="00C0604B">
        <w:rPr>
          <w:rFonts w:ascii="Arial" w:hAnsi="Arial" w:cs="Arial"/>
          <w:b/>
          <w:szCs w:val="21"/>
        </w:rPr>
        <w:t xml:space="preserve">Perturbations in the </w:t>
      </w:r>
      <w:proofErr w:type="spellStart"/>
      <w:r w:rsidRPr="00C0604B">
        <w:rPr>
          <w:rFonts w:ascii="Arial" w:hAnsi="Arial" w:cs="Arial"/>
          <w:b/>
          <w:szCs w:val="21"/>
        </w:rPr>
        <w:t>Tricarboxylic</w:t>
      </w:r>
      <w:proofErr w:type="spellEnd"/>
      <w:r w:rsidRPr="00C0604B">
        <w:rPr>
          <w:rFonts w:ascii="Arial" w:hAnsi="Arial" w:cs="Arial"/>
          <w:b/>
          <w:szCs w:val="21"/>
        </w:rPr>
        <w:t xml:space="preserve"> Acid Cycle and Oxidative Stress between Patients in the NPOD and POD Groups</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As shown in Supplementary Tables 1 and 2, prior to hemi-</w:t>
      </w:r>
      <w:proofErr w:type="spellStart"/>
      <w:r w:rsidRPr="001D51D7">
        <w:rPr>
          <w:rFonts w:ascii="Times New Roman" w:hAnsi="Times New Roman" w:cs="Times New Roman"/>
          <w:sz w:val="24"/>
          <w:szCs w:val="24"/>
        </w:rPr>
        <w:t>arthroplasty</w:t>
      </w:r>
      <w:proofErr w:type="spellEnd"/>
      <w:r w:rsidRPr="001D51D7">
        <w:rPr>
          <w:rFonts w:ascii="Times New Roman" w:hAnsi="Times New Roman" w:cs="Times New Roman"/>
          <w:sz w:val="24"/>
          <w:szCs w:val="24"/>
        </w:rPr>
        <w:t xml:space="preserve">, citrate levels in the POD group were the same as those in the NPOD group, but these levels in the former were lower than those in latter after surgery. This finding was accompanied by </w:t>
      </w:r>
      <w:r w:rsidRPr="001D51D7">
        <w:rPr>
          <w:rFonts w:ascii="Times New Roman" w:hAnsi="Times New Roman" w:cs="Times New Roman"/>
          <w:sz w:val="24"/>
          <w:szCs w:val="24"/>
        </w:rPr>
        <w:lastRenderedPageBreak/>
        <w:t>an increase in mannose levels in the POD group before and after hemi-</w:t>
      </w:r>
      <w:proofErr w:type="spellStart"/>
      <w:r w:rsidRPr="001D51D7">
        <w:rPr>
          <w:rFonts w:ascii="Times New Roman" w:hAnsi="Times New Roman" w:cs="Times New Roman"/>
          <w:sz w:val="24"/>
          <w:szCs w:val="24"/>
        </w:rPr>
        <w:t>arthroplasty</w:t>
      </w:r>
      <w:proofErr w:type="spellEnd"/>
      <w:r w:rsidRPr="001D51D7">
        <w:rPr>
          <w:rFonts w:ascii="Times New Roman" w:hAnsi="Times New Roman" w:cs="Times New Roman"/>
          <w:sz w:val="24"/>
          <w:szCs w:val="24"/>
        </w:rPr>
        <w:t>. In addition, levels of fructose were increased in the POD group before surgery but not in the POD group after surgery. In contrast, the levels of ribose in the POD group were not increased before surgery, but they were increased after surgery. In addition, hemi-</w:t>
      </w:r>
      <w:proofErr w:type="spellStart"/>
      <w:r w:rsidRPr="001D51D7">
        <w:rPr>
          <w:rFonts w:ascii="Times New Roman" w:hAnsi="Times New Roman" w:cs="Times New Roman"/>
          <w:sz w:val="24"/>
          <w:szCs w:val="24"/>
        </w:rPr>
        <w:t>arthroplasty</w:t>
      </w:r>
      <w:proofErr w:type="spellEnd"/>
      <w:r w:rsidRPr="001D51D7">
        <w:rPr>
          <w:rFonts w:ascii="Times New Roman" w:hAnsi="Times New Roman" w:cs="Times New Roman"/>
          <w:sz w:val="24"/>
          <w:szCs w:val="24"/>
        </w:rPr>
        <w:t xml:space="preserve"> resulted in a decrease in citric acid in both groups (Figure 2B). Therefore, such an increase in mannose is a potential biomarker for the risk of delirium, and a decrease in citric acid and increase in ribose may constitute the end-product of the development of POD. Although </w:t>
      </w:r>
      <w:proofErr w:type="spellStart"/>
      <w:r w:rsidRPr="001D51D7">
        <w:rPr>
          <w:rFonts w:ascii="Times New Roman" w:hAnsi="Times New Roman" w:cs="Times New Roman"/>
          <w:sz w:val="24"/>
          <w:szCs w:val="24"/>
        </w:rPr>
        <w:t>taurine</w:t>
      </w:r>
      <w:proofErr w:type="spellEnd"/>
      <w:r w:rsidRPr="001D51D7">
        <w:rPr>
          <w:rFonts w:ascii="Times New Roman" w:hAnsi="Times New Roman" w:cs="Times New Roman"/>
          <w:sz w:val="24"/>
          <w:szCs w:val="24"/>
        </w:rPr>
        <w:t xml:space="preserve"> levels in the POD group were the same as those in the NPOD group before surgery, these levels in the POD group were lower than those in the NPOD group after surgery (Figure 2A); surgery contributed to a decrease in </w:t>
      </w:r>
      <w:proofErr w:type="spellStart"/>
      <w:r w:rsidRPr="001D51D7">
        <w:rPr>
          <w:rFonts w:ascii="Times New Roman" w:hAnsi="Times New Roman" w:cs="Times New Roman"/>
          <w:sz w:val="24"/>
          <w:szCs w:val="24"/>
        </w:rPr>
        <w:t>taurine</w:t>
      </w:r>
      <w:proofErr w:type="spellEnd"/>
      <w:r w:rsidRPr="001D51D7">
        <w:rPr>
          <w:rFonts w:ascii="Times New Roman" w:hAnsi="Times New Roman" w:cs="Times New Roman"/>
          <w:sz w:val="24"/>
          <w:szCs w:val="24"/>
        </w:rPr>
        <w:t xml:space="preserve"> in both groups (Figure 2B). Furthermore, </w:t>
      </w:r>
      <w:proofErr w:type="spellStart"/>
      <w:r w:rsidRPr="001D51D7">
        <w:rPr>
          <w:rFonts w:ascii="Times New Roman" w:hAnsi="Times New Roman" w:cs="Times New Roman"/>
          <w:sz w:val="24"/>
          <w:szCs w:val="24"/>
        </w:rPr>
        <w:t>tocopherol</w:t>
      </w:r>
      <w:proofErr w:type="spellEnd"/>
      <w:r w:rsidRPr="001D51D7">
        <w:rPr>
          <w:rFonts w:ascii="Times New Roman" w:hAnsi="Times New Roman" w:cs="Times New Roman"/>
          <w:sz w:val="24"/>
          <w:szCs w:val="24"/>
        </w:rPr>
        <w:t xml:space="preserve"> (vitamin E) levels in the POD group were lower than those in the NPOD group before and after surgery (Supplementary Tables 1 and 2), and surgery caused an increase in </w:t>
      </w:r>
      <w:proofErr w:type="spellStart"/>
      <w:r w:rsidRPr="001D51D7">
        <w:rPr>
          <w:rFonts w:ascii="Times New Roman" w:hAnsi="Times New Roman" w:cs="Times New Roman"/>
          <w:sz w:val="24"/>
          <w:szCs w:val="24"/>
        </w:rPr>
        <w:t>tocopherol</w:t>
      </w:r>
      <w:proofErr w:type="spellEnd"/>
      <w:r w:rsidRPr="001D51D7">
        <w:rPr>
          <w:rFonts w:ascii="Times New Roman" w:hAnsi="Times New Roman" w:cs="Times New Roman"/>
          <w:sz w:val="24"/>
          <w:szCs w:val="24"/>
        </w:rPr>
        <w:t xml:space="preserve"> in both groups (Supplementary Tables 3 and 4). Thus, a decrease in </w:t>
      </w:r>
      <w:proofErr w:type="spellStart"/>
      <w:r w:rsidRPr="001D51D7">
        <w:rPr>
          <w:rFonts w:ascii="Times New Roman" w:hAnsi="Times New Roman" w:cs="Times New Roman"/>
          <w:sz w:val="24"/>
          <w:szCs w:val="24"/>
        </w:rPr>
        <w:t>taurine</w:t>
      </w:r>
      <w:proofErr w:type="spellEnd"/>
      <w:r w:rsidRPr="001D51D7">
        <w:rPr>
          <w:rFonts w:ascii="Times New Roman" w:hAnsi="Times New Roman" w:cs="Times New Roman"/>
          <w:sz w:val="24"/>
          <w:szCs w:val="24"/>
        </w:rPr>
        <w:t xml:space="preserve"> may be the end-product of POD development, and a decrease in </w:t>
      </w:r>
      <w:proofErr w:type="spellStart"/>
      <w:r w:rsidRPr="001D51D7">
        <w:rPr>
          <w:rFonts w:ascii="Times New Roman" w:hAnsi="Times New Roman" w:cs="Times New Roman"/>
          <w:sz w:val="24"/>
          <w:szCs w:val="24"/>
        </w:rPr>
        <w:t>tocopherol</w:t>
      </w:r>
      <w:proofErr w:type="spellEnd"/>
      <w:r w:rsidRPr="001D51D7">
        <w:rPr>
          <w:rFonts w:ascii="Times New Roman" w:hAnsi="Times New Roman" w:cs="Times New Roman"/>
          <w:sz w:val="24"/>
          <w:szCs w:val="24"/>
        </w:rPr>
        <w:t xml:space="preserve"> (vitamin E) levels in the POD group (compared with the NPOD group) is a potential biomarker of the risk of delirium.</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Cs w:val="21"/>
        </w:rPr>
      </w:pPr>
      <w:r w:rsidRPr="00C0604B">
        <w:rPr>
          <w:rFonts w:ascii="Arial" w:hAnsi="Arial" w:cs="Arial"/>
          <w:b/>
          <w:szCs w:val="21"/>
        </w:rPr>
        <w:t>Between-group Differences in Amino Acid Levels and Metabolism in the NPOD and POD Groups</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Disorders in aromatic amino acid (AAA) and branched-chain amino acid (BCAA) metabolism (Figure 2A) were inferred from our amino acid data. Overall, a decrease in the BCAA/AAA ratio may be associated with POD occurrence.</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 w:val="24"/>
          <w:szCs w:val="24"/>
        </w:rPr>
      </w:pPr>
      <w:r w:rsidRPr="00C0604B">
        <w:rPr>
          <w:rFonts w:ascii="Arial" w:hAnsi="Arial" w:cs="Arial"/>
          <w:b/>
          <w:sz w:val="24"/>
          <w:szCs w:val="24"/>
        </w:rPr>
        <w:t>Discussion</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 xml:space="preserve">Our data strongly suggest that metabolism alterations before and/or after surgery may </w:t>
      </w:r>
      <w:r w:rsidRPr="001D51D7">
        <w:rPr>
          <w:rFonts w:ascii="Times New Roman" w:hAnsi="Times New Roman" w:cs="Times New Roman"/>
          <w:sz w:val="24"/>
          <w:szCs w:val="24"/>
        </w:rPr>
        <w:lastRenderedPageBreak/>
        <w:t>be associated with POD. Intergroup comparisons using the KEGG (Kyoto Encyclopedia of Genes and Genomes) database showed that multiple metabolic pathways were altered in the POD group during the perioperative period, including deficiencies in ω3 and ω6 fatty acids, energy metabolism and oxidative stress, interactions between hypoxia and mitochondrial dysfunction, and disorders in AAA and BCAA metabolism (Supplementary Tables 1 and 2, Figure 2A). Moreover</w:t>
      </w:r>
      <w:proofErr w:type="gramStart"/>
      <w:r w:rsidRPr="001D51D7">
        <w:rPr>
          <w:rFonts w:ascii="Times New Roman" w:hAnsi="Times New Roman" w:cs="Times New Roman"/>
          <w:sz w:val="24"/>
          <w:szCs w:val="24"/>
        </w:rPr>
        <w:t>,  intragroup</w:t>
      </w:r>
      <w:proofErr w:type="gramEnd"/>
      <w:r w:rsidRPr="001D51D7">
        <w:rPr>
          <w:rFonts w:ascii="Times New Roman" w:hAnsi="Times New Roman" w:cs="Times New Roman"/>
          <w:sz w:val="24"/>
          <w:szCs w:val="24"/>
        </w:rPr>
        <w:t xml:space="preserve"> comparisons indicated that surgery itself may affect metabolic profiles in these older patients, such as decreases in some unsaturated fatty acids (cis-11,14-eicosadienoic acid, </w:t>
      </w:r>
      <w:proofErr w:type="spellStart"/>
      <w:r w:rsidRPr="001D51D7">
        <w:rPr>
          <w:rFonts w:ascii="Times New Roman" w:hAnsi="Times New Roman" w:cs="Times New Roman"/>
          <w:sz w:val="24"/>
          <w:szCs w:val="24"/>
        </w:rPr>
        <w:t>hexadecatrienoic</w:t>
      </w:r>
      <w:proofErr w:type="spellEnd"/>
      <w:r w:rsidRPr="001D51D7">
        <w:rPr>
          <w:rFonts w:ascii="Times New Roman" w:hAnsi="Times New Roman" w:cs="Times New Roman"/>
          <w:sz w:val="24"/>
          <w:szCs w:val="24"/>
        </w:rPr>
        <w:t xml:space="preserve"> acid (7Z, 10Z, 13Z-C16:3), aggravation of oxidative stress (decreases in citric acid, </w:t>
      </w:r>
      <w:proofErr w:type="spellStart"/>
      <w:r w:rsidRPr="001D51D7">
        <w:rPr>
          <w:rFonts w:ascii="Times New Roman" w:hAnsi="Times New Roman" w:cs="Times New Roman"/>
          <w:sz w:val="24"/>
          <w:szCs w:val="24"/>
        </w:rPr>
        <w:t>taurine</w:t>
      </w:r>
      <w:proofErr w:type="spellEnd"/>
      <w:r w:rsidRPr="001D51D7">
        <w:rPr>
          <w:rFonts w:ascii="Times New Roman" w:hAnsi="Times New Roman" w:cs="Times New Roman"/>
          <w:sz w:val="24"/>
          <w:szCs w:val="24"/>
        </w:rPr>
        <w:t xml:space="preserve">, </w:t>
      </w:r>
      <w:proofErr w:type="spellStart"/>
      <w:r w:rsidRPr="001D51D7">
        <w:rPr>
          <w:rFonts w:ascii="Times New Roman" w:hAnsi="Times New Roman" w:cs="Times New Roman"/>
          <w:sz w:val="24"/>
          <w:szCs w:val="24"/>
        </w:rPr>
        <w:t>homocysteine</w:t>
      </w:r>
      <w:proofErr w:type="spellEnd"/>
      <w:r w:rsidRPr="001D51D7">
        <w:rPr>
          <w:rFonts w:ascii="Times New Roman" w:hAnsi="Times New Roman" w:cs="Times New Roman"/>
          <w:sz w:val="24"/>
          <w:szCs w:val="24"/>
        </w:rPr>
        <w:t>), and imbalances in AAA and BCAA metabolism, which may promote the development of delirium after surgery (Supplementary Table 3 and 4, Figure 2B).</w:t>
      </w:r>
    </w:p>
    <w:p w:rsidR="00AD1D93" w:rsidRPr="001D51D7" w:rsidRDefault="00AD1D93" w:rsidP="00AD1D93">
      <w:pPr>
        <w:adjustRightInd w:val="0"/>
        <w:snapToGrid w:val="0"/>
        <w:spacing w:line="480" w:lineRule="auto"/>
        <w:ind w:firstLineChars="100" w:firstLine="240"/>
        <w:rPr>
          <w:rFonts w:ascii="Times New Roman" w:hAnsi="Times New Roman" w:cs="Times New Roman"/>
          <w:sz w:val="24"/>
          <w:szCs w:val="24"/>
        </w:rPr>
      </w:pPr>
      <w:r w:rsidRPr="001D51D7">
        <w:rPr>
          <w:rFonts w:ascii="Times New Roman" w:hAnsi="Times New Roman" w:cs="Times New Roman"/>
          <w:sz w:val="24"/>
          <w:szCs w:val="24"/>
        </w:rPr>
        <w:t xml:space="preserve">Disturbances in fatty acid (particularly unsaturated fatty acids, ω3 and ω6 PUFAs) metabolism might be the primary contributors to POD development within the context of metabolomics. PUFAs are required for the </w:t>
      </w:r>
      <w:proofErr w:type="spellStart"/>
      <w:r w:rsidRPr="001D51D7">
        <w:rPr>
          <w:rFonts w:ascii="Times New Roman" w:hAnsi="Times New Roman" w:cs="Times New Roman"/>
          <w:sz w:val="24"/>
          <w:szCs w:val="24"/>
        </w:rPr>
        <w:t>myelinating</w:t>
      </w:r>
      <w:proofErr w:type="spellEnd"/>
      <w:r w:rsidRPr="001D51D7">
        <w:rPr>
          <w:rFonts w:ascii="Times New Roman" w:hAnsi="Times New Roman" w:cs="Times New Roman"/>
          <w:sz w:val="24"/>
          <w:szCs w:val="24"/>
        </w:rPr>
        <w:t xml:space="preserve"> activity of </w:t>
      </w:r>
      <w:proofErr w:type="spellStart"/>
      <w:r w:rsidRPr="001D51D7">
        <w:rPr>
          <w:rFonts w:ascii="Times New Roman" w:hAnsi="Times New Roman" w:cs="Times New Roman"/>
          <w:sz w:val="24"/>
          <w:szCs w:val="24"/>
        </w:rPr>
        <w:t>oligodendrocytes</w:t>
      </w:r>
      <w:proofErr w:type="spellEnd"/>
      <w:r w:rsidRPr="001D51D7">
        <w:rPr>
          <w:rFonts w:ascii="Times New Roman" w:hAnsi="Times New Roman" w:cs="Times New Roman"/>
          <w:sz w:val="24"/>
          <w:szCs w:val="24"/>
        </w:rPr>
        <w:t xml:space="preserve"> and myelin maintenance; ω3 PUFAs are essential for neurogenesis, synaptogenesis and neuroplasticity, but they are not synthesized in the human body </w:t>
      </w:r>
      <w:r>
        <w:rPr>
          <w:rFonts w:ascii="Times New Roman" w:hAnsi="Times New Roman" w:cs="Times New Roman"/>
          <w:sz w:val="24"/>
          <w:szCs w:val="24"/>
        </w:rPr>
        <w:fldChar w:fldCharType="begin">
          <w:fldData xml:space="preserve">PEVuZE5vdGU+PENpdGU+PEF1dGhvcj5QZXRlcnM8L0F1dGhvcj48WWVhcj4yMDA5PC9ZZWFyPjxS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=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PEVuZE5vdGU+PENpdGU+PEF1dGhvcj5QZXRlcnM8L0F1dGhvcj48WWVhcj4yMDA5PC9ZZWFyPjxS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=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3" w:tooltip="Peters, 2009 #20" w:history="1">
        <w:r>
          <w:rPr>
            <w:rFonts w:ascii="Times New Roman" w:hAnsi="Times New Roman" w:cs="Times New Roman"/>
            <w:noProof/>
            <w:sz w:val="24"/>
            <w:szCs w:val="24"/>
          </w:rPr>
          <w:t>13</w:t>
        </w:r>
      </w:hyperlink>
      <w:r>
        <w:rPr>
          <w:rFonts w:ascii="Times New Roman" w:hAnsi="Times New Roman" w:cs="Times New Roman"/>
          <w:noProof/>
          <w:sz w:val="24"/>
          <w:szCs w:val="24"/>
        </w:rPr>
        <w:t xml:space="preserve">, </w:t>
      </w:r>
      <w:hyperlink w:anchor="_ENREF_14" w:tooltip="Crupi, 2013 #21" w:history="1">
        <w:r>
          <w:rPr>
            <w:rFonts w:ascii="Times New Roman" w:hAnsi="Times New Roman" w:cs="Times New Roman"/>
            <w:noProof/>
            <w:sz w:val="24"/>
            <w:szCs w:val="24"/>
          </w:rPr>
          <w:t>14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In particular, </w:t>
      </w:r>
      <w:proofErr w:type="spellStart"/>
      <w:r w:rsidRPr="001D51D7">
        <w:rPr>
          <w:rFonts w:ascii="Times New Roman" w:hAnsi="Times New Roman" w:cs="Times New Roman"/>
          <w:sz w:val="24"/>
          <w:szCs w:val="24"/>
        </w:rPr>
        <w:t>eicosapentaenoic</w:t>
      </w:r>
      <w:proofErr w:type="spellEnd"/>
      <w:r w:rsidRPr="001D51D7">
        <w:rPr>
          <w:rFonts w:ascii="Times New Roman" w:hAnsi="Times New Roman" w:cs="Times New Roman"/>
          <w:sz w:val="24"/>
          <w:szCs w:val="24"/>
        </w:rPr>
        <w:t xml:space="preserve"> acid (EPA), α-</w:t>
      </w:r>
      <w:proofErr w:type="spellStart"/>
      <w:r w:rsidRPr="001D51D7">
        <w:rPr>
          <w:rFonts w:ascii="Times New Roman" w:hAnsi="Times New Roman" w:cs="Times New Roman"/>
          <w:sz w:val="24"/>
          <w:szCs w:val="24"/>
        </w:rPr>
        <w:t>linolenic</w:t>
      </w:r>
      <w:proofErr w:type="spellEnd"/>
      <w:r w:rsidRPr="001D51D7">
        <w:rPr>
          <w:rFonts w:ascii="Times New Roman" w:hAnsi="Times New Roman" w:cs="Times New Roman"/>
          <w:sz w:val="24"/>
          <w:szCs w:val="24"/>
        </w:rPr>
        <w:t xml:space="preserve"> acid (ALA) and </w:t>
      </w:r>
      <w:proofErr w:type="spellStart"/>
      <w:r w:rsidRPr="001D51D7">
        <w:rPr>
          <w:rFonts w:ascii="Times New Roman" w:hAnsi="Times New Roman" w:cs="Times New Roman"/>
          <w:sz w:val="24"/>
          <w:szCs w:val="24"/>
        </w:rPr>
        <w:t>docosahexaenoic</w:t>
      </w:r>
      <w:proofErr w:type="spellEnd"/>
      <w:r w:rsidRPr="001D51D7">
        <w:rPr>
          <w:rFonts w:ascii="Times New Roman" w:hAnsi="Times New Roman" w:cs="Times New Roman"/>
          <w:sz w:val="24"/>
          <w:szCs w:val="24"/>
        </w:rPr>
        <w:t xml:space="preserve"> acid (DHA) of the PUFA family mainly aggregate in the cerebrum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&lt;EndNote&gt;&lt;Cite&gt;&lt;Author&gt;Crupi&lt;/Author&gt;&lt;Year&gt;2013&lt;/Year&gt;&lt;RecNum&gt;21&lt;/RecNum&gt;&lt;DisplayText&gt;[14]&lt;/DisplayText&gt;&lt;record&gt;&lt;rec-number&gt;21&lt;/rec-number&gt;&lt;foreign-keys&gt;&lt;key app="EN" db-id="sa5xr5fx6arrerert94552vvf9pd2pvv5x5d"&gt;21&lt;/key&gt;&lt;/foreign-keys&gt;&lt;ref-type name="Journal Article"&gt;17&lt;/ref-type&gt;&lt;contributors&gt;&lt;authors&gt;&lt;author&gt;Crupi, R.&lt;/author&gt;&lt;author&gt;Marino, A.&lt;/author&gt;&lt;author&gt;Cuzzocrea, S.&lt;/author&gt;&lt;/authors&gt;&lt;/contributors&gt;&lt;auth-address&gt;Institute of Pharmacology, School of Medicine, University of Messina, Policlinico Universitario, Torre Biologica 98123 Messina, Italy.&lt;/auth-address&gt;&lt;titles&gt;&lt;title&gt;n-3 fatty acids: role in neurogenesis and neuroplasticity&lt;/title&gt;&lt;secondary-title&gt;Curr Med Chem&lt;/secondary-title&gt;&lt;alt-title&gt;Current medicinal chemistry&lt;/alt-title&gt;&lt;/titles&gt;&lt;pages&gt;2953-63&lt;/pages&gt;&lt;volume&gt;20&lt;/volume&gt;&lt;number&gt;24&lt;/number&gt;&lt;keywords&gt;&lt;keyword&gt;Adult&lt;/keyword&gt;&lt;keyword&gt;Affective Disorders, Psychotic/physiopathology&lt;/keyword&gt;&lt;keyword&gt;Alzheimer Disease/physiopathology/prevention &amp;amp; control&lt;/keyword&gt;&lt;keyword&gt;Animals&lt;/keyword&gt;&lt;keyword&gt;Cognition/drug effects&lt;/keyword&gt;&lt;keyword&gt;Dentate Gyrus/*metabolism&lt;/keyword&gt;&lt;keyword&gt;Dietary Supplements&lt;/keyword&gt;&lt;keyword&gt;Fatty Acids, Omega-3/*pharmacology&lt;/keyword&gt;&lt;keyword&gt;Humans&lt;/keyword&gt;&lt;keyword&gt;Models, Animal&lt;/keyword&gt;&lt;keyword&gt;Neurogenesis/*drug effects&lt;/keyword&gt;&lt;keyword&gt;Neuronal Plasticity/*drug effects&lt;/keyword&gt;&lt;keyword&gt;Schizophrenia/physiopathology&lt;/keyword&gt;&lt;/keywords&gt;&lt;dates&gt;&lt;year&gt;2013&lt;/year&gt;&lt;/dates&gt;&lt;isbn&gt;1875-533X (Electronic)&amp;#xD;0929-8673 (Linking)&lt;/isbn&gt;&lt;accession-num&gt;23746276&lt;/accession-num&gt;&lt;urls&gt;&lt;related-urls&gt;&lt;url&gt;http://www.ncbi.nlm.nih.gov/pubmed/23746276&lt;/url&gt;&lt;/related-urls&gt;&lt;/urls&gt;&lt;/record&gt;&lt;/Cite&gt;&lt;/EndNote&gt;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4" w:tooltip="Crupi, 2013 #21" w:history="1">
        <w:r>
          <w:rPr>
            <w:rFonts w:ascii="Times New Roman" w:hAnsi="Times New Roman" w:cs="Times New Roman"/>
            <w:noProof/>
            <w:sz w:val="24"/>
            <w:szCs w:val="24"/>
          </w:rPr>
          <w:t>14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and long-chain ω3 PUFAs might reduce the risk of progression to a psychotic disorder </w:t>
      </w:r>
      <w:r>
        <w:rPr>
          <w:rFonts w:ascii="Times New Roman" w:hAnsi="Times New Roman" w:cs="Times New Roman"/>
          <w:sz w:val="24"/>
          <w:szCs w:val="24"/>
        </w:rPr>
        <w:fldChar w:fldCharType="begin">
          <w:fldData xml:space="preserve">PEVuZE5vdGU+PENpdGU+PEF1dGhvcj5BbW1pbmdlcjwvQXV0aG9yPjxZZWFyPjIwMTA8L1llYXI+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PEVuZE5vdGU+PENpdGU+PEF1dGhvcj5BbW1pbmdlcjwvQXV0aG9yPjxZZWFyPjIwMTA8L1llYXI+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5" w:tooltip="Amminger, 2010 #22" w:history="1">
        <w:r>
          <w:rPr>
            <w:rFonts w:ascii="Times New Roman" w:hAnsi="Times New Roman" w:cs="Times New Roman"/>
            <w:noProof/>
            <w:sz w:val="24"/>
            <w:szCs w:val="24"/>
          </w:rPr>
          <w:t>15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Moreover, a high dietary intake of ω3 PUFAs has been related to a low plasma β-amyloid 42 (Aβ42) level, which is associated with a decreased risk of developing Alzheimer’s disease (AD) as well as cognitive decline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&lt;EndNote&gt;&lt;Cite&gt;&lt;Author&gt;Gu&lt;/Author&gt;&lt;Year&gt;2012&lt;/Year&gt;&lt;RecNum&gt;23&lt;/RecNum&gt;&lt;DisplayText&gt;[16]&lt;/DisplayText&gt;&lt;record&gt;&lt;rec-number&gt;23&lt;/rec-number&gt;&lt;foreign-keys&gt;&lt;key app="EN" db-id="sa5xr5fx6arrerert94552vvf9pd2pvv5x5d"&gt;23&lt;/key&gt;&lt;/foreign-keys&gt;&lt;ref-type name="Journal Article"&gt;17&lt;/ref-type&gt;&lt;contributors&gt;&lt;authors&gt;&lt;author&gt;Gu, Y.&lt;/author&gt;&lt;author&gt;Schupf, N.&lt;/author&gt;&lt;author&gt;Cosentino, S. A.&lt;/author&gt;&lt;author&gt;Luchsinger, J. A.&lt;/author&gt;&lt;author&gt;Scarmeas, N.&lt;/author&gt;&lt;/authors&gt;&lt;/contributors&gt;&lt;auth-address&gt;Taub Institute for Research in Alzheimer&amp;apos;s Disease and the Aging Brain, Columbia University, New York, NY, USA.&lt;/auth-address&gt;&lt;titles&gt;&lt;title&gt;Nutrient intake and plasma beta-amyloid&lt;/title&gt;&lt;secondary-title&gt;Neurology&lt;/secondary-title&gt;&lt;alt-title&gt;Neurology&lt;/alt-title&gt;&lt;/titles&gt;&lt;pages&gt;1832-40&lt;/pages&gt;&lt;volume&gt;78&lt;/volume&gt;&lt;number&gt;23&lt;/number&gt;&lt;keywords&gt;&lt;keyword&gt;Aged&lt;/keyword&gt;&lt;keyword&gt;Aged, 80 and over&lt;/keyword&gt;&lt;keyword&gt;Alzheimer Disease/metabolism/prevention &amp;amp; control&lt;/keyword&gt;&lt;keyword&gt;Amyloid beta-Peptides/*blood&lt;/keyword&gt;&lt;keyword&gt;Cognition Disorders/metabolism/prevention &amp;amp; control&lt;/keyword&gt;&lt;keyword&gt;Cohort Studies&lt;/keyword&gt;&lt;keyword&gt;Cross-Sectional Studies&lt;/keyword&gt;&lt;keyword&gt;*Diet&lt;/keyword&gt;&lt;keyword&gt;Fatty Acids/*metabolism&lt;/keyword&gt;&lt;keyword&gt;Fatty Acids, Omega-3/*metabolism&lt;/keyword&gt;&lt;keyword&gt;Female&lt;/keyword&gt;&lt;keyword&gt;Humans&lt;/keyword&gt;&lt;keyword&gt;Incidence&lt;/keyword&gt;&lt;keyword&gt;Linear Models&lt;/keyword&gt;&lt;keyword&gt;Male&lt;/keyword&gt;&lt;keyword&gt;Risk Factors&lt;/keyword&gt;&lt;keyword&gt;Single-Blind Method&lt;/keyword&gt;&lt;keyword&gt;Vitamins/*metabolism&lt;/keyword&gt;&lt;/keywords&gt;&lt;dates&gt;&lt;year&gt;2012&lt;/year&gt;&lt;pub-dates&gt;&lt;date&gt;Jun 5&lt;/date&gt;&lt;/pub-dates&gt;&lt;/dates&gt;&lt;isbn&gt;1526-632X (Electronic)&amp;#xD;0028-3878 (Linking)&lt;/isbn&gt;&lt;accession-num&gt;22551728&lt;/accession-num&gt;&lt;urls&gt;&lt;related-urls&gt;&lt;url&gt;http://www.ncbi.nlm.nih.gov/pubmed/22551728&lt;/url&gt;&lt;/related-urls&gt;&lt;/urls&gt;&lt;custom2&gt;3369517&lt;/custom2&gt;&lt;electronic-resource-num&gt;10.1212/WNL.0b013e318258f7c2&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6" w:tooltip="Gu, 2012 #23" w:history="1">
        <w:r>
          <w:rPr>
            <w:rFonts w:ascii="Times New Roman" w:hAnsi="Times New Roman" w:cs="Times New Roman"/>
            <w:noProof/>
            <w:sz w:val="24"/>
            <w:szCs w:val="24"/>
          </w:rPr>
          <w:t>16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Decreased plasma AA and DHA levels are actually associated with increased levels of the pro-inflammatory cytokines IL-6 and IL-1 and a decrease in the level of the anti-inflammatory cytokine </w:t>
      </w:r>
      <w:r w:rsidRPr="001D51D7">
        <w:rPr>
          <w:rFonts w:ascii="Times New Roman" w:hAnsi="Times New Roman" w:cs="Times New Roman"/>
          <w:sz w:val="24"/>
          <w:szCs w:val="24"/>
        </w:rPr>
        <w:lastRenderedPageBreak/>
        <w:t xml:space="preserve">transforming growth factor beta (TGF-β) </w:t>
      </w:r>
      <w:r>
        <w:rPr>
          <w:rFonts w:ascii="Times New Roman" w:hAnsi="Times New Roman" w:cs="Times New Roman"/>
          <w:sz w:val="24"/>
          <w:szCs w:val="24"/>
        </w:rPr>
        <w:fldChar w:fldCharType="begin">
          <w:fldData xml:space="preserve">PEVuZE5vdGU+PENpdGU+PEF1dGhvcj5GZXJydWNjaTwvQXV0aG9yPjxZZWFyPjIwMDY8L1llYXI+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=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PEVuZE5vdGU+PENpdGU+PEF1dGhvcj5GZXJydWNjaTwvQXV0aG9yPjxZZWFyPjIwMDY8L1llYXI+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=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7" w:tooltip="Ferrucci, 2006 #24" w:history="1">
        <w:r>
          <w:rPr>
            <w:rFonts w:ascii="Times New Roman" w:hAnsi="Times New Roman" w:cs="Times New Roman"/>
            <w:noProof/>
            <w:sz w:val="24"/>
            <w:szCs w:val="24"/>
          </w:rPr>
          <w:t>17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AA and its metabolites have also been suggested to be involved in the production of Aβ, which is arguably one of pathogeneses of AD </w:t>
      </w:r>
      <w:r>
        <w:rPr>
          <w:rFonts w:ascii="Times New Roman" w:hAnsi="Times New Roman" w:cs="Times New Roman"/>
          <w:sz w:val="24"/>
          <w:szCs w:val="24"/>
        </w:rPr>
        <w:fldChar w:fldCharType="begin">
          <w:fldData xml:space="preserve">PEVuZE5vdGU+PENpdGU+PEF1dGhvcj5BbXR1bDwvQXV0aG9yPjxZZWFyPjIwMTI8L1llYXI+PFJl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PEVuZE5vdGU+PENpdGU+PEF1dGhvcj5BbXR1bDwvQXV0aG9yPjxZZWFyPjIwMTI8L1llYXI+PFJl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8" w:tooltip="Amtul, 2012 #25" w:history="1">
        <w:r>
          <w:rPr>
            <w:rFonts w:ascii="Times New Roman" w:hAnsi="Times New Roman" w:cs="Times New Roman"/>
            <w:noProof/>
            <w:sz w:val="24"/>
            <w:szCs w:val="24"/>
          </w:rPr>
          <w:t>18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Thus, the decreases in serum </w:t>
      </w:r>
      <w:r w:rsidRPr="001D51D7">
        <w:rPr>
          <w:rFonts w:ascii="Times New Roman" w:hAnsi="Times New Roman" w:cs="Times New Roman" w:hint="eastAsia"/>
          <w:sz w:val="24"/>
          <w:szCs w:val="24"/>
        </w:rPr>
        <w:t>ω</w:t>
      </w:r>
      <w:r w:rsidRPr="001D51D7">
        <w:rPr>
          <w:rFonts w:ascii="Times New Roman" w:hAnsi="Times New Roman" w:cs="Times New Roman"/>
          <w:sz w:val="24"/>
          <w:szCs w:val="24"/>
        </w:rPr>
        <w:t xml:space="preserve">3 and ω6 PUFA levels in the POD group during the perioperative period indicate the existence of deficiencies in </w:t>
      </w:r>
      <w:proofErr w:type="spellStart"/>
      <w:r w:rsidRPr="001D51D7">
        <w:rPr>
          <w:rFonts w:ascii="Times New Roman" w:hAnsi="Times New Roman" w:cs="Times New Roman"/>
          <w:sz w:val="24"/>
          <w:szCs w:val="24"/>
        </w:rPr>
        <w:t>neuroprotective</w:t>
      </w:r>
      <w:proofErr w:type="spellEnd"/>
      <w:r w:rsidRPr="001D51D7">
        <w:rPr>
          <w:rFonts w:ascii="Times New Roman" w:hAnsi="Times New Roman" w:cs="Times New Roman"/>
          <w:sz w:val="24"/>
          <w:szCs w:val="24"/>
        </w:rPr>
        <w:t xml:space="preserve"> elements against responses to the excessive stress and inflammation induced by surgery. Additionally, a study from Europe suggested saturated fatty acids to be inversely associated with the risk of AD </w:t>
      </w:r>
      <w:r>
        <w:rPr>
          <w:rFonts w:ascii="Times New Roman" w:hAnsi="Times New Roman" w:cs="Times New Roman"/>
          <w:sz w:val="24"/>
          <w:szCs w:val="24"/>
        </w:rPr>
        <w:fldChar w:fldCharType="begin">
          <w:fldData xml:space="preserve">PEVuZE5vdGU+PENpdGU+PEF1dGhvcj5Sb25uZW1hYTwvQXV0aG9yPjxZZWFyPjIwMTI8L1llYXI+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PEVuZE5vdGU+PENpdGU+PEF1dGhvcj5Sb25uZW1hYTwvQXV0aG9yPjxZZWFyPjIwMTI8L1llYXI+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9" w:tooltip="Ronnemaa, 2012 #47" w:history="1">
        <w:r>
          <w:rPr>
            <w:rFonts w:ascii="Times New Roman" w:hAnsi="Times New Roman" w:cs="Times New Roman"/>
            <w:noProof/>
            <w:sz w:val="24"/>
            <w:szCs w:val="24"/>
          </w:rPr>
          <w:t>19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Therefore, a decrease in </w:t>
      </w:r>
      <w:proofErr w:type="spellStart"/>
      <w:r w:rsidRPr="001D51D7">
        <w:rPr>
          <w:rFonts w:ascii="Times New Roman" w:hAnsi="Times New Roman" w:cs="Times New Roman"/>
          <w:sz w:val="24"/>
          <w:szCs w:val="24"/>
        </w:rPr>
        <w:t>octadecanoic</w:t>
      </w:r>
      <w:proofErr w:type="spellEnd"/>
      <w:r w:rsidRPr="001D51D7">
        <w:rPr>
          <w:rFonts w:ascii="Times New Roman" w:hAnsi="Times New Roman" w:cs="Times New Roman"/>
          <w:sz w:val="24"/>
          <w:szCs w:val="24"/>
        </w:rPr>
        <w:t xml:space="preserve"> acid after surgery may be associated with neuropsychological abnormalities.</w:t>
      </w:r>
    </w:p>
    <w:p w:rsidR="00AD1D93" w:rsidRPr="001D51D7" w:rsidRDefault="00AD1D93" w:rsidP="00AD1D93">
      <w:pPr>
        <w:adjustRightInd w:val="0"/>
        <w:snapToGrid w:val="0"/>
        <w:spacing w:line="480" w:lineRule="auto"/>
        <w:ind w:firstLineChars="100" w:firstLine="240"/>
        <w:rPr>
          <w:rFonts w:ascii="Times New Roman" w:hAnsi="Times New Roman" w:cs="Times New Roman"/>
          <w:sz w:val="24"/>
          <w:szCs w:val="24"/>
        </w:rPr>
      </w:pPr>
      <w:r w:rsidRPr="001D51D7">
        <w:rPr>
          <w:rFonts w:ascii="Times New Roman" w:hAnsi="Times New Roman" w:cs="Times New Roman"/>
          <w:sz w:val="24"/>
          <w:szCs w:val="24"/>
        </w:rPr>
        <w:t>Increasingly</w:t>
      </w:r>
      <w:r>
        <w:rPr>
          <w:rFonts w:ascii="Times New Roman" w:hAnsi="Times New Roman" w:cs="Times New Roman" w:hint="eastAsia"/>
          <w:sz w:val="24"/>
          <w:szCs w:val="24"/>
        </w:rPr>
        <w:t xml:space="preserve"> </w:t>
      </w:r>
      <w:r w:rsidRPr="001D51D7">
        <w:rPr>
          <w:rFonts w:ascii="Times New Roman" w:hAnsi="Times New Roman" w:cs="Times New Roman"/>
          <w:sz w:val="24"/>
          <w:szCs w:val="24"/>
        </w:rPr>
        <w:t xml:space="preserve">hypoxia has been suggested to promote the pathogenesis of AD by accelerating tau </w:t>
      </w:r>
      <w:proofErr w:type="spellStart"/>
      <w:r w:rsidRPr="001D51D7">
        <w:rPr>
          <w:rFonts w:ascii="Times New Roman" w:hAnsi="Times New Roman" w:cs="Times New Roman"/>
          <w:sz w:val="24"/>
          <w:szCs w:val="24"/>
        </w:rPr>
        <w:t>hyperphosphorylation</w:t>
      </w:r>
      <w:proofErr w:type="spellEnd"/>
      <w:r w:rsidRPr="001D51D7">
        <w:rPr>
          <w:rFonts w:ascii="Times New Roman" w:hAnsi="Times New Roman" w:cs="Times New Roman"/>
          <w:sz w:val="24"/>
          <w:szCs w:val="24"/>
        </w:rPr>
        <w:t xml:space="preserve">, boosting Aβ accumulation, impairing the blood-brain barrier (BBB), and promoting neuronal degeneration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&lt;EndNote&gt;&lt;Cite&gt;&lt;Author&gt;Zhang&lt;/Author&gt;&lt;Year&gt;2010&lt;/Year&gt;&lt;RecNum&gt;27&lt;/RecNum&gt;&lt;DisplayText&gt;[20]&lt;/DisplayText&gt;&lt;record&gt;&lt;rec-number&gt;27&lt;/rec-number&gt;&lt;foreign-keys&gt;&lt;key app="EN" db-id="sa5xr5fx6arrerert94552vvf9pd2pvv5x5d"&gt;27&lt;/key&gt;&lt;/foreign-keys&gt;&lt;ref-type name="Journal Article"&gt;17&lt;/ref-type&gt;&lt;contributors&gt;&lt;authors&gt;&lt;author&gt;Zhang, X.&lt;/author&gt;&lt;author&gt;Le, W.&lt;/author&gt;&lt;/authors&gt;&lt;/contributors&gt;&lt;auth-address&gt;Institute of Neurology, Ruijin Hospital, Jiao Tong University School of Medicine, Shanghai 200025, PR China.&lt;/auth-address&gt;&lt;titles&gt;&lt;title&gt;Pathological role of hypoxia in Alzheimer&amp;apos;s disease&lt;/title&gt;&lt;secondary-title&gt;Exp Neurol&lt;/secondary-title&gt;&lt;alt-title&gt;Experimental neurology&lt;/alt-title&gt;&lt;/titles&gt;&lt;pages&gt;299-303&lt;/pages&gt;&lt;volume&gt;223&lt;/volume&gt;&lt;number&gt;2&lt;/number&gt;&lt;keywords&gt;&lt;keyword&gt;Alzheimer Disease/*complications/*pathology&lt;/keyword&gt;&lt;keyword&gt;Blood-Brain Barrier/pathology&lt;/keyword&gt;&lt;keyword&gt;Brain/*pathology&lt;/keyword&gt;&lt;keyword&gt;Brain Ischemia/complications/pathology&lt;/keyword&gt;&lt;keyword&gt;Humans&lt;/keyword&gt;&lt;keyword&gt;Hypoxia, Brain/*complications/*pathology&lt;/keyword&gt;&lt;/keywords&gt;&lt;dates&gt;&lt;year&gt;2010&lt;/year&gt;&lt;pub-dates&gt;&lt;date&gt;Jun&lt;/date&gt;&lt;/pub-dates&gt;&lt;/dates&gt;&lt;isbn&gt;1090-2430 (Electronic)&amp;#xD;0014-4886 (Linking)&lt;/isbn&gt;&lt;accession-num&gt;19679125&lt;/accession-num&gt;&lt;urls&gt;&lt;related-urls&gt;&lt;url&gt;http://www.ncbi.nlm.nih.gov/pubmed/19679125&lt;/url&gt;&lt;/related-urls&gt;&lt;/urls&gt;&lt;electronic-resource-num&gt;10.1016/j.expneurol.2009.07.033&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0" w:tooltip="Zhang, 2010 #27" w:history="1">
        <w:r>
          <w:rPr>
            <w:rFonts w:ascii="Times New Roman" w:hAnsi="Times New Roman" w:cs="Times New Roman"/>
            <w:noProof/>
            <w:sz w:val="24"/>
            <w:szCs w:val="24"/>
          </w:rPr>
          <w:t>20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In our study, we found that levels of citric acid (intermediate products of the TCA cycle) were significantly reduced in the POD group compared with the NPOD group after surgery. In contrast, levels of products of glycolysis (the main pathway of carbohydrate metabolism), such as mannose, were higher in the POD group compared with the NPOD group before and after surgery. Thus, it could be postulated that an imbalance in cellular oxygen metabolism occurred due to microcirculatory dysfunction in the POD patients. Extended hypoxia ultimately exacerbates hypoxic-induced consequences, including stimulation of mitochondrial complex III to generate large amounts of ROS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&lt;EndNote&gt;&lt;Cite&gt;&lt;Author&gt;Carvalho&lt;/Author&gt;&lt;Year&gt;2009&lt;/Year&gt;&lt;RecNum&gt;28&lt;/RecNum&gt;&lt;DisplayText&gt;[21]&lt;/DisplayText&gt;&lt;record&gt;&lt;rec-number&gt;28&lt;/rec-number&gt;&lt;foreign-keys&gt;&lt;key app="EN" db-id="sa5xr5fx6arrerert94552vvf9pd2pvv5x5d"&gt;28&lt;/key&gt;&lt;/foreign-keys&gt;&lt;ref-type name="Journal Article"&gt;17&lt;/ref-type&gt;&lt;contributors&gt;&lt;authors&gt;&lt;author&gt;Carvalho, C.&lt;/author&gt;&lt;author&gt;Correia, S. C.&lt;/author&gt;&lt;author&gt;Santos, R. X.&lt;/author&gt;&lt;author&gt;Cardoso, S.&lt;/author&gt;&lt;author&gt;Moreira, P. I.&lt;/author&gt;&lt;author&gt;Clark, T. A.&lt;/author&gt;&lt;author&gt;Zhu, X.&lt;/author&gt;&lt;author&gt;Smith, M. A.&lt;/author&gt;&lt;author&gt;Perry, G.&lt;/author&gt;&lt;/authors&gt;&lt;/contributors&gt;&lt;auth-address&gt;Center for Neuroscience and Cell Biology, University of Coimbra, Coimbra, Portugal.&lt;/auth-address&gt;&lt;titles&gt;&lt;title&gt;Role of mitochondrial-mediated signaling pathways in Alzheimer disease and hypoxia&lt;/title&gt;&lt;secondary-title&gt;J Bioenerg Biomembr&lt;/secondary-title&gt;&lt;alt-title&gt;Journal of bioenergetics and biomembranes&lt;/alt-title&gt;&lt;/titles&gt;&lt;pages&gt;433-40&lt;/pages&gt;&lt;volume&gt;41&lt;/volume&gt;&lt;number&gt;5&lt;/number&gt;&lt;keywords&gt;&lt;keyword&gt;Alzheimer Disease/etiology/*metabolism/pathology&lt;/keyword&gt;&lt;keyword&gt;Anoxia/*metabolism&lt;/keyword&gt;&lt;keyword&gt;Brain/metabolism/pathology&lt;/keyword&gt;&lt;keyword&gt;Cell Death&lt;/keyword&gt;&lt;keyword&gt;Humans&lt;/keyword&gt;&lt;keyword&gt;Mitochondria/*metabolism&lt;/keyword&gt;&lt;keyword&gt;Models, Neurological&lt;/keyword&gt;&lt;keyword&gt;Nerve Degeneration/etiology/metabolism&lt;/keyword&gt;&lt;keyword&gt;Reactive Oxygen Species/metabolism&lt;/keyword&gt;&lt;keyword&gt;Signal Transduction&lt;/keyword&gt;&lt;/keywords&gt;&lt;dates&gt;&lt;year&gt;2009&lt;/year&gt;&lt;pub-dates&gt;&lt;date&gt;Oct&lt;/date&gt;&lt;/pub-dates&gt;&lt;/dates&gt;&lt;isbn&gt;1573-6881 (Electronic)&amp;#xD;0145-479X (Linking)&lt;/isbn&gt;&lt;accession-num&gt;19830532&lt;/accession-num&gt;&lt;urls&gt;&lt;related-urls&gt;&lt;url&gt;http://www.ncbi.nlm.nih.gov/pubmed/19830532&lt;/url&gt;&lt;/related-urls&gt;&lt;/urls&gt;&lt;custom2&gt;4054815&lt;/custom2&gt;&lt;electronic-resource-num&gt;10.1007/s10863-009-9247-1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1" w:tooltip="Carvalho, 2009 #28" w:history="1">
        <w:r>
          <w:rPr>
            <w:rFonts w:ascii="Times New Roman" w:hAnsi="Times New Roman" w:cs="Times New Roman"/>
            <w:noProof/>
            <w:sz w:val="24"/>
            <w:szCs w:val="24"/>
          </w:rPr>
          <w:t>21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In addition, the decreased formation of 5-oxoproline from glutathione (GSH) within the POD patients indirectly indicated GSH depletion, reflecting hypoxia-induced oxidative stress (Supplementary Table 3). Furthermore, it has been shown that nucleic acid metabolic disturbances may be involved in the development of AD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&lt;EndNote&gt;&lt;Cite&gt;&lt;Author&gt;Wang&lt;/Author&gt;&lt;Year&gt;2005&lt;/Year&gt;&lt;RecNum&gt;30&lt;/RecNum&gt;&lt;DisplayText&gt;[22]&lt;/DisplayText&gt;&lt;record&gt;&lt;rec-number&gt;30&lt;/rec-number&gt;&lt;foreign-keys&gt;&lt;key app="EN" db-id="sa5xr5fx6arrerert94552vvf9pd2pvv5x5d"&gt;30&lt;/key&gt;&lt;/foreign-keys&gt;&lt;ref-type name="Journal Article"&gt;17&lt;/ref-type&gt;&lt;contributors&gt;&lt;authors&gt;&lt;author&gt;Wang, J.&lt;/author&gt;&lt;author&gt;Xiong, S.&lt;/author&gt;&lt;author&gt;Xie, C.&lt;/author&gt;&lt;author&gt;Markesbery, W. R.&lt;/author&gt;&lt;author&gt;Lovell, M. A.&lt;/author&gt;&lt;/authors&gt;&lt;/contributors&gt;&lt;auth-address&gt;Department of Chemistry, University of Kentucky, Lexington, 40536, USA.&lt;/auth-address&gt;&lt;titles&gt;&lt;title&gt;Increased oxidative damage in nuclear and mitochondrial DNA in Alzheimer&amp;apos;s disease&lt;/title&gt;&lt;secondary-title&gt;J Neurochem&lt;/secondary-title&gt;&lt;alt-title&gt;Journal of neurochemistry&lt;/alt-title&gt;&lt;/titles&gt;&lt;pages&gt;953-62&lt;/pages&gt;&lt;volume&gt;93&lt;/volume&gt;&lt;number&gt;4&lt;/number&gt;&lt;keywords&gt;&lt;keyword&gt;Aged&lt;/keyword&gt;&lt;keyword&gt;Alzheimer Disease/genetics/*metabolism&lt;/keyword&gt;&lt;keyword&gt;Analysis of Variance&lt;/keyword&gt;&lt;keyword&gt;Blotting, Western/methods&lt;/keyword&gt;&lt;keyword&gt;Brain/anatomy &amp;amp; histology/metabolism&lt;/keyword&gt;&lt;keyword&gt;Case-Control Studies&lt;/keyword&gt;&lt;keyword&gt;Cell Nucleus/*metabolism&lt;/keyword&gt;&lt;keyword&gt;DNA Damage/physiology&lt;/keyword&gt;&lt;keyword&gt;DNA, Mitochondrial/*metabolism/ultrastructure&lt;/keyword&gt;&lt;keyword&gt;Female&lt;/keyword&gt;&lt;keyword&gt;Gas Chromatography-Mass Spectrometry/methods&lt;/keyword&gt;&lt;keyword&gt;Humans&lt;/keyword&gt;&lt;keyword&gt;Male&lt;/keyword&gt;&lt;keyword&gt;Microscopy, Electron, Transmission/methods&lt;/keyword&gt;&lt;keyword&gt;Oxidation-Reduction&lt;/keyword&gt;&lt;keyword&gt;Oxidative Stress/*physiology&lt;/keyword&gt;&lt;keyword&gt;RNA, Messenger/biosynthesis&lt;/keyword&gt;&lt;keyword&gt;Reverse Transcriptase Polymerase Chain Reaction/methods&lt;/keyword&gt;&lt;/keywords&gt;&lt;dates&gt;&lt;year&gt;2005&lt;/year&gt;&lt;pub-dates&gt;&lt;date&gt;May&lt;/date&gt;&lt;/pub-dates&gt;&lt;/dates&gt;&lt;isbn&gt;0022-3042 (Print)&amp;#xD;0022-3042 (Linking)&lt;/isbn&gt;&lt;accession-num&gt;15857398&lt;/accession-num&gt;&lt;urls&gt;&lt;related-urls&gt;&lt;url&gt;http://www.ncbi.nlm.nih.gov/pubmed/15857398&lt;/url&gt;&lt;/related-urls&gt;&lt;/urls&gt;&lt;electronic-resource-num&gt;10.1111/j.1471-4159.2005.03053.x&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2" w:tooltip="Wang, 2005 #30" w:history="1">
        <w:r>
          <w:rPr>
            <w:rFonts w:ascii="Times New Roman" w:hAnsi="Times New Roman" w:cs="Times New Roman"/>
            <w:noProof/>
            <w:sz w:val="24"/>
            <w:szCs w:val="24"/>
          </w:rPr>
          <w:t>22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As found in our study, levels of several metabolites (arginine </w:t>
      </w:r>
      <w:r w:rsidRPr="001D51D7">
        <w:rPr>
          <w:rFonts w:ascii="Times New Roman" w:hAnsi="Times New Roman" w:cs="Times New Roman"/>
          <w:sz w:val="24"/>
          <w:szCs w:val="24"/>
        </w:rPr>
        <w:lastRenderedPageBreak/>
        <w:t xml:space="preserve">and uric acid) involved in purine metabolism were altered in the serum samples from patients who developed POD, partially reflecting extensive oxidative damage in the cell nucleus and mitochondrial DNA. Additionally, </w:t>
      </w:r>
      <w:proofErr w:type="spellStart"/>
      <w:r w:rsidRPr="001D51D7">
        <w:rPr>
          <w:rFonts w:ascii="Times New Roman" w:hAnsi="Times New Roman" w:cs="Times New Roman"/>
          <w:sz w:val="24"/>
          <w:szCs w:val="24"/>
        </w:rPr>
        <w:t>taurine</w:t>
      </w:r>
      <w:proofErr w:type="spellEnd"/>
      <w:r w:rsidRPr="001D51D7">
        <w:rPr>
          <w:rFonts w:ascii="Times New Roman" w:hAnsi="Times New Roman" w:cs="Times New Roman"/>
          <w:sz w:val="24"/>
          <w:szCs w:val="24"/>
        </w:rPr>
        <w:t xml:space="preserve"> may cross the blood brain barrier and act as an inhibitory </w:t>
      </w:r>
      <w:proofErr w:type="spellStart"/>
      <w:r w:rsidRPr="001D51D7">
        <w:rPr>
          <w:rFonts w:ascii="Times New Roman" w:hAnsi="Times New Roman" w:cs="Times New Roman"/>
          <w:sz w:val="24"/>
          <w:szCs w:val="24"/>
        </w:rPr>
        <w:t>neuromodulatory</w:t>
      </w:r>
      <w:proofErr w:type="spellEnd"/>
      <w:r w:rsidRPr="001D51D7">
        <w:rPr>
          <w:rFonts w:ascii="Times New Roman" w:hAnsi="Times New Roman" w:cs="Times New Roman"/>
          <w:sz w:val="24"/>
          <w:szCs w:val="24"/>
        </w:rPr>
        <w:t xml:space="preserve"> amino acid in the central nervous system; it also functions as a </w:t>
      </w:r>
      <w:proofErr w:type="spellStart"/>
      <w:r w:rsidRPr="001D51D7">
        <w:rPr>
          <w:rFonts w:ascii="Times New Roman" w:hAnsi="Times New Roman" w:cs="Times New Roman"/>
          <w:sz w:val="24"/>
          <w:szCs w:val="24"/>
        </w:rPr>
        <w:t>neuroprotective</w:t>
      </w:r>
      <w:proofErr w:type="spellEnd"/>
      <w:r w:rsidRPr="001D51D7">
        <w:rPr>
          <w:rFonts w:ascii="Times New Roman" w:hAnsi="Times New Roman" w:cs="Times New Roman"/>
          <w:sz w:val="24"/>
          <w:szCs w:val="24"/>
        </w:rPr>
        <w:t xml:space="preserve"> agent and has a role in neural development and neurogenesis </w:t>
      </w:r>
      <w:r>
        <w:rPr>
          <w:rFonts w:ascii="Times New Roman" w:hAnsi="Times New Roman" w:cs="Times New Roman"/>
          <w:sz w:val="24"/>
          <w:szCs w:val="24"/>
        </w:rPr>
        <w:fldChar w:fldCharType="begin">
          <w:fldData xml:space="preserve">PEVuZE5vdGU+PENpdGU+PEF1dGhvcj5PJmFwb3M7RG9ubmVsbDwvQXV0aG9yPjxZZWFyPjIwMTY8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PEVuZE5vdGU+PENpdGU+PEF1dGhvcj5PJmFwb3M7RG9ubmVsbDwvQXV0aG9yPjxZZWFyPjIwMTY8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3" w:tooltip="O'Donnell, 2016 #57" w:history="1">
        <w:r>
          <w:rPr>
            <w:rFonts w:ascii="Times New Roman" w:hAnsi="Times New Roman" w:cs="Times New Roman"/>
            <w:noProof/>
            <w:sz w:val="24"/>
            <w:szCs w:val="24"/>
          </w:rPr>
          <w:t>23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Vitamin E is an important antioxidant that primarily protects cells from damage associated with oxidative stress caused by free radicals, and high plasma vitamin E levels have been repeatedly associated with better cognitive performance </w:t>
      </w:r>
      <w:r>
        <w:rPr>
          <w:rFonts w:ascii="Times New Roman" w:hAnsi="Times New Roman" w:cs="Times New Roman"/>
          <w:sz w:val="24"/>
          <w:szCs w:val="24"/>
        </w:rPr>
        <w:fldChar w:fldCharType="begin">
          <w:fldData xml:space="preserve">PEVuZE5vdGU+PENpdGU+PEF1dGhvcj5MYSBGYXRhPC9BdXRob3I+PFllYXI+MjAxNDwvWWVhcj48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PEVuZE5vdGU+PENpdGU+PEF1dGhvcj5MYSBGYXRhPC9BdXRob3I+PFllYXI+MjAxNDwvWWVhcj48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4" w:tooltip="La Fata, 2014 #46" w:history="1">
        <w:r>
          <w:rPr>
            <w:rFonts w:ascii="Times New Roman" w:hAnsi="Times New Roman" w:cs="Times New Roman"/>
            <w:noProof/>
            <w:sz w:val="24"/>
            <w:szCs w:val="24"/>
          </w:rPr>
          <w:t>24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Therefore, the decreases in </w:t>
      </w:r>
      <w:proofErr w:type="spellStart"/>
      <w:r w:rsidRPr="001D51D7">
        <w:rPr>
          <w:rFonts w:ascii="Times New Roman" w:hAnsi="Times New Roman" w:cs="Times New Roman"/>
          <w:sz w:val="24"/>
          <w:szCs w:val="24"/>
        </w:rPr>
        <w:t>taurine</w:t>
      </w:r>
      <w:proofErr w:type="spellEnd"/>
      <w:r w:rsidRPr="001D51D7">
        <w:rPr>
          <w:rFonts w:ascii="Times New Roman" w:hAnsi="Times New Roman" w:cs="Times New Roman"/>
          <w:sz w:val="24"/>
          <w:szCs w:val="24"/>
        </w:rPr>
        <w:t xml:space="preserve"> and vitamin E in the POD group may have led to neurobehavioral and psychotic disorders.</w:t>
      </w:r>
    </w:p>
    <w:p w:rsidR="00AD1D93" w:rsidRPr="001D51D7" w:rsidRDefault="00AD1D93" w:rsidP="00AD1D93">
      <w:pPr>
        <w:adjustRightInd w:val="0"/>
        <w:snapToGrid w:val="0"/>
        <w:spacing w:line="480" w:lineRule="auto"/>
        <w:ind w:firstLineChars="100" w:firstLine="240"/>
        <w:rPr>
          <w:rFonts w:ascii="Times New Roman" w:hAnsi="Times New Roman" w:cs="Times New Roman"/>
          <w:sz w:val="24"/>
          <w:szCs w:val="24"/>
        </w:rPr>
      </w:pPr>
      <w:r w:rsidRPr="001D51D7">
        <w:rPr>
          <w:rFonts w:ascii="Times New Roman" w:hAnsi="Times New Roman" w:cs="Times New Roman"/>
          <w:sz w:val="24"/>
          <w:szCs w:val="24"/>
        </w:rPr>
        <w:t>In the POD group, some AAA metabolites, such as phenylalanine and tyrosine, were increased before or after (phenylalanine) hemi-</w:t>
      </w:r>
      <w:proofErr w:type="spellStart"/>
      <w:r w:rsidRPr="001D51D7">
        <w:rPr>
          <w:rFonts w:ascii="Times New Roman" w:hAnsi="Times New Roman" w:cs="Times New Roman"/>
          <w:sz w:val="24"/>
          <w:szCs w:val="24"/>
        </w:rPr>
        <w:t>arthroplasty</w:t>
      </w:r>
      <w:proofErr w:type="spellEnd"/>
      <w:r w:rsidRPr="001D51D7">
        <w:rPr>
          <w:rFonts w:ascii="Times New Roman" w:hAnsi="Times New Roman" w:cs="Times New Roman"/>
          <w:sz w:val="24"/>
          <w:szCs w:val="24"/>
        </w:rPr>
        <w:t xml:space="preserve">. Similarly, some BCAAs, such as </w:t>
      </w:r>
      <w:proofErr w:type="spellStart"/>
      <w:r w:rsidRPr="001D51D7">
        <w:rPr>
          <w:rFonts w:ascii="Times New Roman" w:hAnsi="Times New Roman" w:cs="Times New Roman"/>
          <w:sz w:val="24"/>
          <w:szCs w:val="24"/>
        </w:rPr>
        <w:t>leucine</w:t>
      </w:r>
      <w:proofErr w:type="spellEnd"/>
      <w:r w:rsidRPr="001D51D7">
        <w:rPr>
          <w:rFonts w:ascii="Times New Roman" w:hAnsi="Times New Roman" w:cs="Times New Roman"/>
          <w:sz w:val="24"/>
          <w:szCs w:val="24"/>
        </w:rPr>
        <w:t>, were only increased before hemi-</w:t>
      </w:r>
      <w:proofErr w:type="spellStart"/>
      <w:r w:rsidRPr="001D51D7">
        <w:rPr>
          <w:rFonts w:ascii="Times New Roman" w:hAnsi="Times New Roman" w:cs="Times New Roman"/>
          <w:sz w:val="24"/>
          <w:szCs w:val="24"/>
        </w:rPr>
        <w:t>arthroplasty</w:t>
      </w:r>
      <w:proofErr w:type="spellEnd"/>
      <w:r w:rsidRPr="001D51D7">
        <w:rPr>
          <w:rFonts w:ascii="Times New Roman" w:hAnsi="Times New Roman" w:cs="Times New Roman"/>
          <w:sz w:val="24"/>
          <w:szCs w:val="24"/>
        </w:rPr>
        <w:t xml:space="preserve">. Disturbances in a wide variety of neurotransmitter systems that occur with increasing age may be the major pathological cause of POD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&lt;EndNote&gt;&lt;Cite&gt;&lt;Author&gt;Silverstein&lt;/Author&gt;&lt;Year&gt;2007&lt;/Year&gt;&lt;RecNum&gt;34&lt;/RecNum&gt;&lt;DisplayText&gt;[25]&lt;/DisplayText&gt;&lt;record&gt;&lt;rec-number&gt;34&lt;/rec-number&gt;&lt;foreign-keys&gt;&lt;key app="EN" db-id="sa5xr5fx6arrerert94552vvf9pd2pvv5x5d"&gt;34&lt;/key&gt;&lt;/foreign-keys&gt;&lt;ref-type name="Journal Article"&gt;17&lt;/ref-type&gt;&lt;contributors&gt;&lt;authors&gt;&lt;author&gt;Silverstein, J. H.&lt;/author&gt;&lt;author&gt;Timberger, M.&lt;/author&gt;&lt;author&gt;Reich, D. L.&lt;/author&gt;&lt;author&gt;Uysal, S.&lt;/author&gt;&lt;/authors&gt;&lt;/contributors&gt;&lt;auth-address&gt;Department of Anesthesiology, The Mount Sinai School of Medicine, New York, New York 10027-6574, USA. jeff.silverstein@mssm.edu&lt;/auth-address&gt;&lt;titles&gt;&lt;title&gt;Central nervous system dysfunction after noncardiac surgery and anesthesia in the elderly&lt;/title&gt;&lt;secondary-title&gt;Anesthesiology&lt;/secondary-title&gt;&lt;alt-title&gt;Anesthesiology&lt;/alt-title&gt;&lt;/titles&gt;&lt;pages&gt;622-8&lt;/pages&gt;&lt;volume&gt;106&lt;/volume&gt;&lt;number&gt;3&lt;/number&gt;&lt;keywords&gt;&lt;keyword&gt;Adult&lt;/keyword&gt;&lt;keyword&gt;Age Factors&lt;/keyword&gt;&lt;keyword&gt;Aged&lt;/keyword&gt;&lt;keyword&gt;Aged, 80 and over&lt;/keyword&gt;&lt;keyword&gt;Anesthesia/*adverse effects&lt;/keyword&gt;&lt;keyword&gt;Central Nervous System Diseases/*etiology/prevention &amp;amp; control/therapy&lt;/keyword&gt;&lt;keyword&gt;Cognition Disorders/*etiology/prevention &amp;amp; control/therapy&lt;/keyword&gt;&lt;keyword&gt;Delirium/*etiology/prevention &amp;amp; control/therapy&lt;/keyword&gt;&lt;keyword&gt;Humans&lt;/keyword&gt;&lt;keyword&gt;Middle Aged&lt;/keyword&gt;&lt;keyword&gt;Postoperative Complications/*etiology/prevention &amp;amp; control/therapy&lt;/keyword&gt;&lt;keyword&gt;Risk Factors&lt;/keyword&gt;&lt;keyword&gt;Surgical Procedures, Operative/*adverse effects&lt;/keyword&gt;&lt;/keywords&gt;&lt;dates&gt;&lt;year&gt;2007&lt;/year&gt;&lt;pub-dates&gt;&lt;date&gt;Mar&lt;/date&gt;&lt;/pub-dates&gt;&lt;/dates&gt;&lt;isbn&gt;0003-3022 (Print)&amp;#xD;0003-3022 (Linking)&lt;/isbn&gt;&lt;accession-num&gt;17325520&lt;/accession-num&gt;&lt;urls&gt;&lt;related-urls&gt;&lt;url&gt;http://www.ncbi.nlm.nih.gov/pubmed/17325520&lt;/url&gt;&lt;/related-urls&gt;&lt;/urls&gt;&lt;/record&gt;&lt;/Cite&gt;&lt;/EndNote&gt;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5" w:tooltip="Silverstein, 2007 #34" w:history="1">
        <w:r>
          <w:rPr>
            <w:rFonts w:ascii="Times New Roman" w:hAnsi="Times New Roman" w:cs="Times New Roman"/>
            <w:noProof/>
            <w:sz w:val="24"/>
            <w:szCs w:val="24"/>
          </w:rPr>
          <w:t>25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and hemi-</w:t>
      </w:r>
      <w:proofErr w:type="spellStart"/>
      <w:r w:rsidRPr="001D51D7">
        <w:rPr>
          <w:rFonts w:ascii="Times New Roman" w:hAnsi="Times New Roman" w:cs="Times New Roman"/>
          <w:sz w:val="24"/>
          <w:szCs w:val="24"/>
        </w:rPr>
        <w:t>arthroplasty</w:t>
      </w:r>
      <w:proofErr w:type="spellEnd"/>
      <w:r w:rsidRPr="001D51D7">
        <w:rPr>
          <w:rFonts w:ascii="Times New Roman" w:hAnsi="Times New Roman" w:cs="Times New Roman"/>
          <w:sz w:val="24"/>
          <w:szCs w:val="24"/>
        </w:rPr>
        <w:t xml:space="preserve"> and </w:t>
      </w:r>
      <w:proofErr w:type="spellStart"/>
      <w:r w:rsidRPr="001D51D7">
        <w:rPr>
          <w:rFonts w:ascii="Times New Roman" w:hAnsi="Times New Roman" w:cs="Times New Roman"/>
          <w:sz w:val="24"/>
          <w:szCs w:val="24"/>
        </w:rPr>
        <w:t>anaesthesia</w:t>
      </w:r>
      <w:proofErr w:type="spellEnd"/>
      <w:r w:rsidRPr="001D51D7">
        <w:rPr>
          <w:rFonts w:ascii="Times New Roman" w:hAnsi="Times New Roman" w:cs="Times New Roman"/>
          <w:sz w:val="24"/>
          <w:szCs w:val="24"/>
        </w:rPr>
        <w:t xml:space="preserve"> resulted in a decrease in tryptophan in the two groups (Supplementary Tables 3 and 4). Some AAA metabolites themselves, such as phenylalanine, tyrosine and tryptophan, act as neurotransmitters. The large neutral amino acid transporter 1 (LAT1) facilitates BCAA transfer from the circulatory system into the cerebrum through the BBB, and LAT1 also transports AAAs. As the transport capacity of LAT1 is maximal at physiological amino acid levels, transport of BCAAs competes with that of AAA. Consequently, an increase in blood BCAA levels indicates decreased transport of AAAs into the cerebrum. Tyrosine is the precursor for norepinephrine and dopamine, and tryptophan is the precursor for serotonin. Therefore, the generation of vital neurotransmitters may be disrupted by alterations in blood amino acid concentrations. </w:t>
      </w:r>
      <w:r w:rsidRPr="001D51D7">
        <w:rPr>
          <w:rFonts w:ascii="Times New Roman" w:hAnsi="Times New Roman" w:cs="Times New Roman"/>
          <w:sz w:val="24"/>
          <w:szCs w:val="24"/>
        </w:rPr>
        <w:lastRenderedPageBreak/>
        <w:t xml:space="preserve">Furthermore, disrupted production of important neurotransmitters, such as serotonin, affects various neurobehavioral functions, including consciousness and mood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&lt;EndNote&gt;&lt;Cite&gt;&lt;Author&gt;Estil&lt;/Author&gt;&lt;Year&gt;1995&lt;/Year&gt;&lt;RecNum&gt;43&lt;/RecNum&gt;&lt;DisplayText&gt;[26]&lt;/DisplayText&gt;&lt;record&gt;&lt;rec-number&gt;43&lt;/rec-number&gt;&lt;foreign-keys&gt;&lt;key app="EN" db-id="sa5xr5fx6arrerert94552vvf9pd2pvv5x5d"&gt;43&lt;/key&gt;&lt;/foreign-keys&gt;&lt;ref-type name="Journal Article"&gt;17&lt;/ref-type&gt;&lt;contributors&gt;&lt;authors&gt;&lt;author&gt;Estil, S.&lt;/author&gt;&lt;author&gt;Haaskjold, E.&lt;/author&gt;&lt;author&gt;Bjerknes, R.&lt;/author&gt;&lt;author&gt;Refsum, S. B.&lt;/author&gt;&lt;/authors&gt;&lt;/contributors&gt;&lt;auth-address&gt;Department of Ophthalmology, National Hospital, Oslo, Norway.&lt;/auth-address&gt;&lt;titles&gt;&lt;title&gt;Early cell kinetic effects of some drugs on the rat corneal and conjunctival epithelia&lt;/title&gt;&lt;secondary-title&gt;Acta Ophthalmol Scand&lt;/secondary-title&gt;&lt;alt-title&gt;Acta ophthalmologica Scandinavica&lt;/alt-title&gt;&lt;/titles&gt;&lt;pages&gt;496-500&lt;/pages&gt;&lt;volume&gt;73&lt;/volume&gt;&lt;number&gt;6&lt;/number&gt;&lt;keywords&gt;&lt;keyword&gt;Animals&lt;/keyword&gt;&lt;keyword&gt;Cell Cycle&lt;/keyword&gt;&lt;keyword&gt;Conjunctiva/cytology/*drug effects&lt;/keyword&gt;&lt;keyword&gt;Cornea/cytology/*drug effects&lt;/keyword&gt;&lt;keyword&gt;Epinephrine/analogs &amp;amp; derivatives/*pharmacology&lt;/keyword&gt;&lt;keyword&gt;Epithelial Cells&lt;/keyword&gt;&lt;keyword&gt;Epithelium/drug effects&lt;/keyword&gt;&lt;keyword&gt;Female&lt;/keyword&gt;&lt;keyword&gt;Mitosis/drug effects&lt;/keyword&gt;&lt;keyword&gt;Rats&lt;/keyword&gt;&lt;keyword&gt;Rats, Wistar&lt;/keyword&gt;&lt;keyword&gt;Thymidine&lt;/keyword&gt;&lt;/keywords&gt;&lt;dates&gt;&lt;year&gt;1995&lt;/year&gt;&lt;pub-dates&gt;&lt;date&gt;Dec&lt;/date&gt;&lt;/pub-dates&gt;&lt;/dates&gt;&lt;isbn&gt;1395-3907 (Print)&amp;#xD;1395-3907 (Linking)&lt;/isbn&gt;&lt;accession-num&gt;9019371&lt;/accession-num&gt;&lt;urls&gt;&lt;related-urls&gt;&lt;url&gt;http://www.ncbi.nlm.nih.gov/pubmed/9019371&lt;/url&gt;&lt;/related-urls&gt;&lt;/urls&gt;&lt;/record&gt;&lt;/Cite&gt;&lt;/EndNote&gt;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6" w:tooltip="Estil, 1995 #43" w:history="1">
        <w:r>
          <w:rPr>
            <w:rFonts w:ascii="Times New Roman" w:hAnsi="Times New Roman" w:cs="Times New Roman"/>
            <w:noProof/>
            <w:sz w:val="24"/>
            <w:szCs w:val="24"/>
          </w:rPr>
          <w:t>26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1D51D7">
        <w:rPr>
          <w:rFonts w:ascii="Times New Roman" w:hAnsi="Times New Roman" w:cs="Times New Roman"/>
          <w:sz w:val="24"/>
          <w:szCs w:val="24"/>
        </w:rPr>
        <w:t xml:space="preserve">. </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 w:val="28"/>
          <w:szCs w:val="28"/>
        </w:rPr>
      </w:pPr>
      <w:r w:rsidRPr="00C0604B">
        <w:rPr>
          <w:rFonts w:ascii="Arial" w:hAnsi="Arial" w:cs="Arial"/>
          <w:b/>
          <w:sz w:val="28"/>
          <w:szCs w:val="28"/>
        </w:rPr>
        <w:t>Conclusion</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 xml:space="preserve">Using metabolomics analysis, multiple metabolic pathway alterations were observed in POD patients during the perioperative period, including deficiencies in ω3 and ω6 fatty acids, disruptions in energy metabolism and oxidative stress, and imbalances in AAA and BCAA metabolism. These metabolic abnormalities likely increase the “fragility” of the ageing brain, with less </w:t>
      </w:r>
      <w:proofErr w:type="spellStart"/>
      <w:r w:rsidRPr="001D51D7">
        <w:rPr>
          <w:rFonts w:ascii="Times New Roman" w:hAnsi="Times New Roman" w:cs="Times New Roman"/>
          <w:sz w:val="24"/>
          <w:szCs w:val="24"/>
        </w:rPr>
        <w:t>neuroprotective</w:t>
      </w:r>
      <w:proofErr w:type="spellEnd"/>
      <w:r w:rsidRPr="001D51D7">
        <w:rPr>
          <w:rFonts w:ascii="Times New Roman" w:hAnsi="Times New Roman" w:cs="Times New Roman"/>
          <w:sz w:val="24"/>
          <w:szCs w:val="24"/>
        </w:rPr>
        <w:t xml:space="preserve"> capacity. Consequently, all these abnormalities may at least in part contribute to POD development. </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 w:val="28"/>
          <w:szCs w:val="28"/>
        </w:rPr>
      </w:pPr>
      <w:r w:rsidRPr="00C0604B">
        <w:rPr>
          <w:rFonts w:ascii="Arial" w:hAnsi="Arial" w:cs="Arial"/>
          <w:b/>
          <w:sz w:val="28"/>
          <w:szCs w:val="28"/>
        </w:rPr>
        <w:t>Limitations and strengths</w:t>
      </w:r>
    </w:p>
    <w:p w:rsidR="00AD1D93"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To reduce interferences of age span, diet and endocrine metabolic abnormalities on metabolomics, we included patients younger than 80 years on a unified diet from admission and excluded those with a history of an endocrine or metabolic disorder. Although the metabolic alterations described herein and the exact underlying mechanisms with regard to POD are far from clear and must be validated in future studies, strategies aiming to correct these metabolic disorders, such as supplementation of omega fatty acids, inhibition of oxidative stress and reduction of AAA production, would improve surgical long-term outcomes and may provide new insight into the development of preventive treatments for postoperative delirium.</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 w:val="24"/>
          <w:szCs w:val="24"/>
        </w:rPr>
      </w:pPr>
      <w:r w:rsidRPr="00C0604B">
        <w:rPr>
          <w:rFonts w:ascii="Arial" w:hAnsi="Arial" w:cs="Arial"/>
          <w:b/>
          <w:sz w:val="24"/>
          <w:szCs w:val="24"/>
        </w:rPr>
        <w:t>Key points</w:t>
      </w:r>
    </w:p>
    <w:p w:rsidR="00AD1D93" w:rsidRPr="00526B4F" w:rsidRDefault="00F478D6" w:rsidP="00526B4F">
      <w:pPr>
        <w:pStyle w:val="a5"/>
        <w:numPr>
          <w:ilvl w:val="0"/>
          <w:numId w:val="4"/>
        </w:numPr>
        <w:adjustRightInd w:val="0"/>
        <w:snapToGrid w:val="0"/>
        <w:spacing w:line="360" w:lineRule="auto"/>
        <w:ind w:firstLineChars="0"/>
        <w:rPr>
          <w:rFonts w:ascii="Times New Roman" w:hAnsi="Times New Roman" w:cs="Times New Roman"/>
          <w:sz w:val="24"/>
          <w:szCs w:val="24"/>
        </w:rPr>
      </w:pPr>
      <w:r w:rsidRPr="00526B4F">
        <w:rPr>
          <w:rFonts w:ascii="Times New Roman" w:hAnsi="Times New Roman" w:cs="Times New Roman"/>
          <w:bCs/>
          <w:sz w:val="24"/>
          <w:szCs w:val="24"/>
        </w:rPr>
        <w:t>We employed the metabolomics platform to examine the metabolic alterations associated with postoperative delirium in elderly.</w:t>
      </w:r>
    </w:p>
    <w:p w:rsidR="00AD1D93" w:rsidRPr="00526B4F" w:rsidRDefault="00F478D6" w:rsidP="00526B4F">
      <w:pPr>
        <w:pStyle w:val="a5"/>
        <w:numPr>
          <w:ilvl w:val="0"/>
          <w:numId w:val="4"/>
        </w:numPr>
        <w:adjustRightInd w:val="0"/>
        <w:snapToGrid w:val="0"/>
        <w:spacing w:line="360" w:lineRule="auto"/>
        <w:ind w:firstLineChars="0"/>
        <w:rPr>
          <w:rFonts w:ascii="Times New Roman" w:hAnsi="Times New Roman" w:cs="Times New Roman"/>
          <w:sz w:val="24"/>
          <w:szCs w:val="24"/>
        </w:rPr>
      </w:pPr>
      <w:r w:rsidRPr="00526B4F">
        <w:rPr>
          <w:rStyle w:val="a6"/>
          <w:rFonts w:ascii="Times New Roman" w:hAnsi="Times New Roman" w:cs="Times New Roman"/>
          <w:b w:val="0"/>
          <w:sz w:val="24"/>
          <w:szCs w:val="24"/>
        </w:rPr>
        <w:lastRenderedPageBreak/>
        <w:t>Metabol</w:t>
      </w:r>
      <w:r w:rsidR="00644E58" w:rsidRPr="00526B4F">
        <w:rPr>
          <w:rStyle w:val="a6"/>
          <w:rFonts w:ascii="Times New Roman" w:hAnsi="Times New Roman" w:cs="Times New Roman"/>
          <w:b w:val="0"/>
          <w:sz w:val="24"/>
          <w:szCs w:val="24"/>
        </w:rPr>
        <w:t>ic</w:t>
      </w:r>
      <w:r w:rsidRPr="00526B4F">
        <w:rPr>
          <w:rStyle w:val="a6"/>
          <w:rFonts w:ascii="Times New Roman" w:hAnsi="Times New Roman" w:cs="Times New Roman"/>
          <w:b w:val="0"/>
          <w:sz w:val="24"/>
          <w:szCs w:val="24"/>
        </w:rPr>
        <w:t xml:space="preserve"> alterations include deficiencies of ω3 and ω6 fatty acids, abnormal oxygen, </w:t>
      </w:r>
      <w:r w:rsidR="003F7BA1" w:rsidRPr="00526B4F">
        <w:rPr>
          <w:rStyle w:val="a6"/>
          <w:rFonts w:ascii="Times New Roman" w:hAnsi="Times New Roman" w:cs="Times New Roman"/>
          <w:b w:val="0"/>
          <w:sz w:val="24"/>
          <w:szCs w:val="24"/>
        </w:rPr>
        <w:t>and amino</w:t>
      </w:r>
      <w:r w:rsidRPr="00526B4F">
        <w:rPr>
          <w:rStyle w:val="a6"/>
          <w:rFonts w:ascii="Times New Roman" w:hAnsi="Times New Roman" w:cs="Times New Roman"/>
          <w:b w:val="0"/>
          <w:sz w:val="24"/>
          <w:szCs w:val="24"/>
        </w:rPr>
        <w:t xml:space="preserve"> ac</w:t>
      </w:r>
      <w:bookmarkStart w:id="0" w:name="_GoBack"/>
      <w:bookmarkEnd w:id="0"/>
      <w:r w:rsidRPr="00526B4F">
        <w:rPr>
          <w:rStyle w:val="a6"/>
          <w:rFonts w:ascii="Times New Roman" w:hAnsi="Times New Roman" w:cs="Times New Roman"/>
          <w:b w:val="0"/>
          <w:sz w:val="24"/>
          <w:szCs w:val="24"/>
        </w:rPr>
        <w:t>id metabolism.</w:t>
      </w:r>
    </w:p>
    <w:p w:rsidR="00AD1D93" w:rsidRPr="00526B4F" w:rsidRDefault="00600E1A" w:rsidP="00526B4F">
      <w:pPr>
        <w:pStyle w:val="a5"/>
        <w:numPr>
          <w:ilvl w:val="0"/>
          <w:numId w:val="4"/>
        </w:numPr>
        <w:adjustRightInd w:val="0"/>
        <w:snapToGrid w:val="0"/>
        <w:spacing w:line="360" w:lineRule="auto"/>
        <w:ind w:firstLineChars="0"/>
        <w:rPr>
          <w:rStyle w:val="a6"/>
          <w:rFonts w:ascii="Times New Roman" w:hAnsi="Times New Roman" w:cs="Times New Roman"/>
          <w:b w:val="0"/>
          <w:sz w:val="24"/>
          <w:szCs w:val="24"/>
          <w:shd w:val="clear" w:color="auto" w:fill="FFFFFF"/>
        </w:rPr>
      </w:pPr>
      <w:r w:rsidRPr="00526B4F">
        <w:rPr>
          <w:rStyle w:val="a6"/>
          <w:rFonts w:ascii="Times New Roman" w:hAnsi="Times New Roman" w:cs="Times New Roman"/>
          <w:b w:val="0"/>
          <w:sz w:val="24"/>
          <w:szCs w:val="24"/>
        </w:rPr>
        <w:t>Metabolic</w:t>
      </w:r>
      <w:r w:rsidR="00F478D6" w:rsidRPr="00526B4F">
        <w:rPr>
          <w:rStyle w:val="a6"/>
          <w:rFonts w:ascii="Times New Roman" w:hAnsi="Times New Roman" w:cs="Times New Roman"/>
          <w:b w:val="0"/>
          <w:sz w:val="24"/>
          <w:szCs w:val="24"/>
          <w:shd w:val="clear" w:color="auto" w:fill="FFFFFF"/>
        </w:rPr>
        <w:t xml:space="preserve"> alterations may diminish the brain’s inherent protective capacity and hence could contribute to the delirium development</w:t>
      </w:r>
      <w:r w:rsidR="00F478D6" w:rsidRPr="00526B4F">
        <w:rPr>
          <w:rStyle w:val="a6"/>
          <w:rFonts w:ascii="Times New Roman" w:hAnsi="Times New Roman" w:cs="Times New Roman" w:hint="eastAsia"/>
          <w:b w:val="0"/>
          <w:sz w:val="24"/>
          <w:szCs w:val="24"/>
          <w:shd w:val="clear" w:color="auto" w:fill="FFFFFF"/>
        </w:rPr>
        <w:t>.</w:t>
      </w:r>
    </w:p>
    <w:p w:rsidR="00F478D6" w:rsidRPr="00526B4F" w:rsidRDefault="00F478D6" w:rsidP="00526B4F">
      <w:pPr>
        <w:pStyle w:val="a5"/>
        <w:numPr>
          <w:ilvl w:val="0"/>
          <w:numId w:val="4"/>
        </w:numPr>
        <w:adjustRightInd w:val="0"/>
        <w:snapToGrid w:val="0"/>
        <w:spacing w:line="360" w:lineRule="auto"/>
        <w:ind w:firstLineChars="0"/>
        <w:rPr>
          <w:rStyle w:val="a6"/>
          <w:rFonts w:ascii="Times New Roman" w:hAnsi="Times New Roman" w:cs="Times New Roman"/>
          <w:b w:val="0"/>
          <w:sz w:val="24"/>
          <w:szCs w:val="24"/>
        </w:rPr>
      </w:pPr>
      <w:r w:rsidRPr="00526B4F">
        <w:rPr>
          <w:rStyle w:val="a6"/>
          <w:rFonts w:ascii="Times New Roman" w:hAnsi="Times New Roman" w:cs="Times New Roman"/>
          <w:b w:val="0"/>
          <w:sz w:val="24"/>
          <w:szCs w:val="24"/>
        </w:rPr>
        <w:t xml:space="preserve">Strategies aiming to correct these metabolic disorders </w:t>
      </w:r>
      <w:r w:rsidR="003A3AB5" w:rsidRPr="00526B4F">
        <w:rPr>
          <w:rStyle w:val="a6"/>
          <w:rFonts w:ascii="Times New Roman" w:hAnsi="Times New Roman" w:cs="Times New Roman" w:hint="eastAsia"/>
          <w:b w:val="0"/>
          <w:sz w:val="24"/>
          <w:szCs w:val="24"/>
        </w:rPr>
        <w:t>may</w:t>
      </w:r>
      <w:r w:rsidRPr="00526B4F">
        <w:rPr>
          <w:rStyle w:val="a6"/>
          <w:rFonts w:ascii="Times New Roman" w:hAnsi="Times New Roman" w:cs="Times New Roman"/>
          <w:b w:val="0"/>
          <w:sz w:val="24"/>
          <w:szCs w:val="24"/>
        </w:rPr>
        <w:t xml:space="preserve"> improve surgical long term outcome.</w:t>
      </w:r>
    </w:p>
    <w:p w:rsidR="00F478D6" w:rsidRPr="00F478D6" w:rsidRDefault="00F478D6" w:rsidP="00F478D6">
      <w:pPr>
        <w:adjustRightInd w:val="0"/>
        <w:snapToGrid w:val="0"/>
        <w:spacing w:line="360" w:lineRule="auto"/>
        <w:rPr>
          <w:rFonts w:ascii="Times New Roman" w:hAnsi="Times New Roman" w:cs="Times New Roman"/>
          <w:sz w:val="24"/>
          <w:szCs w:val="24"/>
        </w:rPr>
      </w:pPr>
    </w:p>
    <w:p w:rsidR="00AD1D93" w:rsidRPr="00F478D6" w:rsidRDefault="00AD1D93" w:rsidP="00AD1D93">
      <w:pPr>
        <w:adjustRightInd w:val="0"/>
        <w:snapToGrid w:val="0"/>
        <w:spacing w:line="480" w:lineRule="auto"/>
        <w:rPr>
          <w:rFonts w:ascii="Arial" w:hAnsi="Arial" w:cs="Arial"/>
          <w:b/>
          <w:sz w:val="24"/>
          <w:szCs w:val="24"/>
        </w:rPr>
      </w:pPr>
      <w:r w:rsidRPr="00F478D6">
        <w:rPr>
          <w:rFonts w:ascii="Arial" w:hAnsi="Arial" w:cs="Arial"/>
          <w:b/>
          <w:sz w:val="24"/>
          <w:szCs w:val="24"/>
        </w:rPr>
        <w:t>Supplementary data</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Supplementary data mentioned in the text are available to subscribers of Age and Ageing online.</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 w:val="28"/>
          <w:szCs w:val="28"/>
        </w:rPr>
      </w:pPr>
      <w:r w:rsidRPr="00C0604B">
        <w:rPr>
          <w:rFonts w:ascii="Arial" w:hAnsi="Arial" w:cs="Arial"/>
          <w:b/>
          <w:sz w:val="28"/>
          <w:szCs w:val="28"/>
        </w:rPr>
        <w:t>Funding</w:t>
      </w:r>
    </w:p>
    <w:p w:rsidR="00AD1D93" w:rsidRPr="001D51D7" w:rsidRDefault="00AD1D93" w:rsidP="00AD1D93">
      <w:pPr>
        <w:adjustRightInd w:val="0"/>
        <w:snapToGrid w:val="0"/>
        <w:spacing w:line="480" w:lineRule="auto"/>
        <w:rPr>
          <w:rFonts w:ascii="Times New Roman" w:hAnsi="Times New Roman" w:cs="Times New Roman"/>
          <w:sz w:val="24"/>
          <w:szCs w:val="24"/>
        </w:rPr>
      </w:pPr>
      <w:r w:rsidRPr="001D51D7">
        <w:rPr>
          <w:rFonts w:ascii="Times New Roman" w:hAnsi="Times New Roman" w:cs="Times New Roman"/>
          <w:sz w:val="24"/>
          <w:szCs w:val="24"/>
        </w:rPr>
        <w:t>XXXXXX</w:t>
      </w:r>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C0604B" w:rsidRDefault="00AD1D93" w:rsidP="00AD1D93">
      <w:pPr>
        <w:adjustRightInd w:val="0"/>
        <w:snapToGrid w:val="0"/>
        <w:spacing w:line="480" w:lineRule="auto"/>
        <w:rPr>
          <w:rFonts w:ascii="Arial" w:hAnsi="Arial" w:cs="Arial"/>
          <w:b/>
          <w:sz w:val="24"/>
          <w:szCs w:val="24"/>
        </w:rPr>
      </w:pPr>
      <w:r w:rsidRPr="00C0604B">
        <w:rPr>
          <w:rFonts w:ascii="Arial" w:hAnsi="Arial" w:cs="Arial"/>
          <w:b/>
          <w:sz w:val="24"/>
          <w:szCs w:val="24"/>
        </w:rPr>
        <w:t>Conflict of Interest</w:t>
      </w:r>
    </w:p>
    <w:p w:rsidR="00AD1D93" w:rsidRPr="00400392" w:rsidRDefault="00AD1D93" w:rsidP="00AD1D93">
      <w:pPr>
        <w:adjustRightInd w:val="0"/>
        <w:snapToGrid w:val="0"/>
        <w:spacing w:line="480" w:lineRule="auto"/>
        <w:rPr>
          <w:rFonts w:ascii="Times New Roman" w:hAnsi="Times New Roman" w:cs="Times New Roman"/>
          <w:sz w:val="24"/>
          <w:szCs w:val="24"/>
        </w:rPr>
      </w:pPr>
      <w:proofErr w:type="gramStart"/>
      <w:r w:rsidRPr="001D51D7">
        <w:rPr>
          <w:rFonts w:ascii="Times New Roman" w:hAnsi="Times New Roman" w:cs="Times New Roman"/>
          <w:sz w:val="24"/>
          <w:szCs w:val="24"/>
        </w:rPr>
        <w:t>None.</w:t>
      </w:r>
      <w:proofErr w:type="gramEnd"/>
    </w:p>
    <w:p w:rsidR="00AD1D93" w:rsidRPr="001D51D7" w:rsidRDefault="00AD1D93" w:rsidP="00AD1D93">
      <w:pPr>
        <w:adjustRightInd w:val="0"/>
        <w:snapToGrid w:val="0"/>
        <w:spacing w:line="480" w:lineRule="auto"/>
        <w:rPr>
          <w:rFonts w:ascii="Times New Roman" w:hAnsi="Times New Roman" w:cs="Times New Roman"/>
          <w:sz w:val="24"/>
          <w:szCs w:val="24"/>
        </w:rPr>
      </w:pPr>
    </w:p>
    <w:p w:rsidR="00AD1D93" w:rsidRPr="00400392" w:rsidRDefault="00AD1D93" w:rsidP="00AD1D93">
      <w:pPr>
        <w:adjustRightInd w:val="0"/>
        <w:snapToGrid w:val="0"/>
        <w:spacing w:line="480" w:lineRule="auto"/>
        <w:rPr>
          <w:rFonts w:ascii="Arial" w:hAnsi="Arial" w:cs="Arial"/>
          <w:b/>
          <w:sz w:val="28"/>
          <w:szCs w:val="28"/>
        </w:rPr>
      </w:pPr>
      <w:r w:rsidRPr="00C0604B">
        <w:rPr>
          <w:rFonts w:ascii="Arial" w:hAnsi="Arial" w:cs="Arial"/>
          <w:b/>
          <w:sz w:val="28"/>
          <w:szCs w:val="28"/>
        </w:rPr>
        <w:t>References</w:t>
      </w:r>
    </w:p>
    <w:p w:rsidR="00AD1D93" w:rsidRPr="00A868BB" w:rsidRDefault="00AD1D93" w:rsidP="00AD1D93">
      <w:pPr>
        <w:pStyle w:val="EndNoteBibliography"/>
      </w:pPr>
      <w:r>
        <w:rPr>
          <w:rFonts w:ascii="Arial" w:hAnsi="Arial" w:cs="Arial"/>
          <w:szCs w:val="21"/>
        </w:rPr>
        <w:fldChar w:fldCharType="begin"/>
      </w:r>
      <w:r>
        <w:rPr>
          <w:rFonts w:ascii="Arial" w:hAnsi="Arial" w:cs="Arial"/>
          <w:szCs w:val="21"/>
        </w:rPr>
        <w:instrText xml:space="preserve"> ADDIN EN.REFLIST </w:instrText>
      </w:r>
      <w:r>
        <w:rPr>
          <w:rFonts w:ascii="Arial" w:hAnsi="Arial" w:cs="Arial"/>
          <w:szCs w:val="21"/>
        </w:rPr>
        <w:fldChar w:fldCharType="separate"/>
      </w:r>
      <w:bookmarkStart w:id="1" w:name="_ENREF_1"/>
      <w:r w:rsidRPr="00A868BB">
        <w:t>1.</w:t>
      </w:r>
      <w:r w:rsidRPr="00A868BB">
        <w:tab/>
        <w:t>Wang NY, Hirao A, Sieber F. Association between intraoperative blood pressure and postoperative delirium in elderly hip fracture patients. PLoS One. 2015;10(4):e0123892.</w:t>
      </w:r>
      <w:bookmarkEnd w:id="1"/>
    </w:p>
    <w:p w:rsidR="00AD1D93" w:rsidRPr="00A868BB" w:rsidRDefault="00AD1D93" w:rsidP="00AD1D93">
      <w:pPr>
        <w:pStyle w:val="EndNoteBibliography"/>
      </w:pPr>
      <w:bookmarkStart w:id="2" w:name="_ENREF_2"/>
      <w:r w:rsidRPr="00A868BB">
        <w:t>2.</w:t>
      </w:r>
      <w:r w:rsidRPr="00A868BB">
        <w:tab/>
        <w:t>Fricchione GL, Nejad SH, Esses JA, Cummings TJ, Jr., Querques J, Cassem NH, et al. Postoperative delirium. Am J Psychiatry. 2008 Jul;165(7):803-12.</w:t>
      </w:r>
      <w:bookmarkEnd w:id="2"/>
    </w:p>
    <w:p w:rsidR="00AD1D93" w:rsidRPr="00A868BB" w:rsidRDefault="00AD1D93" w:rsidP="00AD1D93">
      <w:pPr>
        <w:pStyle w:val="EndNoteBibliography"/>
      </w:pPr>
      <w:bookmarkStart w:id="3" w:name="_ENREF_3"/>
      <w:r w:rsidRPr="00A868BB">
        <w:t>3.</w:t>
      </w:r>
      <w:r w:rsidRPr="00A868BB">
        <w:tab/>
        <w:t>Maldonado JR. Acute Brain Failure: Pathophysiology, Diagnosis, Management, and Sequelae of Delirium. Critical care clinics. 2017 Jul;33(3):461-519.</w:t>
      </w:r>
      <w:bookmarkEnd w:id="3"/>
    </w:p>
    <w:p w:rsidR="00AD1D93" w:rsidRPr="00A868BB" w:rsidRDefault="00AD1D93" w:rsidP="00AD1D93">
      <w:pPr>
        <w:pStyle w:val="EndNoteBibliography"/>
      </w:pPr>
      <w:bookmarkStart w:id="4" w:name="_ENREF_4"/>
      <w:r w:rsidRPr="00A868BB">
        <w:t>4.</w:t>
      </w:r>
      <w:r w:rsidRPr="00A868BB">
        <w:tab/>
        <w:t>Liu X, Zhang X, Chen Y, Wang Q, Jiang Y, Zeng B. Hidden blood loss after total hip arthroplasty. J Arthroplasty. 2011 Oct;26(7):1100-5 e1.</w:t>
      </w:r>
      <w:bookmarkEnd w:id="4"/>
    </w:p>
    <w:p w:rsidR="00AD1D93" w:rsidRPr="00A868BB" w:rsidRDefault="00AD1D93" w:rsidP="00AD1D93">
      <w:pPr>
        <w:pStyle w:val="EndNoteBibliography"/>
      </w:pPr>
      <w:bookmarkStart w:id="5" w:name="_ENREF_5"/>
      <w:r w:rsidRPr="00A868BB">
        <w:t>5.</w:t>
      </w:r>
      <w:r w:rsidRPr="00A868BB">
        <w:tab/>
        <w:t>Man AL, Gicheva N, Nicoletti C. The impact of ageing on the intestinal epithelial barrier and immune system. Cell Immunol. 2014 May-Jun;289(1-2):112-8.</w:t>
      </w:r>
      <w:bookmarkEnd w:id="5"/>
    </w:p>
    <w:p w:rsidR="00AD1D93" w:rsidRPr="00A868BB" w:rsidRDefault="00AD1D93" w:rsidP="00AD1D93">
      <w:pPr>
        <w:pStyle w:val="EndNoteBibliography"/>
      </w:pPr>
      <w:bookmarkStart w:id="6" w:name="_ENREF_6"/>
      <w:r w:rsidRPr="00A868BB">
        <w:t>6.</w:t>
      </w:r>
      <w:r w:rsidRPr="00A868BB">
        <w:tab/>
        <w:t>Sochocka M, Diniz BS, Leszek J. Inflammatory Response in the CNS: Friend or Foe? Mol Neurobiol. 2017 Dec;54(10):8071-89.</w:t>
      </w:r>
      <w:bookmarkEnd w:id="6"/>
    </w:p>
    <w:p w:rsidR="00AD1D93" w:rsidRPr="00A868BB" w:rsidRDefault="00AD1D93" w:rsidP="00AD1D93">
      <w:pPr>
        <w:pStyle w:val="EndNoteBibliography"/>
      </w:pPr>
      <w:bookmarkStart w:id="7" w:name="_ENREF_7"/>
      <w:r w:rsidRPr="00A868BB">
        <w:t>7.</w:t>
      </w:r>
      <w:r w:rsidRPr="00A868BB">
        <w:tab/>
        <w:t>Nicholson JK, Lindon JC. Systems biology: Metabonomics. Nature. 2008 Oct 23;455(7216):1054-6.</w:t>
      </w:r>
      <w:bookmarkEnd w:id="7"/>
    </w:p>
    <w:p w:rsidR="00AD1D93" w:rsidRPr="00A868BB" w:rsidRDefault="00AD1D93" w:rsidP="00AD1D93">
      <w:pPr>
        <w:pStyle w:val="EndNoteBibliography"/>
      </w:pPr>
      <w:bookmarkStart w:id="8" w:name="_ENREF_8"/>
      <w:r w:rsidRPr="00A868BB">
        <w:t>8.</w:t>
      </w:r>
      <w:r w:rsidRPr="00A868BB">
        <w:tab/>
        <w:t xml:space="preserve">Pan XB, Cunningham EL, Passmore AP, McGuinness B, McAuley DF, Beverland D, et al. Cerebrospinal Fluid Spermidine, Glutamine and Putrescine Predict Postoperative Delirium Following </w:t>
      </w:r>
      <w:r w:rsidRPr="00A868BB">
        <w:lastRenderedPageBreak/>
        <w:t>Elective Orthopaedic Surgery. Sci Rep-Uk. 2019 Mar 12;9.</w:t>
      </w:r>
      <w:bookmarkEnd w:id="8"/>
    </w:p>
    <w:p w:rsidR="00AD1D93" w:rsidRPr="00A868BB" w:rsidRDefault="00AD1D93" w:rsidP="00AD1D93">
      <w:pPr>
        <w:pStyle w:val="EndNoteBibliography"/>
      </w:pPr>
      <w:bookmarkStart w:id="9" w:name="_ENREF_9"/>
      <w:r w:rsidRPr="00A868BB">
        <w:t>9.</w:t>
      </w:r>
      <w:r w:rsidRPr="00A868BB">
        <w:tab/>
        <w:t>Guo Y, Zhang Y, Jia P, Wang W, Zhou Q, Sun L, et al. Preoperative Serum Metabolites Are Associated With Postoperative Delirium in Elderly Hip-Fracture Patients. J Gerontol A Biol Sci Med Sci. 2017 Nov 9;72(12):1689-96.</w:t>
      </w:r>
      <w:bookmarkEnd w:id="9"/>
    </w:p>
    <w:p w:rsidR="00AD1D93" w:rsidRPr="00A868BB" w:rsidRDefault="00AD1D93" w:rsidP="00AD1D93">
      <w:pPr>
        <w:pStyle w:val="EndNoteBibliography"/>
      </w:pPr>
      <w:bookmarkStart w:id="10" w:name="_ENREF_10"/>
      <w:r w:rsidRPr="00A868BB">
        <w:t>10.</w:t>
      </w:r>
      <w:r w:rsidRPr="00A868BB">
        <w:tab/>
        <w:t>American College of Chest Physicians/Society of Critical Care Medicine Consensus Conference: definitions for sepsis and organ failure and guidelines for the use of innovative therapies in sepsis. Crit Care Med. 1992 Jun;20(6):864-74.</w:t>
      </w:r>
      <w:bookmarkEnd w:id="10"/>
    </w:p>
    <w:p w:rsidR="00AD1D93" w:rsidRPr="00A868BB" w:rsidRDefault="00AD1D93" w:rsidP="00AD1D93">
      <w:pPr>
        <w:pStyle w:val="EndNoteBibliography"/>
      </w:pPr>
      <w:bookmarkStart w:id="11" w:name="_ENREF_11"/>
      <w:r w:rsidRPr="00A868BB">
        <w:t>11.</w:t>
      </w:r>
      <w:r w:rsidRPr="00A868BB">
        <w:tab/>
        <w:t>Juan L, Yizhuang Z, Feng F, Yuying T. Reversion of CAM for assisting the evaluation and diagnosis of delirium. J Clin Psychol Med. 2003;13(3):147-49.</w:t>
      </w:r>
      <w:bookmarkEnd w:id="11"/>
    </w:p>
    <w:p w:rsidR="00AD1D93" w:rsidRPr="00A868BB" w:rsidRDefault="00AD1D93" w:rsidP="00AD1D93">
      <w:pPr>
        <w:pStyle w:val="EndNoteBibliography"/>
      </w:pPr>
      <w:bookmarkStart w:id="12" w:name="_ENREF_12"/>
      <w:r w:rsidRPr="00A868BB">
        <w:t>12.</w:t>
      </w:r>
      <w:r w:rsidRPr="00A868BB">
        <w:tab/>
        <w:t>Inouye SK, van Dyck CH, Alessi CA, Balkin S, Siegal AP, Horwitz RI. Clarifying confusion: the confusion assessment method. A new method for detection of delirium. Ann Intern Med. 1990 Dec 15;113(12):941-8.</w:t>
      </w:r>
      <w:bookmarkEnd w:id="12"/>
    </w:p>
    <w:p w:rsidR="00AD1D93" w:rsidRPr="00A868BB" w:rsidRDefault="00AD1D93" w:rsidP="00AD1D93">
      <w:pPr>
        <w:pStyle w:val="EndNoteBibliography"/>
      </w:pPr>
      <w:bookmarkStart w:id="13" w:name="_ENREF_13"/>
      <w:r w:rsidRPr="00A868BB">
        <w:t>13.</w:t>
      </w:r>
      <w:r w:rsidRPr="00A868BB">
        <w:tab/>
        <w:t>Peters BD, Duran M, Vlieger EJ, Majoie CB, den Heeten GJ, Linszen DH, et al. Polyunsaturated fatty acids and brain white matter anisotropy in recent-onset schizophrenia: a preliminary study. Prostaglandins Leukot Essent Fatty Acids. 2009 Jul;81(1):61-3.</w:t>
      </w:r>
      <w:bookmarkEnd w:id="13"/>
    </w:p>
    <w:p w:rsidR="00AD1D93" w:rsidRPr="00A868BB" w:rsidRDefault="00AD1D93" w:rsidP="00AD1D93">
      <w:pPr>
        <w:pStyle w:val="EndNoteBibliography"/>
      </w:pPr>
      <w:bookmarkStart w:id="14" w:name="_ENREF_14"/>
      <w:r w:rsidRPr="00A868BB">
        <w:t>14.</w:t>
      </w:r>
      <w:r w:rsidRPr="00A868BB">
        <w:tab/>
        <w:t>Crupi R, Marino A, Cuzzocrea S. n-3 fatty acids: role in neurogenesis and neuroplasticity. Curr Med Chem. 2013;20(24):2953-63.</w:t>
      </w:r>
      <w:bookmarkEnd w:id="14"/>
    </w:p>
    <w:p w:rsidR="00AD1D93" w:rsidRPr="00A868BB" w:rsidRDefault="00AD1D93" w:rsidP="00AD1D93">
      <w:pPr>
        <w:pStyle w:val="EndNoteBibliography"/>
      </w:pPr>
      <w:bookmarkStart w:id="15" w:name="_ENREF_15"/>
      <w:r w:rsidRPr="00A868BB">
        <w:t>15.</w:t>
      </w:r>
      <w:r w:rsidRPr="00A868BB">
        <w:tab/>
        <w:t>Amminger GP, Schafer MR, Papageorgiou K, Klier CM, Cotton SM, Harrigan SM, et al. Long-chain omega-3 fatty acids for indicated prevention of psychotic disorders: a randomized, placebo-controlled trial. Arch Gen Psychiatry. 2010 Feb;67(2):146-54.</w:t>
      </w:r>
      <w:bookmarkEnd w:id="15"/>
    </w:p>
    <w:p w:rsidR="00AD1D93" w:rsidRPr="00A868BB" w:rsidRDefault="00AD1D93" w:rsidP="00AD1D93">
      <w:pPr>
        <w:pStyle w:val="EndNoteBibliography"/>
      </w:pPr>
      <w:bookmarkStart w:id="16" w:name="_ENREF_16"/>
      <w:r w:rsidRPr="00A868BB">
        <w:t>16.</w:t>
      </w:r>
      <w:r w:rsidRPr="00A868BB">
        <w:tab/>
        <w:t>Gu Y, Schupf N, Cosentino SA, Luchsinger JA, Scarmeas N. Nutrient intake and plasma beta-amyloid. Neurology. 2012 Jun 5;78(23):1832-40.</w:t>
      </w:r>
      <w:bookmarkEnd w:id="16"/>
    </w:p>
    <w:p w:rsidR="00AD1D93" w:rsidRPr="00A868BB" w:rsidRDefault="00AD1D93" w:rsidP="00AD1D93">
      <w:pPr>
        <w:pStyle w:val="EndNoteBibliography"/>
      </w:pPr>
      <w:bookmarkStart w:id="17" w:name="_ENREF_17"/>
      <w:r w:rsidRPr="00A868BB">
        <w:t>17.</w:t>
      </w:r>
      <w:r w:rsidRPr="00A868BB">
        <w:tab/>
        <w:t>Ferrucci L, Cherubini A, Bandinelli S, Bartali B, Corsi A, Lauretani F, et al. Relationship of plasma polyunsaturated fatty acids to circulating inflammatory markers. J Clin Endocrinol Metab. 2006 Feb;91(2):439-46.</w:t>
      </w:r>
      <w:bookmarkEnd w:id="17"/>
    </w:p>
    <w:p w:rsidR="00AD1D93" w:rsidRPr="00A868BB" w:rsidRDefault="00AD1D93" w:rsidP="00AD1D93">
      <w:pPr>
        <w:pStyle w:val="EndNoteBibliography"/>
      </w:pPr>
      <w:bookmarkStart w:id="18" w:name="_ENREF_18"/>
      <w:r w:rsidRPr="00A868BB">
        <w:t>18.</w:t>
      </w:r>
      <w:r w:rsidRPr="00A868BB">
        <w:tab/>
        <w:t>Amtul Z, Uhrig M, Wang L, Rozmahel RF, Beyreuther K. Detrimental effects of arachidonic acid and its metabolites in cellular and mouse models of Alzheimer's disease: structural insight. Neurobiol Aging. 2012 Apr;33(4):831 e21-31.</w:t>
      </w:r>
      <w:bookmarkEnd w:id="18"/>
    </w:p>
    <w:p w:rsidR="00AD1D93" w:rsidRPr="00A868BB" w:rsidRDefault="00AD1D93" w:rsidP="00AD1D93">
      <w:pPr>
        <w:pStyle w:val="EndNoteBibliography"/>
      </w:pPr>
      <w:bookmarkStart w:id="19" w:name="_ENREF_19"/>
      <w:r w:rsidRPr="00A868BB">
        <w:t>19.</w:t>
      </w:r>
      <w:r w:rsidRPr="00A868BB">
        <w:tab/>
        <w:t>Ronnemaa E, Zethelius B, Vessby B, Lannfelt L, Byberg L, Kilander L. Serum fatty-acid composition and the risk of Alzheimer's disease: a longitudinal population-based study. Eur J Clin Nutr. 2012 Aug;66(8):885-90.</w:t>
      </w:r>
      <w:bookmarkEnd w:id="19"/>
    </w:p>
    <w:p w:rsidR="00AD1D93" w:rsidRPr="00A868BB" w:rsidRDefault="00AD1D93" w:rsidP="00AD1D93">
      <w:pPr>
        <w:pStyle w:val="EndNoteBibliography"/>
      </w:pPr>
      <w:bookmarkStart w:id="20" w:name="_ENREF_20"/>
      <w:r w:rsidRPr="00A868BB">
        <w:t>20.</w:t>
      </w:r>
      <w:r w:rsidRPr="00A868BB">
        <w:tab/>
        <w:t>Zhang X, Le W. Pathological role of hypoxia in Alzheimer's disease. Exp Neurol. 2010 Jun;223(2):299-303.</w:t>
      </w:r>
      <w:bookmarkEnd w:id="20"/>
    </w:p>
    <w:p w:rsidR="00AD1D93" w:rsidRPr="00A868BB" w:rsidRDefault="00AD1D93" w:rsidP="00AD1D93">
      <w:pPr>
        <w:pStyle w:val="EndNoteBibliography"/>
      </w:pPr>
      <w:bookmarkStart w:id="21" w:name="_ENREF_21"/>
      <w:r w:rsidRPr="00A868BB">
        <w:t>21.</w:t>
      </w:r>
      <w:r w:rsidRPr="00A868BB">
        <w:tab/>
        <w:t>Carvalho C, Correia SC, Santos RX, Cardoso S, Moreira PI, Clark TA, et al. Role of mitochondrial-mediated signaling pathways in Alzheimer disease and hypoxia. J Bioenerg Biomembr. 2009 Oct;41(5):433-40.</w:t>
      </w:r>
      <w:bookmarkEnd w:id="21"/>
    </w:p>
    <w:p w:rsidR="00AD1D93" w:rsidRPr="00A868BB" w:rsidRDefault="00AD1D93" w:rsidP="00AD1D93">
      <w:pPr>
        <w:pStyle w:val="EndNoteBibliography"/>
      </w:pPr>
      <w:bookmarkStart w:id="22" w:name="_ENREF_22"/>
      <w:r w:rsidRPr="00A868BB">
        <w:t>22.</w:t>
      </w:r>
      <w:r w:rsidRPr="00A868BB">
        <w:tab/>
        <w:t>Wang J, Xiong S, Xie C, Markesbery WR, Lovell MA. Increased oxidative damage in nuclear and mitochondrial DNA in Alzheimer's disease. J Neurochem. 2005 May;93(4):953-62.</w:t>
      </w:r>
      <w:bookmarkEnd w:id="22"/>
    </w:p>
    <w:p w:rsidR="00AD1D93" w:rsidRPr="00A868BB" w:rsidRDefault="00AD1D93" w:rsidP="00AD1D93">
      <w:pPr>
        <w:pStyle w:val="EndNoteBibliography"/>
      </w:pPr>
      <w:bookmarkStart w:id="23" w:name="_ENREF_23"/>
      <w:r w:rsidRPr="00A868BB">
        <w:t>23.</w:t>
      </w:r>
      <w:r w:rsidRPr="00A868BB">
        <w:tab/>
        <w:t>O'Donnell CP, Allott KA, Murphy BP, Yuen HP, Proffitt TM, Papas A, et al. Adjunctive Taurine in First-Episode Psychosis: A Phase 2, Double-Blind, Randomized, Placebo-Controlled Study. J Clin Psychiatry. 2016 Dec;77(12):e1610-e7.</w:t>
      </w:r>
      <w:bookmarkEnd w:id="23"/>
    </w:p>
    <w:p w:rsidR="00AD1D93" w:rsidRPr="00A868BB" w:rsidRDefault="00AD1D93" w:rsidP="00AD1D93">
      <w:pPr>
        <w:pStyle w:val="EndNoteBibliography"/>
      </w:pPr>
      <w:bookmarkStart w:id="24" w:name="_ENREF_24"/>
      <w:r w:rsidRPr="00A868BB">
        <w:t>24.</w:t>
      </w:r>
      <w:r w:rsidRPr="00A868BB">
        <w:tab/>
        <w:t>La Fata G, Weber P, Mohajeri MH. Effects of vitamin E on cognitive performance during ageing and in Alzheimer's disease. Nutrients. 2014 Nov 28;6(12):5453-72.</w:t>
      </w:r>
      <w:bookmarkEnd w:id="24"/>
    </w:p>
    <w:p w:rsidR="00AD1D93" w:rsidRPr="00A868BB" w:rsidRDefault="00AD1D93" w:rsidP="00AD1D93">
      <w:pPr>
        <w:pStyle w:val="EndNoteBibliography"/>
      </w:pPr>
      <w:bookmarkStart w:id="25" w:name="_ENREF_25"/>
      <w:r w:rsidRPr="00A868BB">
        <w:t>25.</w:t>
      </w:r>
      <w:r w:rsidRPr="00A868BB">
        <w:tab/>
        <w:t xml:space="preserve">Silverstein JH, Timberger M, Reich DL, Uysal S. Central nervous system dysfunction after </w:t>
      </w:r>
      <w:r w:rsidRPr="00A868BB">
        <w:lastRenderedPageBreak/>
        <w:t>noncardiac surgery and anesthesia in the elderly. Anesthesiology. 2007 Mar;106(3):622-8.</w:t>
      </w:r>
      <w:bookmarkEnd w:id="25"/>
    </w:p>
    <w:p w:rsidR="00AD1D93" w:rsidRPr="00A868BB" w:rsidRDefault="00AD1D93" w:rsidP="00AD1D93">
      <w:pPr>
        <w:pStyle w:val="EndNoteBibliography"/>
      </w:pPr>
      <w:bookmarkStart w:id="26" w:name="_ENREF_26"/>
      <w:r w:rsidRPr="00A868BB">
        <w:t>26.</w:t>
      </w:r>
      <w:r w:rsidRPr="00A868BB">
        <w:tab/>
        <w:t>Estil S, Haaskjold E, Bjerknes R, Refsum SB. Early cell kinetic effects of some drugs on the rat corneal and conjunctival epithelia. Acta Ophthalmol Scand. 1995 Dec;73(6):496-500.</w:t>
      </w:r>
      <w:bookmarkEnd w:id="26"/>
    </w:p>
    <w:p w:rsidR="00AD1D93" w:rsidRDefault="00AD1D93" w:rsidP="00AD1D93">
      <w:pPr>
        <w:adjustRightInd w:val="0"/>
        <w:snapToGrid w:val="0"/>
        <w:spacing w:line="360" w:lineRule="auto"/>
        <w:rPr>
          <w:rFonts w:ascii="Arial" w:hAnsi="Arial" w:cs="Arial"/>
          <w:szCs w:val="21"/>
        </w:rPr>
      </w:pPr>
      <w:r>
        <w:rPr>
          <w:rFonts w:ascii="Arial" w:hAnsi="Arial" w:cs="Arial"/>
          <w:szCs w:val="21"/>
        </w:rPr>
        <w:fldChar w:fldCharType="end"/>
      </w:r>
    </w:p>
    <w:p w:rsidR="00AD1D93" w:rsidRPr="00C0604B" w:rsidRDefault="00AD1D93" w:rsidP="00AD1D93">
      <w:pPr>
        <w:rPr>
          <w:rFonts w:ascii="Arial" w:hAnsi="Arial" w:cs="Arial"/>
          <w:b/>
          <w:sz w:val="28"/>
          <w:szCs w:val="28"/>
        </w:rPr>
      </w:pPr>
      <w:r w:rsidRPr="00C0604B">
        <w:rPr>
          <w:rFonts w:ascii="Arial" w:hAnsi="Arial" w:cs="Arial"/>
          <w:b/>
          <w:sz w:val="28"/>
          <w:szCs w:val="28"/>
        </w:rPr>
        <w:t>Figure Legends</w:t>
      </w:r>
    </w:p>
    <w:p w:rsidR="00AD1D93" w:rsidRPr="001D51D7" w:rsidRDefault="00AD1D93" w:rsidP="00AD1D93">
      <w:pPr>
        <w:rPr>
          <w:rFonts w:ascii="Times New Roman" w:hAnsi="Times New Roman" w:cs="Times New Roman"/>
          <w:sz w:val="24"/>
          <w:szCs w:val="24"/>
        </w:rPr>
      </w:pPr>
    </w:p>
    <w:p w:rsidR="00AD1D93" w:rsidRPr="00C0604B" w:rsidRDefault="00AD1D93" w:rsidP="00AD1D93">
      <w:pPr>
        <w:rPr>
          <w:rFonts w:ascii="Arial" w:hAnsi="Arial" w:cs="Arial"/>
          <w:sz w:val="18"/>
          <w:szCs w:val="18"/>
        </w:rPr>
      </w:pPr>
      <w:proofErr w:type="gramStart"/>
      <w:r w:rsidRPr="00C0604B">
        <w:rPr>
          <w:rFonts w:ascii="Arial" w:hAnsi="Arial" w:cs="Arial"/>
          <w:sz w:val="18"/>
          <w:szCs w:val="18"/>
        </w:rPr>
        <w:t>Figure 1.</w:t>
      </w:r>
      <w:proofErr w:type="gramEnd"/>
      <w:r w:rsidRPr="00C0604B">
        <w:rPr>
          <w:rFonts w:ascii="Arial" w:hAnsi="Arial" w:cs="Arial"/>
          <w:sz w:val="18"/>
          <w:szCs w:val="18"/>
        </w:rPr>
        <w:t xml:space="preserve"> Score plots of the POD and NPOD groups before and after surgery and ROC curve analysis. Principal component analysis (PCA) score plots were constructed based on serum samples collected from patients in the POD and NPOD groups before (A, R2X=32.4%, Q2=0.24) and after (C, R2X=25.1%, Q2=0.16) surgery. Cross-validated score plots from orthogonal partial least squares-discriminant analysis (OPLS-DA) were implemented to visualize differences in metabolites between the POD and NPOD groups before (B, R2X=16.9%, R2Y=48.1%, Q2Y=0.17, CV-ANOVA p=0.0003) and after (D, R2X=22.3%, R2Y=37.7%, Q2Y=0.09, CV-ANOVA p=0.02) surgery. ROC curve analysis was based on cross-validated scores of the OPLS-DA model (the horizontal axis of plot B) (E) and the relative serum concentrations of mannose for all patients before surgery (F). POD = Postoperative delirium; NPOD = Non-POD.</w:t>
      </w:r>
    </w:p>
    <w:p w:rsidR="00AD1D93" w:rsidRPr="00C0604B" w:rsidRDefault="00AD1D93" w:rsidP="00AD1D93">
      <w:pPr>
        <w:rPr>
          <w:rFonts w:ascii="Arial" w:hAnsi="Arial" w:cs="Arial"/>
          <w:sz w:val="18"/>
          <w:szCs w:val="18"/>
        </w:rPr>
      </w:pPr>
    </w:p>
    <w:p w:rsidR="00AD1D93" w:rsidRPr="00C0604B" w:rsidRDefault="00AD1D93" w:rsidP="00AD1D93">
      <w:pPr>
        <w:rPr>
          <w:rFonts w:ascii="Arial" w:hAnsi="Arial" w:cs="Arial"/>
          <w:sz w:val="18"/>
          <w:szCs w:val="18"/>
        </w:rPr>
      </w:pPr>
      <w:proofErr w:type="gramStart"/>
      <w:r w:rsidRPr="00C0604B">
        <w:rPr>
          <w:rFonts w:ascii="Arial" w:hAnsi="Arial" w:cs="Arial"/>
          <w:sz w:val="18"/>
          <w:szCs w:val="18"/>
        </w:rPr>
        <w:t>Figure 2.</w:t>
      </w:r>
      <w:proofErr w:type="gramEnd"/>
      <w:r w:rsidRPr="00C0604B">
        <w:rPr>
          <w:rFonts w:ascii="Arial" w:hAnsi="Arial" w:cs="Arial"/>
          <w:sz w:val="18"/>
          <w:szCs w:val="18"/>
        </w:rPr>
        <w:t xml:space="preserve"> </w:t>
      </w:r>
      <w:proofErr w:type="gramStart"/>
      <w:r w:rsidRPr="00C0604B">
        <w:rPr>
          <w:rFonts w:ascii="Arial" w:hAnsi="Arial" w:cs="Arial"/>
          <w:sz w:val="18"/>
          <w:szCs w:val="18"/>
        </w:rPr>
        <w:t>Intergroup comparison or intragroup comparison before and after surgery.</w:t>
      </w:r>
      <w:proofErr w:type="gramEnd"/>
      <w:r w:rsidRPr="00C0604B">
        <w:rPr>
          <w:rFonts w:ascii="Arial" w:hAnsi="Arial" w:cs="Arial"/>
          <w:sz w:val="18"/>
          <w:szCs w:val="18"/>
        </w:rPr>
        <w:t xml:space="preserve"> Altered metabolic pathways in the POD group before and after surgery (3A, POD VS NPOD group): After analysis using the KEGG database, intergroup comparison (Supplementary Tables 1 and 2) suggested that multiple metabolic pathways were altered in the POD group during the perioperative period, including deficiencies in ω3 and ω6 fatty acids, energy metabolism and oxidative stress, interactions between hypoxia and mitochondrial dysfunction, and disorders in AAA (aromatic amino acid) and BCAA (branched-chain amino acid) metabolism. </w:t>
      </w:r>
      <w:proofErr w:type="gramStart"/>
      <w:r w:rsidRPr="00C0604B">
        <w:rPr>
          <w:rFonts w:ascii="Arial" w:hAnsi="Arial" w:cs="Arial"/>
          <w:sz w:val="18"/>
          <w:szCs w:val="18"/>
        </w:rPr>
        <w:t>Altered metabolic pathways within the POD or NPOD group before and after surgery (3B, Postoperative VS Preoperative).</w:t>
      </w:r>
      <w:proofErr w:type="gramEnd"/>
      <w:r w:rsidRPr="00C0604B">
        <w:rPr>
          <w:rFonts w:ascii="Arial" w:hAnsi="Arial" w:cs="Arial"/>
          <w:sz w:val="18"/>
          <w:szCs w:val="18"/>
        </w:rPr>
        <w:t xml:space="preserve"> After analysis using the KEGG database, intragroup comparison (Supplementary Tables 3 and 4) suggested that surgery brought out that multiple metabolic pathways were altered within the POD or NPOD group during the perioperative period, including fatty acid metabolism, energy metabolism and oxidative stress, and disorders in AAA (aromatic amino acid) and BCAA (branched-chain amino acid) metabolism. POD = Postoperative delirium; NPOD = Non-POD; KEGG = Kyoto Encyclopedia of Genes and Genomes; TCA cycle = </w:t>
      </w:r>
      <w:proofErr w:type="spellStart"/>
      <w:r w:rsidRPr="00C0604B">
        <w:rPr>
          <w:rFonts w:ascii="Arial" w:hAnsi="Arial" w:cs="Arial"/>
          <w:sz w:val="18"/>
          <w:szCs w:val="18"/>
        </w:rPr>
        <w:t>tricarboxylic</w:t>
      </w:r>
      <w:proofErr w:type="spellEnd"/>
      <w:r w:rsidRPr="00C0604B">
        <w:rPr>
          <w:rFonts w:ascii="Arial" w:hAnsi="Arial" w:cs="Arial"/>
          <w:sz w:val="18"/>
          <w:szCs w:val="18"/>
        </w:rPr>
        <w:t xml:space="preserve"> acid cycle; Post VS Pre = Postoperative VS Preoperative.</w:t>
      </w:r>
    </w:p>
    <w:p w:rsidR="00AD1D93" w:rsidRPr="00C0604B" w:rsidRDefault="00AD1D93" w:rsidP="00AD1D93">
      <w:pPr>
        <w:rPr>
          <w:rFonts w:ascii="Arial" w:hAnsi="Arial" w:cs="Arial"/>
          <w:sz w:val="18"/>
          <w:szCs w:val="18"/>
        </w:rPr>
      </w:pPr>
    </w:p>
    <w:p w:rsidR="00AD1D93" w:rsidRPr="00C0604B" w:rsidRDefault="00AD1D93" w:rsidP="00AD1D93">
      <w:pPr>
        <w:rPr>
          <w:rFonts w:ascii="Arial" w:hAnsi="Arial" w:cs="Arial"/>
          <w:szCs w:val="21"/>
        </w:rPr>
      </w:pPr>
      <w:proofErr w:type="gramStart"/>
      <w:r w:rsidRPr="00C0604B">
        <w:rPr>
          <w:rFonts w:ascii="Arial" w:hAnsi="Arial" w:cs="Arial"/>
          <w:b/>
          <w:szCs w:val="21"/>
        </w:rPr>
        <w:t>Table 1.</w:t>
      </w:r>
      <w:proofErr w:type="gramEnd"/>
      <w:r w:rsidRPr="00C0604B">
        <w:rPr>
          <w:rFonts w:ascii="Arial" w:hAnsi="Arial" w:cs="Arial"/>
          <w:szCs w:val="21"/>
        </w:rPr>
        <w:t xml:space="preserve"> </w:t>
      </w:r>
      <w:proofErr w:type="gramStart"/>
      <w:r w:rsidRPr="00C0604B">
        <w:rPr>
          <w:rFonts w:ascii="Arial" w:hAnsi="Arial" w:cs="Arial"/>
          <w:szCs w:val="21"/>
        </w:rPr>
        <w:t>Demographic characteristics of the POD and NPOD groups.</w:t>
      </w:r>
      <w:proofErr w:type="gramEnd"/>
    </w:p>
    <w:tbl>
      <w:tblPr>
        <w:tblW w:w="8343" w:type="dxa"/>
        <w:tblLook w:val="04A0" w:firstRow="1" w:lastRow="0" w:firstColumn="1" w:lastColumn="0" w:noHBand="0" w:noVBand="1"/>
      </w:tblPr>
      <w:tblGrid>
        <w:gridCol w:w="2802"/>
        <w:gridCol w:w="2268"/>
        <w:gridCol w:w="2268"/>
        <w:gridCol w:w="1005"/>
      </w:tblGrid>
      <w:tr w:rsidR="00AD1D93" w:rsidRPr="006701FA" w:rsidTr="004633C5">
        <w:trPr>
          <w:cantSplit/>
          <w:trHeight w:val="314"/>
        </w:trPr>
        <w:tc>
          <w:tcPr>
            <w:tcW w:w="2802" w:type="dxa"/>
            <w:tcBorders>
              <w:top w:val="single" w:sz="6" w:space="0" w:color="auto"/>
              <w:bottom w:val="single" w:sz="6" w:space="0" w:color="auto"/>
            </w:tcBorders>
            <w:shd w:val="clear" w:color="auto" w:fill="auto"/>
            <w:vAlign w:val="center"/>
          </w:tcPr>
          <w:p w:rsidR="00AD1D93" w:rsidRPr="006701FA" w:rsidRDefault="00AD1D93" w:rsidP="004633C5">
            <w:pPr>
              <w:autoSpaceDE w:val="0"/>
              <w:autoSpaceDN w:val="0"/>
              <w:adjustRightInd w:val="0"/>
              <w:snapToGrid w:val="0"/>
              <w:jc w:val="left"/>
              <w:rPr>
                <w:rFonts w:ascii="Arial" w:hAnsi="Arial" w:cs="Arial"/>
                <w:kern w:val="0"/>
                <w:szCs w:val="21"/>
                <w:lang w:val="en-GB"/>
              </w:rPr>
            </w:pPr>
            <w:r w:rsidRPr="006701FA">
              <w:rPr>
                <w:rFonts w:ascii="Arial" w:hAnsi="Arial" w:cs="Arial"/>
                <w:bCs/>
                <w:kern w:val="0"/>
                <w:szCs w:val="21"/>
                <w:lang w:val="en-GB"/>
              </w:rPr>
              <w:t>Characteristic</w:t>
            </w:r>
          </w:p>
        </w:tc>
        <w:tc>
          <w:tcPr>
            <w:tcW w:w="2268" w:type="dxa"/>
            <w:tcBorders>
              <w:top w:val="single" w:sz="6" w:space="0" w:color="auto"/>
              <w:bottom w:val="single" w:sz="6" w:space="0" w:color="auto"/>
            </w:tcBorders>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POD Group (n = 60)</w:t>
            </w:r>
          </w:p>
        </w:tc>
        <w:tc>
          <w:tcPr>
            <w:tcW w:w="2268" w:type="dxa"/>
            <w:tcBorders>
              <w:top w:val="single" w:sz="6" w:space="0" w:color="auto"/>
              <w:bottom w:val="single" w:sz="6" w:space="0" w:color="auto"/>
            </w:tcBorders>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NPOD Group (n = 60)</w:t>
            </w:r>
          </w:p>
        </w:tc>
        <w:tc>
          <w:tcPr>
            <w:tcW w:w="1005" w:type="dxa"/>
            <w:tcBorders>
              <w:top w:val="single" w:sz="6" w:space="0" w:color="auto"/>
              <w:bottom w:val="single" w:sz="6" w:space="0" w:color="auto"/>
            </w:tcBorders>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i/>
                <w:kern w:val="0"/>
                <w:szCs w:val="21"/>
                <w:lang w:val="en-GB"/>
              </w:rPr>
              <w:t>p</w:t>
            </w:r>
            <w:r w:rsidRPr="006701FA">
              <w:rPr>
                <w:rFonts w:ascii="Arial" w:hAnsi="Arial" w:cs="Arial"/>
                <w:kern w:val="0"/>
                <w:szCs w:val="21"/>
                <w:lang w:val="en-GB"/>
              </w:rPr>
              <w:t>-value</w:t>
            </w:r>
          </w:p>
        </w:tc>
      </w:tr>
      <w:tr w:rsidR="00AD1D93" w:rsidRPr="006701FA" w:rsidTr="004633C5">
        <w:trPr>
          <w:cantSplit/>
          <w:trHeight w:val="314"/>
        </w:trPr>
        <w:tc>
          <w:tcPr>
            <w:tcW w:w="2802" w:type="dxa"/>
            <w:tcBorders>
              <w:top w:val="single" w:sz="6" w:space="0" w:color="auto"/>
            </w:tcBorders>
            <w:shd w:val="clear" w:color="auto" w:fill="auto"/>
            <w:vAlign w:val="center"/>
          </w:tcPr>
          <w:p w:rsidR="00AD1D93" w:rsidRPr="006701FA" w:rsidRDefault="00AD1D93" w:rsidP="004633C5">
            <w:pPr>
              <w:autoSpaceDE w:val="0"/>
              <w:autoSpaceDN w:val="0"/>
              <w:adjustRightInd w:val="0"/>
              <w:snapToGrid w:val="0"/>
              <w:jc w:val="left"/>
              <w:rPr>
                <w:rFonts w:ascii="Arial" w:hAnsi="Arial" w:cs="Arial"/>
                <w:kern w:val="0"/>
                <w:szCs w:val="21"/>
                <w:lang w:val="en-GB"/>
              </w:rPr>
            </w:pPr>
            <w:r w:rsidRPr="006701FA">
              <w:rPr>
                <w:rFonts w:ascii="Arial" w:hAnsi="Arial" w:cs="Arial"/>
                <w:kern w:val="0"/>
                <w:szCs w:val="21"/>
                <w:lang w:val="en-GB"/>
              </w:rPr>
              <w:t>Age (years)</w:t>
            </w:r>
          </w:p>
        </w:tc>
        <w:tc>
          <w:tcPr>
            <w:tcW w:w="2268" w:type="dxa"/>
            <w:tcBorders>
              <w:top w:val="single" w:sz="6" w:space="0" w:color="auto"/>
            </w:tcBorders>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72.3 ± 5.0</w:t>
            </w:r>
          </w:p>
        </w:tc>
        <w:tc>
          <w:tcPr>
            <w:tcW w:w="2268" w:type="dxa"/>
            <w:tcBorders>
              <w:top w:val="single" w:sz="6" w:space="0" w:color="auto"/>
            </w:tcBorders>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71.5 ± 5.1</w:t>
            </w:r>
          </w:p>
        </w:tc>
        <w:tc>
          <w:tcPr>
            <w:tcW w:w="1005" w:type="dxa"/>
            <w:tcBorders>
              <w:top w:val="single" w:sz="6" w:space="0" w:color="auto"/>
            </w:tcBorders>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0.387</w:t>
            </w:r>
          </w:p>
        </w:tc>
      </w:tr>
      <w:tr w:rsidR="00AD1D93" w:rsidRPr="006701FA" w:rsidTr="004633C5">
        <w:trPr>
          <w:cantSplit/>
          <w:trHeight w:val="314"/>
        </w:trPr>
        <w:tc>
          <w:tcPr>
            <w:tcW w:w="2802" w:type="dxa"/>
            <w:shd w:val="clear" w:color="auto" w:fill="auto"/>
            <w:vAlign w:val="center"/>
          </w:tcPr>
          <w:p w:rsidR="00AD1D93" w:rsidRPr="006701FA" w:rsidRDefault="00AD1D93" w:rsidP="004633C5">
            <w:pPr>
              <w:autoSpaceDE w:val="0"/>
              <w:autoSpaceDN w:val="0"/>
              <w:adjustRightInd w:val="0"/>
              <w:snapToGrid w:val="0"/>
              <w:jc w:val="left"/>
              <w:rPr>
                <w:rFonts w:ascii="Arial" w:hAnsi="Arial" w:cs="Arial"/>
                <w:kern w:val="0"/>
                <w:szCs w:val="21"/>
                <w:lang w:val="en-GB"/>
              </w:rPr>
            </w:pPr>
            <w:r w:rsidRPr="006701FA">
              <w:rPr>
                <w:rFonts w:ascii="Arial" w:hAnsi="Arial" w:cs="Arial"/>
                <w:kern w:val="0"/>
                <w:szCs w:val="21"/>
                <w:lang w:val="en-GB"/>
              </w:rPr>
              <w:t>Female</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35</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32</w:t>
            </w:r>
          </w:p>
        </w:tc>
        <w:tc>
          <w:tcPr>
            <w:tcW w:w="1005"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0.713</w:t>
            </w:r>
          </w:p>
        </w:tc>
      </w:tr>
      <w:tr w:rsidR="00AD1D93" w:rsidRPr="006701FA" w:rsidTr="004633C5">
        <w:trPr>
          <w:cantSplit/>
          <w:trHeight w:val="334"/>
        </w:trPr>
        <w:tc>
          <w:tcPr>
            <w:tcW w:w="2802" w:type="dxa"/>
            <w:shd w:val="clear" w:color="auto" w:fill="auto"/>
            <w:vAlign w:val="center"/>
          </w:tcPr>
          <w:p w:rsidR="00AD1D93" w:rsidRPr="006701FA" w:rsidRDefault="00AD1D93" w:rsidP="004633C5">
            <w:pPr>
              <w:autoSpaceDE w:val="0"/>
              <w:autoSpaceDN w:val="0"/>
              <w:adjustRightInd w:val="0"/>
              <w:snapToGrid w:val="0"/>
              <w:jc w:val="left"/>
              <w:rPr>
                <w:rFonts w:ascii="Arial" w:hAnsi="Arial" w:cs="Arial"/>
                <w:kern w:val="0"/>
                <w:szCs w:val="21"/>
                <w:lang w:val="en-GB"/>
              </w:rPr>
            </w:pPr>
            <w:r w:rsidRPr="006701FA">
              <w:rPr>
                <w:rFonts w:ascii="Arial" w:hAnsi="Arial" w:cs="Arial"/>
                <w:kern w:val="0"/>
                <w:szCs w:val="21"/>
                <w:lang w:val="en-GB"/>
              </w:rPr>
              <w:t>BMI</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eastAsia="AdvTimes" w:hAnsi="Arial" w:cs="Arial"/>
                <w:kern w:val="0"/>
                <w:szCs w:val="21"/>
                <w:lang w:val="en-GB"/>
              </w:rPr>
            </w:pPr>
            <w:r w:rsidRPr="006701FA">
              <w:rPr>
                <w:rFonts w:ascii="Arial" w:eastAsia="AdvTimes" w:hAnsi="Arial" w:cs="Arial"/>
                <w:kern w:val="0"/>
                <w:szCs w:val="21"/>
                <w:lang w:val="en-GB"/>
              </w:rPr>
              <w:t>20.15 ± 3.11</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eastAsia="AdvTimes" w:hAnsi="Arial" w:cs="Arial"/>
                <w:kern w:val="0"/>
                <w:szCs w:val="21"/>
                <w:lang w:val="en-GB"/>
              </w:rPr>
            </w:pPr>
            <w:r w:rsidRPr="006701FA">
              <w:rPr>
                <w:rFonts w:ascii="Arial" w:eastAsia="AdvTimes" w:hAnsi="Arial" w:cs="Arial"/>
                <w:kern w:val="0"/>
                <w:szCs w:val="21"/>
                <w:lang w:val="en-GB"/>
              </w:rPr>
              <w:t>21.03 ± 3.08</w:t>
            </w:r>
          </w:p>
        </w:tc>
        <w:tc>
          <w:tcPr>
            <w:tcW w:w="1005"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0.122</w:t>
            </w:r>
          </w:p>
        </w:tc>
      </w:tr>
      <w:tr w:rsidR="00AD1D93" w:rsidRPr="006701FA" w:rsidTr="004633C5">
        <w:trPr>
          <w:cantSplit/>
          <w:trHeight w:val="314"/>
        </w:trPr>
        <w:tc>
          <w:tcPr>
            <w:tcW w:w="2802" w:type="dxa"/>
            <w:shd w:val="clear" w:color="auto" w:fill="auto"/>
            <w:vAlign w:val="center"/>
          </w:tcPr>
          <w:p w:rsidR="00AD1D93" w:rsidRPr="006701FA" w:rsidRDefault="00AD1D93" w:rsidP="004633C5">
            <w:pPr>
              <w:autoSpaceDE w:val="0"/>
              <w:autoSpaceDN w:val="0"/>
              <w:adjustRightInd w:val="0"/>
              <w:snapToGrid w:val="0"/>
              <w:jc w:val="left"/>
              <w:rPr>
                <w:rFonts w:ascii="Arial" w:hAnsi="Arial" w:cs="Arial"/>
                <w:kern w:val="0"/>
                <w:szCs w:val="21"/>
                <w:lang w:val="en-GB"/>
              </w:rPr>
            </w:pPr>
            <w:r w:rsidRPr="006701FA">
              <w:rPr>
                <w:rFonts w:ascii="Arial" w:hAnsi="Arial" w:cs="Arial"/>
                <w:kern w:val="0"/>
                <w:szCs w:val="21"/>
                <w:lang w:val="en-GB"/>
              </w:rPr>
              <w:t>Education (years)</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7.6 ± 2.7</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7.9 ± 2.8</w:t>
            </w:r>
          </w:p>
        </w:tc>
        <w:tc>
          <w:tcPr>
            <w:tcW w:w="1005"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0.551</w:t>
            </w:r>
          </w:p>
        </w:tc>
      </w:tr>
      <w:tr w:rsidR="00AD1D93" w:rsidRPr="006701FA" w:rsidTr="004633C5">
        <w:trPr>
          <w:cantSplit/>
          <w:trHeight w:val="354"/>
        </w:trPr>
        <w:tc>
          <w:tcPr>
            <w:tcW w:w="2802" w:type="dxa"/>
            <w:shd w:val="clear" w:color="auto" w:fill="auto"/>
            <w:vAlign w:val="center"/>
          </w:tcPr>
          <w:p w:rsidR="00AD1D93" w:rsidRPr="006701FA" w:rsidRDefault="00AD1D93" w:rsidP="004633C5">
            <w:pPr>
              <w:autoSpaceDE w:val="0"/>
              <w:autoSpaceDN w:val="0"/>
              <w:adjustRightInd w:val="0"/>
              <w:snapToGrid w:val="0"/>
              <w:jc w:val="left"/>
              <w:rPr>
                <w:rFonts w:ascii="Arial" w:hAnsi="Arial" w:cs="Arial"/>
                <w:kern w:val="0"/>
                <w:szCs w:val="21"/>
                <w:lang w:val="en-GB"/>
              </w:rPr>
            </w:pPr>
            <w:r w:rsidRPr="006701FA">
              <w:rPr>
                <w:rFonts w:ascii="Arial" w:hAnsi="Arial" w:cs="Arial"/>
                <w:kern w:val="0"/>
                <w:szCs w:val="21"/>
                <w:lang w:val="en-GB"/>
              </w:rPr>
              <w:t>ASA (I/II)</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25/35</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21/39</w:t>
            </w:r>
          </w:p>
        </w:tc>
        <w:tc>
          <w:tcPr>
            <w:tcW w:w="1005"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0.573</w:t>
            </w:r>
          </w:p>
        </w:tc>
      </w:tr>
      <w:tr w:rsidR="00AD1D93" w:rsidRPr="006701FA" w:rsidTr="004633C5">
        <w:trPr>
          <w:cantSplit/>
          <w:trHeight w:val="314"/>
        </w:trPr>
        <w:tc>
          <w:tcPr>
            <w:tcW w:w="2802" w:type="dxa"/>
            <w:shd w:val="clear" w:color="auto" w:fill="auto"/>
            <w:vAlign w:val="center"/>
          </w:tcPr>
          <w:p w:rsidR="00AD1D93" w:rsidRPr="006701FA" w:rsidRDefault="00AD1D93" w:rsidP="004633C5">
            <w:pPr>
              <w:autoSpaceDE w:val="0"/>
              <w:autoSpaceDN w:val="0"/>
              <w:adjustRightInd w:val="0"/>
              <w:snapToGrid w:val="0"/>
              <w:jc w:val="left"/>
              <w:rPr>
                <w:rFonts w:ascii="Arial" w:hAnsi="Arial" w:cs="Arial"/>
                <w:kern w:val="0"/>
                <w:szCs w:val="21"/>
                <w:lang w:val="en-GB"/>
              </w:rPr>
            </w:pPr>
            <w:r w:rsidRPr="006701FA">
              <w:rPr>
                <w:rFonts w:ascii="Arial" w:hAnsi="Arial" w:cs="Arial"/>
                <w:kern w:val="0"/>
                <w:szCs w:val="21"/>
                <w:lang w:val="en-GB"/>
              </w:rPr>
              <w:t>Preoperative MMSE scores</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27.23 ± 1.77</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27.71 ± 1.86</w:t>
            </w:r>
          </w:p>
        </w:tc>
        <w:tc>
          <w:tcPr>
            <w:tcW w:w="1005"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0.150</w:t>
            </w:r>
          </w:p>
        </w:tc>
      </w:tr>
      <w:tr w:rsidR="00AD1D93" w:rsidRPr="006701FA" w:rsidTr="004633C5">
        <w:trPr>
          <w:cantSplit/>
          <w:trHeight w:val="314"/>
        </w:trPr>
        <w:tc>
          <w:tcPr>
            <w:tcW w:w="2802" w:type="dxa"/>
            <w:shd w:val="clear" w:color="auto" w:fill="auto"/>
            <w:vAlign w:val="center"/>
          </w:tcPr>
          <w:p w:rsidR="00AD1D93" w:rsidRPr="006701FA" w:rsidRDefault="00AD1D93" w:rsidP="004633C5">
            <w:pPr>
              <w:autoSpaceDE w:val="0"/>
              <w:autoSpaceDN w:val="0"/>
              <w:adjustRightInd w:val="0"/>
              <w:snapToGrid w:val="0"/>
              <w:jc w:val="left"/>
              <w:rPr>
                <w:rFonts w:ascii="Arial" w:hAnsi="Arial" w:cs="Arial"/>
                <w:kern w:val="0"/>
                <w:szCs w:val="21"/>
                <w:lang w:val="en-GB"/>
              </w:rPr>
            </w:pPr>
            <w:r w:rsidRPr="006701FA">
              <w:rPr>
                <w:rFonts w:ascii="Arial" w:hAnsi="Arial" w:cs="Arial"/>
                <w:kern w:val="0"/>
                <w:szCs w:val="21"/>
                <w:lang w:val="en-GB"/>
              </w:rPr>
              <w:t xml:space="preserve">Preoperative </w:t>
            </w:r>
            <w:proofErr w:type="spellStart"/>
            <w:r w:rsidRPr="006701FA">
              <w:rPr>
                <w:rFonts w:ascii="Arial" w:hAnsi="Arial" w:cs="Arial"/>
                <w:kern w:val="0"/>
                <w:szCs w:val="21"/>
                <w:lang w:val="en-GB"/>
              </w:rPr>
              <w:t>Charlson</w:t>
            </w:r>
            <w:proofErr w:type="spellEnd"/>
            <w:r w:rsidRPr="006701FA">
              <w:rPr>
                <w:rFonts w:ascii="Arial" w:hAnsi="Arial" w:cs="Arial"/>
                <w:kern w:val="0"/>
                <w:szCs w:val="21"/>
                <w:lang w:val="en-GB"/>
              </w:rPr>
              <w:t xml:space="preserve"> Comorbidity Index</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1.8 ± 0.6</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1.7 ± 0.7</w:t>
            </w:r>
          </w:p>
        </w:tc>
        <w:tc>
          <w:tcPr>
            <w:tcW w:w="1005"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0.403</w:t>
            </w:r>
          </w:p>
        </w:tc>
      </w:tr>
      <w:tr w:rsidR="00AD1D93" w:rsidRPr="006701FA" w:rsidTr="004633C5">
        <w:trPr>
          <w:cantSplit/>
          <w:trHeight w:val="314"/>
        </w:trPr>
        <w:tc>
          <w:tcPr>
            <w:tcW w:w="2802" w:type="dxa"/>
            <w:shd w:val="clear" w:color="auto" w:fill="auto"/>
            <w:vAlign w:val="center"/>
          </w:tcPr>
          <w:p w:rsidR="00AD1D93" w:rsidRPr="006701FA" w:rsidRDefault="00AD1D93" w:rsidP="004633C5">
            <w:pPr>
              <w:autoSpaceDE w:val="0"/>
              <w:autoSpaceDN w:val="0"/>
              <w:adjustRightInd w:val="0"/>
              <w:snapToGrid w:val="0"/>
              <w:jc w:val="left"/>
              <w:rPr>
                <w:rFonts w:ascii="Arial" w:hAnsi="Arial" w:cs="Arial"/>
                <w:kern w:val="0"/>
                <w:szCs w:val="21"/>
                <w:shd w:val="clear" w:color="auto" w:fill="FFFFFF"/>
                <w:lang w:val="en-GB"/>
              </w:rPr>
            </w:pPr>
            <w:r w:rsidRPr="006701FA">
              <w:rPr>
                <w:rFonts w:ascii="Arial" w:hAnsi="Arial" w:cs="Arial"/>
                <w:kern w:val="0"/>
                <w:szCs w:val="21"/>
                <w:lang w:val="en-GB"/>
              </w:rPr>
              <w:t xml:space="preserve">Operation duration </w:t>
            </w:r>
            <w:r w:rsidRPr="006701FA">
              <w:rPr>
                <w:rFonts w:ascii="Arial" w:hAnsi="Arial" w:cs="Arial"/>
                <w:kern w:val="0"/>
                <w:szCs w:val="21"/>
                <w:shd w:val="clear" w:color="auto" w:fill="FFFFFF"/>
                <w:lang w:val="en-GB"/>
              </w:rPr>
              <w:t>(min)</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96 ± 35</w:t>
            </w:r>
          </w:p>
        </w:tc>
        <w:tc>
          <w:tcPr>
            <w:tcW w:w="2268"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89 ± 36</w:t>
            </w:r>
          </w:p>
        </w:tc>
        <w:tc>
          <w:tcPr>
            <w:tcW w:w="1005" w:type="dxa"/>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0.282</w:t>
            </w:r>
          </w:p>
        </w:tc>
      </w:tr>
      <w:tr w:rsidR="00AD1D93" w:rsidRPr="006701FA" w:rsidTr="004633C5">
        <w:trPr>
          <w:cantSplit/>
          <w:trHeight w:val="334"/>
        </w:trPr>
        <w:tc>
          <w:tcPr>
            <w:tcW w:w="2802" w:type="dxa"/>
            <w:tcBorders>
              <w:bottom w:val="single" w:sz="6" w:space="0" w:color="auto"/>
            </w:tcBorders>
            <w:shd w:val="clear" w:color="auto" w:fill="auto"/>
            <w:vAlign w:val="center"/>
          </w:tcPr>
          <w:p w:rsidR="00AD1D93" w:rsidRPr="006701FA" w:rsidRDefault="00AD1D93" w:rsidP="004633C5">
            <w:pPr>
              <w:autoSpaceDE w:val="0"/>
              <w:autoSpaceDN w:val="0"/>
              <w:adjustRightInd w:val="0"/>
              <w:snapToGrid w:val="0"/>
              <w:jc w:val="left"/>
              <w:rPr>
                <w:rFonts w:ascii="Arial" w:hAnsi="Arial" w:cs="Arial"/>
                <w:kern w:val="0"/>
                <w:szCs w:val="21"/>
                <w:lang w:val="en-GB"/>
              </w:rPr>
            </w:pPr>
            <w:r w:rsidRPr="006701FA">
              <w:rPr>
                <w:rFonts w:ascii="Arial" w:hAnsi="Arial" w:cs="Arial"/>
                <w:kern w:val="0"/>
                <w:szCs w:val="21"/>
                <w:lang w:val="en-GB"/>
              </w:rPr>
              <w:t>Anaesthesia duration (min)</w:t>
            </w:r>
          </w:p>
        </w:tc>
        <w:tc>
          <w:tcPr>
            <w:tcW w:w="2268" w:type="dxa"/>
            <w:tcBorders>
              <w:bottom w:val="single" w:sz="6" w:space="0" w:color="auto"/>
            </w:tcBorders>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117 ± 38</w:t>
            </w:r>
          </w:p>
        </w:tc>
        <w:tc>
          <w:tcPr>
            <w:tcW w:w="2268" w:type="dxa"/>
            <w:tcBorders>
              <w:bottom w:val="single" w:sz="6" w:space="0" w:color="auto"/>
            </w:tcBorders>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110 ± 37</w:t>
            </w:r>
          </w:p>
        </w:tc>
        <w:tc>
          <w:tcPr>
            <w:tcW w:w="1005" w:type="dxa"/>
            <w:tcBorders>
              <w:bottom w:val="single" w:sz="6" w:space="0" w:color="auto"/>
            </w:tcBorders>
            <w:shd w:val="clear" w:color="auto" w:fill="auto"/>
            <w:vAlign w:val="center"/>
          </w:tcPr>
          <w:p w:rsidR="00AD1D93" w:rsidRPr="006701FA" w:rsidRDefault="00AD1D93" w:rsidP="004633C5">
            <w:pPr>
              <w:autoSpaceDE w:val="0"/>
              <w:autoSpaceDN w:val="0"/>
              <w:adjustRightInd w:val="0"/>
              <w:snapToGrid w:val="0"/>
              <w:jc w:val="center"/>
              <w:rPr>
                <w:rFonts w:ascii="Arial" w:hAnsi="Arial" w:cs="Arial"/>
                <w:kern w:val="0"/>
                <w:szCs w:val="21"/>
                <w:lang w:val="en-GB"/>
              </w:rPr>
            </w:pPr>
            <w:r w:rsidRPr="006701FA">
              <w:rPr>
                <w:rFonts w:ascii="Arial" w:hAnsi="Arial" w:cs="Arial"/>
                <w:kern w:val="0"/>
                <w:szCs w:val="21"/>
                <w:lang w:val="en-GB"/>
              </w:rPr>
              <w:t>0.309</w:t>
            </w:r>
          </w:p>
        </w:tc>
      </w:tr>
    </w:tbl>
    <w:p w:rsidR="00AD1D93" w:rsidRPr="001D51D7" w:rsidRDefault="00AD1D93" w:rsidP="00AD1D93">
      <w:pPr>
        <w:rPr>
          <w:rFonts w:ascii="Times New Roman" w:hAnsi="Times New Roman" w:cs="Times New Roman"/>
          <w:sz w:val="24"/>
          <w:szCs w:val="24"/>
        </w:rPr>
      </w:pPr>
      <w:r w:rsidRPr="00C0604B">
        <w:rPr>
          <w:rFonts w:ascii="Times New Roman" w:hAnsi="Times New Roman" w:cs="Times New Roman"/>
          <w:i/>
          <w:sz w:val="24"/>
          <w:szCs w:val="24"/>
        </w:rPr>
        <w:lastRenderedPageBreak/>
        <w:t xml:space="preserve">Note: </w:t>
      </w:r>
      <w:r w:rsidRPr="001D51D7">
        <w:rPr>
          <w:rFonts w:ascii="Times New Roman" w:hAnsi="Times New Roman" w:cs="Times New Roman"/>
          <w:sz w:val="24"/>
          <w:szCs w:val="24"/>
        </w:rPr>
        <w:t>POD = Postoperative delirium; NPOD = Non-POD; BMI = Body Mass Index; ASA = The American Society of Anesthesiologists; MMSE = Mini-mental state examination.</w:t>
      </w:r>
    </w:p>
    <w:p w:rsidR="00AD1D93" w:rsidRPr="001D51D7" w:rsidRDefault="00AD1D93" w:rsidP="00AD1D93">
      <w:pPr>
        <w:rPr>
          <w:rFonts w:ascii="Times New Roman" w:hAnsi="Times New Roman" w:cs="Times New Roman"/>
          <w:sz w:val="24"/>
          <w:szCs w:val="24"/>
        </w:rPr>
      </w:pPr>
    </w:p>
    <w:p w:rsidR="00AD1D93" w:rsidRPr="001D51D7" w:rsidRDefault="00AD1D93" w:rsidP="00AD1D93">
      <w:pPr>
        <w:rPr>
          <w:rFonts w:ascii="Times New Roman" w:hAnsi="Times New Roman" w:cs="Times New Roman"/>
          <w:sz w:val="24"/>
          <w:szCs w:val="24"/>
        </w:rPr>
      </w:pPr>
    </w:p>
    <w:p w:rsidR="00AD1D93" w:rsidRPr="001D51D7" w:rsidRDefault="00AD1D93" w:rsidP="00AD1D93">
      <w:pPr>
        <w:rPr>
          <w:rFonts w:ascii="Times New Roman" w:hAnsi="Times New Roman" w:cs="Times New Roman"/>
          <w:sz w:val="24"/>
          <w:szCs w:val="24"/>
        </w:rPr>
      </w:pPr>
    </w:p>
    <w:p w:rsidR="00AD1D93" w:rsidRPr="001D51D7" w:rsidRDefault="00AD1D93" w:rsidP="00AD1D93">
      <w:pPr>
        <w:rPr>
          <w:rFonts w:ascii="Times New Roman" w:hAnsi="Times New Roman" w:cs="Times New Roman"/>
          <w:sz w:val="24"/>
          <w:szCs w:val="24"/>
        </w:rPr>
      </w:pPr>
    </w:p>
    <w:p w:rsidR="00AD1D93" w:rsidRPr="00C0604B" w:rsidRDefault="00AD1D93" w:rsidP="00AD1D93">
      <w:pPr>
        <w:rPr>
          <w:rFonts w:ascii="Arial" w:hAnsi="Arial" w:cs="Arial"/>
          <w:b/>
          <w:sz w:val="24"/>
          <w:szCs w:val="24"/>
        </w:rPr>
      </w:pPr>
      <w:r w:rsidRPr="00C0604B">
        <w:rPr>
          <w:rFonts w:ascii="Arial" w:hAnsi="Arial" w:cs="Arial"/>
          <w:b/>
          <w:sz w:val="24"/>
          <w:szCs w:val="24"/>
        </w:rPr>
        <w:t>Supplementary Figure Legend</w:t>
      </w:r>
    </w:p>
    <w:p w:rsidR="00AD1D93" w:rsidRPr="00C0604B" w:rsidRDefault="00AD1D93" w:rsidP="00AD1D93">
      <w:pPr>
        <w:rPr>
          <w:rFonts w:ascii="Arial" w:hAnsi="Arial" w:cs="Arial"/>
          <w:szCs w:val="21"/>
        </w:rPr>
      </w:pPr>
    </w:p>
    <w:p w:rsidR="00AD1D93" w:rsidRPr="00C0604B" w:rsidRDefault="00AD1D93" w:rsidP="00AD1D93">
      <w:pPr>
        <w:rPr>
          <w:rFonts w:ascii="Arial" w:hAnsi="Arial" w:cs="Arial"/>
          <w:szCs w:val="21"/>
        </w:rPr>
      </w:pPr>
      <w:proofErr w:type="gramStart"/>
      <w:r w:rsidRPr="00C0604B">
        <w:rPr>
          <w:rFonts w:ascii="Arial" w:hAnsi="Arial" w:cs="Arial"/>
          <w:b/>
          <w:szCs w:val="21"/>
        </w:rPr>
        <w:t>Supplementary Figure 1.</w:t>
      </w:r>
      <w:proofErr w:type="gramEnd"/>
      <w:r w:rsidRPr="00C0604B">
        <w:rPr>
          <w:rFonts w:ascii="Arial" w:hAnsi="Arial" w:cs="Arial"/>
          <w:szCs w:val="21"/>
        </w:rPr>
        <w:t xml:space="preserve"> Flow chart of this matched case-control study. ASA = The American Society of Anesthesiologists; MMSE = Mini-mental state examination; POD = Postoperative delirium; NPOD = Non-POD.</w:t>
      </w:r>
    </w:p>
    <w:p w:rsidR="00AD1D93" w:rsidRPr="001D51D7" w:rsidRDefault="00AD1D93" w:rsidP="00AD1D93">
      <w:pPr>
        <w:rPr>
          <w:rFonts w:ascii="Times New Roman" w:hAnsi="Times New Roman" w:cs="Times New Roman"/>
          <w:sz w:val="24"/>
          <w:szCs w:val="24"/>
        </w:rPr>
      </w:pPr>
    </w:p>
    <w:p w:rsidR="00AD1D93" w:rsidRPr="00C0604B" w:rsidRDefault="00AD1D93" w:rsidP="00AD1D93">
      <w:pPr>
        <w:rPr>
          <w:rFonts w:ascii="Arial" w:hAnsi="Arial" w:cs="Arial"/>
          <w:b/>
          <w:sz w:val="24"/>
          <w:szCs w:val="24"/>
        </w:rPr>
      </w:pPr>
      <w:r w:rsidRPr="00C0604B">
        <w:rPr>
          <w:rFonts w:ascii="Arial" w:hAnsi="Arial" w:cs="Arial"/>
          <w:b/>
          <w:sz w:val="24"/>
          <w:szCs w:val="24"/>
        </w:rPr>
        <w:t>Titles of Supplementary Tables</w:t>
      </w:r>
    </w:p>
    <w:p w:rsidR="00AD1D93" w:rsidRPr="00C0604B" w:rsidRDefault="00AD1D93" w:rsidP="00AD1D93">
      <w:pPr>
        <w:adjustRightInd w:val="0"/>
        <w:snapToGrid w:val="0"/>
        <w:spacing w:line="360" w:lineRule="auto"/>
        <w:rPr>
          <w:rFonts w:ascii="Arial" w:hAnsi="Arial" w:cs="Arial"/>
          <w:szCs w:val="21"/>
        </w:rPr>
      </w:pPr>
    </w:p>
    <w:p w:rsidR="00AD1D93" w:rsidRPr="00C0604B" w:rsidRDefault="00AD1D93" w:rsidP="00AD1D93">
      <w:pPr>
        <w:adjustRightInd w:val="0"/>
        <w:snapToGrid w:val="0"/>
        <w:spacing w:line="360" w:lineRule="auto"/>
        <w:rPr>
          <w:rFonts w:ascii="Arial" w:hAnsi="Arial" w:cs="Arial"/>
          <w:szCs w:val="21"/>
        </w:rPr>
      </w:pPr>
      <w:proofErr w:type="gramStart"/>
      <w:r w:rsidRPr="00C0604B">
        <w:rPr>
          <w:rFonts w:ascii="Arial" w:hAnsi="Arial" w:cs="Arial"/>
          <w:b/>
          <w:szCs w:val="21"/>
        </w:rPr>
        <w:t>Supplementary Table 1.</w:t>
      </w:r>
      <w:proofErr w:type="gramEnd"/>
      <w:r w:rsidRPr="00C0604B">
        <w:rPr>
          <w:rFonts w:ascii="Arial" w:hAnsi="Arial" w:cs="Arial"/>
          <w:b/>
          <w:szCs w:val="21"/>
        </w:rPr>
        <w:t xml:space="preserve"> </w:t>
      </w:r>
      <w:r w:rsidRPr="00C0604B">
        <w:rPr>
          <w:rFonts w:ascii="Arial" w:hAnsi="Arial" w:cs="Arial"/>
          <w:szCs w:val="21"/>
        </w:rPr>
        <w:t>Metabolites identified from preoperative data that differentiate the POD and NPOD groups.</w:t>
      </w:r>
    </w:p>
    <w:p w:rsidR="00AD1D93" w:rsidRPr="00C0604B" w:rsidRDefault="00AD1D93" w:rsidP="00AD1D93">
      <w:pPr>
        <w:adjustRightInd w:val="0"/>
        <w:snapToGrid w:val="0"/>
        <w:spacing w:line="360" w:lineRule="auto"/>
        <w:rPr>
          <w:rFonts w:ascii="Arial" w:hAnsi="Arial" w:cs="Arial"/>
          <w:szCs w:val="21"/>
        </w:rPr>
      </w:pPr>
    </w:p>
    <w:p w:rsidR="00AD1D93" w:rsidRPr="00C0604B" w:rsidRDefault="00AD1D93" w:rsidP="00AD1D93">
      <w:pPr>
        <w:adjustRightInd w:val="0"/>
        <w:snapToGrid w:val="0"/>
        <w:spacing w:line="360" w:lineRule="auto"/>
        <w:rPr>
          <w:rFonts w:ascii="Arial" w:hAnsi="Arial" w:cs="Arial"/>
          <w:szCs w:val="21"/>
        </w:rPr>
      </w:pPr>
      <w:proofErr w:type="gramStart"/>
      <w:r w:rsidRPr="00C0604B">
        <w:rPr>
          <w:rFonts w:ascii="Arial" w:hAnsi="Arial" w:cs="Arial"/>
          <w:b/>
          <w:szCs w:val="21"/>
        </w:rPr>
        <w:t>Supplementary Table 2.</w:t>
      </w:r>
      <w:proofErr w:type="gramEnd"/>
      <w:r w:rsidRPr="00C0604B">
        <w:rPr>
          <w:rFonts w:ascii="Arial" w:hAnsi="Arial" w:cs="Arial"/>
          <w:b/>
          <w:szCs w:val="21"/>
        </w:rPr>
        <w:t xml:space="preserve"> </w:t>
      </w:r>
      <w:r w:rsidRPr="00C0604B">
        <w:rPr>
          <w:rFonts w:ascii="Arial" w:hAnsi="Arial" w:cs="Arial"/>
          <w:szCs w:val="21"/>
        </w:rPr>
        <w:t>Metabolites identified from postoperative data that differentiate the POD and NPOD groups.</w:t>
      </w:r>
    </w:p>
    <w:p w:rsidR="00AD1D93" w:rsidRPr="00C0604B" w:rsidRDefault="00AD1D93" w:rsidP="00AD1D93">
      <w:pPr>
        <w:adjustRightInd w:val="0"/>
        <w:snapToGrid w:val="0"/>
        <w:spacing w:line="360" w:lineRule="auto"/>
        <w:rPr>
          <w:rFonts w:ascii="Arial" w:hAnsi="Arial" w:cs="Arial"/>
          <w:szCs w:val="21"/>
        </w:rPr>
      </w:pPr>
    </w:p>
    <w:p w:rsidR="00AD1D93" w:rsidRPr="00C0604B" w:rsidRDefault="00AD1D93" w:rsidP="00AD1D93">
      <w:pPr>
        <w:adjustRightInd w:val="0"/>
        <w:snapToGrid w:val="0"/>
        <w:spacing w:line="360" w:lineRule="auto"/>
        <w:rPr>
          <w:rFonts w:ascii="Arial" w:hAnsi="Arial" w:cs="Arial"/>
          <w:szCs w:val="21"/>
        </w:rPr>
      </w:pPr>
      <w:proofErr w:type="gramStart"/>
      <w:r w:rsidRPr="00C0604B">
        <w:rPr>
          <w:rFonts w:ascii="Arial" w:hAnsi="Arial" w:cs="Arial"/>
          <w:b/>
          <w:szCs w:val="21"/>
        </w:rPr>
        <w:t>Supplementary Table 3.</w:t>
      </w:r>
      <w:proofErr w:type="gramEnd"/>
      <w:r w:rsidRPr="00C0604B">
        <w:rPr>
          <w:rFonts w:ascii="Arial" w:hAnsi="Arial" w:cs="Arial"/>
          <w:b/>
          <w:szCs w:val="21"/>
        </w:rPr>
        <w:t xml:space="preserve"> </w:t>
      </w:r>
      <w:proofErr w:type="gramStart"/>
      <w:r w:rsidRPr="00C0604B">
        <w:rPr>
          <w:rFonts w:ascii="Arial" w:hAnsi="Arial" w:cs="Arial"/>
          <w:szCs w:val="21"/>
        </w:rPr>
        <w:t>Differentially expressed metabolites within the POD group before and after surgery.</w:t>
      </w:r>
      <w:proofErr w:type="gramEnd"/>
    </w:p>
    <w:p w:rsidR="00AD1D93" w:rsidRPr="00C0604B" w:rsidRDefault="00AD1D93" w:rsidP="00AD1D93">
      <w:pPr>
        <w:adjustRightInd w:val="0"/>
        <w:snapToGrid w:val="0"/>
        <w:spacing w:line="360" w:lineRule="auto"/>
        <w:rPr>
          <w:rFonts w:ascii="Arial" w:hAnsi="Arial" w:cs="Arial"/>
          <w:szCs w:val="21"/>
        </w:rPr>
      </w:pPr>
    </w:p>
    <w:p w:rsidR="00AD1D93" w:rsidRDefault="00AD1D93" w:rsidP="00AD1D93">
      <w:pPr>
        <w:adjustRightInd w:val="0"/>
        <w:snapToGrid w:val="0"/>
        <w:spacing w:line="360" w:lineRule="auto"/>
        <w:rPr>
          <w:rFonts w:ascii="Arial" w:hAnsi="Arial" w:cs="Arial"/>
          <w:szCs w:val="21"/>
        </w:rPr>
      </w:pPr>
      <w:proofErr w:type="gramStart"/>
      <w:r w:rsidRPr="00C0604B">
        <w:rPr>
          <w:rFonts w:ascii="Arial" w:hAnsi="Arial" w:cs="Arial"/>
          <w:b/>
          <w:szCs w:val="21"/>
        </w:rPr>
        <w:t>Supplementary Table 4.</w:t>
      </w:r>
      <w:proofErr w:type="gramEnd"/>
      <w:r w:rsidRPr="00C0604B">
        <w:rPr>
          <w:rFonts w:ascii="Arial" w:hAnsi="Arial" w:cs="Arial"/>
          <w:szCs w:val="21"/>
        </w:rPr>
        <w:t xml:space="preserve"> </w:t>
      </w:r>
      <w:proofErr w:type="gramStart"/>
      <w:r w:rsidRPr="00C0604B">
        <w:rPr>
          <w:rFonts w:ascii="Arial" w:hAnsi="Arial" w:cs="Arial"/>
          <w:szCs w:val="21"/>
        </w:rPr>
        <w:t>Differentially expressed metabolites within the NPOD group before and after surgery.</w:t>
      </w:r>
      <w:proofErr w:type="gramEnd"/>
    </w:p>
    <w:p w:rsidR="00D204EB" w:rsidRPr="00AD1D93" w:rsidRDefault="00D204EB" w:rsidP="001B5527"/>
    <w:sectPr w:rsidR="00D204EB" w:rsidRPr="00AD1D9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C1D" w:rsidRDefault="003E2C1D" w:rsidP="00265519">
      <w:r>
        <w:separator/>
      </w:r>
    </w:p>
  </w:endnote>
  <w:endnote w:type="continuationSeparator" w:id="0">
    <w:p w:rsidR="003E2C1D" w:rsidRDefault="003E2C1D" w:rsidP="00265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dvTimes">
    <w:altName w:val="微软雅黑"/>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C1D" w:rsidRDefault="003E2C1D" w:rsidP="00265519">
      <w:r>
        <w:separator/>
      </w:r>
    </w:p>
  </w:footnote>
  <w:footnote w:type="continuationSeparator" w:id="0">
    <w:p w:rsidR="003E2C1D" w:rsidRDefault="003E2C1D" w:rsidP="002655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DF6A2B"/>
    <w:multiLevelType w:val="hybridMultilevel"/>
    <w:tmpl w:val="64AA23D0"/>
    <w:lvl w:ilvl="0" w:tplc="B2C23D86">
      <w:start w:val="1"/>
      <w:numFmt w:val="bullet"/>
      <w:lvlText w:val=""/>
      <w:lvlJc w:val="left"/>
      <w:pPr>
        <w:ind w:left="420" w:hanging="420"/>
      </w:pPr>
      <w:rPr>
        <w:rFonts w:ascii="Wingdings" w:hAnsi="Wingdings" w:hint="default"/>
        <w:sz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72C12A77"/>
    <w:multiLevelType w:val="hybridMultilevel"/>
    <w:tmpl w:val="BFCCA2E4"/>
    <w:lvl w:ilvl="0" w:tplc="B2C23D86">
      <w:start w:val="1"/>
      <w:numFmt w:val="bullet"/>
      <w:lvlText w:val=""/>
      <w:lvlJc w:val="left"/>
      <w:pPr>
        <w:ind w:left="420" w:hanging="420"/>
      </w:pPr>
      <w:rPr>
        <w:rFonts w:ascii="Wingdings" w:hAnsi="Wingdings" w:hint="default"/>
        <w:sz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75964189"/>
    <w:multiLevelType w:val="hybridMultilevel"/>
    <w:tmpl w:val="CABC10AA"/>
    <w:lvl w:ilvl="0" w:tplc="B2C23D86">
      <w:start w:val="1"/>
      <w:numFmt w:val="bullet"/>
      <w:lvlText w:val=""/>
      <w:lvlJc w:val="left"/>
      <w:pPr>
        <w:ind w:left="420" w:hanging="420"/>
      </w:pPr>
      <w:rPr>
        <w:rFonts w:ascii="Wingdings" w:hAnsi="Wingdings" w:hint="default"/>
        <w:sz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7FEC6080"/>
    <w:multiLevelType w:val="hybridMultilevel"/>
    <w:tmpl w:val="A9EAE002"/>
    <w:lvl w:ilvl="0" w:tplc="B2C23D86">
      <w:start w:val="1"/>
      <w:numFmt w:val="bullet"/>
      <w:lvlText w:val=""/>
      <w:lvlJc w:val="left"/>
      <w:pPr>
        <w:ind w:left="420" w:hanging="420"/>
      </w:pPr>
      <w:rPr>
        <w:rFonts w:ascii="Wingdings" w:hAnsi="Wingdings" w:hint="default"/>
        <w:sz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0B9"/>
    <w:rsid w:val="000A3B81"/>
    <w:rsid w:val="001B5527"/>
    <w:rsid w:val="00265519"/>
    <w:rsid w:val="003A3AB5"/>
    <w:rsid w:val="003E2C1D"/>
    <w:rsid w:val="003F7BA1"/>
    <w:rsid w:val="00526B4F"/>
    <w:rsid w:val="00600E1A"/>
    <w:rsid w:val="0064254D"/>
    <w:rsid w:val="00644E58"/>
    <w:rsid w:val="0066083D"/>
    <w:rsid w:val="006907DB"/>
    <w:rsid w:val="008D5867"/>
    <w:rsid w:val="0098053B"/>
    <w:rsid w:val="00AD1D93"/>
    <w:rsid w:val="00B200B9"/>
    <w:rsid w:val="00C23180"/>
    <w:rsid w:val="00C3515B"/>
    <w:rsid w:val="00D204EB"/>
    <w:rsid w:val="00DA657E"/>
    <w:rsid w:val="00F47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D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655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65519"/>
    <w:rPr>
      <w:sz w:val="18"/>
      <w:szCs w:val="18"/>
    </w:rPr>
  </w:style>
  <w:style w:type="paragraph" w:styleId="a4">
    <w:name w:val="footer"/>
    <w:basedOn w:val="a"/>
    <w:link w:val="Char0"/>
    <w:uiPriority w:val="99"/>
    <w:unhideWhenUsed/>
    <w:rsid w:val="00265519"/>
    <w:pPr>
      <w:tabs>
        <w:tab w:val="center" w:pos="4153"/>
        <w:tab w:val="right" w:pos="8306"/>
      </w:tabs>
      <w:snapToGrid w:val="0"/>
      <w:jc w:val="left"/>
    </w:pPr>
    <w:rPr>
      <w:sz w:val="18"/>
      <w:szCs w:val="18"/>
    </w:rPr>
  </w:style>
  <w:style w:type="character" w:customStyle="1" w:styleId="Char0">
    <w:name w:val="页脚 Char"/>
    <w:basedOn w:val="a0"/>
    <w:link w:val="a4"/>
    <w:uiPriority w:val="99"/>
    <w:rsid w:val="00265519"/>
    <w:rPr>
      <w:sz w:val="18"/>
      <w:szCs w:val="18"/>
    </w:rPr>
  </w:style>
  <w:style w:type="paragraph" w:styleId="a5">
    <w:name w:val="List Paragraph"/>
    <w:basedOn w:val="a"/>
    <w:uiPriority w:val="34"/>
    <w:qFormat/>
    <w:rsid w:val="00265519"/>
    <w:pPr>
      <w:ind w:firstLineChars="200" w:firstLine="420"/>
    </w:pPr>
  </w:style>
  <w:style w:type="paragraph" w:customStyle="1" w:styleId="EndNoteBibliography">
    <w:name w:val="EndNote Bibliography"/>
    <w:basedOn w:val="a"/>
    <w:link w:val="EndNoteBibliographyChar"/>
    <w:rsid w:val="00265519"/>
    <w:rPr>
      <w:rFonts w:ascii="Calibri" w:hAnsi="Calibri"/>
      <w:noProof/>
      <w:sz w:val="20"/>
    </w:rPr>
  </w:style>
  <w:style w:type="character" w:customStyle="1" w:styleId="EndNoteBibliographyChar">
    <w:name w:val="EndNote Bibliography Char"/>
    <w:basedOn w:val="a0"/>
    <w:link w:val="EndNoteBibliography"/>
    <w:rsid w:val="00265519"/>
    <w:rPr>
      <w:rFonts w:ascii="Calibri" w:hAnsi="Calibri"/>
      <w:noProof/>
      <w:sz w:val="20"/>
    </w:rPr>
  </w:style>
  <w:style w:type="character" w:styleId="a6">
    <w:name w:val="Strong"/>
    <w:basedOn w:val="a0"/>
    <w:uiPriority w:val="22"/>
    <w:qFormat/>
    <w:rsid w:val="00F478D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D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655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65519"/>
    <w:rPr>
      <w:sz w:val="18"/>
      <w:szCs w:val="18"/>
    </w:rPr>
  </w:style>
  <w:style w:type="paragraph" w:styleId="a4">
    <w:name w:val="footer"/>
    <w:basedOn w:val="a"/>
    <w:link w:val="Char0"/>
    <w:uiPriority w:val="99"/>
    <w:unhideWhenUsed/>
    <w:rsid w:val="00265519"/>
    <w:pPr>
      <w:tabs>
        <w:tab w:val="center" w:pos="4153"/>
        <w:tab w:val="right" w:pos="8306"/>
      </w:tabs>
      <w:snapToGrid w:val="0"/>
      <w:jc w:val="left"/>
    </w:pPr>
    <w:rPr>
      <w:sz w:val="18"/>
      <w:szCs w:val="18"/>
    </w:rPr>
  </w:style>
  <w:style w:type="character" w:customStyle="1" w:styleId="Char0">
    <w:name w:val="页脚 Char"/>
    <w:basedOn w:val="a0"/>
    <w:link w:val="a4"/>
    <w:uiPriority w:val="99"/>
    <w:rsid w:val="00265519"/>
    <w:rPr>
      <w:sz w:val="18"/>
      <w:szCs w:val="18"/>
    </w:rPr>
  </w:style>
  <w:style w:type="paragraph" w:styleId="a5">
    <w:name w:val="List Paragraph"/>
    <w:basedOn w:val="a"/>
    <w:uiPriority w:val="34"/>
    <w:qFormat/>
    <w:rsid w:val="00265519"/>
    <w:pPr>
      <w:ind w:firstLineChars="200" w:firstLine="420"/>
    </w:pPr>
  </w:style>
  <w:style w:type="paragraph" w:customStyle="1" w:styleId="EndNoteBibliography">
    <w:name w:val="EndNote Bibliography"/>
    <w:basedOn w:val="a"/>
    <w:link w:val="EndNoteBibliographyChar"/>
    <w:rsid w:val="00265519"/>
    <w:rPr>
      <w:rFonts w:ascii="Calibri" w:hAnsi="Calibri"/>
      <w:noProof/>
      <w:sz w:val="20"/>
    </w:rPr>
  </w:style>
  <w:style w:type="character" w:customStyle="1" w:styleId="EndNoteBibliographyChar">
    <w:name w:val="EndNote Bibliography Char"/>
    <w:basedOn w:val="a0"/>
    <w:link w:val="EndNoteBibliography"/>
    <w:rsid w:val="00265519"/>
    <w:rPr>
      <w:rFonts w:ascii="Calibri" w:hAnsi="Calibri"/>
      <w:noProof/>
      <w:sz w:val="20"/>
    </w:rPr>
  </w:style>
  <w:style w:type="character" w:styleId="a6">
    <w:name w:val="Strong"/>
    <w:basedOn w:val="a0"/>
    <w:uiPriority w:val="22"/>
    <w:qFormat/>
    <w:rsid w:val="00F478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16</Pages>
  <Words>9553</Words>
  <Characters>54456</Characters>
  <Application>Microsoft Office Word</Application>
  <DocSecurity>0</DocSecurity>
  <Lines>453</Lines>
  <Paragraphs>127</Paragraphs>
  <ScaleCrop>false</ScaleCrop>
  <Company>Lenovo</Company>
  <LinksUpToDate>false</LinksUpToDate>
  <CharactersWithSpaces>63882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Garfield</dc:creator>
  <cp:keywords/>
  <dc:description/>
  <cp:lastModifiedBy>Garfield</cp:lastModifiedBy>
  <cp:revision>14</cp:revision>
  <dcterms:created xsi:type="dcterms:W3CDTF">2019-07-29T15:39:00Z</dcterms:created>
  <dcterms:modified xsi:type="dcterms:W3CDTF">2019-07-29T17:12:00Z</dcterms:modified>
</cp:coreProperties>
</file>