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C8F74C" w14:textId="17C40EC8" w:rsidR="0013334E" w:rsidRPr="001A7FC6" w:rsidRDefault="0013334E" w:rsidP="00E37E58">
      <w:pPr>
        <w:pStyle w:val="Title"/>
      </w:pPr>
      <w:r w:rsidRPr="001A7FC6">
        <w:t>Supporting Information:</w:t>
      </w:r>
    </w:p>
    <w:p w14:paraId="3989B020" w14:textId="60D21C15" w:rsidR="00E37E58" w:rsidRPr="001A7FC6" w:rsidRDefault="005D5B77" w:rsidP="00E37E58">
      <w:pPr>
        <w:pStyle w:val="Title"/>
        <w:spacing w:after="240"/>
      </w:pPr>
      <w:r w:rsidRPr="001A7FC6">
        <w:t>Waste-to-Resource value chain optimisation: combining spatial, chemical and technoeconomic aspects</w:t>
      </w:r>
    </w:p>
    <w:p w14:paraId="2B37DF41" w14:textId="67D047F2" w:rsidR="003F643A" w:rsidRPr="001A7FC6" w:rsidRDefault="003F643A" w:rsidP="000E27C3">
      <w:pPr>
        <w:rPr>
          <w:lang w:val="es-ES"/>
        </w:rPr>
      </w:pPr>
      <w:r w:rsidRPr="001A7FC6">
        <w:rPr>
          <w:lang w:val="es-ES"/>
        </w:rPr>
        <w:t xml:space="preserve">Ivan </w:t>
      </w:r>
      <w:proofErr w:type="spellStart"/>
      <w:r w:rsidRPr="001A7FC6">
        <w:rPr>
          <w:lang w:val="es-ES"/>
        </w:rPr>
        <w:t>Robles</w:t>
      </w:r>
      <w:r w:rsidRPr="001A7FC6">
        <w:rPr>
          <w:vertAlign w:val="superscript"/>
          <w:lang w:val="es-ES"/>
        </w:rPr>
        <w:t>a</w:t>
      </w:r>
      <w:proofErr w:type="spellEnd"/>
      <w:r w:rsidRPr="001A7FC6">
        <w:rPr>
          <w:lang w:val="es-ES"/>
        </w:rPr>
        <w:t xml:space="preserve">, Edward </w:t>
      </w:r>
      <w:proofErr w:type="spellStart"/>
      <w:r w:rsidRPr="001A7FC6">
        <w:rPr>
          <w:lang w:val="es-ES"/>
        </w:rPr>
        <w:t>O’Dwyer</w:t>
      </w:r>
      <w:r w:rsidRPr="001A7FC6">
        <w:rPr>
          <w:vertAlign w:val="superscript"/>
          <w:lang w:val="es-ES"/>
        </w:rPr>
        <w:t>a</w:t>
      </w:r>
      <w:proofErr w:type="spellEnd"/>
      <w:r w:rsidRPr="001A7FC6">
        <w:rPr>
          <w:lang w:val="es-ES"/>
        </w:rPr>
        <w:t xml:space="preserve">, Miao </w:t>
      </w:r>
      <w:proofErr w:type="spellStart"/>
      <w:proofErr w:type="gramStart"/>
      <w:r w:rsidRPr="001A7FC6">
        <w:rPr>
          <w:lang w:val="es-ES"/>
        </w:rPr>
        <w:t>Guo</w:t>
      </w:r>
      <w:r w:rsidRPr="001A7FC6">
        <w:rPr>
          <w:vertAlign w:val="superscript"/>
          <w:lang w:val="es-ES"/>
        </w:rPr>
        <w:t>a</w:t>
      </w:r>
      <w:r w:rsidR="005D5B77" w:rsidRPr="001A7FC6">
        <w:rPr>
          <w:vertAlign w:val="superscript"/>
          <w:lang w:val="es-ES"/>
        </w:rPr>
        <w:t>,b</w:t>
      </w:r>
      <w:proofErr w:type="spellEnd"/>
      <w:proofErr w:type="gramEnd"/>
      <w:r w:rsidR="005D5B77" w:rsidRPr="001A7FC6">
        <w:rPr>
          <w:vertAlign w:val="superscript"/>
          <w:lang w:val="es-ES"/>
        </w:rPr>
        <w:t>,</w:t>
      </w:r>
      <w:r w:rsidRPr="001A7FC6">
        <w:rPr>
          <w:lang w:val="es-ES"/>
        </w:rPr>
        <w:t>*</w:t>
      </w:r>
    </w:p>
    <w:p w14:paraId="61DBD2C6" w14:textId="77777777" w:rsidR="005D5B77" w:rsidRPr="001A7FC6" w:rsidRDefault="005D5B77" w:rsidP="005D5B77">
      <w:pPr>
        <w:spacing w:line="240" w:lineRule="auto"/>
        <w:rPr>
          <w:rFonts w:ascii="Times New Roman" w:hAnsi="Times New Roman" w:cs="Times New Roman"/>
        </w:rPr>
      </w:pPr>
      <w:bookmarkStart w:id="0" w:name="_Ref14077343"/>
      <w:bookmarkStart w:id="1" w:name="_Toc14891686"/>
      <w:r w:rsidRPr="001A7FC6">
        <w:rPr>
          <w:rFonts w:ascii="Times New Roman" w:hAnsi="Times New Roman" w:cs="Times New Roman"/>
        </w:rPr>
        <w:t>Department of Chemical Engineering, Imperial College London, London SW7 2AZ UK</w:t>
      </w:r>
    </w:p>
    <w:p w14:paraId="4931D47D" w14:textId="77777777" w:rsidR="005D5B77" w:rsidRPr="001A7FC6" w:rsidRDefault="005D5B77" w:rsidP="005D5B77">
      <w:pPr>
        <w:spacing w:line="240" w:lineRule="auto"/>
        <w:rPr>
          <w:rFonts w:ascii="Times New Roman" w:hAnsi="Times New Roman" w:cs="Times New Roman"/>
        </w:rPr>
      </w:pPr>
      <w:r w:rsidRPr="001A7FC6">
        <w:rPr>
          <w:rFonts w:ascii="Times New Roman" w:hAnsi="Times New Roman" w:cs="Times New Roman"/>
          <w:vertAlign w:val="superscript"/>
        </w:rPr>
        <w:t>b</w:t>
      </w:r>
      <w:r w:rsidRPr="001A7FC6">
        <w:rPr>
          <w:rFonts w:ascii="Times New Roman" w:hAnsi="Times New Roman" w:cs="Times New Roman"/>
        </w:rPr>
        <w:t xml:space="preserve"> Department of Engineering, King’s College London, London Strand Campus WC2R 2LS UK</w:t>
      </w:r>
    </w:p>
    <w:p w14:paraId="17B1A218" w14:textId="77777777" w:rsidR="005D5B77" w:rsidRPr="001A7FC6" w:rsidRDefault="005D5B77" w:rsidP="005D5B77">
      <w:r w:rsidRPr="001A7FC6">
        <w:rPr>
          <w:rFonts w:ascii="Times New Roman" w:hAnsi="Times New Roman" w:cs="Times New Roman"/>
        </w:rPr>
        <w:t xml:space="preserve">* Corresponding author </w:t>
      </w:r>
      <w:hyperlink r:id="rId11" w:history="1">
        <w:r w:rsidRPr="001A7FC6">
          <w:rPr>
            <w:rStyle w:val="Hyperlink"/>
            <w:rFonts w:ascii="Times New Roman" w:hAnsi="Times New Roman" w:cs="Times New Roman"/>
          </w:rPr>
          <w:t>miao.guo@imperial.ac.uk</w:t>
        </w:r>
      </w:hyperlink>
      <w:r w:rsidRPr="001A7FC6">
        <w:rPr>
          <w:rStyle w:val="Hyperlink"/>
          <w:rFonts w:ascii="Times New Roman" w:hAnsi="Times New Roman" w:cs="Times New Roman"/>
        </w:rPr>
        <w:t>, miao.guo@kcl.ac.uk</w:t>
      </w:r>
    </w:p>
    <w:p w14:paraId="2BA82EE2" w14:textId="77777777" w:rsidR="005D49AE" w:rsidRPr="001A7FC6" w:rsidRDefault="005D49AE" w:rsidP="005D49AE">
      <w:pPr>
        <w:pStyle w:val="Heading1"/>
      </w:pPr>
      <w:r w:rsidRPr="001A7FC6">
        <w:t xml:space="preserve">Technology </w:t>
      </w:r>
      <w:bookmarkEnd w:id="0"/>
      <w:bookmarkEnd w:id="1"/>
      <w:r w:rsidRPr="001A7FC6">
        <w:t>parameterisation</w:t>
      </w:r>
    </w:p>
    <w:p w14:paraId="409F363D" w14:textId="07784218" w:rsidR="007835A0" w:rsidRPr="001A7FC6" w:rsidRDefault="00350AB5" w:rsidP="007835A0">
      <w:r w:rsidRPr="001A7FC6">
        <w:t xml:space="preserve">The </w:t>
      </w:r>
      <w:r w:rsidR="000D0D2E" w:rsidRPr="001A7FC6">
        <w:t xml:space="preserve">technology parameterisation approach used in this work is outlined in this Supporting information document. Variables used in the </w:t>
      </w:r>
      <w:r w:rsidR="00564A62" w:rsidRPr="001A7FC6">
        <w:t xml:space="preserve">succeeding analysis are summarised in </w:t>
      </w:r>
      <w:r w:rsidR="00877232" w:rsidRPr="001A7FC6">
        <w:fldChar w:fldCharType="begin"/>
      </w:r>
      <w:r w:rsidR="00877232" w:rsidRPr="001A7FC6">
        <w:instrText xml:space="preserve"> REF _Ref15467516 \h </w:instrText>
      </w:r>
      <w:r w:rsidR="001A7FC6">
        <w:instrText xml:space="preserve"> \* MERGEFORMAT </w:instrText>
      </w:r>
      <w:r w:rsidR="00877232" w:rsidRPr="001A7FC6">
        <w:fldChar w:fldCharType="separate"/>
      </w:r>
      <w:r w:rsidR="00890150" w:rsidRPr="001A7FC6">
        <w:t>Table S</w:t>
      </w:r>
      <w:r w:rsidR="00890150" w:rsidRPr="001A7FC6">
        <w:rPr>
          <w:noProof/>
        </w:rPr>
        <w:t>1</w:t>
      </w:r>
      <w:r w:rsidR="00877232" w:rsidRPr="001A7FC6">
        <w:fldChar w:fldCharType="end"/>
      </w:r>
      <w:r w:rsidR="00877232" w:rsidRPr="001A7FC6">
        <w:t>.</w:t>
      </w:r>
    </w:p>
    <w:p w14:paraId="6326FEBF" w14:textId="3B181B1B" w:rsidR="00350AB5" w:rsidRPr="001A7FC6" w:rsidRDefault="00350AB5" w:rsidP="00350AB5">
      <w:pPr>
        <w:pStyle w:val="Caption"/>
        <w:keepNext/>
      </w:pPr>
      <w:bookmarkStart w:id="2" w:name="_Ref15467516"/>
      <w:r w:rsidRPr="001A7FC6">
        <w:t>Table S</w:t>
      </w:r>
      <w:r w:rsidR="00547887">
        <w:fldChar w:fldCharType="begin"/>
      </w:r>
      <w:r w:rsidR="00547887">
        <w:instrText xml:space="preserve"> SEQ Table \* ARABIC </w:instrText>
      </w:r>
      <w:r w:rsidR="00547887">
        <w:fldChar w:fldCharType="separate"/>
      </w:r>
      <w:r w:rsidR="00890150" w:rsidRPr="001A7FC6">
        <w:rPr>
          <w:noProof/>
        </w:rPr>
        <w:t>1</w:t>
      </w:r>
      <w:r w:rsidR="00547887">
        <w:rPr>
          <w:noProof/>
        </w:rPr>
        <w:fldChar w:fldCharType="end"/>
      </w:r>
      <w:bookmarkEnd w:id="2"/>
      <w:r w:rsidRPr="001A7FC6">
        <w:t>: List of variables and parameters used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6"/>
        <w:gridCol w:w="6146"/>
        <w:gridCol w:w="1544"/>
      </w:tblGrid>
      <w:tr w:rsidR="007835A0" w:rsidRPr="001A7FC6" w14:paraId="3C94BC37" w14:textId="77777777" w:rsidTr="00876F87">
        <w:tc>
          <w:tcPr>
            <w:tcW w:w="0" w:type="auto"/>
            <w:tcBorders>
              <w:top w:val="single" w:sz="4" w:space="0" w:color="auto"/>
              <w:bottom w:val="single" w:sz="4" w:space="0" w:color="auto"/>
            </w:tcBorders>
          </w:tcPr>
          <w:p w14:paraId="01DBC73B" w14:textId="77777777" w:rsidR="007835A0" w:rsidRPr="001A7FC6" w:rsidRDefault="007835A0" w:rsidP="00876F87">
            <w:pPr>
              <w:spacing w:line="276" w:lineRule="auto"/>
              <w:rPr>
                <w:rFonts w:cs="Arial"/>
                <w:b/>
              </w:rPr>
            </w:pPr>
            <w:r w:rsidRPr="001A7FC6">
              <w:rPr>
                <w:rFonts w:cs="Arial"/>
                <w:b/>
              </w:rPr>
              <w:t>Variables</w:t>
            </w:r>
          </w:p>
        </w:tc>
        <w:tc>
          <w:tcPr>
            <w:tcW w:w="0" w:type="auto"/>
            <w:tcBorders>
              <w:top w:val="single" w:sz="4" w:space="0" w:color="auto"/>
              <w:bottom w:val="single" w:sz="4" w:space="0" w:color="auto"/>
            </w:tcBorders>
          </w:tcPr>
          <w:p w14:paraId="6776DD2D" w14:textId="77777777" w:rsidR="007835A0" w:rsidRPr="001A7FC6" w:rsidRDefault="007835A0" w:rsidP="00876F87">
            <w:pPr>
              <w:spacing w:line="276" w:lineRule="auto"/>
              <w:rPr>
                <w:rFonts w:cs="Arial"/>
                <w:b/>
              </w:rPr>
            </w:pPr>
            <w:r w:rsidRPr="001A7FC6">
              <w:rPr>
                <w:rFonts w:cs="Arial"/>
                <w:b/>
              </w:rPr>
              <w:t>Description</w:t>
            </w:r>
          </w:p>
        </w:tc>
        <w:tc>
          <w:tcPr>
            <w:tcW w:w="0" w:type="auto"/>
            <w:tcBorders>
              <w:top w:val="single" w:sz="4" w:space="0" w:color="auto"/>
              <w:bottom w:val="single" w:sz="4" w:space="0" w:color="auto"/>
            </w:tcBorders>
          </w:tcPr>
          <w:p w14:paraId="560FF0C6" w14:textId="77777777" w:rsidR="007835A0" w:rsidRPr="001A7FC6" w:rsidRDefault="007835A0" w:rsidP="00876F87">
            <w:pPr>
              <w:spacing w:line="276" w:lineRule="auto"/>
              <w:ind w:left="-88" w:firstLine="88"/>
              <w:jc w:val="center"/>
              <w:rPr>
                <w:rFonts w:cs="Arial"/>
                <w:b/>
              </w:rPr>
            </w:pPr>
            <w:r w:rsidRPr="001A7FC6">
              <w:rPr>
                <w:rFonts w:cs="Arial"/>
                <w:b/>
              </w:rPr>
              <w:t>Units</w:t>
            </w:r>
          </w:p>
        </w:tc>
      </w:tr>
      <w:tr w:rsidR="007835A0" w:rsidRPr="001A7FC6" w14:paraId="38075144" w14:textId="77777777" w:rsidTr="00876F87">
        <w:tc>
          <w:tcPr>
            <w:tcW w:w="0" w:type="auto"/>
            <w:tcBorders>
              <w:top w:val="single" w:sz="4" w:space="0" w:color="auto"/>
            </w:tcBorders>
          </w:tcPr>
          <w:p w14:paraId="31054D1E" w14:textId="77777777" w:rsidR="007835A0" w:rsidRPr="001A7FC6" w:rsidRDefault="007835A0" w:rsidP="00876F87">
            <w:pPr>
              <w:spacing w:line="276" w:lineRule="auto"/>
              <w:rPr>
                <w:rFonts w:cs="Arial"/>
              </w:rPr>
            </w:pPr>
            <m:oMathPara>
              <m:oMath>
                <m:r>
                  <w:rPr>
                    <w:rFonts w:ascii="Cambria Math" w:eastAsiaTheme="minorEastAsia" w:hAnsi="Cambria Math" w:cs="Arial"/>
                  </w:rPr>
                  <m:t>A</m:t>
                </m:r>
                <m:sSubSup>
                  <m:sSubSupPr>
                    <m:ctrlPr>
                      <w:rPr>
                        <w:rFonts w:ascii="Cambria Math" w:eastAsiaTheme="minorEastAsia" w:hAnsi="Cambria Math" w:cs="Arial"/>
                        <w:i/>
                      </w:rPr>
                    </m:ctrlPr>
                  </m:sSubSupPr>
                  <m:e>
                    <m:r>
                      <w:rPr>
                        <w:rFonts w:ascii="Cambria Math" w:eastAsiaTheme="minorEastAsia" w:hAnsi="Cambria Math" w:cs="Arial"/>
                      </w:rPr>
                      <m:t>D</m:t>
                    </m:r>
                  </m:e>
                  <m:sub>
                    <m:r>
                      <w:rPr>
                        <w:rFonts w:ascii="Cambria Math" w:eastAsiaTheme="minorEastAsia" w:hAnsi="Cambria Math" w:cs="Arial"/>
                      </w:rPr>
                      <m:t>spec</m:t>
                    </m:r>
                  </m:sub>
                  <m:sup>
                    <m:r>
                      <w:rPr>
                        <w:rFonts w:ascii="Cambria Math" w:eastAsiaTheme="minorEastAsia" w:hAnsi="Cambria Math" w:cs="Arial"/>
                      </w:rPr>
                      <m:t>CPX</m:t>
                    </m:r>
                  </m:sup>
                </m:sSubSup>
              </m:oMath>
            </m:oMathPara>
          </w:p>
        </w:tc>
        <w:tc>
          <w:tcPr>
            <w:tcW w:w="0" w:type="auto"/>
            <w:tcBorders>
              <w:top w:val="single" w:sz="4" w:space="0" w:color="auto"/>
            </w:tcBorders>
          </w:tcPr>
          <w:p w14:paraId="336C4826" w14:textId="77777777" w:rsidR="007835A0" w:rsidRPr="001A7FC6" w:rsidRDefault="007835A0" w:rsidP="00876F87">
            <w:pPr>
              <w:spacing w:line="276" w:lineRule="auto"/>
              <w:rPr>
                <w:rFonts w:cs="Arial"/>
              </w:rPr>
            </w:pPr>
            <w:r w:rsidRPr="001A7FC6">
              <w:rPr>
                <w:rFonts w:cs="Arial"/>
              </w:rPr>
              <w:t>Specific capital cost of AD plant with power generation</w:t>
            </w:r>
          </w:p>
        </w:tc>
        <w:tc>
          <w:tcPr>
            <w:tcW w:w="0" w:type="auto"/>
            <w:tcBorders>
              <w:top w:val="single" w:sz="4" w:space="0" w:color="auto"/>
            </w:tcBorders>
          </w:tcPr>
          <w:p w14:paraId="5C18A1E2" w14:textId="77777777" w:rsidR="007835A0" w:rsidRPr="001A7FC6" w:rsidRDefault="007835A0" w:rsidP="00876F87">
            <w:pPr>
              <w:spacing w:line="276" w:lineRule="auto"/>
              <w:ind w:left="-88" w:firstLine="88"/>
              <w:rPr>
                <w:rFonts w:cs="Arial"/>
              </w:rPr>
            </w:pPr>
            <m:oMathPara>
              <m:oMath>
                <m:r>
                  <w:rPr>
                    <w:rFonts w:ascii="Cambria Math" w:hAnsi="Cambria Math" w:cs="Arial"/>
                  </w:rPr>
                  <m:t>(£M/M</m:t>
                </m:r>
                <m:sSub>
                  <m:sSubPr>
                    <m:ctrlPr>
                      <w:rPr>
                        <w:rFonts w:ascii="Cambria Math" w:hAnsi="Cambria Math" w:cs="Arial"/>
                        <w:i/>
                      </w:rPr>
                    </m:ctrlPr>
                  </m:sSubPr>
                  <m:e>
                    <m:r>
                      <w:rPr>
                        <w:rFonts w:ascii="Cambria Math" w:hAnsi="Cambria Math" w:cs="Arial"/>
                      </w:rPr>
                      <m:t>W</m:t>
                    </m:r>
                  </m:e>
                  <m:sub>
                    <m:r>
                      <w:rPr>
                        <w:rFonts w:ascii="Cambria Math" w:hAnsi="Cambria Math" w:cs="Arial"/>
                        <w:vertAlign w:val="subscript"/>
                      </w:rPr>
                      <m:t>Out</m:t>
                    </m:r>
                  </m:sub>
                </m:sSub>
                <m:r>
                  <w:rPr>
                    <w:rFonts w:ascii="Cambria Math" w:hAnsi="Cambria Math" w:cs="Arial"/>
                  </w:rPr>
                  <m:t>)</m:t>
                </m:r>
              </m:oMath>
            </m:oMathPara>
          </w:p>
        </w:tc>
      </w:tr>
      <w:tr w:rsidR="007835A0" w:rsidRPr="001A7FC6" w14:paraId="3CA17FEF" w14:textId="77777777" w:rsidTr="00876F87">
        <w:tc>
          <w:tcPr>
            <w:tcW w:w="0" w:type="auto"/>
          </w:tcPr>
          <w:p w14:paraId="0BC56257" w14:textId="77777777" w:rsidR="007835A0" w:rsidRPr="001A7FC6" w:rsidRDefault="007835A0" w:rsidP="00876F87">
            <w:pPr>
              <w:spacing w:line="276" w:lineRule="auto"/>
              <w:rPr>
                <w:rFonts w:cs="Arial"/>
              </w:rPr>
            </w:pPr>
            <m:oMathPara>
              <m:oMath>
                <m:r>
                  <w:rPr>
                    <w:rFonts w:ascii="Cambria Math" w:eastAsiaTheme="minorEastAsia" w:hAnsi="Cambria Math" w:cs="Arial"/>
                  </w:rPr>
                  <m:t>A</m:t>
                </m:r>
                <m:sSubSup>
                  <m:sSubSupPr>
                    <m:ctrlPr>
                      <w:rPr>
                        <w:rFonts w:ascii="Cambria Math" w:eastAsiaTheme="minorEastAsia" w:hAnsi="Cambria Math" w:cs="Arial"/>
                        <w:i/>
                      </w:rPr>
                    </m:ctrlPr>
                  </m:sSubSupPr>
                  <m:e>
                    <m:r>
                      <w:rPr>
                        <w:rFonts w:ascii="Cambria Math" w:eastAsiaTheme="minorEastAsia" w:hAnsi="Cambria Math" w:cs="Arial"/>
                      </w:rPr>
                      <m:t>D</m:t>
                    </m:r>
                  </m:e>
                  <m:sub>
                    <m:r>
                      <w:rPr>
                        <w:rFonts w:ascii="Cambria Math" w:eastAsiaTheme="minorEastAsia" w:hAnsi="Cambria Math" w:cs="Arial"/>
                      </w:rPr>
                      <m:t>spec</m:t>
                    </m:r>
                  </m:sub>
                  <m:sup>
                    <m:r>
                      <w:rPr>
                        <w:rFonts w:ascii="Cambria Math" w:eastAsiaTheme="minorEastAsia" w:hAnsi="Cambria Math" w:cs="Arial"/>
                      </w:rPr>
                      <m:t>OPX</m:t>
                    </m:r>
                  </m:sup>
                </m:sSubSup>
              </m:oMath>
            </m:oMathPara>
          </w:p>
        </w:tc>
        <w:tc>
          <w:tcPr>
            <w:tcW w:w="0" w:type="auto"/>
          </w:tcPr>
          <w:p w14:paraId="2E5A65C5" w14:textId="77777777" w:rsidR="007835A0" w:rsidRPr="001A7FC6" w:rsidRDefault="007835A0" w:rsidP="00876F87">
            <w:pPr>
              <w:spacing w:line="276" w:lineRule="auto"/>
              <w:rPr>
                <w:rFonts w:cs="Arial"/>
              </w:rPr>
            </w:pPr>
            <w:r w:rsidRPr="001A7FC6">
              <w:rPr>
                <w:rFonts w:cs="Arial"/>
              </w:rPr>
              <w:t>Specific yearly operational cost of AD plant with power generation</w:t>
            </w:r>
          </w:p>
        </w:tc>
        <w:tc>
          <w:tcPr>
            <w:tcW w:w="0" w:type="auto"/>
          </w:tcPr>
          <w:p w14:paraId="5CFEF8F4" w14:textId="77777777" w:rsidR="007835A0" w:rsidRPr="001A7FC6" w:rsidRDefault="007835A0" w:rsidP="00876F87">
            <w:pPr>
              <w:spacing w:line="276" w:lineRule="auto"/>
              <w:ind w:left="-88" w:firstLine="88"/>
              <w:rPr>
                <w:rFonts w:cs="Arial"/>
              </w:rPr>
            </w:pPr>
            <m:oMathPara>
              <m:oMath>
                <m:r>
                  <w:rPr>
                    <w:rFonts w:ascii="Cambria Math" w:hAnsi="Cambria Math" w:cs="Arial"/>
                  </w:rPr>
                  <m:t>(£M/M</m:t>
                </m:r>
                <m:sSub>
                  <m:sSubPr>
                    <m:ctrlPr>
                      <w:rPr>
                        <w:rFonts w:ascii="Cambria Math" w:hAnsi="Cambria Math" w:cs="Arial"/>
                        <w:i/>
                      </w:rPr>
                    </m:ctrlPr>
                  </m:sSubPr>
                  <m:e>
                    <m:r>
                      <w:rPr>
                        <w:rFonts w:ascii="Cambria Math" w:hAnsi="Cambria Math" w:cs="Arial"/>
                      </w:rPr>
                      <m:t>W</m:t>
                    </m:r>
                  </m:e>
                  <m:sub>
                    <m:r>
                      <w:rPr>
                        <w:rFonts w:ascii="Cambria Math" w:hAnsi="Cambria Math" w:cs="Arial"/>
                        <w:vertAlign w:val="subscript"/>
                      </w:rPr>
                      <m:t>Out</m:t>
                    </m:r>
                  </m:sub>
                </m:sSub>
                <m:r>
                  <w:rPr>
                    <w:rFonts w:ascii="Cambria Math" w:hAnsi="Cambria Math" w:cs="Arial"/>
                  </w:rPr>
                  <m:t>)</m:t>
                </m:r>
              </m:oMath>
            </m:oMathPara>
          </w:p>
        </w:tc>
      </w:tr>
      <w:tr w:rsidR="007835A0" w:rsidRPr="001A7FC6" w14:paraId="4F32B792" w14:textId="77777777" w:rsidTr="00876F87">
        <w:tc>
          <w:tcPr>
            <w:tcW w:w="0" w:type="auto"/>
          </w:tcPr>
          <w:p w14:paraId="1AB5BEC1" w14:textId="77777777" w:rsidR="007835A0" w:rsidRPr="001A7FC6" w:rsidRDefault="007835A0" w:rsidP="00876F87">
            <w:pPr>
              <w:spacing w:line="276" w:lineRule="auto"/>
              <w:rPr>
                <w:rFonts w:eastAsia="Calibri" w:cs="Arial"/>
              </w:rPr>
            </w:pPr>
            <m:oMathPara>
              <m:oMath>
                <m:r>
                  <w:rPr>
                    <w:rFonts w:ascii="Cambria Math" w:eastAsiaTheme="minorEastAsia" w:hAnsi="Cambria Math" w:cs="Arial"/>
                  </w:rPr>
                  <m:t>BU</m:t>
                </m:r>
                <m:sSup>
                  <m:sSupPr>
                    <m:ctrlPr>
                      <w:rPr>
                        <w:rFonts w:ascii="Cambria Math" w:eastAsiaTheme="minorEastAsia" w:hAnsi="Cambria Math" w:cs="Arial"/>
                        <w:i/>
                      </w:rPr>
                    </m:ctrlPr>
                  </m:sSupPr>
                  <m:e>
                    <m:r>
                      <w:rPr>
                        <w:rFonts w:ascii="Cambria Math" w:eastAsiaTheme="minorEastAsia" w:hAnsi="Cambria Math" w:cs="Arial"/>
                      </w:rPr>
                      <m:t>P</m:t>
                    </m:r>
                  </m:e>
                  <m:sup>
                    <m:r>
                      <w:rPr>
                        <w:rFonts w:ascii="Cambria Math" w:eastAsiaTheme="minorEastAsia" w:hAnsi="Cambria Math" w:cs="Arial"/>
                      </w:rPr>
                      <m:t>CPX</m:t>
                    </m:r>
                  </m:sup>
                </m:sSup>
              </m:oMath>
            </m:oMathPara>
          </w:p>
        </w:tc>
        <w:tc>
          <w:tcPr>
            <w:tcW w:w="0" w:type="auto"/>
          </w:tcPr>
          <w:p w14:paraId="4963BE2A" w14:textId="77777777" w:rsidR="007835A0" w:rsidRPr="001A7FC6" w:rsidRDefault="007835A0" w:rsidP="00876F87">
            <w:pPr>
              <w:spacing w:line="276" w:lineRule="auto"/>
              <w:rPr>
                <w:rFonts w:cs="Arial"/>
              </w:rPr>
            </w:pPr>
            <w:r w:rsidRPr="001A7FC6">
              <w:rPr>
                <w:rFonts w:cs="Arial"/>
              </w:rPr>
              <w:t>Capital cost of biogas upgrading facility</w:t>
            </w:r>
          </w:p>
        </w:tc>
        <w:tc>
          <w:tcPr>
            <w:tcW w:w="0" w:type="auto"/>
          </w:tcPr>
          <w:p w14:paraId="1283391D" w14:textId="77777777" w:rsidR="007835A0" w:rsidRPr="001A7FC6" w:rsidRDefault="007835A0" w:rsidP="00876F87">
            <w:pPr>
              <w:spacing w:line="276" w:lineRule="auto"/>
              <w:ind w:left="-88" w:firstLine="88"/>
              <w:rPr>
                <w:rFonts w:eastAsia="Calibri" w:cs="Arial"/>
              </w:rPr>
            </w:pPr>
            <m:oMathPara>
              <m:oMath>
                <m:r>
                  <w:rPr>
                    <w:rFonts w:ascii="Cambria Math" w:hAnsi="Cambria Math" w:cs="Arial"/>
                  </w:rPr>
                  <m:t>(£/therm/yr)</m:t>
                </m:r>
              </m:oMath>
            </m:oMathPara>
          </w:p>
        </w:tc>
      </w:tr>
      <w:tr w:rsidR="007835A0" w:rsidRPr="001A7FC6" w14:paraId="5B2216A7" w14:textId="77777777" w:rsidTr="00876F87">
        <w:tc>
          <w:tcPr>
            <w:tcW w:w="0" w:type="auto"/>
          </w:tcPr>
          <w:p w14:paraId="67B9320E" w14:textId="77777777" w:rsidR="007835A0" w:rsidRPr="001A7FC6" w:rsidRDefault="007835A0" w:rsidP="00876F87">
            <w:pPr>
              <w:spacing w:line="276" w:lineRule="auto"/>
              <w:rPr>
                <w:rFonts w:eastAsia="Calibri" w:cs="Arial"/>
              </w:rPr>
            </w:pPr>
            <m:oMathPara>
              <m:oMath>
                <m:r>
                  <w:rPr>
                    <w:rFonts w:ascii="Cambria Math" w:eastAsiaTheme="minorEastAsia" w:hAnsi="Cambria Math" w:cs="Arial"/>
                  </w:rPr>
                  <m:t>BU</m:t>
                </m:r>
                <m:sSup>
                  <m:sSupPr>
                    <m:ctrlPr>
                      <w:rPr>
                        <w:rFonts w:ascii="Cambria Math" w:eastAsiaTheme="minorEastAsia" w:hAnsi="Cambria Math" w:cs="Arial"/>
                        <w:i/>
                      </w:rPr>
                    </m:ctrlPr>
                  </m:sSupPr>
                  <m:e>
                    <m:r>
                      <w:rPr>
                        <w:rFonts w:ascii="Cambria Math" w:eastAsiaTheme="minorEastAsia" w:hAnsi="Cambria Math" w:cs="Arial"/>
                      </w:rPr>
                      <m:t>P</m:t>
                    </m:r>
                  </m:e>
                  <m:sup>
                    <m:r>
                      <w:rPr>
                        <w:rFonts w:ascii="Cambria Math" w:eastAsiaTheme="minorEastAsia" w:hAnsi="Cambria Math" w:cs="Arial"/>
                      </w:rPr>
                      <m:t>OPX</m:t>
                    </m:r>
                  </m:sup>
                </m:sSup>
              </m:oMath>
            </m:oMathPara>
          </w:p>
        </w:tc>
        <w:tc>
          <w:tcPr>
            <w:tcW w:w="0" w:type="auto"/>
          </w:tcPr>
          <w:p w14:paraId="46C23101" w14:textId="77777777" w:rsidR="007835A0" w:rsidRPr="001A7FC6" w:rsidRDefault="007835A0" w:rsidP="00876F87">
            <w:pPr>
              <w:spacing w:line="276" w:lineRule="auto"/>
              <w:rPr>
                <w:rFonts w:cs="Arial"/>
              </w:rPr>
            </w:pPr>
            <w:r w:rsidRPr="001A7FC6">
              <w:rPr>
                <w:rFonts w:cs="Arial"/>
              </w:rPr>
              <w:t>Operational cost of biogas upgrading facility</w:t>
            </w:r>
          </w:p>
        </w:tc>
        <w:tc>
          <w:tcPr>
            <w:tcW w:w="0" w:type="auto"/>
          </w:tcPr>
          <w:p w14:paraId="22DEDF1D" w14:textId="77777777" w:rsidR="007835A0" w:rsidRPr="001A7FC6" w:rsidRDefault="007835A0" w:rsidP="00876F87">
            <w:pPr>
              <w:spacing w:line="276" w:lineRule="auto"/>
              <w:ind w:left="-88" w:firstLine="88"/>
              <w:rPr>
                <w:rFonts w:eastAsia="Calibri" w:cs="Arial"/>
              </w:rPr>
            </w:pPr>
            <m:oMathPara>
              <m:oMath>
                <m:r>
                  <w:rPr>
                    <w:rFonts w:ascii="Cambria Math" w:hAnsi="Cambria Math" w:cs="Arial"/>
                  </w:rPr>
                  <m:t>(£/ther</m:t>
                </m:r>
                <m:sSub>
                  <m:sSubPr>
                    <m:ctrlPr>
                      <w:rPr>
                        <w:rFonts w:ascii="Cambria Math" w:hAnsi="Cambria Math" w:cs="Arial"/>
                        <w:i/>
                      </w:rPr>
                    </m:ctrlPr>
                  </m:sSubPr>
                  <m:e>
                    <m:r>
                      <w:rPr>
                        <w:rFonts w:ascii="Cambria Math" w:hAnsi="Cambria Math" w:cs="Arial"/>
                      </w:rPr>
                      <m:t>m</m:t>
                    </m:r>
                  </m:e>
                  <m:sub>
                    <m:r>
                      <w:rPr>
                        <w:rFonts w:ascii="Cambria Math" w:hAnsi="Cambria Math" w:cs="Arial"/>
                      </w:rPr>
                      <m:t>out</m:t>
                    </m:r>
                  </m:sub>
                </m:sSub>
                <m:r>
                  <w:rPr>
                    <w:rFonts w:ascii="Cambria Math" w:hAnsi="Cambria Math" w:cs="Arial"/>
                  </w:rPr>
                  <m:t>)</m:t>
                </m:r>
              </m:oMath>
            </m:oMathPara>
          </w:p>
        </w:tc>
      </w:tr>
      <w:tr w:rsidR="007835A0" w:rsidRPr="001A7FC6" w14:paraId="092294CA" w14:textId="77777777" w:rsidTr="00876F87">
        <w:tc>
          <w:tcPr>
            <w:tcW w:w="0" w:type="auto"/>
          </w:tcPr>
          <w:p w14:paraId="45CBEA92" w14:textId="77777777" w:rsidR="007835A0" w:rsidRPr="001A7FC6" w:rsidRDefault="007835A0" w:rsidP="00876F87">
            <w:pPr>
              <w:spacing w:line="276" w:lineRule="auto"/>
              <w:rPr>
                <w:rFonts w:cs="Arial"/>
              </w:rPr>
            </w:pPr>
            <m:oMathPara>
              <m:oMath>
                <m:r>
                  <w:rPr>
                    <w:rFonts w:ascii="Cambria Math" w:eastAsiaTheme="minorEastAsia" w:hAnsi="Cambria Math" w:cs="Arial"/>
                  </w:rPr>
                  <m:t>ca</m:t>
                </m:r>
                <m:sSub>
                  <m:sSubPr>
                    <m:ctrlPr>
                      <w:rPr>
                        <w:rFonts w:ascii="Cambria Math" w:eastAsiaTheme="minorEastAsia" w:hAnsi="Cambria Math" w:cs="Arial"/>
                        <w:i/>
                      </w:rPr>
                    </m:ctrlPr>
                  </m:sSubPr>
                  <m:e>
                    <m:r>
                      <w:rPr>
                        <w:rFonts w:ascii="Cambria Math" w:eastAsiaTheme="minorEastAsia" w:hAnsi="Cambria Math" w:cs="Arial"/>
                      </w:rPr>
                      <m:t>p</m:t>
                    </m:r>
                  </m:e>
                  <m:sub>
                    <m:r>
                      <w:rPr>
                        <w:rFonts w:ascii="Cambria Math" w:eastAsiaTheme="minorEastAsia" w:hAnsi="Cambria Math" w:cs="Arial"/>
                      </w:rPr>
                      <m:t>M</m:t>
                    </m:r>
                    <m:sSub>
                      <m:sSubPr>
                        <m:ctrlPr>
                          <w:rPr>
                            <w:rFonts w:ascii="Cambria Math" w:eastAsiaTheme="minorEastAsia" w:hAnsi="Cambria Math" w:cs="Arial"/>
                            <w:i/>
                          </w:rPr>
                        </m:ctrlPr>
                      </m:sSubPr>
                      <m:e>
                        <m:r>
                          <w:rPr>
                            <w:rFonts w:ascii="Cambria Math" w:eastAsiaTheme="minorEastAsia" w:hAnsi="Cambria Math" w:cs="Arial"/>
                          </w:rPr>
                          <m:t>W</m:t>
                        </m:r>
                      </m:e>
                      <m:sub>
                        <m:r>
                          <w:rPr>
                            <w:rFonts w:ascii="Cambria Math" w:eastAsiaTheme="minorEastAsia" w:hAnsi="Cambria Math" w:cs="Arial"/>
                          </w:rPr>
                          <m:t>e</m:t>
                        </m:r>
                      </m:sub>
                    </m:sSub>
                    <m:r>
                      <w:rPr>
                        <w:rFonts w:ascii="Cambria Math" w:eastAsiaTheme="minorEastAsia" w:hAnsi="Cambria Math" w:cs="Arial"/>
                      </w:rPr>
                      <m:t>AD</m:t>
                    </m:r>
                  </m:sub>
                </m:sSub>
              </m:oMath>
            </m:oMathPara>
          </w:p>
        </w:tc>
        <w:tc>
          <w:tcPr>
            <w:tcW w:w="0" w:type="auto"/>
          </w:tcPr>
          <w:p w14:paraId="3AF2BE14" w14:textId="77777777" w:rsidR="007835A0" w:rsidRPr="001A7FC6" w:rsidRDefault="007835A0" w:rsidP="00876F87">
            <w:pPr>
              <w:spacing w:line="276" w:lineRule="auto"/>
              <w:rPr>
                <w:rFonts w:cs="Arial"/>
              </w:rPr>
            </w:pPr>
            <w:r w:rsidRPr="001A7FC6">
              <w:rPr>
                <w:rFonts w:cs="Arial"/>
              </w:rPr>
              <w:t>AD power plant power output capacity</w:t>
            </w:r>
          </w:p>
        </w:tc>
        <w:tc>
          <w:tcPr>
            <w:tcW w:w="0" w:type="auto"/>
          </w:tcPr>
          <w:p w14:paraId="0D72D358" w14:textId="77777777" w:rsidR="007835A0" w:rsidRPr="001A7FC6" w:rsidRDefault="007835A0" w:rsidP="00876F87">
            <w:pPr>
              <w:spacing w:line="276" w:lineRule="auto"/>
              <w:ind w:left="-88" w:firstLine="88"/>
              <w:rPr>
                <w:rFonts w:cs="Arial"/>
              </w:rPr>
            </w:pPr>
            <m:oMathPara>
              <m:oMath>
                <m:r>
                  <w:rPr>
                    <w:rFonts w:ascii="Cambria Math" w:hAnsi="Cambria Math" w:cs="Arial"/>
                  </w:rPr>
                  <m:t>(MW)</m:t>
                </m:r>
              </m:oMath>
            </m:oMathPara>
          </w:p>
        </w:tc>
      </w:tr>
      <w:tr w:rsidR="007835A0" w:rsidRPr="001A7FC6" w14:paraId="452F4CD7" w14:textId="77777777" w:rsidTr="00876F87">
        <w:tc>
          <w:tcPr>
            <w:tcW w:w="0" w:type="auto"/>
          </w:tcPr>
          <w:p w14:paraId="0EB2B73E" w14:textId="77777777" w:rsidR="007835A0" w:rsidRPr="001A7FC6" w:rsidRDefault="007835A0" w:rsidP="00876F87">
            <w:pPr>
              <w:spacing w:line="276" w:lineRule="auto"/>
              <w:rPr>
                <w:rFonts w:eastAsia="Calibri" w:cs="Arial"/>
              </w:rPr>
            </w:pPr>
            <m:oMathPara>
              <m:oMath>
                <m:r>
                  <w:rPr>
                    <w:rFonts w:ascii="Cambria Math" w:eastAsiaTheme="minorEastAsia" w:hAnsi="Cambria Math" w:cs="Arial"/>
                  </w:rPr>
                  <m:t>ca</m:t>
                </m:r>
                <m:sSub>
                  <m:sSubPr>
                    <m:ctrlPr>
                      <w:rPr>
                        <w:rFonts w:ascii="Cambria Math" w:eastAsiaTheme="minorEastAsia" w:hAnsi="Cambria Math" w:cs="Arial"/>
                        <w:i/>
                      </w:rPr>
                    </m:ctrlPr>
                  </m:sSubPr>
                  <m:e>
                    <m:r>
                      <w:rPr>
                        <w:rFonts w:ascii="Cambria Math" w:eastAsiaTheme="minorEastAsia" w:hAnsi="Cambria Math" w:cs="Arial"/>
                      </w:rPr>
                      <m:t>p</m:t>
                    </m:r>
                  </m:e>
                  <m:sub>
                    <m:r>
                      <w:rPr>
                        <w:rFonts w:ascii="Cambria Math" w:eastAsiaTheme="minorEastAsia" w:hAnsi="Cambria Math" w:cs="Arial"/>
                      </w:rPr>
                      <m:t>k</m:t>
                    </m:r>
                    <m:sSub>
                      <m:sSubPr>
                        <m:ctrlPr>
                          <w:rPr>
                            <w:rFonts w:ascii="Cambria Math" w:eastAsiaTheme="minorEastAsia" w:hAnsi="Cambria Math" w:cs="Arial"/>
                            <w:i/>
                          </w:rPr>
                        </m:ctrlPr>
                      </m:sSubPr>
                      <m:e>
                        <m:r>
                          <w:rPr>
                            <w:rFonts w:ascii="Cambria Math" w:eastAsiaTheme="minorEastAsia" w:hAnsi="Cambria Math" w:cs="Arial"/>
                          </w:rPr>
                          <m:t>W</m:t>
                        </m:r>
                      </m:e>
                      <m:sub>
                        <m:r>
                          <w:rPr>
                            <w:rFonts w:ascii="Cambria Math" w:eastAsiaTheme="minorEastAsia" w:hAnsi="Cambria Math" w:cs="Arial"/>
                          </w:rPr>
                          <m:t>e</m:t>
                        </m:r>
                      </m:sub>
                    </m:sSub>
                    <m:r>
                      <w:rPr>
                        <w:rFonts w:ascii="Cambria Math" w:eastAsiaTheme="minorEastAsia" w:hAnsi="Cambria Math" w:cs="Arial"/>
                      </w:rPr>
                      <m:t>AD</m:t>
                    </m:r>
                  </m:sub>
                </m:sSub>
              </m:oMath>
            </m:oMathPara>
          </w:p>
        </w:tc>
        <w:tc>
          <w:tcPr>
            <w:tcW w:w="0" w:type="auto"/>
          </w:tcPr>
          <w:p w14:paraId="792C7F4A" w14:textId="77777777" w:rsidR="007835A0" w:rsidRPr="001A7FC6" w:rsidRDefault="007835A0" w:rsidP="00876F87">
            <w:pPr>
              <w:spacing w:line="276" w:lineRule="auto"/>
              <w:rPr>
                <w:rFonts w:cs="Arial"/>
              </w:rPr>
            </w:pPr>
            <w:r w:rsidRPr="001A7FC6">
              <w:rPr>
                <w:rFonts w:cs="Arial"/>
              </w:rPr>
              <w:t>AD power plant power output capacity</w:t>
            </w:r>
          </w:p>
        </w:tc>
        <w:tc>
          <w:tcPr>
            <w:tcW w:w="0" w:type="auto"/>
          </w:tcPr>
          <w:p w14:paraId="3B1C3BCF" w14:textId="77777777" w:rsidR="007835A0" w:rsidRPr="001A7FC6" w:rsidRDefault="007835A0" w:rsidP="00876F87">
            <w:pPr>
              <w:spacing w:line="276" w:lineRule="auto"/>
              <w:ind w:left="-88" w:firstLine="88"/>
              <w:rPr>
                <w:rFonts w:eastAsia="Calibri" w:cs="Arial"/>
              </w:rPr>
            </w:pPr>
            <m:oMathPara>
              <m:oMath>
                <m:r>
                  <w:rPr>
                    <w:rFonts w:ascii="Cambria Math" w:hAnsi="Cambria Math" w:cs="Arial"/>
                  </w:rPr>
                  <m:t>(kW</m:t>
                </m:r>
                <m:r>
                  <w:rPr>
                    <w:rFonts w:ascii="Cambria Math" w:eastAsia="Calibri" w:hAnsi="Cambria Math" w:cs="Arial"/>
                  </w:rPr>
                  <m:t>)</m:t>
                </m:r>
              </m:oMath>
            </m:oMathPara>
          </w:p>
        </w:tc>
      </w:tr>
      <w:tr w:rsidR="007835A0" w:rsidRPr="001A7FC6" w14:paraId="708B94F5" w14:textId="77777777" w:rsidTr="00876F87">
        <w:tc>
          <w:tcPr>
            <w:tcW w:w="0" w:type="auto"/>
          </w:tcPr>
          <w:p w14:paraId="42A3A960" w14:textId="77777777" w:rsidR="007835A0" w:rsidRPr="001A7FC6" w:rsidRDefault="007835A0" w:rsidP="00876F87">
            <w:pPr>
              <w:spacing w:line="276" w:lineRule="auto"/>
              <w:rPr>
                <w:rFonts w:eastAsia="Calibri" w:cs="Arial"/>
              </w:rPr>
            </w:pPr>
            <m:oMathPara>
              <m:oMath>
                <m:r>
                  <w:rPr>
                    <w:rFonts w:ascii="Cambria Math" w:eastAsiaTheme="minorEastAsia" w:hAnsi="Cambria Math" w:cs="Arial"/>
                  </w:rPr>
                  <m:t>ca</m:t>
                </m:r>
                <m:sSub>
                  <m:sSubPr>
                    <m:ctrlPr>
                      <w:rPr>
                        <w:rFonts w:ascii="Cambria Math" w:eastAsiaTheme="minorEastAsia" w:hAnsi="Cambria Math" w:cs="Arial"/>
                        <w:i/>
                      </w:rPr>
                    </m:ctrlPr>
                  </m:sSubPr>
                  <m:e>
                    <m:r>
                      <w:rPr>
                        <w:rFonts w:ascii="Cambria Math" w:eastAsiaTheme="minorEastAsia" w:hAnsi="Cambria Math" w:cs="Arial"/>
                      </w:rPr>
                      <m:t>p</m:t>
                    </m:r>
                  </m:e>
                  <m:sub>
                    <m:r>
                      <w:rPr>
                        <w:rFonts w:ascii="Cambria Math" w:eastAsiaTheme="minorEastAsia" w:hAnsi="Cambria Math" w:cs="Arial"/>
                      </w:rPr>
                      <m:t>therm</m:t>
                    </m:r>
                  </m:sub>
                </m:sSub>
              </m:oMath>
            </m:oMathPara>
          </w:p>
        </w:tc>
        <w:tc>
          <w:tcPr>
            <w:tcW w:w="0" w:type="auto"/>
          </w:tcPr>
          <w:p w14:paraId="1BA5967A" w14:textId="77777777" w:rsidR="007835A0" w:rsidRPr="001A7FC6" w:rsidRDefault="007835A0" w:rsidP="00876F87">
            <w:pPr>
              <w:spacing w:line="276" w:lineRule="auto"/>
              <w:rPr>
                <w:rFonts w:cs="Arial"/>
              </w:rPr>
            </w:pPr>
            <w:r w:rsidRPr="001A7FC6">
              <w:rPr>
                <w:rFonts w:cs="Arial"/>
              </w:rPr>
              <w:t>Biogas upgrading plant output capacity</w:t>
            </w:r>
          </w:p>
        </w:tc>
        <w:tc>
          <w:tcPr>
            <w:tcW w:w="0" w:type="auto"/>
          </w:tcPr>
          <w:p w14:paraId="3A8A8E8D" w14:textId="77777777" w:rsidR="007835A0" w:rsidRPr="001A7FC6" w:rsidRDefault="007835A0" w:rsidP="00876F87">
            <w:pPr>
              <w:spacing w:line="276" w:lineRule="auto"/>
              <w:ind w:left="-88" w:firstLine="88"/>
              <w:rPr>
                <w:rFonts w:eastAsia="Calibri" w:cs="Arial"/>
              </w:rPr>
            </w:pPr>
            <m:oMathPara>
              <m:oMath>
                <m:r>
                  <w:rPr>
                    <w:rFonts w:ascii="Cambria Math" w:hAnsi="Cambria Math" w:cs="Arial"/>
                  </w:rPr>
                  <m:t>(therm</m:t>
                </m:r>
                <m:r>
                  <w:rPr>
                    <w:rFonts w:ascii="Cambria Math" w:eastAsia="Calibri" w:hAnsi="Cambria Math" w:cs="Arial"/>
                  </w:rPr>
                  <m:t>)</m:t>
                </m:r>
              </m:oMath>
            </m:oMathPara>
          </w:p>
        </w:tc>
      </w:tr>
      <w:tr w:rsidR="007835A0" w:rsidRPr="001A7FC6" w14:paraId="08DBBFBC" w14:textId="77777777" w:rsidTr="00876F87">
        <w:tc>
          <w:tcPr>
            <w:tcW w:w="0" w:type="auto"/>
          </w:tcPr>
          <w:p w14:paraId="35DE5DC3" w14:textId="77777777" w:rsidR="007835A0" w:rsidRPr="001A7FC6" w:rsidRDefault="007835A0" w:rsidP="00876F87">
            <w:pPr>
              <w:spacing w:line="276" w:lineRule="auto"/>
              <w:rPr>
                <w:rFonts w:eastAsia="Calibri" w:cs="Arial"/>
              </w:rPr>
            </w:pPr>
            <m:oMathPara>
              <m:oMath>
                <m:r>
                  <w:rPr>
                    <w:rFonts w:ascii="Cambria Math" w:eastAsiaTheme="minorEastAsia" w:hAnsi="Cambria Math" w:cs="Arial"/>
                  </w:rPr>
                  <m:t>COD</m:t>
                </m:r>
              </m:oMath>
            </m:oMathPara>
          </w:p>
        </w:tc>
        <w:tc>
          <w:tcPr>
            <w:tcW w:w="0" w:type="auto"/>
          </w:tcPr>
          <w:p w14:paraId="2EBFC4E7" w14:textId="77777777" w:rsidR="007835A0" w:rsidRPr="001A7FC6" w:rsidRDefault="007835A0" w:rsidP="00876F87">
            <w:pPr>
              <w:spacing w:line="276" w:lineRule="auto"/>
              <w:rPr>
                <w:rFonts w:cs="Arial"/>
              </w:rPr>
            </w:pPr>
            <w:r w:rsidRPr="001A7FC6">
              <w:rPr>
                <w:rFonts w:cs="Arial"/>
              </w:rPr>
              <w:t>Chemical Oxygen demand</w:t>
            </w:r>
          </w:p>
        </w:tc>
        <w:tc>
          <w:tcPr>
            <w:tcW w:w="0" w:type="auto"/>
          </w:tcPr>
          <w:p w14:paraId="0DF19B34" w14:textId="77777777" w:rsidR="007835A0" w:rsidRPr="001A7FC6" w:rsidRDefault="007835A0" w:rsidP="00876F87">
            <w:pPr>
              <w:spacing w:line="276" w:lineRule="auto"/>
              <w:ind w:left="-88" w:firstLine="88"/>
              <w:rPr>
                <w:rFonts w:eastAsia="Calibri" w:cs="Arial"/>
              </w:rPr>
            </w:pPr>
            <m:oMathPara>
              <m:oMath>
                <m:r>
                  <w:rPr>
                    <w:rFonts w:ascii="Cambria Math" w:eastAsia="Calibri" w:hAnsi="Cambria Math" w:cs="Arial"/>
                  </w:rPr>
                  <m:t>(kg)</m:t>
                </m:r>
              </m:oMath>
            </m:oMathPara>
          </w:p>
        </w:tc>
      </w:tr>
      <w:tr w:rsidR="007835A0" w:rsidRPr="001A7FC6" w14:paraId="3FD18D27" w14:textId="77777777" w:rsidTr="00876F87">
        <w:tc>
          <w:tcPr>
            <w:tcW w:w="0" w:type="auto"/>
          </w:tcPr>
          <w:p w14:paraId="7157385B" w14:textId="77777777" w:rsidR="007835A0" w:rsidRPr="001A7FC6" w:rsidRDefault="007835A0" w:rsidP="00876F87">
            <w:pPr>
              <w:spacing w:line="276" w:lineRule="auto"/>
              <w:rPr>
                <w:rFonts w:eastAsia="Calibri" w:cs="Arial"/>
              </w:rPr>
            </w:pPr>
            <m:oMathPara>
              <m:oMath>
                <m:r>
                  <w:rPr>
                    <w:rFonts w:ascii="Cambria Math" w:eastAsia="Calibri" w:hAnsi="Cambria Math" w:cs="Arial"/>
                  </w:rPr>
                  <m:t>f</m:t>
                </m:r>
                <m:sSup>
                  <m:sSupPr>
                    <m:ctrlPr>
                      <w:rPr>
                        <w:rFonts w:ascii="Cambria Math" w:eastAsia="Calibri" w:hAnsi="Cambria Math" w:cs="Arial"/>
                        <w:i/>
                      </w:rPr>
                    </m:ctrlPr>
                  </m:sSupPr>
                  <m:e>
                    <m:r>
                      <w:rPr>
                        <w:rFonts w:ascii="Cambria Math" w:eastAsia="Calibri" w:hAnsi="Cambria Math" w:cs="Arial"/>
                      </w:rPr>
                      <m:t>r</m:t>
                    </m:r>
                  </m:e>
                  <m:sup>
                    <m:r>
                      <w:rPr>
                        <w:rFonts w:ascii="Cambria Math" w:eastAsia="Calibri" w:hAnsi="Cambria Math" w:cs="Arial"/>
                      </w:rPr>
                      <m:t>dry SF</m:t>
                    </m:r>
                  </m:sup>
                </m:sSup>
              </m:oMath>
            </m:oMathPara>
          </w:p>
        </w:tc>
        <w:tc>
          <w:tcPr>
            <w:tcW w:w="0" w:type="auto"/>
          </w:tcPr>
          <w:p w14:paraId="3A19E994" w14:textId="43253595" w:rsidR="007835A0" w:rsidRPr="001A7FC6" w:rsidRDefault="007835A0" w:rsidP="00876F87">
            <w:pPr>
              <w:spacing w:line="276" w:lineRule="auto"/>
              <w:rPr>
                <w:rFonts w:cs="Arial"/>
              </w:rPr>
            </w:pPr>
            <w:r w:rsidRPr="001A7FC6">
              <w:rPr>
                <w:rFonts w:cs="Arial"/>
              </w:rPr>
              <w:t>Water fraction in digestate SF prior to drying</w:t>
            </w:r>
          </w:p>
        </w:tc>
        <w:tc>
          <w:tcPr>
            <w:tcW w:w="0" w:type="auto"/>
          </w:tcPr>
          <w:p w14:paraId="0F22A99C" w14:textId="77777777" w:rsidR="007835A0" w:rsidRPr="001A7FC6" w:rsidRDefault="007835A0" w:rsidP="00876F87">
            <w:pPr>
              <w:spacing w:line="276" w:lineRule="auto"/>
              <w:ind w:left="-88" w:firstLine="88"/>
              <w:rPr>
                <w:rFonts w:eastAsia="Calibri" w:cs="Arial"/>
              </w:rPr>
            </w:pPr>
            <m:oMathPara>
              <m:oMath>
                <m:r>
                  <w:rPr>
                    <w:rFonts w:ascii="Cambria Math" w:hAnsi="Cambria Math" w:cs="Arial"/>
                  </w:rPr>
                  <m:t>(kg/kg)</m:t>
                </m:r>
              </m:oMath>
            </m:oMathPara>
          </w:p>
        </w:tc>
      </w:tr>
      <w:tr w:rsidR="007835A0" w:rsidRPr="001A7FC6" w14:paraId="3397203F" w14:textId="77777777" w:rsidTr="00876F87">
        <w:tc>
          <w:tcPr>
            <w:tcW w:w="0" w:type="auto"/>
          </w:tcPr>
          <w:p w14:paraId="6520F5F2" w14:textId="77777777" w:rsidR="007835A0" w:rsidRPr="001A7FC6" w:rsidRDefault="007835A0" w:rsidP="00876F87">
            <w:pPr>
              <w:spacing w:line="276" w:lineRule="auto"/>
              <w:rPr>
                <w:rFonts w:eastAsia="Calibri" w:cs="Arial"/>
              </w:rPr>
            </w:pPr>
            <m:oMathPara>
              <m:oMath>
                <m:r>
                  <w:rPr>
                    <w:rFonts w:ascii="Cambria Math" w:eastAsia="Calibri" w:hAnsi="Cambria Math" w:cs="Arial"/>
                  </w:rPr>
                  <m:t>f</m:t>
                </m:r>
                <m:sSup>
                  <m:sSupPr>
                    <m:ctrlPr>
                      <w:rPr>
                        <w:rFonts w:ascii="Cambria Math" w:eastAsia="Calibri" w:hAnsi="Cambria Math" w:cs="Arial"/>
                        <w:i/>
                      </w:rPr>
                    </m:ctrlPr>
                  </m:sSupPr>
                  <m:e>
                    <m:r>
                      <w:rPr>
                        <w:rFonts w:ascii="Cambria Math" w:eastAsia="Calibri" w:hAnsi="Cambria Math" w:cs="Arial"/>
                      </w:rPr>
                      <m:t>r</m:t>
                    </m:r>
                  </m:e>
                  <m:sup>
                    <m:sSub>
                      <m:sSubPr>
                        <m:ctrlPr>
                          <w:rPr>
                            <w:rFonts w:ascii="Cambria Math" w:eastAsia="Calibri" w:hAnsi="Cambria Math" w:cs="Arial"/>
                            <w:i/>
                          </w:rPr>
                        </m:ctrlPr>
                      </m:sSubPr>
                      <m:e>
                        <m:r>
                          <w:rPr>
                            <w:rFonts w:ascii="Cambria Math" w:eastAsia="Calibri" w:hAnsi="Cambria Math" w:cs="Arial"/>
                          </w:rPr>
                          <m:t>H</m:t>
                        </m:r>
                      </m:e>
                      <m:sub>
                        <m:r>
                          <w:rPr>
                            <w:rFonts w:ascii="Cambria Math" w:eastAsia="Calibri" w:hAnsi="Cambria Math" w:cs="Arial"/>
                          </w:rPr>
                          <m:t>2</m:t>
                        </m:r>
                      </m:sub>
                    </m:sSub>
                    <m:r>
                      <w:rPr>
                        <w:rFonts w:ascii="Cambria Math" w:eastAsia="Calibri" w:hAnsi="Cambria Math" w:cs="Arial"/>
                      </w:rPr>
                      <m:t>O dry SF</m:t>
                    </m:r>
                  </m:sup>
                </m:sSup>
              </m:oMath>
            </m:oMathPara>
          </w:p>
        </w:tc>
        <w:tc>
          <w:tcPr>
            <w:tcW w:w="0" w:type="auto"/>
          </w:tcPr>
          <w:p w14:paraId="3C882A84" w14:textId="05857052" w:rsidR="007835A0" w:rsidRPr="001A7FC6" w:rsidRDefault="007835A0" w:rsidP="00876F87">
            <w:pPr>
              <w:spacing w:line="276" w:lineRule="auto"/>
              <w:rPr>
                <w:rFonts w:cs="Arial"/>
              </w:rPr>
            </w:pPr>
            <w:r w:rsidRPr="001A7FC6">
              <w:rPr>
                <w:rFonts w:cs="Arial"/>
              </w:rPr>
              <w:t>Water fraction in digestate SF after drying</w:t>
            </w:r>
          </w:p>
        </w:tc>
        <w:tc>
          <w:tcPr>
            <w:tcW w:w="0" w:type="auto"/>
          </w:tcPr>
          <w:p w14:paraId="4ED3EF7B" w14:textId="77777777" w:rsidR="007835A0" w:rsidRPr="001A7FC6" w:rsidRDefault="007835A0" w:rsidP="00876F87">
            <w:pPr>
              <w:spacing w:line="276" w:lineRule="auto"/>
              <w:ind w:left="-88" w:firstLine="88"/>
              <w:rPr>
                <w:rFonts w:eastAsia="Calibri" w:cs="Arial"/>
              </w:rPr>
            </w:pPr>
            <m:oMathPara>
              <m:oMath>
                <m:r>
                  <w:rPr>
                    <w:rFonts w:ascii="Cambria Math" w:hAnsi="Cambria Math" w:cs="Arial"/>
                  </w:rPr>
                  <m:t>(kg/kg)</m:t>
                </m:r>
              </m:oMath>
            </m:oMathPara>
          </w:p>
        </w:tc>
      </w:tr>
      <w:tr w:rsidR="007835A0" w:rsidRPr="001A7FC6" w14:paraId="7019B157" w14:textId="77777777" w:rsidTr="00876F87">
        <w:tc>
          <w:tcPr>
            <w:tcW w:w="0" w:type="auto"/>
          </w:tcPr>
          <w:p w14:paraId="47BCCD34" w14:textId="77777777" w:rsidR="007835A0" w:rsidRPr="001A7FC6" w:rsidRDefault="007835A0" w:rsidP="00876F87">
            <w:pPr>
              <w:spacing w:line="276" w:lineRule="auto"/>
              <w:rPr>
                <w:rFonts w:eastAsia="Calibri" w:cs="Arial"/>
              </w:rPr>
            </w:pPr>
            <m:oMathPara>
              <m:oMath>
                <m:r>
                  <w:rPr>
                    <w:rFonts w:ascii="Cambria Math" w:eastAsiaTheme="minorEastAsia" w:hAnsi="Cambria Math" w:cs="Arial"/>
                  </w:rPr>
                  <m:t>GS</m:t>
                </m:r>
                <m:sSup>
                  <m:sSupPr>
                    <m:ctrlPr>
                      <w:rPr>
                        <w:rFonts w:ascii="Cambria Math" w:eastAsiaTheme="minorEastAsia" w:hAnsi="Cambria Math" w:cs="Arial"/>
                        <w:i/>
                      </w:rPr>
                    </m:ctrlPr>
                  </m:sSupPr>
                  <m:e>
                    <m:r>
                      <w:rPr>
                        <w:rFonts w:ascii="Cambria Math" w:eastAsiaTheme="minorEastAsia" w:hAnsi="Cambria Math" w:cs="Arial"/>
                      </w:rPr>
                      <m:t>E</m:t>
                    </m:r>
                  </m:e>
                  <m:sup>
                    <m:r>
                      <w:rPr>
                        <w:rFonts w:ascii="Cambria Math" w:eastAsiaTheme="minorEastAsia" w:hAnsi="Cambria Math" w:cs="Arial"/>
                      </w:rPr>
                      <m:t>CPX</m:t>
                    </m:r>
                  </m:sup>
                </m:sSup>
              </m:oMath>
            </m:oMathPara>
          </w:p>
        </w:tc>
        <w:tc>
          <w:tcPr>
            <w:tcW w:w="0" w:type="auto"/>
          </w:tcPr>
          <w:p w14:paraId="31192633" w14:textId="77777777" w:rsidR="007835A0" w:rsidRPr="001A7FC6" w:rsidRDefault="007835A0" w:rsidP="00876F87">
            <w:pPr>
              <w:spacing w:line="276" w:lineRule="auto"/>
              <w:rPr>
                <w:rFonts w:cs="Arial"/>
              </w:rPr>
            </w:pPr>
            <w:r w:rsidRPr="001A7FC6">
              <w:rPr>
                <w:rFonts w:cs="Arial"/>
              </w:rPr>
              <w:t>Capital cost of gas engine system</w:t>
            </w:r>
          </w:p>
        </w:tc>
        <w:tc>
          <w:tcPr>
            <w:tcW w:w="0" w:type="auto"/>
          </w:tcPr>
          <w:p w14:paraId="2CDB31FE" w14:textId="77777777" w:rsidR="007835A0" w:rsidRPr="001A7FC6" w:rsidRDefault="007835A0" w:rsidP="00876F87">
            <w:pPr>
              <w:spacing w:line="276" w:lineRule="auto"/>
              <w:ind w:left="-88" w:firstLine="88"/>
              <w:rPr>
                <w:rFonts w:cs="Arial"/>
              </w:rPr>
            </w:pPr>
            <m:oMathPara>
              <m:oMath>
                <m:r>
                  <w:rPr>
                    <w:rFonts w:ascii="Cambria Math" w:hAnsi="Cambria Math" w:cs="Arial"/>
                  </w:rPr>
                  <m:t>(£)</m:t>
                </m:r>
              </m:oMath>
            </m:oMathPara>
          </w:p>
        </w:tc>
      </w:tr>
      <w:tr w:rsidR="007835A0" w:rsidRPr="001A7FC6" w14:paraId="18051ADB" w14:textId="77777777" w:rsidTr="00876F87">
        <w:tc>
          <w:tcPr>
            <w:tcW w:w="0" w:type="auto"/>
          </w:tcPr>
          <w:p w14:paraId="24B54F2B" w14:textId="77777777" w:rsidR="007835A0" w:rsidRPr="001A7FC6" w:rsidRDefault="007835A0" w:rsidP="00876F87">
            <w:pPr>
              <w:spacing w:line="276" w:lineRule="auto"/>
              <w:rPr>
                <w:rFonts w:eastAsia="Calibri" w:cs="Arial"/>
              </w:rPr>
            </w:pPr>
            <m:oMathPara>
              <m:oMath>
                <m:r>
                  <w:rPr>
                    <w:rFonts w:ascii="Cambria Math" w:eastAsiaTheme="minorEastAsia" w:hAnsi="Cambria Math" w:cs="Arial"/>
                  </w:rPr>
                  <m:t>GS</m:t>
                </m:r>
                <m:sSup>
                  <m:sSupPr>
                    <m:ctrlPr>
                      <w:rPr>
                        <w:rFonts w:ascii="Cambria Math" w:eastAsiaTheme="minorEastAsia" w:hAnsi="Cambria Math" w:cs="Arial"/>
                        <w:i/>
                      </w:rPr>
                    </m:ctrlPr>
                  </m:sSupPr>
                  <m:e>
                    <m:r>
                      <w:rPr>
                        <w:rFonts w:ascii="Cambria Math" w:eastAsiaTheme="minorEastAsia" w:hAnsi="Cambria Math" w:cs="Arial"/>
                      </w:rPr>
                      <m:t>E</m:t>
                    </m:r>
                  </m:e>
                  <m:sup>
                    <m:r>
                      <w:rPr>
                        <w:rFonts w:ascii="Cambria Math" w:eastAsiaTheme="minorEastAsia" w:hAnsi="Cambria Math" w:cs="Arial"/>
                      </w:rPr>
                      <m:t>OPX</m:t>
                    </m:r>
                  </m:sup>
                </m:sSup>
              </m:oMath>
            </m:oMathPara>
          </w:p>
        </w:tc>
        <w:tc>
          <w:tcPr>
            <w:tcW w:w="0" w:type="auto"/>
          </w:tcPr>
          <w:p w14:paraId="5AAAE223" w14:textId="77777777" w:rsidR="007835A0" w:rsidRPr="001A7FC6" w:rsidRDefault="007835A0" w:rsidP="00876F87">
            <w:pPr>
              <w:spacing w:line="276" w:lineRule="auto"/>
              <w:rPr>
                <w:rFonts w:cs="Arial"/>
              </w:rPr>
            </w:pPr>
            <w:r w:rsidRPr="001A7FC6">
              <w:rPr>
                <w:rFonts w:cs="Arial"/>
              </w:rPr>
              <w:t>Operation and maintenance cost of gas engine system</w:t>
            </w:r>
          </w:p>
        </w:tc>
        <w:tc>
          <w:tcPr>
            <w:tcW w:w="0" w:type="auto"/>
          </w:tcPr>
          <w:p w14:paraId="68B2376C" w14:textId="77777777" w:rsidR="007835A0" w:rsidRPr="001A7FC6" w:rsidRDefault="007835A0" w:rsidP="00876F87">
            <w:pPr>
              <w:spacing w:line="276" w:lineRule="auto"/>
              <w:ind w:left="-88" w:firstLine="88"/>
              <w:rPr>
                <w:rFonts w:cs="Arial"/>
              </w:rPr>
            </w:pPr>
            <m:oMathPara>
              <m:oMath>
                <m:r>
                  <w:rPr>
                    <w:rFonts w:ascii="Cambria Math" w:hAnsi="Cambria Math" w:cs="Arial"/>
                  </w:rPr>
                  <m:t>(p/kWh)</m:t>
                </m:r>
              </m:oMath>
            </m:oMathPara>
          </w:p>
        </w:tc>
      </w:tr>
      <w:tr w:rsidR="007835A0" w:rsidRPr="001A7FC6" w14:paraId="73F00762" w14:textId="77777777" w:rsidTr="00876F87">
        <w:tc>
          <w:tcPr>
            <w:tcW w:w="0" w:type="auto"/>
          </w:tcPr>
          <w:p w14:paraId="16E3F743" w14:textId="77777777" w:rsidR="007835A0" w:rsidRPr="001A7FC6" w:rsidRDefault="00547887" w:rsidP="00876F87">
            <w:pPr>
              <w:spacing w:line="276" w:lineRule="auto"/>
              <w:rPr>
                <w:rFonts w:eastAsia="Calibri" w:cs="Arial"/>
              </w:rPr>
            </w:pPr>
            <m:oMathPara>
              <m:oMath>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v</m:t>
                    </m:r>
                  </m:sub>
                </m:sSub>
              </m:oMath>
            </m:oMathPara>
          </w:p>
        </w:tc>
        <w:tc>
          <w:tcPr>
            <w:tcW w:w="0" w:type="auto"/>
          </w:tcPr>
          <w:p w14:paraId="4291858E" w14:textId="77777777" w:rsidR="007835A0" w:rsidRPr="001A7FC6" w:rsidRDefault="007835A0" w:rsidP="00876F87">
            <w:pPr>
              <w:spacing w:line="276" w:lineRule="auto"/>
              <w:rPr>
                <w:rFonts w:cs="Arial"/>
              </w:rPr>
            </w:pPr>
            <w:r w:rsidRPr="001A7FC6">
              <w:rPr>
                <w:rFonts w:cs="Arial"/>
              </w:rPr>
              <w:t>Heat of vaporisation of water</w:t>
            </w:r>
          </w:p>
        </w:tc>
        <w:tc>
          <w:tcPr>
            <w:tcW w:w="0" w:type="auto"/>
          </w:tcPr>
          <w:p w14:paraId="63BD659C" w14:textId="77777777" w:rsidR="007835A0" w:rsidRPr="001A7FC6" w:rsidRDefault="007835A0" w:rsidP="00876F87">
            <w:pPr>
              <w:spacing w:line="276" w:lineRule="auto"/>
              <w:ind w:left="-88" w:firstLine="88"/>
              <w:rPr>
                <w:rFonts w:eastAsia="Calibri" w:cs="Arial"/>
              </w:rPr>
            </w:pPr>
            <m:oMathPara>
              <m:oMath>
                <m:r>
                  <w:rPr>
                    <w:rFonts w:ascii="Cambria Math" w:hAnsi="Cambria Math" w:cs="Arial"/>
                  </w:rPr>
                  <m:t>(MW/kg)</m:t>
                </m:r>
              </m:oMath>
            </m:oMathPara>
          </w:p>
        </w:tc>
      </w:tr>
      <w:tr w:rsidR="007835A0" w:rsidRPr="001A7FC6" w14:paraId="471B12B2" w14:textId="77777777" w:rsidTr="00876F87">
        <w:tc>
          <w:tcPr>
            <w:tcW w:w="0" w:type="auto"/>
          </w:tcPr>
          <w:p w14:paraId="5A582227" w14:textId="77777777" w:rsidR="007835A0" w:rsidRPr="001A7FC6" w:rsidRDefault="007835A0" w:rsidP="00876F87">
            <w:pPr>
              <w:spacing w:line="276" w:lineRule="auto"/>
              <w:rPr>
                <w:rFonts w:eastAsia="Calibri" w:cs="Arial"/>
              </w:rPr>
            </w:pPr>
            <m:oMathPara>
              <m:oMath>
                <m:r>
                  <w:rPr>
                    <w:rFonts w:ascii="Cambria Math" w:eastAsiaTheme="minorEastAsia" w:hAnsi="Cambria Math" w:cs="Arial"/>
                  </w:rPr>
                  <m:t>HHV</m:t>
                </m:r>
              </m:oMath>
            </m:oMathPara>
          </w:p>
        </w:tc>
        <w:tc>
          <w:tcPr>
            <w:tcW w:w="0" w:type="auto"/>
          </w:tcPr>
          <w:p w14:paraId="02230D36" w14:textId="77777777" w:rsidR="007835A0" w:rsidRPr="001A7FC6" w:rsidRDefault="007835A0" w:rsidP="00876F87">
            <w:pPr>
              <w:spacing w:line="276" w:lineRule="auto"/>
              <w:rPr>
                <w:rFonts w:cs="Arial"/>
              </w:rPr>
            </w:pPr>
            <w:r w:rsidRPr="001A7FC6">
              <w:rPr>
                <w:rFonts w:cs="Arial"/>
              </w:rPr>
              <w:t>Higher heating value</w:t>
            </w:r>
          </w:p>
        </w:tc>
        <w:tc>
          <w:tcPr>
            <w:tcW w:w="0" w:type="auto"/>
          </w:tcPr>
          <w:p w14:paraId="15BE7855" w14:textId="77777777" w:rsidR="007835A0" w:rsidRPr="001A7FC6" w:rsidRDefault="007835A0" w:rsidP="00876F87">
            <w:pPr>
              <w:spacing w:line="276" w:lineRule="auto"/>
              <w:ind w:left="-88" w:firstLine="88"/>
              <w:rPr>
                <w:rFonts w:eastAsia="Calibri" w:cs="Arial"/>
              </w:rPr>
            </w:pPr>
            <m:oMathPara>
              <m:oMath>
                <m:r>
                  <w:rPr>
                    <w:rFonts w:ascii="Cambria Math" w:hAnsi="Cambria Math" w:cs="Arial"/>
                  </w:rPr>
                  <m:t>(MJ/kg)</m:t>
                </m:r>
              </m:oMath>
            </m:oMathPara>
          </w:p>
        </w:tc>
      </w:tr>
      <w:tr w:rsidR="007835A0" w:rsidRPr="001A7FC6" w14:paraId="55E0C4E7" w14:textId="77777777" w:rsidTr="00876F87">
        <w:trPr>
          <w:trHeight w:val="329"/>
        </w:trPr>
        <w:tc>
          <w:tcPr>
            <w:tcW w:w="0" w:type="auto"/>
          </w:tcPr>
          <w:p w14:paraId="74A921E2" w14:textId="77777777" w:rsidR="007835A0" w:rsidRPr="001A7FC6" w:rsidRDefault="007835A0" w:rsidP="00876F87">
            <w:pPr>
              <w:spacing w:line="276" w:lineRule="auto"/>
              <w:rPr>
                <w:rFonts w:eastAsia="Calibri" w:cs="Arial"/>
              </w:rPr>
            </w:pPr>
            <m:oMathPara>
              <m:oMath>
                <m:r>
                  <w:rPr>
                    <w:rFonts w:ascii="Cambria Math" w:eastAsiaTheme="minorEastAsia" w:hAnsi="Cambria Math" w:cs="Arial"/>
                  </w:rPr>
                  <m:t>LHV</m:t>
                </m:r>
              </m:oMath>
            </m:oMathPara>
          </w:p>
        </w:tc>
        <w:tc>
          <w:tcPr>
            <w:tcW w:w="0" w:type="auto"/>
          </w:tcPr>
          <w:p w14:paraId="1785D889" w14:textId="77777777" w:rsidR="007835A0" w:rsidRPr="001A7FC6" w:rsidRDefault="007835A0" w:rsidP="00876F87">
            <w:pPr>
              <w:spacing w:line="276" w:lineRule="auto"/>
              <w:rPr>
                <w:rFonts w:cs="Arial"/>
              </w:rPr>
            </w:pPr>
            <w:r w:rsidRPr="001A7FC6">
              <w:rPr>
                <w:rFonts w:cs="Arial"/>
              </w:rPr>
              <w:t>Lower heating value</w:t>
            </w:r>
          </w:p>
        </w:tc>
        <w:tc>
          <w:tcPr>
            <w:tcW w:w="0" w:type="auto"/>
          </w:tcPr>
          <w:p w14:paraId="04D0B5F2" w14:textId="77777777" w:rsidR="007835A0" w:rsidRPr="001A7FC6" w:rsidRDefault="007835A0" w:rsidP="00876F87">
            <w:pPr>
              <w:spacing w:line="276" w:lineRule="auto"/>
              <w:ind w:left="-88" w:firstLine="88"/>
              <w:rPr>
                <w:rFonts w:eastAsia="Calibri" w:cs="Arial"/>
              </w:rPr>
            </w:pPr>
            <m:oMathPara>
              <m:oMath>
                <m:r>
                  <w:rPr>
                    <w:rFonts w:ascii="Cambria Math" w:hAnsi="Cambria Math" w:cs="Arial"/>
                  </w:rPr>
                  <m:t>(MJ/kg)</m:t>
                </m:r>
              </m:oMath>
            </m:oMathPara>
          </w:p>
        </w:tc>
      </w:tr>
      <w:tr w:rsidR="007835A0" w:rsidRPr="001A7FC6" w14:paraId="186792F7" w14:textId="77777777" w:rsidTr="00876F87">
        <w:trPr>
          <w:trHeight w:val="329"/>
        </w:trPr>
        <w:tc>
          <w:tcPr>
            <w:tcW w:w="0" w:type="auto"/>
          </w:tcPr>
          <w:p w14:paraId="2AEEB067" w14:textId="77777777" w:rsidR="007835A0" w:rsidRPr="001A7FC6" w:rsidRDefault="007835A0" w:rsidP="00876F87">
            <w:pPr>
              <w:spacing w:line="276" w:lineRule="auto"/>
              <w:rPr>
                <w:rFonts w:eastAsia="Calibri" w:cs="Arial"/>
              </w:rPr>
            </w:pPr>
            <m:oMathPara>
              <m:oMath>
                <m:r>
                  <w:rPr>
                    <w:rFonts w:ascii="Cambria Math" w:eastAsiaTheme="minorEastAsia" w:hAnsi="Cambria Math" w:cs="Arial"/>
                  </w:rPr>
                  <w:lastRenderedPageBreak/>
                  <m:t>Inde</m:t>
                </m:r>
                <m:sSub>
                  <m:sSubPr>
                    <m:ctrlPr>
                      <w:rPr>
                        <w:rFonts w:ascii="Cambria Math" w:eastAsiaTheme="minorEastAsia" w:hAnsi="Cambria Math" w:cs="Arial"/>
                        <w:i/>
                      </w:rPr>
                    </m:ctrlPr>
                  </m:sSubPr>
                  <m:e>
                    <m:r>
                      <w:rPr>
                        <w:rFonts w:ascii="Cambria Math" w:eastAsiaTheme="minorEastAsia" w:hAnsi="Cambria Math" w:cs="Arial"/>
                      </w:rPr>
                      <m:t>x</m:t>
                    </m:r>
                  </m:e>
                  <m:sub>
                    <m:r>
                      <w:rPr>
                        <w:rFonts w:ascii="Cambria Math" w:eastAsiaTheme="minorEastAsia" w:hAnsi="Cambria Math" w:cs="Arial"/>
                      </w:rPr>
                      <m:t xml:space="preserve">year </m:t>
                    </m:r>
                  </m:sub>
                </m:sSub>
              </m:oMath>
            </m:oMathPara>
          </w:p>
        </w:tc>
        <w:tc>
          <w:tcPr>
            <w:tcW w:w="0" w:type="auto"/>
          </w:tcPr>
          <w:p w14:paraId="21F23B22" w14:textId="77777777" w:rsidR="007835A0" w:rsidRPr="001A7FC6" w:rsidRDefault="007835A0" w:rsidP="00876F87">
            <w:pPr>
              <w:spacing w:line="276" w:lineRule="auto"/>
              <w:rPr>
                <w:rFonts w:cs="Arial"/>
              </w:rPr>
            </w:pPr>
            <w:r w:rsidRPr="001A7FC6">
              <w:rPr>
                <w:rFonts w:cs="Arial"/>
              </w:rPr>
              <w:t>Cost index used to relate the equivalent cost in one year to another</w:t>
            </w:r>
          </w:p>
        </w:tc>
        <w:tc>
          <w:tcPr>
            <w:tcW w:w="0" w:type="auto"/>
          </w:tcPr>
          <w:p w14:paraId="64D3476A" w14:textId="77777777" w:rsidR="007835A0" w:rsidRPr="001A7FC6" w:rsidRDefault="007835A0" w:rsidP="00876F87">
            <w:pPr>
              <w:spacing w:line="276" w:lineRule="auto"/>
              <w:ind w:left="-88" w:firstLine="88"/>
              <w:rPr>
                <w:rFonts w:eastAsia="Calibri" w:cs="Arial"/>
              </w:rPr>
            </w:pPr>
            <m:oMathPara>
              <m:oMath>
                <m:r>
                  <w:rPr>
                    <w:rFonts w:ascii="Cambria Math" w:hAnsi="Cambria Math" w:cs="Arial"/>
                  </w:rPr>
                  <m:t>(£/£)</m:t>
                </m:r>
              </m:oMath>
            </m:oMathPara>
          </w:p>
        </w:tc>
      </w:tr>
      <w:tr w:rsidR="007835A0" w:rsidRPr="001A7FC6" w14:paraId="275103A1" w14:textId="77777777" w:rsidTr="00876F87">
        <w:tc>
          <w:tcPr>
            <w:tcW w:w="0" w:type="auto"/>
          </w:tcPr>
          <w:p w14:paraId="587DBEF5" w14:textId="77777777" w:rsidR="007835A0" w:rsidRPr="001A7FC6" w:rsidRDefault="00547887" w:rsidP="00876F87">
            <w:pPr>
              <w:spacing w:line="276" w:lineRule="auto"/>
              <w:rPr>
                <w:rFonts w:eastAsia="Calibri" w:cs="Arial"/>
              </w:rPr>
            </w:pPr>
            <m:oMathPara>
              <m:oMath>
                <m:sSup>
                  <m:sSupPr>
                    <m:ctrlPr>
                      <w:rPr>
                        <w:rFonts w:ascii="Cambria Math" w:eastAsiaTheme="minorEastAsia" w:hAnsi="Cambria Math" w:cs="Arial"/>
                        <w:i/>
                      </w:rPr>
                    </m:ctrlPr>
                  </m:sSupPr>
                  <m:e>
                    <m:r>
                      <w:rPr>
                        <w:rFonts w:ascii="Cambria Math" w:eastAsiaTheme="minorEastAsia" w:hAnsi="Cambria Math" w:cs="Arial"/>
                      </w:rPr>
                      <m:t>INJ</m:t>
                    </m:r>
                  </m:e>
                  <m:sup>
                    <m:r>
                      <w:rPr>
                        <w:rFonts w:ascii="Cambria Math" w:eastAsiaTheme="minorEastAsia" w:hAnsi="Cambria Math" w:cs="Arial"/>
                      </w:rPr>
                      <m:t>CPX</m:t>
                    </m:r>
                  </m:sup>
                </m:sSup>
              </m:oMath>
            </m:oMathPara>
          </w:p>
        </w:tc>
        <w:tc>
          <w:tcPr>
            <w:tcW w:w="0" w:type="auto"/>
          </w:tcPr>
          <w:p w14:paraId="6B13A3CE" w14:textId="77777777" w:rsidR="007835A0" w:rsidRPr="001A7FC6" w:rsidRDefault="007835A0" w:rsidP="00876F87">
            <w:pPr>
              <w:spacing w:line="276" w:lineRule="auto"/>
              <w:rPr>
                <w:rFonts w:cs="Arial"/>
              </w:rPr>
            </w:pPr>
            <w:r w:rsidRPr="001A7FC6">
              <w:rPr>
                <w:rFonts w:cs="Arial"/>
              </w:rPr>
              <w:t>Capital cost of gas injection to the grid system</w:t>
            </w:r>
          </w:p>
        </w:tc>
        <w:tc>
          <w:tcPr>
            <w:tcW w:w="0" w:type="auto"/>
          </w:tcPr>
          <w:p w14:paraId="6B7FF7C4" w14:textId="77777777" w:rsidR="007835A0" w:rsidRPr="001A7FC6" w:rsidRDefault="007835A0" w:rsidP="00876F87">
            <w:pPr>
              <w:spacing w:line="276" w:lineRule="auto"/>
              <w:ind w:left="-88" w:firstLine="88"/>
              <w:rPr>
                <w:rFonts w:eastAsia="Calibri" w:cs="Arial"/>
              </w:rPr>
            </w:pPr>
            <m:oMathPara>
              <m:oMath>
                <m:r>
                  <w:rPr>
                    <w:rFonts w:ascii="Cambria Math" w:hAnsi="Cambria Math" w:cs="Arial"/>
                  </w:rPr>
                  <m:t>(£/therm/yr)</m:t>
                </m:r>
              </m:oMath>
            </m:oMathPara>
          </w:p>
        </w:tc>
      </w:tr>
      <w:tr w:rsidR="007835A0" w:rsidRPr="001A7FC6" w14:paraId="407745A2" w14:textId="77777777" w:rsidTr="00876F87">
        <w:tc>
          <w:tcPr>
            <w:tcW w:w="0" w:type="auto"/>
          </w:tcPr>
          <w:p w14:paraId="6A0500D7" w14:textId="77777777" w:rsidR="007835A0" w:rsidRPr="001A7FC6" w:rsidRDefault="00547887" w:rsidP="00876F87">
            <w:pPr>
              <w:spacing w:line="276" w:lineRule="auto"/>
              <w:rPr>
                <w:rFonts w:eastAsia="Calibri" w:cs="Arial"/>
              </w:rPr>
            </w:pPr>
            <m:oMathPara>
              <m:oMath>
                <m:sSup>
                  <m:sSupPr>
                    <m:ctrlPr>
                      <w:rPr>
                        <w:rFonts w:ascii="Cambria Math" w:eastAsiaTheme="minorEastAsia" w:hAnsi="Cambria Math" w:cs="Arial"/>
                        <w:i/>
                      </w:rPr>
                    </m:ctrlPr>
                  </m:sSupPr>
                  <m:e>
                    <m:r>
                      <w:rPr>
                        <w:rFonts w:ascii="Cambria Math" w:eastAsiaTheme="minorEastAsia" w:hAnsi="Cambria Math" w:cs="Arial"/>
                      </w:rPr>
                      <m:t>INJ</m:t>
                    </m:r>
                  </m:e>
                  <m:sup>
                    <m:r>
                      <w:rPr>
                        <w:rFonts w:ascii="Cambria Math" w:eastAsiaTheme="minorEastAsia" w:hAnsi="Cambria Math" w:cs="Arial"/>
                      </w:rPr>
                      <m:t>OPX</m:t>
                    </m:r>
                  </m:sup>
                </m:sSup>
              </m:oMath>
            </m:oMathPara>
          </w:p>
        </w:tc>
        <w:tc>
          <w:tcPr>
            <w:tcW w:w="0" w:type="auto"/>
          </w:tcPr>
          <w:p w14:paraId="5CFE31A3" w14:textId="77777777" w:rsidR="007835A0" w:rsidRPr="001A7FC6" w:rsidRDefault="007835A0" w:rsidP="00876F87">
            <w:pPr>
              <w:spacing w:line="276" w:lineRule="auto"/>
              <w:rPr>
                <w:rFonts w:cs="Arial"/>
              </w:rPr>
            </w:pPr>
            <w:r w:rsidRPr="001A7FC6">
              <w:rPr>
                <w:rFonts w:cs="Arial"/>
              </w:rPr>
              <w:t>Operation cost of gas injection to the grid system</w:t>
            </w:r>
          </w:p>
        </w:tc>
        <w:tc>
          <w:tcPr>
            <w:tcW w:w="0" w:type="auto"/>
          </w:tcPr>
          <w:p w14:paraId="1EC32BE2" w14:textId="77777777" w:rsidR="007835A0" w:rsidRPr="001A7FC6" w:rsidRDefault="007835A0" w:rsidP="00876F87">
            <w:pPr>
              <w:spacing w:line="276" w:lineRule="auto"/>
              <w:ind w:left="-88" w:firstLine="88"/>
              <w:rPr>
                <w:rFonts w:eastAsia="Calibri" w:cs="Arial"/>
              </w:rPr>
            </w:pPr>
            <m:oMathPara>
              <m:oMath>
                <m:r>
                  <w:rPr>
                    <w:rFonts w:ascii="Cambria Math" w:hAnsi="Cambria Math" w:cs="Arial"/>
                  </w:rPr>
                  <m:t>(£/ther</m:t>
                </m:r>
                <m:sSub>
                  <m:sSubPr>
                    <m:ctrlPr>
                      <w:rPr>
                        <w:rFonts w:ascii="Cambria Math" w:hAnsi="Cambria Math" w:cs="Arial"/>
                        <w:i/>
                      </w:rPr>
                    </m:ctrlPr>
                  </m:sSubPr>
                  <m:e>
                    <m:r>
                      <w:rPr>
                        <w:rFonts w:ascii="Cambria Math" w:hAnsi="Cambria Math" w:cs="Arial"/>
                      </w:rPr>
                      <m:t>m</m:t>
                    </m:r>
                  </m:e>
                  <m:sub>
                    <m:r>
                      <w:rPr>
                        <w:rFonts w:ascii="Cambria Math" w:hAnsi="Cambria Math" w:cs="Arial"/>
                      </w:rPr>
                      <m:t>out</m:t>
                    </m:r>
                  </m:sub>
                </m:sSub>
                <m:r>
                  <w:rPr>
                    <w:rFonts w:ascii="Cambria Math" w:hAnsi="Cambria Math" w:cs="Arial"/>
                  </w:rPr>
                  <m:t>)</m:t>
                </m:r>
              </m:oMath>
            </m:oMathPara>
          </w:p>
        </w:tc>
      </w:tr>
      <w:tr w:rsidR="007835A0" w:rsidRPr="001A7FC6" w14:paraId="393AEA37" w14:textId="77777777" w:rsidTr="00876F87">
        <w:tc>
          <w:tcPr>
            <w:tcW w:w="0" w:type="auto"/>
          </w:tcPr>
          <w:p w14:paraId="3AB72B19" w14:textId="77777777" w:rsidR="007835A0" w:rsidRPr="001A7FC6" w:rsidRDefault="007835A0" w:rsidP="00876F87">
            <w:pPr>
              <w:spacing w:line="276" w:lineRule="auto"/>
              <w:rPr>
                <w:rFonts w:eastAsia="Calibri" w:cs="Arial"/>
              </w:rPr>
            </w:pPr>
            <m:oMathPara>
              <m:oMath>
                <m:r>
                  <w:rPr>
                    <w:rFonts w:ascii="Cambria Math" w:eastAsia="Calibri" w:hAnsi="Cambria Math" w:cs="Arial"/>
                  </w:rPr>
                  <m:t>M</m:t>
                </m:r>
              </m:oMath>
            </m:oMathPara>
          </w:p>
        </w:tc>
        <w:tc>
          <w:tcPr>
            <w:tcW w:w="0" w:type="auto"/>
          </w:tcPr>
          <w:p w14:paraId="1FFD305B" w14:textId="77777777" w:rsidR="007835A0" w:rsidRPr="001A7FC6" w:rsidRDefault="007835A0" w:rsidP="00876F87">
            <w:pPr>
              <w:spacing w:line="276" w:lineRule="auto"/>
              <w:rPr>
                <w:rFonts w:cs="Arial"/>
              </w:rPr>
            </w:pPr>
            <w:r w:rsidRPr="001A7FC6">
              <w:rPr>
                <w:rFonts w:cs="Arial"/>
              </w:rPr>
              <w:t>Mass</w:t>
            </w:r>
          </w:p>
        </w:tc>
        <w:tc>
          <w:tcPr>
            <w:tcW w:w="0" w:type="auto"/>
          </w:tcPr>
          <w:p w14:paraId="4F34D778" w14:textId="77777777" w:rsidR="007835A0" w:rsidRPr="001A7FC6" w:rsidRDefault="007835A0" w:rsidP="00876F87">
            <w:pPr>
              <w:spacing w:line="276" w:lineRule="auto"/>
              <w:ind w:left="-88" w:firstLine="88"/>
              <w:rPr>
                <w:rFonts w:eastAsia="Calibri" w:cs="Arial"/>
              </w:rPr>
            </w:pPr>
            <m:oMathPara>
              <m:oMath>
                <m:r>
                  <w:rPr>
                    <w:rFonts w:ascii="Cambria Math" w:hAnsi="Cambria Math" w:cs="Arial"/>
                  </w:rPr>
                  <m:t>(kg)</m:t>
                </m:r>
              </m:oMath>
            </m:oMathPara>
          </w:p>
        </w:tc>
      </w:tr>
      <w:tr w:rsidR="007835A0" w:rsidRPr="001A7FC6" w14:paraId="17696EB2" w14:textId="77777777" w:rsidTr="00876F87">
        <w:tc>
          <w:tcPr>
            <w:tcW w:w="0" w:type="auto"/>
          </w:tcPr>
          <w:p w14:paraId="24380EBB" w14:textId="77777777" w:rsidR="007835A0" w:rsidRPr="001A7FC6" w:rsidRDefault="007835A0" w:rsidP="00876F87">
            <w:pPr>
              <w:spacing w:line="276" w:lineRule="auto"/>
              <w:rPr>
                <w:rFonts w:eastAsia="Calibri" w:cs="Arial"/>
              </w:rPr>
            </w:pPr>
            <m:oMathPara>
              <m:oMath>
                <m:r>
                  <w:rPr>
                    <w:rFonts w:ascii="Cambria Math" w:eastAsiaTheme="minorEastAsia" w:hAnsi="Cambria Math" w:cs="Arial"/>
                  </w:rPr>
                  <m:t>OR</m:t>
                </m:r>
                <m:sSup>
                  <m:sSupPr>
                    <m:ctrlPr>
                      <w:rPr>
                        <w:rFonts w:ascii="Cambria Math" w:eastAsiaTheme="minorEastAsia" w:hAnsi="Cambria Math" w:cs="Arial"/>
                        <w:i/>
                      </w:rPr>
                    </m:ctrlPr>
                  </m:sSupPr>
                  <m:e>
                    <m:r>
                      <w:rPr>
                        <w:rFonts w:ascii="Cambria Math" w:eastAsiaTheme="minorEastAsia" w:hAnsi="Cambria Math" w:cs="Arial"/>
                      </w:rPr>
                      <m:t>C</m:t>
                    </m:r>
                  </m:e>
                  <m:sup>
                    <m:r>
                      <w:rPr>
                        <w:rFonts w:ascii="Cambria Math" w:eastAsiaTheme="minorEastAsia" w:hAnsi="Cambria Math" w:cs="Arial"/>
                      </w:rPr>
                      <m:t>CPX</m:t>
                    </m:r>
                  </m:sup>
                </m:sSup>
              </m:oMath>
            </m:oMathPara>
          </w:p>
        </w:tc>
        <w:tc>
          <w:tcPr>
            <w:tcW w:w="0" w:type="auto"/>
          </w:tcPr>
          <w:p w14:paraId="1599F21B" w14:textId="77777777" w:rsidR="007835A0" w:rsidRPr="001A7FC6" w:rsidRDefault="007835A0" w:rsidP="00876F87">
            <w:pPr>
              <w:spacing w:line="276" w:lineRule="auto"/>
              <w:rPr>
                <w:rFonts w:cs="Arial"/>
              </w:rPr>
            </w:pPr>
            <w:r w:rsidRPr="001A7FC6">
              <w:rPr>
                <w:rFonts w:cs="Arial"/>
              </w:rPr>
              <w:t>Capital cost of Organic Rankine cycle</w:t>
            </w:r>
          </w:p>
        </w:tc>
        <w:tc>
          <w:tcPr>
            <w:tcW w:w="0" w:type="auto"/>
          </w:tcPr>
          <w:p w14:paraId="4DE9A4F0" w14:textId="77777777" w:rsidR="007835A0" w:rsidRPr="001A7FC6" w:rsidRDefault="007835A0" w:rsidP="00876F87">
            <w:pPr>
              <w:spacing w:line="276" w:lineRule="auto"/>
              <w:ind w:left="-88" w:firstLine="88"/>
              <w:rPr>
                <w:rFonts w:cs="Arial"/>
              </w:rPr>
            </w:pPr>
            <m:oMathPara>
              <m:oMath>
                <m:r>
                  <w:rPr>
                    <w:rFonts w:ascii="Cambria Math" w:hAnsi="Cambria Math" w:cs="Arial"/>
                  </w:rPr>
                  <m:t>(£)</m:t>
                </m:r>
              </m:oMath>
            </m:oMathPara>
          </w:p>
        </w:tc>
      </w:tr>
      <w:tr w:rsidR="007835A0" w:rsidRPr="001A7FC6" w14:paraId="48722103" w14:textId="77777777" w:rsidTr="00876F87">
        <w:tc>
          <w:tcPr>
            <w:tcW w:w="0" w:type="auto"/>
          </w:tcPr>
          <w:p w14:paraId="42C85E88" w14:textId="77777777" w:rsidR="007835A0" w:rsidRPr="001A7FC6" w:rsidRDefault="007835A0" w:rsidP="00876F87">
            <w:pPr>
              <w:spacing w:line="276" w:lineRule="auto"/>
              <w:rPr>
                <w:rFonts w:eastAsia="Calibri" w:cs="Arial"/>
              </w:rPr>
            </w:pPr>
            <m:oMathPara>
              <m:oMath>
                <m:r>
                  <w:rPr>
                    <w:rFonts w:ascii="Cambria Math" w:eastAsiaTheme="minorEastAsia" w:hAnsi="Cambria Math" w:cs="Arial"/>
                  </w:rPr>
                  <m:t>OR</m:t>
                </m:r>
                <m:sSup>
                  <m:sSupPr>
                    <m:ctrlPr>
                      <w:rPr>
                        <w:rFonts w:ascii="Cambria Math" w:eastAsiaTheme="minorEastAsia" w:hAnsi="Cambria Math" w:cs="Arial"/>
                        <w:i/>
                      </w:rPr>
                    </m:ctrlPr>
                  </m:sSupPr>
                  <m:e>
                    <m:r>
                      <w:rPr>
                        <w:rFonts w:ascii="Cambria Math" w:eastAsiaTheme="minorEastAsia" w:hAnsi="Cambria Math" w:cs="Arial"/>
                      </w:rPr>
                      <m:t>C</m:t>
                    </m:r>
                  </m:e>
                  <m:sup>
                    <m:r>
                      <w:rPr>
                        <w:rFonts w:ascii="Cambria Math" w:eastAsiaTheme="minorEastAsia" w:hAnsi="Cambria Math" w:cs="Arial"/>
                      </w:rPr>
                      <m:t>OPX</m:t>
                    </m:r>
                  </m:sup>
                </m:sSup>
              </m:oMath>
            </m:oMathPara>
          </w:p>
        </w:tc>
        <w:tc>
          <w:tcPr>
            <w:tcW w:w="0" w:type="auto"/>
          </w:tcPr>
          <w:p w14:paraId="1BDF6645" w14:textId="77777777" w:rsidR="007835A0" w:rsidRPr="001A7FC6" w:rsidRDefault="007835A0" w:rsidP="00876F87">
            <w:pPr>
              <w:spacing w:line="276" w:lineRule="auto"/>
              <w:rPr>
                <w:rFonts w:cs="Arial"/>
              </w:rPr>
            </w:pPr>
            <w:r w:rsidRPr="001A7FC6">
              <w:rPr>
                <w:rFonts w:cs="Arial"/>
              </w:rPr>
              <w:t>Yearly operational cost of Organic Rankine cycle</w:t>
            </w:r>
          </w:p>
        </w:tc>
        <w:tc>
          <w:tcPr>
            <w:tcW w:w="0" w:type="auto"/>
          </w:tcPr>
          <w:p w14:paraId="646316E4" w14:textId="77777777" w:rsidR="007835A0" w:rsidRPr="001A7FC6" w:rsidRDefault="007835A0" w:rsidP="00876F87">
            <w:pPr>
              <w:spacing w:line="276" w:lineRule="auto"/>
              <w:ind w:left="-88" w:firstLine="88"/>
              <w:rPr>
                <w:rFonts w:cs="Arial"/>
              </w:rPr>
            </w:pPr>
            <m:oMathPara>
              <m:oMath>
                <m:r>
                  <w:rPr>
                    <w:rFonts w:ascii="Cambria Math" w:hAnsi="Cambria Math" w:cs="Arial"/>
                  </w:rPr>
                  <m:t>(£/yr)</m:t>
                </m:r>
              </m:oMath>
            </m:oMathPara>
          </w:p>
        </w:tc>
      </w:tr>
      <w:tr w:rsidR="007835A0" w:rsidRPr="001A7FC6" w14:paraId="53D001BF" w14:textId="77777777" w:rsidTr="00876F87">
        <w:tc>
          <w:tcPr>
            <w:tcW w:w="0" w:type="auto"/>
          </w:tcPr>
          <w:p w14:paraId="5D69576A" w14:textId="77777777" w:rsidR="007835A0" w:rsidRPr="001A7FC6" w:rsidRDefault="00547887" w:rsidP="00876F87">
            <w:pPr>
              <w:spacing w:line="276" w:lineRule="auto"/>
              <w:rPr>
                <w:rFonts w:eastAsia="Calibri" w:cs="Arial"/>
              </w:rPr>
            </w:pPr>
            <m:oMathPara>
              <m:oMath>
                <m:sSub>
                  <m:sSubPr>
                    <m:ctrlPr>
                      <w:rPr>
                        <w:rFonts w:ascii="Cambria Math" w:eastAsiaTheme="minorEastAsia" w:hAnsi="Cambria Math" w:cs="Arial"/>
                        <w:i/>
                      </w:rPr>
                    </m:ctrlPr>
                  </m:sSubPr>
                  <m:e>
                    <m:r>
                      <w:rPr>
                        <w:rFonts w:ascii="Cambria Math" w:eastAsiaTheme="minorEastAsia" w:hAnsi="Cambria Math" w:cs="Arial"/>
                      </w:rPr>
                      <m:t>Sep</m:t>
                    </m:r>
                  </m:e>
                  <m:sub>
                    <m:r>
                      <w:rPr>
                        <w:rFonts w:ascii="Cambria Math" w:eastAsiaTheme="minorEastAsia" w:hAnsi="Cambria Math" w:cs="Arial"/>
                      </w:rPr>
                      <m:t>x</m:t>
                    </m:r>
                  </m:sub>
                </m:sSub>
              </m:oMath>
            </m:oMathPara>
          </w:p>
        </w:tc>
        <w:tc>
          <w:tcPr>
            <w:tcW w:w="0" w:type="auto"/>
          </w:tcPr>
          <w:p w14:paraId="2D4B69DB" w14:textId="77777777" w:rsidR="007835A0" w:rsidRPr="001A7FC6" w:rsidRDefault="007835A0" w:rsidP="00876F87">
            <w:pPr>
              <w:spacing w:line="276" w:lineRule="auto"/>
              <w:rPr>
                <w:rFonts w:cs="Arial"/>
              </w:rPr>
            </w:pPr>
            <w:r w:rsidRPr="001A7FC6">
              <w:rPr>
                <w:rFonts w:cs="Arial"/>
              </w:rPr>
              <w:t>Separation factor of digestate constituents into SF and LF</w:t>
            </w:r>
          </w:p>
        </w:tc>
        <w:tc>
          <w:tcPr>
            <w:tcW w:w="0" w:type="auto"/>
          </w:tcPr>
          <w:p w14:paraId="4128C310" w14:textId="77777777" w:rsidR="007835A0" w:rsidRPr="001A7FC6" w:rsidRDefault="007835A0" w:rsidP="00876F87">
            <w:pPr>
              <w:spacing w:line="276" w:lineRule="auto"/>
              <w:ind w:left="-88" w:firstLine="88"/>
              <w:rPr>
                <w:rFonts w:eastAsia="Calibri" w:cs="Arial"/>
              </w:rPr>
            </w:pPr>
            <m:oMathPara>
              <m:oMath>
                <m:r>
                  <w:rPr>
                    <w:rFonts w:ascii="Cambria Math" w:hAnsi="Cambria Math" w:cs="Arial"/>
                  </w:rPr>
                  <m:t>(kg/kg)</m:t>
                </m:r>
              </m:oMath>
            </m:oMathPara>
          </w:p>
        </w:tc>
      </w:tr>
    </w:tbl>
    <w:p w14:paraId="01E8CCAA" w14:textId="5693F814" w:rsidR="00350AB5" w:rsidRPr="001A7FC6" w:rsidRDefault="00350AB5" w:rsidP="00350AB5">
      <w:pPr>
        <w:pStyle w:val="Heading2"/>
        <w:numPr>
          <w:ilvl w:val="1"/>
          <w:numId w:val="1"/>
        </w:numPr>
      </w:pPr>
      <w:bookmarkStart w:id="3" w:name="_Toc14891687"/>
      <w:r w:rsidRPr="001A7FC6">
        <w:t>Anaerobic digestion and digestate preparation</w:t>
      </w:r>
      <w:bookmarkEnd w:id="3"/>
    </w:p>
    <w:p w14:paraId="2AA96701" w14:textId="2B8C5A34" w:rsidR="005D49AE" w:rsidRPr="001A7FC6" w:rsidRDefault="005D49AE" w:rsidP="005D49AE">
      <w:pPr>
        <w:spacing w:before="240"/>
      </w:pPr>
      <w:r w:rsidRPr="001A7FC6">
        <w:t xml:space="preserve">In AD, OFMSW is converted to biogas, which can be further upgraded to produce bio-methane or processed to produce electricity. The plants considered in this model are AD+CHP and </w:t>
      </w:r>
      <w:proofErr w:type="spellStart"/>
      <w:r w:rsidRPr="001A7FC6">
        <w:t>AD+CHP+BtG</w:t>
      </w:r>
      <w:proofErr w:type="spellEnd"/>
      <w:r w:rsidRPr="001A7FC6">
        <w:t xml:space="preserve"> systems, with the relevant equations used to calculate the OPEX and CAPEX presented in </w:t>
      </w:r>
      <w:r w:rsidRPr="001A7FC6">
        <w:fldChar w:fldCharType="begin"/>
      </w:r>
      <w:r w:rsidRPr="001A7FC6">
        <w:instrText xml:space="preserve"> REF _Ref15411101 \h </w:instrText>
      </w:r>
      <w:r w:rsidR="001A7FC6">
        <w:instrText xml:space="preserve"> \* MERGEFORMAT </w:instrText>
      </w:r>
      <w:r w:rsidRPr="001A7FC6">
        <w:fldChar w:fldCharType="separate"/>
      </w:r>
      <w:r w:rsidR="00890150" w:rsidRPr="001A7FC6">
        <w:rPr>
          <w:color w:val="000000" w:themeColor="text1"/>
        </w:rPr>
        <w:t>Table S</w:t>
      </w:r>
      <w:r w:rsidR="00890150" w:rsidRPr="001A7FC6">
        <w:rPr>
          <w:noProof/>
          <w:color w:val="000000" w:themeColor="text1"/>
        </w:rPr>
        <w:t>2</w:t>
      </w:r>
      <w:r w:rsidRPr="001A7FC6">
        <w:fldChar w:fldCharType="end"/>
      </w:r>
      <w:r w:rsidRPr="001A7FC6">
        <w:t xml:space="preserve">. The ratio for the capacities of bio-methane to electricity production for </w:t>
      </w:r>
      <w:proofErr w:type="spellStart"/>
      <w:r w:rsidRPr="001A7FC6">
        <w:t>AD+CHP+BtG</w:t>
      </w:r>
      <w:proofErr w:type="spellEnd"/>
      <w:r w:rsidRPr="001A7FC6">
        <w:t xml:space="preserve"> is assumed to be 46.3 </w:t>
      </w:r>
      <w:proofErr w:type="spellStart"/>
      <w:r w:rsidRPr="001A7FC6">
        <w:t>therm</w:t>
      </w:r>
      <w:proofErr w:type="spellEnd"/>
      <w:r w:rsidRPr="001A7FC6">
        <w:t xml:space="preserve"> of bio-methane to 1 GJ of electricity, which is the average for this kind of plants in the UK </w:t>
      </w:r>
      <w:r w:rsidRPr="001A7FC6">
        <w:fldChar w:fldCharType="begin" w:fldLock="1"/>
      </w:r>
      <w:r w:rsidR="00031370" w:rsidRPr="001A7FC6">
        <w:instrText>ADDIN CSL_CITATION {"citationItems":[{"id":"ITEM-1","itemData":{"URL":"http://www.biogas-info.co.uk/ad-portal-map_site-list_external_may-_2019/","accessed":{"date-parts":[["2019","7","5"]]},"author":[{"dropping-particle":"","family":"NNFCC","given":"","non-dropping-particle":"","parse-names":false,"suffix":""}],"container-title":"NNFCC","id":"ITEM-1","issued":{"date-parts":[["2019"]]},"title":"AD portal map site list external May 2019","type":"webpage"},"uris":["http://www.mendeley.com/documents/?uuid=b8b03063-3a4f-4f35-b4de-18c86fd2f9a3"]}],"mendeley":{"formattedCitation":"(NNFCC, 2019)","plainTextFormattedCitation":"(NNFCC, 2019)","previouslyFormattedCitation":"(NNFCC, 2019)"},"properties":{"noteIndex":0},"schema":"https://github.com/citation-style-language/schema/raw/master/csl-citation.json"}</w:instrText>
      </w:r>
      <w:r w:rsidRPr="001A7FC6">
        <w:fldChar w:fldCharType="separate"/>
      </w:r>
      <w:r w:rsidRPr="001A7FC6">
        <w:rPr>
          <w:noProof/>
        </w:rPr>
        <w:t>(NNFCC, 2019)</w:t>
      </w:r>
      <w:r w:rsidRPr="001A7FC6">
        <w:fldChar w:fldCharType="end"/>
      </w:r>
      <w:r w:rsidRPr="001A7FC6">
        <w:t>. The electrical efficiency conversion for CHP was assumed as 1.2 kWh/m</w:t>
      </w:r>
      <w:r w:rsidRPr="001A7FC6">
        <w:rPr>
          <w:vertAlign w:val="superscript"/>
        </w:rPr>
        <w:t>3</w:t>
      </w:r>
      <w:r w:rsidRPr="001A7FC6">
        <w:t xml:space="preserve"> of biogas produced and the calorific value of biogas is 21.48 kJ/l </w:t>
      </w:r>
      <w:r w:rsidRPr="001A7FC6">
        <w:fldChar w:fldCharType="begin" w:fldLock="1"/>
      </w:r>
      <w:r w:rsidR="00031370" w:rsidRPr="001A7FC6">
        <w:instrText>ADDIN CSL_CITATION {"citationItems":[{"id":"ITEM-1","itemData":{"DOI":"10.1039/c2gc36546d","ISSN":"14639270","abstract":"A life cycle assessment (LCA) approach was used to explore fossil energy profiles of current and future scenarios for the production of the biopolymer polyhydroxybutyrate-valerate (PHBV). The study was based on primary data collected from industry sources and laboratory research, focused on evaluating the long-term quantitative and qualitative depletion of fossil fuel resources associated with the production of PHBV. The results show that corn farming and corn-glucose production were the dominant contributors to fossil fuel depletion (expressed in MJ surplus energy) over the life cycle of PHBV produced under the current production scale. However, PHBV is presently undergoing substantial development in comparison with the well-developed petrochemical alternatives. The results of forward-looking scenarios under an expanded production scale indicate that the use of renewable resources for process energy requirements for PHBV and glucose production coupled with improved C-utilization efficiency have the potential to reduce fossil fuel depletion by over 50% compared with its current production scale. The use of appropriate lignocellulosic feedstocks and processing technology for glucose production offers potential for further improvement. These results with PHBV support the view that it will be possible with future developments to move to biopolymer production systems that are largely independent of fossil fuels. © 2013 The Royal Society of Chemistry.","author":[{"dropping-particle":"","family":"Guo","given":"M.","non-dropping-particle":"","parse-names":false,"suffix":""},{"dropping-particle":"","family":"Stuckey","given":"D. C.","non-dropping-particle":"","parse-names":false,"suffix":""},{"dropping-particle":"","family":"Murphy","given":"R. J.","non-dropping-particle":"","parse-names":false,"suffix":""}],"container-title":"Green Chemistry","id":"ITEM-1","issue":"3","issued":{"date-parts":[["2013"]]},"page":"706-717","title":"Is it possible to develop biopolymer production systems independent of fossil fuels? Case study in energy profiling of polyhydroxybutyrate-valerate (PHBV)","type":"article-journal","volume":"15"},"uris":["http://www.mendeley.com/documents/?uuid=571c0dbc-518f-4ad7-81d0-77420e4f2897"]}],"mendeley":{"formattedCitation":"(Guo et al., 2013)","plainTextFormattedCitation":"(Guo et al., 2013)","previouslyFormattedCitation":"(Guo et al., 2013)"},"properties":{"noteIndex":0},"schema":"https://github.com/citation-style-language/schema/raw/master/csl-citation.json"}</w:instrText>
      </w:r>
      <w:r w:rsidRPr="001A7FC6">
        <w:fldChar w:fldCharType="separate"/>
      </w:r>
      <w:r w:rsidR="0014186D" w:rsidRPr="001A7FC6">
        <w:rPr>
          <w:noProof/>
        </w:rPr>
        <w:t>(Guo et al., 2013)</w:t>
      </w:r>
      <w:r w:rsidRPr="001A7FC6">
        <w:fldChar w:fldCharType="end"/>
      </w:r>
      <w:r w:rsidRPr="001A7FC6">
        <w:t>.</w:t>
      </w:r>
    </w:p>
    <w:p w14:paraId="3FE15A1E" w14:textId="64158400" w:rsidR="005D49AE" w:rsidRPr="001A7FC6" w:rsidRDefault="005D49AE" w:rsidP="005D49AE">
      <w:pPr>
        <w:spacing w:before="240"/>
      </w:pPr>
      <w:r w:rsidRPr="001A7FC6">
        <w:t>Eq.</w:t>
      </w:r>
      <w:r w:rsidR="00872DA0" w:rsidRPr="001A7FC6">
        <w:t xml:space="preserve"> </w:t>
      </w:r>
      <w:r w:rsidRPr="001A7FC6">
        <w:fldChar w:fldCharType="begin"/>
      </w:r>
      <w:r w:rsidRPr="001A7FC6">
        <w:instrText xml:space="preserve"> REF _Ref15298036 \h  \* MERGEFORMAT </w:instrText>
      </w:r>
      <w:r w:rsidRPr="001A7FC6">
        <w:fldChar w:fldCharType="separate"/>
      </w:r>
      <w:r w:rsidR="00890150" w:rsidRPr="001A7FC6">
        <w:t>(</w:t>
      </w:r>
      <w:r w:rsidR="00890150" w:rsidRPr="001A7FC6">
        <w:rPr>
          <w:noProof/>
        </w:rPr>
        <w:t>S1</w:t>
      </w:r>
      <w:r w:rsidR="00890150" w:rsidRPr="001A7FC6">
        <w:t>)</w:t>
      </w:r>
      <w:r w:rsidRPr="001A7FC6">
        <w:fldChar w:fldCharType="end"/>
      </w:r>
      <w:r w:rsidR="00A06382" w:rsidRPr="001A7FC6">
        <w:t>-</w:t>
      </w:r>
      <w:r w:rsidRPr="001A7FC6">
        <w:fldChar w:fldCharType="begin"/>
      </w:r>
      <w:r w:rsidRPr="001A7FC6">
        <w:instrText xml:space="preserve"> REF _Ref15298038 \h  \* MERGEFORMAT </w:instrText>
      </w:r>
      <w:r w:rsidRPr="001A7FC6">
        <w:fldChar w:fldCharType="separate"/>
      </w:r>
      <w:r w:rsidR="00890150" w:rsidRPr="001A7FC6">
        <w:t>(</w:t>
      </w:r>
      <w:r w:rsidR="00890150" w:rsidRPr="001A7FC6">
        <w:rPr>
          <w:noProof/>
        </w:rPr>
        <w:t>S2</w:t>
      </w:r>
      <w:r w:rsidR="00890150" w:rsidRPr="001A7FC6">
        <w:t>)</w:t>
      </w:r>
      <w:r w:rsidRPr="001A7FC6">
        <w:fldChar w:fldCharType="end"/>
      </w:r>
      <w:r w:rsidRPr="001A7FC6">
        <w:t xml:space="preserve"> are used to estimate the costs of AD+CHP facilities. For the </w:t>
      </w:r>
      <w:proofErr w:type="spellStart"/>
      <w:r w:rsidRPr="001A7FC6">
        <w:t>AD+CHP+BtG</w:t>
      </w:r>
      <w:proofErr w:type="spellEnd"/>
      <w:r w:rsidRPr="001A7FC6">
        <w:t xml:space="preserve"> facilities, costs are broken down into gas engine (Eq.</w:t>
      </w:r>
      <w:r w:rsidR="00872DA0" w:rsidRPr="001A7FC6">
        <w:t xml:space="preserve"> </w:t>
      </w:r>
      <w:r w:rsidRPr="001A7FC6">
        <w:fldChar w:fldCharType="begin"/>
      </w:r>
      <w:r w:rsidRPr="001A7FC6">
        <w:instrText xml:space="preserve"> REF _Ref15298047 \h  \* MERGEFORMAT </w:instrText>
      </w:r>
      <w:r w:rsidRPr="001A7FC6">
        <w:fldChar w:fldCharType="separate"/>
      </w:r>
      <w:r w:rsidR="00890150" w:rsidRPr="001A7FC6">
        <w:t>(</w:t>
      </w:r>
      <w:r w:rsidR="00890150" w:rsidRPr="001A7FC6">
        <w:rPr>
          <w:noProof/>
        </w:rPr>
        <w:t>S3</w:t>
      </w:r>
      <w:r w:rsidR="00890150" w:rsidRPr="001A7FC6">
        <w:t>)</w:t>
      </w:r>
      <w:r w:rsidRPr="001A7FC6">
        <w:fldChar w:fldCharType="end"/>
      </w:r>
      <w:r w:rsidR="00A06382" w:rsidRPr="001A7FC6">
        <w:t>-</w:t>
      </w:r>
      <w:r w:rsidRPr="001A7FC6">
        <w:fldChar w:fldCharType="begin"/>
      </w:r>
      <w:r w:rsidRPr="001A7FC6">
        <w:instrText xml:space="preserve"> REF _Ref15298055 \h  \* MERGEFORMAT </w:instrText>
      </w:r>
      <w:r w:rsidRPr="001A7FC6">
        <w:fldChar w:fldCharType="separate"/>
      </w:r>
      <w:r w:rsidR="00890150" w:rsidRPr="001A7FC6">
        <w:t>(</w:t>
      </w:r>
      <w:r w:rsidR="00890150" w:rsidRPr="001A7FC6">
        <w:rPr>
          <w:noProof/>
        </w:rPr>
        <w:t>S4</w:t>
      </w:r>
      <w:r w:rsidR="00890150" w:rsidRPr="001A7FC6">
        <w:t>)</w:t>
      </w:r>
      <w:r w:rsidRPr="001A7FC6">
        <w:fldChar w:fldCharType="end"/>
      </w:r>
      <w:r w:rsidRPr="001A7FC6">
        <w:t xml:space="preserve">), Organic Rankine Cycle (ORC) (Eq. </w:t>
      </w:r>
      <w:r w:rsidRPr="001A7FC6">
        <w:fldChar w:fldCharType="begin"/>
      </w:r>
      <w:r w:rsidRPr="001A7FC6">
        <w:instrText xml:space="preserve"> REF _Ref15298057 \h  \* MERGEFORMAT </w:instrText>
      </w:r>
      <w:r w:rsidRPr="001A7FC6">
        <w:fldChar w:fldCharType="separate"/>
      </w:r>
      <w:r w:rsidR="00890150" w:rsidRPr="001A7FC6">
        <w:t>(</w:t>
      </w:r>
      <w:r w:rsidR="00890150" w:rsidRPr="001A7FC6">
        <w:rPr>
          <w:noProof/>
        </w:rPr>
        <w:t>S5</w:t>
      </w:r>
      <w:r w:rsidR="00890150" w:rsidRPr="001A7FC6">
        <w:t>)</w:t>
      </w:r>
      <w:r w:rsidRPr="001A7FC6">
        <w:fldChar w:fldCharType="end"/>
      </w:r>
      <w:r w:rsidR="00A06382" w:rsidRPr="001A7FC6">
        <w:t>-</w:t>
      </w:r>
      <w:r w:rsidRPr="001A7FC6">
        <w:fldChar w:fldCharType="begin"/>
      </w:r>
      <w:r w:rsidRPr="001A7FC6">
        <w:instrText xml:space="preserve"> REF _Ref15298058 \h  \* MERGEFORMAT </w:instrText>
      </w:r>
      <w:r w:rsidRPr="001A7FC6">
        <w:fldChar w:fldCharType="separate"/>
      </w:r>
      <w:r w:rsidR="00890150" w:rsidRPr="001A7FC6">
        <w:t>(</w:t>
      </w:r>
      <w:r w:rsidR="00890150" w:rsidRPr="001A7FC6">
        <w:rPr>
          <w:noProof/>
        </w:rPr>
        <w:t>S6</w:t>
      </w:r>
      <w:r w:rsidR="00890150" w:rsidRPr="001A7FC6">
        <w:t>)</w:t>
      </w:r>
      <w:r w:rsidRPr="001A7FC6">
        <w:fldChar w:fldCharType="end"/>
      </w:r>
      <w:r w:rsidRPr="001A7FC6">
        <w:t>), biogas upgrade (Eq.</w:t>
      </w:r>
      <w:r w:rsidR="00872DA0" w:rsidRPr="001A7FC6">
        <w:t xml:space="preserve"> </w:t>
      </w:r>
      <w:r w:rsidRPr="001A7FC6">
        <w:fldChar w:fldCharType="begin"/>
      </w:r>
      <w:r w:rsidRPr="001A7FC6">
        <w:instrText xml:space="preserve"> REF _Ref15298060 \h </w:instrText>
      </w:r>
      <w:r w:rsidR="001A7FC6">
        <w:instrText xml:space="preserve"> \* MERGEFORMAT </w:instrText>
      </w:r>
      <w:r w:rsidRPr="001A7FC6">
        <w:fldChar w:fldCharType="separate"/>
      </w:r>
      <w:r w:rsidR="00890150" w:rsidRPr="001A7FC6">
        <w:t>(S</w:t>
      </w:r>
      <w:r w:rsidR="00890150" w:rsidRPr="001A7FC6">
        <w:rPr>
          <w:noProof/>
        </w:rPr>
        <w:t>7</w:t>
      </w:r>
      <w:r w:rsidR="00890150" w:rsidRPr="001A7FC6">
        <w:t>)</w:t>
      </w:r>
      <w:r w:rsidRPr="001A7FC6">
        <w:fldChar w:fldCharType="end"/>
      </w:r>
      <w:r w:rsidR="00A06382" w:rsidRPr="001A7FC6">
        <w:t>-</w:t>
      </w:r>
      <w:r w:rsidRPr="001A7FC6">
        <w:fldChar w:fldCharType="begin"/>
      </w:r>
      <w:r w:rsidRPr="001A7FC6">
        <w:instrText xml:space="preserve"> REF _Ref15298061 \h </w:instrText>
      </w:r>
      <w:r w:rsidR="001A7FC6">
        <w:instrText xml:space="preserve"> \* MERGEFORMAT </w:instrText>
      </w:r>
      <w:r w:rsidRPr="001A7FC6">
        <w:fldChar w:fldCharType="separate"/>
      </w:r>
      <w:r w:rsidR="00890150" w:rsidRPr="001A7FC6">
        <w:t>(S</w:t>
      </w:r>
      <w:r w:rsidR="00890150" w:rsidRPr="001A7FC6">
        <w:rPr>
          <w:noProof/>
        </w:rPr>
        <w:t>8</w:t>
      </w:r>
      <w:r w:rsidR="00890150" w:rsidRPr="001A7FC6">
        <w:t>)</w:t>
      </w:r>
      <w:r w:rsidRPr="001A7FC6">
        <w:fldChar w:fldCharType="end"/>
      </w:r>
      <w:r w:rsidRPr="001A7FC6">
        <w:t xml:space="preserve">), and biogas grid injection (Eq. </w:t>
      </w:r>
      <w:r w:rsidRPr="001A7FC6">
        <w:fldChar w:fldCharType="begin"/>
      </w:r>
      <w:r w:rsidRPr="001A7FC6">
        <w:instrText xml:space="preserve"> REF _Ref15298062 \h </w:instrText>
      </w:r>
      <w:r w:rsidR="001A7FC6">
        <w:instrText xml:space="preserve"> \* MERGEFORMAT </w:instrText>
      </w:r>
      <w:r w:rsidRPr="001A7FC6">
        <w:fldChar w:fldCharType="separate"/>
      </w:r>
      <w:r w:rsidR="00890150" w:rsidRPr="001A7FC6">
        <w:t>(S</w:t>
      </w:r>
      <w:r w:rsidR="00890150" w:rsidRPr="001A7FC6">
        <w:rPr>
          <w:noProof/>
        </w:rPr>
        <w:t>9</w:t>
      </w:r>
      <w:r w:rsidR="00890150" w:rsidRPr="001A7FC6">
        <w:t>)</w:t>
      </w:r>
      <w:r w:rsidRPr="001A7FC6">
        <w:fldChar w:fldCharType="end"/>
      </w:r>
      <w:r w:rsidR="00A06382" w:rsidRPr="001A7FC6">
        <w:t>-</w:t>
      </w:r>
      <w:r w:rsidRPr="001A7FC6">
        <w:t xml:space="preserve">Eq. </w:t>
      </w:r>
      <w:r w:rsidRPr="001A7FC6">
        <w:fldChar w:fldCharType="begin"/>
      </w:r>
      <w:r w:rsidRPr="001A7FC6">
        <w:instrText xml:space="preserve"> REF _Ref15396599 \h </w:instrText>
      </w:r>
      <w:r w:rsidR="001A7FC6">
        <w:instrText xml:space="preserve"> \* MERGEFORMAT </w:instrText>
      </w:r>
      <w:r w:rsidRPr="001A7FC6">
        <w:fldChar w:fldCharType="separate"/>
      </w:r>
      <w:r w:rsidR="00890150" w:rsidRPr="001A7FC6">
        <w:t>(S</w:t>
      </w:r>
      <w:r w:rsidR="00890150" w:rsidRPr="001A7FC6">
        <w:rPr>
          <w:noProof/>
        </w:rPr>
        <w:t>10</w:t>
      </w:r>
      <w:r w:rsidRPr="001A7FC6">
        <w:fldChar w:fldCharType="end"/>
      </w:r>
      <w:r w:rsidRPr="001A7FC6">
        <w:t xml:space="preserve">)) components. The equations in </w:t>
      </w:r>
      <w:r w:rsidRPr="001A7FC6">
        <w:fldChar w:fldCharType="begin"/>
      </w:r>
      <w:r w:rsidRPr="001A7FC6">
        <w:instrText xml:space="preserve"> REF _Ref15411101 \h </w:instrText>
      </w:r>
      <w:r w:rsidR="001A7FC6">
        <w:instrText xml:space="preserve"> \* MERGEFORMAT </w:instrText>
      </w:r>
      <w:r w:rsidRPr="001A7FC6">
        <w:fldChar w:fldCharType="separate"/>
      </w:r>
      <w:r w:rsidR="00890150" w:rsidRPr="001A7FC6">
        <w:rPr>
          <w:color w:val="000000" w:themeColor="text1"/>
        </w:rPr>
        <w:t>Table S</w:t>
      </w:r>
      <w:r w:rsidR="00890150" w:rsidRPr="001A7FC6">
        <w:rPr>
          <w:noProof/>
          <w:color w:val="000000" w:themeColor="text1"/>
        </w:rPr>
        <w:t>2</w:t>
      </w:r>
      <w:r w:rsidRPr="001A7FC6">
        <w:fldChar w:fldCharType="end"/>
      </w:r>
      <w:r w:rsidRPr="001A7FC6">
        <w:t xml:space="preserve"> were derived from data in the listed references and used to develop cost parameters for technologies corresponding to three different sizes used in the optimisation problem. These, along with the resulting annualised capital costs are summarised in </w:t>
      </w:r>
      <w:r w:rsidR="00D755A0" w:rsidRPr="001A7FC6">
        <w:fldChar w:fldCharType="begin"/>
      </w:r>
      <w:r w:rsidR="00D755A0" w:rsidRPr="001A7FC6">
        <w:instrText xml:space="preserve"> REF _Ref15480146 \h </w:instrText>
      </w:r>
      <w:r w:rsidR="001A7FC6">
        <w:instrText xml:space="preserve"> \* MERGEFORMAT </w:instrText>
      </w:r>
      <w:r w:rsidR="00D755A0" w:rsidRPr="001A7FC6">
        <w:fldChar w:fldCharType="separate"/>
      </w:r>
      <w:r w:rsidR="00D755A0" w:rsidRPr="001A7FC6">
        <w:t>Table S</w:t>
      </w:r>
      <w:r w:rsidR="00D755A0" w:rsidRPr="001A7FC6">
        <w:rPr>
          <w:noProof/>
        </w:rPr>
        <w:t>8</w:t>
      </w:r>
      <w:r w:rsidR="00D755A0" w:rsidRPr="001A7FC6">
        <w:fldChar w:fldCharType="end"/>
      </w:r>
      <w:r w:rsidR="00031370" w:rsidRPr="001A7FC6">
        <w:fldChar w:fldCharType="begin"/>
      </w:r>
      <w:r w:rsidR="00031370" w:rsidRPr="001A7FC6">
        <w:instrText xml:space="preserve"> REF _Ref15410663 \h </w:instrText>
      </w:r>
      <w:r w:rsidR="001A7FC6">
        <w:instrText xml:space="preserve"> \* MERGEFORMAT </w:instrText>
      </w:r>
      <w:r w:rsidR="00031370" w:rsidRPr="001A7FC6">
        <w:fldChar w:fldCharType="end"/>
      </w:r>
      <w:r w:rsidRPr="001A7FC6">
        <w:t>.</w:t>
      </w:r>
    </w:p>
    <w:p w14:paraId="434B190D" w14:textId="755417AA" w:rsidR="005D49AE" w:rsidRPr="001A7FC6" w:rsidRDefault="005D49AE" w:rsidP="005D49AE">
      <w:pPr>
        <w:pStyle w:val="Caption"/>
        <w:spacing w:after="0"/>
        <w:rPr>
          <w:color w:val="000000" w:themeColor="text1"/>
        </w:rPr>
      </w:pPr>
      <w:bookmarkStart w:id="4" w:name="_Ref15411101"/>
      <w:bookmarkStart w:id="5" w:name="_Ref15411095"/>
      <w:r w:rsidRPr="001A7FC6">
        <w:rPr>
          <w:color w:val="000000" w:themeColor="text1"/>
        </w:rPr>
        <w:t xml:space="preserve">Table </w:t>
      </w:r>
      <w:r w:rsidR="00FF2AAF" w:rsidRPr="001A7FC6">
        <w:rPr>
          <w:color w:val="000000" w:themeColor="text1"/>
        </w:rPr>
        <w:t>S</w:t>
      </w:r>
      <w:r w:rsidRPr="001A7FC6">
        <w:rPr>
          <w:color w:val="000000" w:themeColor="text1"/>
        </w:rPr>
        <w:fldChar w:fldCharType="begin"/>
      </w:r>
      <w:r w:rsidRPr="001A7FC6">
        <w:rPr>
          <w:color w:val="000000" w:themeColor="text1"/>
        </w:rPr>
        <w:instrText xml:space="preserve"> SEQ Table \* ARABIC </w:instrText>
      </w:r>
      <w:r w:rsidRPr="001A7FC6">
        <w:rPr>
          <w:color w:val="000000" w:themeColor="text1"/>
        </w:rPr>
        <w:fldChar w:fldCharType="separate"/>
      </w:r>
      <w:r w:rsidR="00890150" w:rsidRPr="001A7FC6">
        <w:rPr>
          <w:noProof/>
          <w:color w:val="000000" w:themeColor="text1"/>
        </w:rPr>
        <w:t>2</w:t>
      </w:r>
      <w:r w:rsidRPr="001A7FC6">
        <w:rPr>
          <w:color w:val="000000" w:themeColor="text1"/>
        </w:rPr>
        <w:fldChar w:fldCharType="end"/>
      </w:r>
      <w:bookmarkEnd w:id="4"/>
      <w:r w:rsidRPr="001A7FC6">
        <w:rPr>
          <w:color w:val="000000" w:themeColor="text1"/>
        </w:rPr>
        <w:t>: Equations for CAPEX and OPEX estimation of AD plants</w:t>
      </w:r>
      <w:bookmarkEnd w:id="5"/>
    </w:p>
    <w:tbl>
      <w:tblPr>
        <w:tblStyle w:val="TableGrid"/>
        <w:tblW w:w="518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0"/>
        <w:gridCol w:w="3439"/>
        <w:gridCol w:w="971"/>
        <w:gridCol w:w="503"/>
        <w:gridCol w:w="348"/>
      </w:tblGrid>
      <w:tr w:rsidR="005D49AE" w:rsidRPr="001A7FC6" w14:paraId="220ACD7B" w14:textId="77777777" w:rsidTr="005D49AE">
        <w:tc>
          <w:tcPr>
            <w:tcW w:w="2187" w:type="pct"/>
            <w:tcBorders>
              <w:top w:val="single" w:sz="4" w:space="0" w:color="auto"/>
              <w:bottom w:val="single" w:sz="4" w:space="0" w:color="auto"/>
            </w:tcBorders>
          </w:tcPr>
          <w:p w14:paraId="330CCDA2" w14:textId="77777777" w:rsidR="005D49AE" w:rsidRPr="001A7FC6" w:rsidRDefault="005D49AE" w:rsidP="005D49AE">
            <w:pPr>
              <w:rPr>
                <w:rFonts w:cstheme="minorHAnsi"/>
                <w:b/>
              </w:rPr>
            </w:pPr>
            <w:r w:rsidRPr="001A7FC6">
              <w:rPr>
                <w:rFonts w:cstheme="minorHAnsi"/>
                <w:b/>
              </w:rPr>
              <w:t>Description</w:t>
            </w:r>
          </w:p>
        </w:tc>
        <w:tc>
          <w:tcPr>
            <w:tcW w:w="2358" w:type="pct"/>
            <w:gridSpan w:val="2"/>
            <w:tcBorders>
              <w:top w:val="single" w:sz="4" w:space="0" w:color="auto"/>
              <w:bottom w:val="single" w:sz="4" w:space="0" w:color="auto"/>
            </w:tcBorders>
          </w:tcPr>
          <w:p w14:paraId="0D398563" w14:textId="77777777" w:rsidR="005D49AE" w:rsidRPr="001A7FC6" w:rsidRDefault="005D49AE" w:rsidP="005D49AE">
            <w:pPr>
              <w:jc w:val="center"/>
              <w:rPr>
                <w:rFonts w:cstheme="minorHAnsi"/>
                <w:b/>
              </w:rPr>
            </w:pPr>
            <w:r w:rsidRPr="001A7FC6">
              <w:rPr>
                <w:rFonts w:cstheme="minorHAnsi"/>
                <w:b/>
              </w:rPr>
              <w:t>Equation</w:t>
            </w:r>
          </w:p>
        </w:tc>
        <w:tc>
          <w:tcPr>
            <w:tcW w:w="456" w:type="pct"/>
            <w:gridSpan w:val="2"/>
            <w:tcBorders>
              <w:top w:val="single" w:sz="4" w:space="0" w:color="auto"/>
              <w:bottom w:val="single" w:sz="4" w:space="0" w:color="auto"/>
            </w:tcBorders>
          </w:tcPr>
          <w:p w14:paraId="72BEF004" w14:textId="77777777" w:rsidR="005D49AE" w:rsidRPr="001A7FC6" w:rsidRDefault="005D49AE" w:rsidP="005D49AE">
            <w:pPr>
              <w:jc w:val="right"/>
              <w:rPr>
                <w:rFonts w:cstheme="minorHAnsi"/>
                <w:b/>
              </w:rPr>
            </w:pPr>
          </w:p>
        </w:tc>
      </w:tr>
      <w:tr w:rsidR="005D49AE" w:rsidRPr="001A7FC6" w14:paraId="63E91114" w14:textId="77777777" w:rsidTr="005D49AE">
        <w:tc>
          <w:tcPr>
            <w:tcW w:w="2187" w:type="pct"/>
            <w:tcBorders>
              <w:top w:val="single" w:sz="4" w:space="0" w:color="auto"/>
            </w:tcBorders>
          </w:tcPr>
          <w:p w14:paraId="13799D43" w14:textId="77777777" w:rsidR="005D49AE" w:rsidRPr="001A7FC6" w:rsidRDefault="005D49AE" w:rsidP="005D49AE">
            <w:pPr>
              <w:spacing w:line="276" w:lineRule="auto"/>
              <w:rPr>
                <w:rFonts w:eastAsiaTheme="minorEastAsia" w:cstheme="minorHAnsi"/>
                <w:vertAlign w:val="superscript"/>
              </w:rPr>
            </w:pPr>
            <w:r w:rsidRPr="001A7FC6">
              <w:rPr>
                <w:rFonts w:eastAsiaTheme="minorEastAsia" w:cstheme="minorHAnsi"/>
              </w:rPr>
              <w:t>AD+CHP CAPEX</w:t>
            </w:r>
            <w:r w:rsidRPr="001A7FC6">
              <w:rPr>
                <w:rFonts w:eastAsiaTheme="minorEastAsia" w:cstheme="minorHAnsi"/>
                <w:vertAlign w:val="superscript"/>
              </w:rPr>
              <w:t>1</w:t>
            </w:r>
          </w:p>
        </w:tc>
        <w:tc>
          <w:tcPr>
            <w:tcW w:w="2358" w:type="pct"/>
            <w:gridSpan w:val="2"/>
            <w:tcBorders>
              <w:top w:val="single" w:sz="4" w:space="0" w:color="auto"/>
            </w:tcBorders>
          </w:tcPr>
          <w:p w14:paraId="3B92C1F2" w14:textId="77777777" w:rsidR="005D49AE" w:rsidRPr="001A7FC6" w:rsidRDefault="005D49AE" w:rsidP="005D49AE">
            <w:pPr>
              <w:spacing w:line="276" w:lineRule="auto"/>
              <w:rPr>
                <w:rFonts w:eastAsia="Calibri" w:cstheme="minorHAnsi"/>
              </w:rPr>
            </w:pPr>
            <m:oMathPara>
              <m:oMath>
                <m:r>
                  <w:rPr>
                    <w:rFonts w:ascii="Cambria Math" w:eastAsiaTheme="minorEastAsia" w:hAnsi="Cambria Math" w:cstheme="minorHAnsi"/>
                  </w:rPr>
                  <m:t>A</m:t>
                </m:r>
                <m:sSubSup>
                  <m:sSubSupPr>
                    <m:ctrlPr>
                      <w:rPr>
                        <w:rFonts w:ascii="Cambria Math" w:eastAsiaTheme="minorEastAsia" w:hAnsi="Cambria Math" w:cstheme="minorHAnsi"/>
                        <w:i/>
                      </w:rPr>
                    </m:ctrlPr>
                  </m:sSubSupPr>
                  <m:e>
                    <m:r>
                      <w:rPr>
                        <w:rFonts w:ascii="Cambria Math" w:eastAsiaTheme="minorEastAsia" w:hAnsi="Cambria Math" w:cstheme="minorHAnsi"/>
                      </w:rPr>
                      <m:t>D</m:t>
                    </m:r>
                  </m:e>
                  <m:sub>
                    <m:r>
                      <w:rPr>
                        <w:rFonts w:ascii="Cambria Math" w:eastAsiaTheme="minorEastAsia" w:hAnsi="Cambria Math" w:cstheme="minorHAnsi"/>
                      </w:rPr>
                      <m:t>spec</m:t>
                    </m:r>
                  </m:sub>
                  <m:sup>
                    <m:r>
                      <w:rPr>
                        <w:rFonts w:ascii="Cambria Math" w:eastAsiaTheme="minorEastAsia" w:hAnsi="Cambria Math" w:cstheme="minorHAnsi"/>
                      </w:rPr>
                      <m:t>CPX</m:t>
                    </m:r>
                  </m:sup>
                </m:sSubSup>
                <m:r>
                  <w:rPr>
                    <w:rFonts w:ascii="Cambria Math" w:eastAsiaTheme="minorEastAsia" w:hAnsi="Cambria Math" w:cstheme="minorHAnsi"/>
                  </w:rPr>
                  <m:t>=5.425ca</m:t>
                </m:r>
                <m:sSubSup>
                  <m:sSubSupPr>
                    <m:ctrlPr>
                      <w:rPr>
                        <w:rFonts w:ascii="Cambria Math" w:eastAsiaTheme="minorEastAsia" w:hAnsi="Cambria Math" w:cstheme="minorHAnsi"/>
                        <w:i/>
                      </w:rPr>
                    </m:ctrlPr>
                  </m:sSubSupPr>
                  <m:e>
                    <m:r>
                      <w:rPr>
                        <w:rFonts w:ascii="Cambria Math" w:eastAsiaTheme="minorEastAsia" w:hAnsi="Cambria Math" w:cstheme="minorHAnsi"/>
                      </w:rPr>
                      <m:t>p</m:t>
                    </m:r>
                  </m:e>
                  <m:sub>
                    <m:r>
                      <w:rPr>
                        <w:rFonts w:ascii="Cambria Math" w:eastAsiaTheme="minorEastAsia" w:hAnsi="Cambria Math" w:cstheme="minorHAnsi"/>
                      </w:rPr>
                      <m:t>M</m:t>
                    </m:r>
                    <m:sSub>
                      <m:sSubPr>
                        <m:ctrlPr>
                          <w:rPr>
                            <w:rFonts w:ascii="Cambria Math" w:eastAsiaTheme="minorEastAsia" w:hAnsi="Cambria Math" w:cstheme="minorHAnsi"/>
                            <w:i/>
                          </w:rPr>
                        </m:ctrlPr>
                      </m:sSubPr>
                      <m:e>
                        <m:r>
                          <w:rPr>
                            <w:rFonts w:ascii="Cambria Math" w:eastAsiaTheme="minorEastAsia" w:hAnsi="Cambria Math" w:cstheme="minorHAnsi"/>
                          </w:rPr>
                          <m:t>W</m:t>
                        </m:r>
                      </m:e>
                      <m:sub>
                        <m:r>
                          <w:rPr>
                            <w:rFonts w:ascii="Cambria Math" w:eastAsiaTheme="minorEastAsia" w:hAnsi="Cambria Math" w:cstheme="minorHAnsi"/>
                          </w:rPr>
                          <m:t>e</m:t>
                        </m:r>
                      </m:sub>
                    </m:sSub>
                    <m:r>
                      <w:rPr>
                        <w:rFonts w:ascii="Cambria Math" w:eastAsiaTheme="minorEastAsia" w:hAnsi="Cambria Math" w:cstheme="minorHAnsi"/>
                      </w:rPr>
                      <m:t>AD</m:t>
                    </m:r>
                  </m:sub>
                  <m:sup>
                    <m:r>
                      <w:rPr>
                        <w:rFonts w:ascii="Cambria Math" w:eastAsiaTheme="minorEastAsia" w:hAnsi="Cambria Math" w:cstheme="minorHAnsi"/>
                      </w:rPr>
                      <m:t>-0.08</m:t>
                    </m:r>
                  </m:sup>
                </m:sSubSup>
              </m:oMath>
            </m:oMathPara>
          </w:p>
        </w:tc>
        <w:tc>
          <w:tcPr>
            <w:tcW w:w="456" w:type="pct"/>
            <w:gridSpan w:val="2"/>
            <w:tcBorders>
              <w:top w:val="single" w:sz="4" w:space="0" w:color="auto"/>
            </w:tcBorders>
          </w:tcPr>
          <w:p w14:paraId="08273A02" w14:textId="101D0970" w:rsidR="005D49AE" w:rsidRPr="001A7FC6" w:rsidRDefault="005D49AE" w:rsidP="005D49AE">
            <w:pPr>
              <w:spacing w:line="276" w:lineRule="auto"/>
              <w:jc w:val="right"/>
              <w:rPr>
                <w:rFonts w:eastAsia="Times New Roman" w:cstheme="minorHAnsi"/>
                <w:color w:val="000000" w:themeColor="text1"/>
              </w:rPr>
            </w:pPr>
            <w:bookmarkStart w:id="6" w:name="_Ref15298036"/>
            <w:r w:rsidRPr="001A7FC6">
              <w:t>(</w:t>
            </w:r>
            <w:r w:rsidR="00872DA0" w:rsidRPr="001A7FC6">
              <w:t>S</w:t>
            </w:r>
            <w:r w:rsidRPr="001A7FC6">
              <w:rPr>
                <w:noProof/>
              </w:rPr>
              <w:fldChar w:fldCharType="begin"/>
            </w:r>
            <w:r w:rsidRPr="001A7FC6">
              <w:rPr>
                <w:noProof/>
              </w:rPr>
              <w:instrText xml:space="preserve"> SEQ Equation \* ARABIC </w:instrText>
            </w:r>
            <w:r w:rsidRPr="001A7FC6">
              <w:rPr>
                <w:noProof/>
              </w:rPr>
              <w:fldChar w:fldCharType="separate"/>
            </w:r>
            <w:r w:rsidR="00890150" w:rsidRPr="001A7FC6">
              <w:rPr>
                <w:noProof/>
              </w:rPr>
              <w:t>1</w:t>
            </w:r>
            <w:r w:rsidRPr="001A7FC6">
              <w:rPr>
                <w:noProof/>
              </w:rPr>
              <w:fldChar w:fldCharType="end"/>
            </w:r>
            <w:r w:rsidRPr="001A7FC6">
              <w:t>)</w:t>
            </w:r>
            <w:bookmarkEnd w:id="6"/>
          </w:p>
        </w:tc>
      </w:tr>
      <w:tr w:rsidR="005D49AE" w:rsidRPr="001A7FC6" w14:paraId="5508386E" w14:textId="77777777" w:rsidTr="005D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7" w:type="pct"/>
            <w:tcBorders>
              <w:top w:val="nil"/>
              <w:left w:val="nil"/>
              <w:bottom w:val="nil"/>
              <w:right w:val="nil"/>
            </w:tcBorders>
          </w:tcPr>
          <w:p w14:paraId="7F410880" w14:textId="77777777" w:rsidR="005D49AE" w:rsidRPr="001A7FC6" w:rsidRDefault="005D49AE" w:rsidP="005D49AE">
            <w:pPr>
              <w:spacing w:line="276" w:lineRule="auto"/>
              <w:rPr>
                <w:rFonts w:eastAsia="Times New Roman" w:cstheme="minorHAnsi"/>
                <w:vertAlign w:val="superscript"/>
              </w:rPr>
            </w:pPr>
            <w:r w:rsidRPr="001A7FC6">
              <w:rPr>
                <w:rFonts w:eastAsiaTheme="minorEastAsia" w:cstheme="minorHAnsi"/>
              </w:rPr>
              <w:t>AD+CHP OPEX</w:t>
            </w:r>
            <w:r w:rsidRPr="001A7FC6">
              <w:rPr>
                <w:rFonts w:eastAsiaTheme="minorEastAsia" w:cstheme="minorHAnsi"/>
                <w:vertAlign w:val="superscript"/>
              </w:rPr>
              <w:t>1</w:t>
            </w:r>
          </w:p>
        </w:tc>
        <w:tc>
          <w:tcPr>
            <w:tcW w:w="2358" w:type="pct"/>
            <w:gridSpan w:val="2"/>
            <w:tcBorders>
              <w:top w:val="nil"/>
              <w:left w:val="nil"/>
              <w:bottom w:val="nil"/>
              <w:right w:val="nil"/>
            </w:tcBorders>
          </w:tcPr>
          <w:p w14:paraId="7CF00757" w14:textId="77777777" w:rsidR="005D49AE" w:rsidRPr="001A7FC6" w:rsidRDefault="005D49AE" w:rsidP="005D49AE">
            <w:pPr>
              <w:spacing w:line="276" w:lineRule="auto"/>
              <w:rPr>
                <w:rFonts w:eastAsiaTheme="minorEastAsia" w:cstheme="minorHAnsi"/>
              </w:rPr>
            </w:pPr>
            <m:oMathPara>
              <m:oMath>
                <m:r>
                  <w:rPr>
                    <w:rFonts w:ascii="Cambria Math" w:eastAsiaTheme="minorEastAsia" w:hAnsi="Cambria Math" w:cstheme="minorHAnsi"/>
                  </w:rPr>
                  <m:t>A</m:t>
                </m:r>
                <m:sSubSup>
                  <m:sSubSupPr>
                    <m:ctrlPr>
                      <w:rPr>
                        <w:rFonts w:ascii="Cambria Math" w:eastAsiaTheme="minorEastAsia" w:hAnsi="Cambria Math" w:cstheme="minorHAnsi"/>
                        <w:i/>
                      </w:rPr>
                    </m:ctrlPr>
                  </m:sSubSupPr>
                  <m:e>
                    <m:r>
                      <w:rPr>
                        <w:rFonts w:ascii="Cambria Math" w:eastAsiaTheme="minorEastAsia" w:hAnsi="Cambria Math" w:cstheme="minorHAnsi"/>
                      </w:rPr>
                      <m:t>D</m:t>
                    </m:r>
                  </m:e>
                  <m:sub>
                    <m:r>
                      <w:rPr>
                        <w:rFonts w:ascii="Cambria Math" w:eastAsiaTheme="minorEastAsia" w:hAnsi="Cambria Math" w:cstheme="minorHAnsi"/>
                      </w:rPr>
                      <m:t>spec</m:t>
                    </m:r>
                  </m:sub>
                  <m:sup>
                    <m:r>
                      <w:rPr>
                        <w:rFonts w:ascii="Cambria Math" w:eastAsiaTheme="minorEastAsia" w:hAnsi="Cambria Math" w:cstheme="minorHAnsi"/>
                      </w:rPr>
                      <m:t>OPX</m:t>
                    </m:r>
                  </m:sup>
                </m:sSubSup>
                <m:r>
                  <w:rPr>
                    <w:rFonts w:ascii="Cambria Math" w:eastAsiaTheme="minorEastAsia" w:hAnsi="Cambria Math" w:cstheme="minorHAnsi"/>
                  </w:rPr>
                  <m:t>=0.319c</m:t>
                </m:r>
                <m:sSubSup>
                  <m:sSubSupPr>
                    <m:ctrlPr>
                      <w:rPr>
                        <w:rFonts w:ascii="Cambria Math" w:eastAsiaTheme="minorEastAsia" w:hAnsi="Cambria Math" w:cstheme="minorHAnsi"/>
                        <w:i/>
                      </w:rPr>
                    </m:ctrlPr>
                  </m:sSubSupPr>
                  <m:e>
                    <m:r>
                      <w:rPr>
                        <w:rFonts w:ascii="Cambria Math" w:eastAsiaTheme="minorEastAsia" w:hAnsi="Cambria Math" w:cstheme="minorHAnsi"/>
                      </w:rPr>
                      <m:t>ap</m:t>
                    </m:r>
                  </m:e>
                  <m:sub>
                    <m:r>
                      <w:rPr>
                        <w:rFonts w:ascii="Cambria Math" w:eastAsiaTheme="minorEastAsia" w:hAnsi="Cambria Math" w:cstheme="minorHAnsi"/>
                      </w:rPr>
                      <m:t>M</m:t>
                    </m:r>
                    <m:sSub>
                      <m:sSubPr>
                        <m:ctrlPr>
                          <w:rPr>
                            <w:rFonts w:ascii="Cambria Math" w:eastAsiaTheme="minorEastAsia" w:hAnsi="Cambria Math" w:cstheme="minorHAnsi"/>
                            <w:i/>
                          </w:rPr>
                        </m:ctrlPr>
                      </m:sSubPr>
                      <m:e>
                        <m:r>
                          <w:rPr>
                            <w:rFonts w:ascii="Cambria Math" w:eastAsiaTheme="minorEastAsia" w:hAnsi="Cambria Math" w:cstheme="minorHAnsi"/>
                          </w:rPr>
                          <m:t>W</m:t>
                        </m:r>
                      </m:e>
                      <m:sub>
                        <m:r>
                          <w:rPr>
                            <w:rFonts w:ascii="Cambria Math" w:eastAsiaTheme="minorEastAsia" w:hAnsi="Cambria Math" w:cstheme="minorHAnsi"/>
                          </w:rPr>
                          <m:t>e</m:t>
                        </m:r>
                      </m:sub>
                    </m:sSub>
                    <m:r>
                      <w:rPr>
                        <w:rFonts w:ascii="Cambria Math" w:eastAsiaTheme="minorEastAsia" w:hAnsi="Cambria Math" w:cstheme="minorHAnsi"/>
                      </w:rPr>
                      <m:t>AD</m:t>
                    </m:r>
                  </m:sub>
                  <m:sup>
                    <m:r>
                      <w:rPr>
                        <w:rFonts w:ascii="Cambria Math" w:eastAsiaTheme="minorEastAsia" w:hAnsi="Cambria Math" w:cstheme="minorHAnsi"/>
                      </w:rPr>
                      <m:t>-0.22</m:t>
                    </m:r>
                  </m:sup>
                </m:sSubSup>
              </m:oMath>
            </m:oMathPara>
          </w:p>
        </w:tc>
        <w:tc>
          <w:tcPr>
            <w:tcW w:w="456" w:type="pct"/>
            <w:gridSpan w:val="2"/>
            <w:tcBorders>
              <w:top w:val="nil"/>
              <w:left w:val="nil"/>
              <w:bottom w:val="nil"/>
              <w:right w:val="nil"/>
            </w:tcBorders>
          </w:tcPr>
          <w:p w14:paraId="1F5683BA" w14:textId="7B66F2AA" w:rsidR="005D49AE" w:rsidRPr="001A7FC6" w:rsidRDefault="005D49AE" w:rsidP="005D49AE">
            <w:pPr>
              <w:jc w:val="right"/>
            </w:pPr>
            <w:bookmarkStart w:id="7" w:name="_Ref15298038"/>
            <w:r w:rsidRPr="001A7FC6">
              <w:t>(</w:t>
            </w:r>
            <w:r w:rsidR="00872DA0" w:rsidRPr="001A7FC6">
              <w:t>S</w:t>
            </w:r>
            <w:r w:rsidRPr="001A7FC6">
              <w:rPr>
                <w:noProof/>
              </w:rPr>
              <w:fldChar w:fldCharType="begin"/>
            </w:r>
            <w:r w:rsidRPr="001A7FC6">
              <w:rPr>
                <w:noProof/>
              </w:rPr>
              <w:instrText xml:space="preserve"> SEQ Equation \* ARABIC </w:instrText>
            </w:r>
            <w:r w:rsidRPr="001A7FC6">
              <w:rPr>
                <w:noProof/>
              </w:rPr>
              <w:fldChar w:fldCharType="separate"/>
            </w:r>
            <w:r w:rsidR="00890150" w:rsidRPr="001A7FC6">
              <w:rPr>
                <w:noProof/>
              </w:rPr>
              <w:t>2</w:t>
            </w:r>
            <w:r w:rsidRPr="001A7FC6">
              <w:rPr>
                <w:noProof/>
              </w:rPr>
              <w:fldChar w:fldCharType="end"/>
            </w:r>
            <w:r w:rsidRPr="001A7FC6">
              <w:t>)</w:t>
            </w:r>
            <w:bookmarkEnd w:id="7"/>
          </w:p>
        </w:tc>
      </w:tr>
      <w:tr w:rsidR="005D49AE" w:rsidRPr="001A7FC6" w14:paraId="350AFD58" w14:textId="77777777" w:rsidTr="005D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8"/>
        </w:trPr>
        <w:tc>
          <w:tcPr>
            <w:tcW w:w="2187" w:type="pct"/>
            <w:tcBorders>
              <w:top w:val="nil"/>
              <w:left w:val="nil"/>
              <w:bottom w:val="nil"/>
              <w:right w:val="nil"/>
            </w:tcBorders>
          </w:tcPr>
          <w:p w14:paraId="3769C734" w14:textId="77777777" w:rsidR="005D49AE" w:rsidRPr="001A7FC6" w:rsidRDefault="005D49AE" w:rsidP="005D49AE">
            <w:pPr>
              <w:spacing w:line="276" w:lineRule="auto"/>
              <w:rPr>
                <w:rFonts w:eastAsia="Calibri" w:cstheme="minorHAnsi"/>
                <w:vertAlign w:val="superscript"/>
              </w:rPr>
            </w:pPr>
            <w:r w:rsidRPr="001A7FC6">
              <w:rPr>
                <w:rFonts w:eastAsia="Calibri" w:cstheme="minorHAnsi"/>
              </w:rPr>
              <w:t>Gas engine system CAPEX</w:t>
            </w:r>
            <w:r w:rsidRPr="001A7FC6">
              <w:rPr>
                <w:rFonts w:eastAsia="Calibri" w:cstheme="minorHAnsi"/>
                <w:vertAlign w:val="superscript"/>
              </w:rPr>
              <w:t>2</w:t>
            </w:r>
          </w:p>
        </w:tc>
        <w:tc>
          <w:tcPr>
            <w:tcW w:w="2358" w:type="pct"/>
            <w:gridSpan w:val="2"/>
            <w:tcBorders>
              <w:top w:val="nil"/>
              <w:left w:val="nil"/>
              <w:bottom w:val="nil"/>
              <w:right w:val="nil"/>
            </w:tcBorders>
          </w:tcPr>
          <w:p w14:paraId="700BD74D" w14:textId="77777777" w:rsidR="005D49AE" w:rsidRPr="001A7FC6" w:rsidRDefault="005D49AE" w:rsidP="005D49AE">
            <w:pPr>
              <w:spacing w:line="276" w:lineRule="auto"/>
              <w:rPr>
                <w:rFonts w:eastAsiaTheme="minorEastAsia" w:cstheme="minorHAnsi"/>
              </w:rPr>
            </w:pPr>
            <m:oMathPara>
              <m:oMath>
                <m:r>
                  <w:rPr>
                    <w:rFonts w:ascii="Cambria Math" w:eastAsiaTheme="minorEastAsia" w:hAnsi="Cambria Math" w:cstheme="minorHAnsi"/>
                  </w:rPr>
                  <m:t>GS</m:t>
                </m:r>
                <m:sSup>
                  <m:sSupPr>
                    <m:ctrlPr>
                      <w:rPr>
                        <w:rFonts w:ascii="Cambria Math" w:eastAsiaTheme="minorEastAsia" w:hAnsi="Cambria Math" w:cstheme="minorHAnsi"/>
                        <w:i/>
                      </w:rPr>
                    </m:ctrlPr>
                  </m:sSupPr>
                  <m:e>
                    <m:r>
                      <w:rPr>
                        <w:rFonts w:ascii="Cambria Math" w:eastAsiaTheme="minorEastAsia" w:hAnsi="Cambria Math" w:cstheme="minorHAnsi"/>
                      </w:rPr>
                      <m:t>E</m:t>
                    </m:r>
                  </m:e>
                  <m:sup>
                    <m:r>
                      <w:rPr>
                        <w:rFonts w:ascii="Cambria Math" w:eastAsiaTheme="minorEastAsia" w:hAnsi="Cambria Math" w:cstheme="minorHAnsi"/>
                      </w:rPr>
                      <m:t>CPX</m:t>
                    </m:r>
                  </m:sup>
                </m:sSup>
                <m:r>
                  <w:rPr>
                    <w:rFonts w:ascii="Cambria Math" w:eastAsiaTheme="minorEastAsia" w:hAnsi="Cambria Math" w:cstheme="minorHAnsi"/>
                  </w:rPr>
                  <m:t>=3453c</m:t>
                </m:r>
                <m:sSubSup>
                  <m:sSubSupPr>
                    <m:ctrlPr>
                      <w:rPr>
                        <w:rFonts w:ascii="Cambria Math" w:eastAsiaTheme="minorEastAsia" w:hAnsi="Cambria Math" w:cstheme="minorHAnsi"/>
                        <w:i/>
                      </w:rPr>
                    </m:ctrlPr>
                  </m:sSubSupPr>
                  <m:e>
                    <m:r>
                      <w:rPr>
                        <w:rFonts w:ascii="Cambria Math" w:eastAsiaTheme="minorEastAsia" w:hAnsi="Cambria Math" w:cstheme="minorHAnsi"/>
                      </w:rPr>
                      <m:t>ap</m:t>
                    </m:r>
                  </m:e>
                  <m:sub>
                    <m:r>
                      <w:rPr>
                        <w:rFonts w:ascii="Cambria Math" w:eastAsiaTheme="minorEastAsia" w:hAnsi="Cambria Math" w:cstheme="minorHAnsi"/>
                      </w:rPr>
                      <m:t>k</m:t>
                    </m:r>
                    <m:sSub>
                      <m:sSubPr>
                        <m:ctrlPr>
                          <w:rPr>
                            <w:rFonts w:ascii="Cambria Math" w:eastAsiaTheme="minorEastAsia" w:hAnsi="Cambria Math" w:cstheme="minorHAnsi"/>
                            <w:i/>
                          </w:rPr>
                        </m:ctrlPr>
                      </m:sSubPr>
                      <m:e>
                        <m:r>
                          <w:rPr>
                            <w:rFonts w:ascii="Cambria Math" w:eastAsiaTheme="minorEastAsia" w:hAnsi="Cambria Math" w:cstheme="minorHAnsi"/>
                          </w:rPr>
                          <m:t>W</m:t>
                        </m:r>
                      </m:e>
                      <m:sub>
                        <m:r>
                          <w:rPr>
                            <w:rFonts w:ascii="Cambria Math" w:eastAsiaTheme="minorEastAsia" w:hAnsi="Cambria Math" w:cstheme="minorHAnsi"/>
                          </w:rPr>
                          <m:t>e</m:t>
                        </m:r>
                      </m:sub>
                    </m:sSub>
                    <m:r>
                      <w:rPr>
                        <w:rFonts w:ascii="Cambria Math" w:eastAsiaTheme="minorEastAsia" w:hAnsi="Cambria Math" w:cstheme="minorHAnsi"/>
                      </w:rPr>
                      <m:t>AD</m:t>
                    </m:r>
                  </m:sub>
                  <m:sup>
                    <m:r>
                      <w:rPr>
                        <w:rFonts w:ascii="Cambria Math" w:eastAsiaTheme="minorEastAsia" w:hAnsi="Cambria Math" w:cstheme="minorHAnsi"/>
                      </w:rPr>
                      <m:t>0.666</m:t>
                    </m:r>
                  </m:sup>
                </m:sSubSup>
                <m:r>
                  <w:rPr>
                    <w:rFonts w:ascii="Cambria Math" w:eastAsiaTheme="minorEastAsia" w:hAnsi="Cambria Math" w:cstheme="minorHAnsi"/>
                  </w:rPr>
                  <m:t>+11167</m:t>
                </m:r>
              </m:oMath>
            </m:oMathPara>
          </w:p>
        </w:tc>
        <w:tc>
          <w:tcPr>
            <w:tcW w:w="456" w:type="pct"/>
            <w:gridSpan w:val="2"/>
            <w:tcBorders>
              <w:top w:val="nil"/>
              <w:left w:val="nil"/>
              <w:bottom w:val="nil"/>
              <w:right w:val="nil"/>
            </w:tcBorders>
          </w:tcPr>
          <w:p w14:paraId="114F94C5" w14:textId="2F2053CE" w:rsidR="005D49AE" w:rsidRPr="001A7FC6" w:rsidRDefault="005D49AE" w:rsidP="005D49AE">
            <w:pPr>
              <w:spacing w:line="276" w:lineRule="auto"/>
              <w:jc w:val="right"/>
              <w:rPr>
                <w:rFonts w:eastAsia="Calibri" w:cstheme="minorHAnsi"/>
                <w:color w:val="000000" w:themeColor="text1"/>
              </w:rPr>
            </w:pPr>
            <w:bookmarkStart w:id="8" w:name="_Ref15298047"/>
            <w:r w:rsidRPr="001A7FC6">
              <w:t>(</w:t>
            </w:r>
            <w:r w:rsidR="00872DA0" w:rsidRPr="001A7FC6">
              <w:t>S</w:t>
            </w:r>
            <w:r w:rsidRPr="001A7FC6">
              <w:rPr>
                <w:noProof/>
              </w:rPr>
              <w:fldChar w:fldCharType="begin"/>
            </w:r>
            <w:r w:rsidRPr="001A7FC6">
              <w:rPr>
                <w:noProof/>
              </w:rPr>
              <w:instrText xml:space="preserve"> SEQ Equation \* ARABIC </w:instrText>
            </w:r>
            <w:r w:rsidRPr="001A7FC6">
              <w:rPr>
                <w:noProof/>
              </w:rPr>
              <w:fldChar w:fldCharType="separate"/>
            </w:r>
            <w:r w:rsidR="00890150" w:rsidRPr="001A7FC6">
              <w:rPr>
                <w:noProof/>
              </w:rPr>
              <w:t>3</w:t>
            </w:r>
            <w:r w:rsidRPr="001A7FC6">
              <w:rPr>
                <w:noProof/>
              </w:rPr>
              <w:fldChar w:fldCharType="end"/>
            </w:r>
            <w:r w:rsidRPr="001A7FC6">
              <w:t>)</w:t>
            </w:r>
            <w:bookmarkEnd w:id="8"/>
          </w:p>
        </w:tc>
      </w:tr>
      <w:tr w:rsidR="005D49AE" w:rsidRPr="001A7FC6" w14:paraId="237FBA9F" w14:textId="77777777" w:rsidTr="005D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7" w:type="pct"/>
            <w:tcBorders>
              <w:top w:val="nil"/>
              <w:left w:val="nil"/>
              <w:bottom w:val="nil"/>
              <w:right w:val="nil"/>
            </w:tcBorders>
          </w:tcPr>
          <w:p w14:paraId="01A5E028" w14:textId="77777777" w:rsidR="005D49AE" w:rsidRPr="001A7FC6" w:rsidRDefault="005D49AE" w:rsidP="005D49AE">
            <w:pPr>
              <w:spacing w:line="276" w:lineRule="auto"/>
              <w:rPr>
                <w:rFonts w:eastAsia="Calibri" w:cstheme="minorHAnsi"/>
                <w:vertAlign w:val="superscript"/>
              </w:rPr>
            </w:pPr>
            <w:r w:rsidRPr="001A7FC6">
              <w:rPr>
                <w:rFonts w:eastAsia="Calibri" w:cstheme="minorHAnsi"/>
              </w:rPr>
              <w:t>Gas engine system OPEX</w:t>
            </w:r>
            <w:r w:rsidRPr="001A7FC6">
              <w:rPr>
                <w:rFonts w:eastAsia="Calibri" w:cstheme="minorHAnsi"/>
                <w:vertAlign w:val="superscript"/>
              </w:rPr>
              <w:t>2</w:t>
            </w:r>
          </w:p>
        </w:tc>
        <w:tc>
          <w:tcPr>
            <w:tcW w:w="2358" w:type="pct"/>
            <w:gridSpan w:val="2"/>
            <w:tcBorders>
              <w:top w:val="nil"/>
              <w:left w:val="nil"/>
              <w:bottom w:val="nil"/>
              <w:right w:val="nil"/>
            </w:tcBorders>
          </w:tcPr>
          <w:p w14:paraId="53950113" w14:textId="77777777" w:rsidR="005D49AE" w:rsidRPr="001A7FC6" w:rsidRDefault="005D49AE" w:rsidP="005D49AE">
            <w:pPr>
              <w:spacing w:line="276" w:lineRule="auto"/>
              <w:rPr>
                <w:rFonts w:eastAsiaTheme="minorEastAsia" w:cstheme="minorHAnsi"/>
              </w:rPr>
            </w:pPr>
            <m:oMathPara>
              <m:oMath>
                <m:r>
                  <w:rPr>
                    <w:rFonts w:ascii="Cambria Math" w:eastAsiaTheme="minorEastAsia" w:hAnsi="Cambria Math" w:cstheme="minorHAnsi"/>
                  </w:rPr>
                  <m:t>GS</m:t>
                </m:r>
                <m:sSup>
                  <m:sSupPr>
                    <m:ctrlPr>
                      <w:rPr>
                        <w:rFonts w:ascii="Cambria Math" w:eastAsiaTheme="minorEastAsia" w:hAnsi="Cambria Math" w:cstheme="minorHAnsi"/>
                        <w:i/>
                      </w:rPr>
                    </m:ctrlPr>
                  </m:sSupPr>
                  <m:e>
                    <m:r>
                      <w:rPr>
                        <w:rFonts w:ascii="Cambria Math" w:eastAsiaTheme="minorEastAsia" w:hAnsi="Cambria Math" w:cstheme="minorHAnsi"/>
                      </w:rPr>
                      <m:t>E</m:t>
                    </m:r>
                  </m:e>
                  <m:sup>
                    <m:r>
                      <w:rPr>
                        <w:rFonts w:ascii="Cambria Math" w:eastAsiaTheme="minorEastAsia" w:hAnsi="Cambria Math" w:cstheme="minorHAnsi"/>
                      </w:rPr>
                      <m:t>OPX</m:t>
                    </m:r>
                  </m:sup>
                </m:sSup>
                <m:r>
                  <w:rPr>
                    <w:rFonts w:ascii="Cambria Math" w:eastAsiaTheme="minorEastAsia" w:hAnsi="Cambria Math" w:cstheme="minorHAnsi"/>
                  </w:rPr>
                  <m:t>=6.13c</m:t>
                </m:r>
                <m:sSubSup>
                  <m:sSubSupPr>
                    <m:ctrlPr>
                      <w:rPr>
                        <w:rFonts w:ascii="Cambria Math" w:eastAsiaTheme="minorEastAsia" w:hAnsi="Cambria Math" w:cstheme="minorHAnsi"/>
                        <w:i/>
                      </w:rPr>
                    </m:ctrlPr>
                  </m:sSubSupPr>
                  <m:e>
                    <m:r>
                      <w:rPr>
                        <w:rFonts w:ascii="Cambria Math" w:eastAsiaTheme="minorEastAsia" w:hAnsi="Cambria Math" w:cstheme="minorHAnsi"/>
                      </w:rPr>
                      <m:t>ap</m:t>
                    </m:r>
                  </m:e>
                  <m:sub>
                    <m:r>
                      <w:rPr>
                        <w:rFonts w:ascii="Cambria Math" w:eastAsiaTheme="minorEastAsia" w:hAnsi="Cambria Math" w:cstheme="minorHAnsi"/>
                      </w:rPr>
                      <m:t>k</m:t>
                    </m:r>
                    <m:sSub>
                      <m:sSubPr>
                        <m:ctrlPr>
                          <w:rPr>
                            <w:rFonts w:ascii="Cambria Math" w:eastAsiaTheme="minorEastAsia" w:hAnsi="Cambria Math" w:cstheme="minorHAnsi"/>
                            <w:i/>
                          </w:rPr>
                        </m:ctrlPr>
                      </m:sSubPr>
                      <m:e>
                        <m:r>
                          <w:rPr>
                            <w:rFonts w:ascii="Cambria Math" w:eastAsiaTheme="minorEastAsia" w:hAnsi="Cambria Math" w:cstheme="minorHAnsi"/>
                          </w:rPr>
                          <m:t>W</m:t>
                        </m:r>
                      </m:e>
                      <m:sub>
                        <m:r>
                          <w:rPr>
                            <w:rFonts w:ascii="Cambria Math" w:eastAsiaTheme="minorEastAsia" w:hAnsi="Cambria Math" w:cstheme="minorHAnsi"/>
                          </w:rPr>
                          <m:t>e</m:t>
                        </m:r>
                      </m:sub>
                    </m:sSub>
                    <m:r>
                      <w:rPr>
                        <w:rFonts w:ascii="Cambria Math" w:eastAsiaTheme="minorEastAsia" w:hAnsi="Cambria Math" w:cstheme="minorHAnsi"/>
                      </w:rPr>
                      <m:t>AD</m:t>
                    </m:r>
                  </m:sub>
                  <m:sup>
                    <m:r>
                      <w:rPr>
                        <w:rFonts w:ascii="Cambria Math" w:eastAsiaTheme="minorEastAsia" w:hAnsi="Cambria Math" w:cstheme="minorHAnsi"/>
                      </w:rPr>
                      <m:t>-0.2219</m:t>
                    </m:r>
                  </m:sup>
                </m:sSubSup>
              </m:oMath>
            </m:oMathPara>
          </w:p>
        </w:tc>
        <w:tc>
          <w:tcPr>
            <w:tcW w:w="456" w:type="pct"/>
            <w:gridSpan w:val="2"/>
            <w:tcBorders>
              <w:top w:val="nil"/>
              <w:left w:val="nil"/>
              <w:bottom w:val="nil"/>
              <w:right w:val="nil"/>
            </w:tcBorders>
          </w:tcPr>
          <w:p w14:paraId="165705A1" w14:textId="0AC5D7AA" w:rsidR="005D49AE" w:rsidRPr="001A7FC6" w:rsidRDefault="005D49AE" w:rsidP="005D49AE">
            <w:pPr>
              <w:spacing w:line="276" w:lineRule="auto"/>
              <w:jc w:val="right"/>
              <w:rPr>
                <w:rFonts w:eastAsia="Calibri" w:cstheme="minorHAnsi"/>
                <w:color w:val="000000" w:themeColor="text1"/>
              </w:rPr>
            </w:pPr>
            <w:bookmarkStart w:id="9" w:name="_Ref15298055"/>
            <w:r w:rsidRPr="001A7FC6">
              <w:t>(</w:t>
            </w:r>
            <w:r w:rsidR="00872DA0" w:rsidRPr="001A7FC6">
              <w:t>S</w:t>
            </w:r>
            <w:r w:rsidRPr="001A7FC6">
              <w:rPr>
                <w:noProof/>
              </w:rPr>
              <w:fldChar w:fldCharType="begin"/>
            </w:r>
            <w:r w:rsidRPr="001A7FC6">
              <w:rPr>
                <w:noProof/>
              </w:rPr>
              <w:instrText xml:space="preserve"> SEQ Equation \* ARABIC </w:instrText>
            </w:r>
            <w:r w:rsidRPr="001A7FC6">
              <w:rPr>
                <w:noProof/>
              </w:rPr>
              <w:fldChar w:fldCharType="separate"/>
            </w:r>
            <w:r w:rsidR="00890150" w:rsidRPr="001A7FC6">
              <w:rPr>
                <w:noProof/>
              </w:rPr>
              <w:t>4</w:t>
            </w:r>
            <w:r w:rsidRPr="001A7FC6">
              <w:rPr>
                <w:noProof/>
              </w:rPr>
              <w:fldChar w:fldCharType="end"/>
            </w:r>
            <w:r w:rsidRPr="001A7FC6">
              <w:t>)</w:t>
            </w:r>
            <w:bookmarkEnd w:id="9"/>
          </w:p>
        </w:tc>
      </w:tr>
      <w:tr w:rsidR="005D49AE" w:rsidRPr="001A7FC6" w14:paraId="34E23EBB" w14:textId="77777777" w:rsidTr="005D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7" w:type="pct"/>
            <w:tcBorders>
              <w:top w:val="nil"/>
              <w:left w:val="nil"/>
              <w:bottom w:val="nil"/>
              <w:right w:val="nil"/>
            </w:tcBorders>
          </w:tcPr>
          <w:p w14:paraId="76272406" w14:textId="77777777" w:rsidR="005D49AE" w:rsidRPr="001A7FC6" w:rsidRDefault="005D49AE" w:rsidP="005D49AE">
            <w:pPr>
              <w:spacing w:line="276" w:lineRule="auto"/>
              <w:rPr>
                <w:rFonts w:eastAsia="Calibri" w:cstheme="minorHAnsi"/>
                <w:vertAlign w:val="superscript"/>
              </w:rPr>
            </w:pPr>
            <w:r w:rsidRPr="001A7FC6">
              <w:rPr>
                <w:rFonts w:eastAsia="Calibri" w:cstheme="minorHAnsi"/>
              </w:rPr>
              <w:t>Organic Rankine Cycle CAPEX</w:t>
            </w:r>
            <w:r w:rsidRPr="001A7FC6">
              <w:rPr>
                <w:rFonts w:eastAsia="Calibri" w:cstheme="minorHAnsi"/>
                <w:vertAlign w:val="superscript"/>
              </w:rPr>
              <w:t>2</w:t>
            </w:r>
          </w:p>
        </w:tc>
        <w:tc>
          <w:tcPr>
            <w:tcW w:w="2358" w:type="pct"/>
            <w:gridSpan w:val="2"/>
            <w:tcBorders>
              <w:top w:val="nil"/>
              <w:left w:val="nil"/>
              <w:bottom w:val="nil"/>
              <w:right w:val="nil"/>
            </w:tcBorders>
          </w:tcPr>
          <w:p w14:paraId="569DF835" w14:textId="77777777" w:rsidR="005D49AE" w:rsidRPr="001A7FC6" w:rsidRDefault="005D49AE" w:rsidP="005D49AE">
            <w:pPr>
              <w:spacing w:line="276" w:lineRule="auto"/>
              <w:rPr>
                <w:rFonts w:eastAsiaTheme="minorEastAsia" w:cstheme="minorHAnsi"/>
              </w:rPr>
            </w:pPr>
            <m:oMathPara>
              <m:oMath>
                <m:r>
                  <w:rPr>
                    <w:rFonts w:ascii="Cambria Math" w:eastAsiaTheme="minorEastAsia" w:hAnsi="Cambria Math" w:cstheme="minorHAnsi"/>
                  </w:rPr>
                  <m:t>OR</m:t>
                </m:r>
                <m:sSup>
                  <m:sSupPr>
                    <m:ctrlPr>
                      <w:rPr>
                        <w:rFonts w:ascii="Cambria Math" w:eastAsiaTheme="minorEastAsia" w:hAnsi="Cambria Math" w:cstheme="minorHAnsi"/>
                        <w:i/>
                      </w:rPr>
                    </m:ctrlPr>
                  </m:sSupPr>
                  <m:e>
                    <m:r>
                      <w:rPr>
                        <w:rFonts w:ascii="Cambria Math" w:eastAsiaTheme="minorEastAsia" w:hAnsi="Cambria Math" w:cstheme="minorHAnsi"/>
                      </w:rPr>
                      <m:t>C</m:t>
                    </m:r>
                  </m:e>
                  <m:sup>
                    <m:r>
                      <w:rPr>
                        <w:rFonts w:ascii="Cambria Math" w:eastAsiaTheme="minorEastAsia" w:hAnsi="Cambria Math" w:cstheme="minorHAnsi"/>
                      </w:rPr>
                      <m:t>CPX</m:t>
                    </m:r>
                  </m:sup>
                </m:sSup>
                <m:r>
                  <w:rPr>
                    <w:rFonts w:ascii="Cambria Math" w:eastAsiaTheme="minorEastAsia" w:hAnsi="Cambria Math" w:cstheme="minorHAnsi"/>
                  </w:rPr>
                  <m:t>=1733ca</m:t>
                </m:r>
                <m:sSub>
                  <m:sSubPr>
                    <m:ctrlPr>
                      <w:rPr>
                        <w:rFonts w:ascii="Cambria Math" w:eastAsiaTheme="minorEastAsia" w:hAnsi="Cambria Math" w:cstheme="minorHAnsi"/>
                        <w:i/>
                      </w:rPr>
                    </m:ctrlPr>
                  </m:sSubPr>
                  <m:e>
                    <m:r>
                      <w:rPr>
                        <w:rFonts w:ascii="Cambria Math" w:eastAsiaTheme="minorEastAsia" w:hAnsi="Cambria Math" w:cstheme="minorHAnsi"/>
                      </w:rPr>
                      <m:t>p</m:t>
                    </m:r>
                  </m:e>
                  <m:sub>
                    <m:r>
                      <w:rPr>
                        <w:rFonts w:ascii="Cambria Math" w:eastAsiaTheme="minorEastAsia" w:hAnsi="Cambria Math" w:cstheme="minorHAnsi"/>
                      </w:rPr>
                      <m:t>k</m:t>
                    </m:r>
                    <m:sSub>
                      <m:sSubPr>
                        <m:ctrlPr>
                          <w:rPr>
                            <w:rFonts w:ascii="Cambria Math" w:eastAsiaTheme="minorEastAsia" w:hAnsi="Cambria Math" w:cstheme="minorHAnsi"/>
                            <w:i/>
                          </w:rPr>
                        </m:ctrlPr>
                      </m:sSubPr>
                      <m:e>
                        <m:r>
                          <w:rPr>
                            <w:rFonts w:ascii="Cambria Math" w:eastAsiaTheme="minorEastAsia" w:hAnsi="Cambria Math" w:cstheme="minorHAnsi"/>
                          </w:rPr>
                          <m:t>w</m:t>
                        </m:r>
                      </m:e>
                      <m:sub>
                        <m:r>
                          <w:rPr>
                            <w:rFonts w:ascii="Cambria Math" w:eastAsiaTheme="minorEastAsia" w:hAnsi="Cambria Math" w:cstheme="minorHAnsi"/>
                          </w:rPr>
                          <m:t>e</m:t>
                        </m:r>
                      </m:sub>
                    </m:sSub>
                    <m:r>
                      <w:rPr>
                        <w:rFonts w:ascii="Cambria Math" w:eastAsiaTheme="minorEastAsia" w:hAnsi="Cambria Math" w:cstheme="minorHAnsi"/>
                      </w:rPr>
                      <m:t>AD</m:t>
                    </m:r>
                  </m:sub>
                </m:sSub>
                <m:r>
                  <w:rPr>
                    <w:rFonts w:ascii="Cambria Math" w:eastAsiaTheme="minorEastAsia" w:hAnsi="Cambria Math" w:cstheme="minorHAnsi"/>
                  </w:rPr>
                  <m:t>+11363</m:t>
                </m:r>
              </m:oMath>
            </m:oMathPara>
          </w:p>
        </w:tc>
        <w:tc>
          <w:tcPr>
            <w:tcW w:w="456" w:type="pct"/>
            <w:gridSpan w:val="2"/>
            <w:tcBorders>
              <w:top w:val="nil"/>
              <w:left w:val="nil"/>
              <w:bottom w:val="nil"/>
              <w:right w:val="nil"/>
            </w:tcBorders>
          </w:tcPr>
          <w:p w14:paraId="0547F72D" w14:textId="418DC18E" w:rsidR="005D49AE" w:rsidRPr="001A7FC6" w:rsidRDefault="005D49AE" w:rsidP="005D49AE">
            <w:pPr>
              <w:spacing w:line="276" w:lineRule="auto"/>
              <w:jc w:val="right"/>
              <w:rPr>
                <w:rFonts w:eastAsia="Calibri" w:cstheme="minorHAnsi"/>
                <w:color w:val="000000" w:themeColor="text1"/>
              </w:rPr>
            </w:pPr>
            <w:bookmarkStart w:id="10" w:name="_Ref15298057"/>
            <w:r w:rsidRPr="001A7FC6">
              <w:t>(</w:t>
            </w:r>
            <w:r w:rsidR="00872DA0" w:rsidRPr="001A7FC6">
              <w:t>S</w:t>
            </w:r>
            <w:r w:rsidRPr="001A7FC6">
              <w:rPr>
                <w:noProof/>
              </w:rPr>
              <w:fldChar w:fldCharType="begin"/>
            </w:r>
            <w:r w:rsidRPr="001A7FC6">
              <w:rPr>
                <w:noProof/>
              </w:rPr>
              <w:instrText xml:space="preserve"> SEQ Equation \* ARABIC </w:instrText>
            </w:r>
            <w:r w:rsidRPr="001A7FC6">
              <w:rPr>
                <w:noProof/>
              </w:rPr>
              <w:fldChar w:fldCharType="separate"/>
            </w:r>
            <w:r w:rsidR="00890150" w:rsidRPr="001A7FC6">
              <w:rPr>
                <w:noProof/>
              </w:rPr>
              <w:t>5</w:t>
            </w:r>
            <w:r w:rsidRPr="001A7FC6">
              <w:rPr>
                <w:noProof/>
              </w:rPr>
              <w:fldChar w:fldCharType="end"/>
            </w:r>
            <w:r w:rsidRPr="001A7FC6">
              <w:t>)</w:t>
            </w:r>
            <w:bookmarkEnd w:id="10"/>
          </w:p>
        </w:tc>
      </w:tr>
      <w:tr w:rsidR="005D49AE" w:rsidRPr="001A7FC6" w14:paraId="490CDD26" w14:textId="77777777" w:rsidTr="005D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7" w:type="pct"/>
            <w:tcBorders>
              <w:top w:val="nil"/>
              <w:left w:val="nil"/>
              <w:bottom w:val="nil"/>
              <w:right w:val="nil"/>
            </w:tcBorders>
          </w:tcPr>
          <w:p w14:paraId="668D6D6A" w14:textId="77777777" w:rsidR="005D49AE" w:rsidRPr="001A7FC6" w:rsidRDefault="005D49AE" w:rsidP="005D49AE">
            <w:pPr>
              <w:spacing w:line="276" w:lineRule="auto"/>
              <w:rPr>
                <w:rFonts w:eastAsia="Calibri" w:cstheme="minorHAnsi"/>
                <w:vertAlign w:val="superscript"/>
              </w:rPr>
            </w:pPr>
            <w:r w:rsidRPr="001A7FC6">
              <w:rPr>
                <w:rFonts w:eastAsia="Calibri" w:cstheme="minorHAnsi"/>
              </w:rPr>
              <w:lastRenderedPageBreak/>
              <w:t>Organic Rankine Cycle OPEX</w:t>
            </w:r>
            <w:r w:rsidRPr="001A7FC6">
              <w:rPr>
                <w:rFonts w:eastAsia="Calibri" w:cstheme="minorHAnsi"/>
                <w:vertAlign w:val="superscript"/>
              </w:rPr>
              <w:t>2</w:t>
            </w:r>
          </w:p>
        </w:tc>
        <w:tc>
          <w:tcPr>
            <w:tcW w:w="2358" w:type="pct"/>
            <w:gridSpan w:val="2"/>
            <w:tcBorders>
              <w:top w:val="nil"/>
              <w:left w:val="nil"/>
              <w:bottom w:val="nil"/>
              <w:right w:val="nil"/>
            </w:tcBorders>
          </w:tcPr>
          <w:p w14:paraId="5AAB6169" w14:textId="77777777" w:rsidR="005D49AE" w:rsidRPr="001A7FC6" w:rsidRDefault="005D49AE" w:rsidP="005D49AE">
            <w:pPr>
              <w:spacing w:line="276" w:lineRule="auto"/>
              <w:rPr>
                <w:rFonts w:eastAsiaTheme="minorEastAsia" w:cstheme="minorHAnsi"/>
              </w:rPr>
            </w:pPr>
            <m:oMathPara>
              <m:oMath>
                <m:r>
                  <w:rPr>
                    <w:rFonts w:ascii="Cambria Math" w:eastAsiaTheme="minorEastAsia" w:hAnsi="Cambria Math" w:cstheme="minorHAnsi"/>
                  </w:rPr>
                  <m:t>OR</m:t>
                </m:r>
                <m:sSup>
                  <m:sSupPr>
                    <m:ctrlPr>
                      <w:rPr>
                        <w:rFonts w:ascii="Cambria Math" w:eastAsiaTheme="minorEastAsia" w:hAnsi="Cambria Math" w:cstheme="minorHAnsi"/>
                        <w:i/>
                      </w:rPr>
                    </m:ctrlPr>
                  </m:sSupPr>
                  <m:e>
                    <m:r>
                      <w:rPr>
                        <w:rFonts w:ascii="Cambria Math" w:eastAsiaTheme="minorEastAsia" w:hAnsi="Cambria Math" w:cstheme="minorHAnsi"/>
                      </w:rPr>
                      <m:t>C</m:t>
                    </m:r>
                  </m:e>
                  <m:sup>
                    <m:r>
                      <w:rPr>
                        <w:rFonts w:ascii="Cambria Math" w:eastAsiaTheme="minorEastAsia" w:hAnsi="Cambria Math" w:cstheme="minorHAnsi"/>
                      </w:rPr>
                      <m:t>OPX</m:t>
                    </m:r>
                  </m:sup>
                </m:sSup>
                <m:r>
                  <w:rPr>
                    <w:rFonts w:ascii="Cambria Math" w:eastAsiaTheme="minorEastAsia" w:hAnsi="Cambria Math" w:cstheme="minorHAnsi"/>
                  </w:rPr>
                  <m:t>=57.82ca</m:t>
                </m:r>
                <m:sSub>
                  <m:sSubPr>
                    <m:ctrlPr>
                      <w:rPr>
                        <w:rFonts w:ascii="Cambria Math" w:eastAsiaTheme="minorEastAsia" w:hAnsi="Cambria Math" w:cstheme="minorHAnsi"/>
                        <w:i/>
                      </w:rPr>
                    </m:ctrlPr>
                  </m:sSubPr>
                  <m:e>
                    <m:r>
                      <w:rPr>
                        <w:rFonts w:ascii="Cambria Math" w:eastAsiaTheme="minorEastAsia" w:hAnsi="Cambria Math" w:cstheme="minorHAnsi"/>
                      </w:rPr>
                      <m:t>p</m:t>
                    </m:r>
                  </m:e>
                  <m:sub>
                    <m:r>
                      <w:rPr>
                        <w:rFonts w:ascii="Cambria Math" w:eastAsiaTheme="minorEastAsia" w:hAnsi="Cambria Math" w:cstheme="minorHAnsi"/>
                      </w:rPr>
                      <m:t>k</m:t>
                    </m:r>
                    <m:sSub>
                      <m:sSubPr>
                        <m:ctrlPr>
                          <w:rPr>
                            <w:rFonts w:ascii="Cambria Math" w:eastAsiaTheme="minorEastAsia" w:hAnsi="Cambria Math" w:cstheme="minorHAnsi"/>
                            <w:i/>
                          </w:rPr>
                        </m:ctrlPr>
                      </m:sSubPr>
                      <m:e>
                        <m:r>
                          <w:rPr>
                            <w:rFonts w:ascii="Cambria Math" w:eastAsiaTheme="minorEastAsia" w:hAnsi="Cambria Math" w:cstheme="minorHAnsi"/>
                          </w:rPr>
                          <m:t>W</m:t>
                        </m:r>
                      </m:e>
                      <m:sub>
                        <m:r>
                          <w:rPr>
                            <w:rFonts w:ascii="Cambria Math" w:eastAsiaTheme="minorEastAsia" w:hAnsi="Cambria Math" w:cstheme="minorHAnsi"/>
                          </w:rPr>
                          <m:t>e</m:t>
                        </m:r>
                      </m:sub>
                    </m:sSub>
                    <m:r>
                      <w:rPr>
                        <w:rFonts w:ascii="Cambria Math" w:eastAsiaTheme="minorEastAsia" w:hAnsi="Cambria Math" w:cstheme="minorHAnsi"/>
                      </w:rPr>
                      <m:t>AD</m:t>
                    </m:r>
                  </m:sub>
                </m:sSub>
              </m:oMath>
            </m:oMathPara>
          </w:p>
        </w:tc>
        <w:tc>
          <w:tcPr>
            <w:tcW w:w="456" w:type="pct"/>
            <w:gridSpan w:val="2"/>
            <w:tcBorders>
              <w:top w:val="nil"/>
              <w:left w:val="nil"/>
              <w:bottom w:val="nil"/>
              <w:right w:val="nil"/>
            </w:tcBorders>
          </w:tcPr>
          <w:p w14:paraId="7BC4D42E" w14:textId="66518855" w:rsidR="005D49AE" w:rsidRPr="001A7FC6" w:rsidRDefault="005D49AE" w:rsidP="005D49AE">
            <w:pPr>
              <w:spacing w:line="276" w:lineRule="auto"/>
              <w:jc w:val="right"/>
              <w:rPr>
                <w:rFonts w:eastAsia="Times New Roman" w:cstheme="minorHAnsi"/>
                <w:color w:val="000000" w:themeColor="text1"/>
              </w:rPr>
            </w:pPr>
            <w:bookmarkStart w:id="11" w:name="_Ref15298058"/>
            <w:r w:rsidRPr="001A7FC6">
              <w:t>(</w:t>
            </w:r>
            <w:r w:rsidR="00872DA0" w:rsidRPr="001A7FC6">
              <w:t>S</w:t>
            </w:r>
            <w:r w:rsidRPr="001A7FC6">
              <w:rPr>
                <w:noProof/>
              </w:rPr>
              <w:fldChar w:fldCharType="begin"/>
            </w:r>
            <w:r w:rsidRPr="001A7FC6">
              <w:rPr>
                <w:noProof/>
              </w:rPr>
              <w:instrText xml:space="preserve"> SEQ Equation \* ARABIC </w:instrText>
            </w:r>
            <w:r w:rsidRPr="001A7FC6">
              <w:rPr>
                <w:noProof/>
              </w:rPr>
              <w:fldChar w:fldCharType="separate"/>
            </w:r>
            <w:r w:rsidR="00890150" w:rsidRPr="001A7FC6">
              <w:rPr>
                <w:noProof/>
              </w:rPr>
              <w:t>6</w:t>
            </w:r>
            <w:r w:rsidRPr="001A7FC6">
              <w:rPr>
                <w:noProof/>
              </w:rPr>
              <w:fldChar w:fldCharType="end"/>
            </w:r>
            <w:r w:rsidRPr="001A7FC6">
              <w:t>)</w:t>
            </w:r>
            <w:bookmarkEnd w:id="11"/>
          </w:p>
        </w:tc>
      </w:tr>
      <w:tr w:rsidR="005D49AE" w:rsidRPr="001A7FC6" w14:paraId="6DC92748" w14:textId="77777777" w:rsidTr="005D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7" w:type="pct"/>
            <w:tcBorders>
              <w:top w:val="nil"/>
              <w:left w:val="nil"/>
              <w:bottom w:val="nil"/>
              <w:right w:val="nil"/>
            </w:tcBorders>
          </w:tcPr>
          <w:p w14:paraId="0D8CDF23" w14:textId="77777777" w:rsidR="005D49AE" w:rsidRPr="001A7FC6" w:rsidRDefault="005D49AE" w:rsidP="005D49AE">
            <w:pPr>
              <w:spacing w:line="276" w:lineRule="auto"/>
              <w:rPr>
                <w:rFonts w:eastAsia="Calibri" w:cstheme="minorHAnsi"/>
                <w:vertAlign w:val="superscript"/>
              </w:rPr>
            </w:pPr>
            <w:r w:rsidRPr="001A7FC6">
              <w:rPr>
                <w:rFonts w:eastAsia="Calibri" w:cstheme="minorHAnsi"/>
              </w:rPr>
              <w:t>Biogas upgrading CAPEX</w:t>
            </w:r>
            <w:r w:rsidRPr="001A7FC6">
              <w:rPr>
                <w:rFonts w:eastAsia="Calibri" w:cstheme="minorHAnsi"/>
                <w:vertAlign w:val="superscript"/>
              </w:rPr>
              <w:t>3</w:t>
            </w:r>
          </w:p>
        </w:tc>
        <w:tc>
          <w:tcPr>
            <w:tcW w:w="2358" w:type="pct"/>
            <w:gridSpan w:val="2"/>
            <w:tcBorders>
              <w:top w:val="nil"/>
              <w:left w:val="nil"/>
              <w:bottom w:val="nil"/>
              <w:right w:val="nil"/>
            </w:tcBorders>
          </w:tcPr>
          <w:p w14:paraId="7058FD81" w14:textId="77777777" w:rsidR="005D49AE" w:rsidRPr="001A7FC6" w:rsidRDefault="005D49AE" w:rsidP="005D49AE">
            <w:pPr>
              <w:spacing w:line="276" w:lineRule="auto"/>
              <w:rPr>
                <w:rFonts w:eastAsiaTheme="minorEastAsia" w:cstheme="minorHAnsi"/>
              </w:rPr>
            </w:pPr>
            <m:oMathPara>
              <m:oMath>
                <m:r>
                  <w:rPr>
                    <w:rFonts w:ascii="Cambria Math" w:eastAsiaTheme="minorEastAsia" w:hAnsi="Cambria Math" w:cstheme="minorHAnsi"/>
                  </w:rPr>
                  <m:t>BU</m:t>
                </m:r>
                <m:sSup>
                  <m:sSupPr>
                    <m:ctrlPr>
                      <w:rPr>
                        <w:rFonts w:ascii="Cambria Math" w:eastAsiaTheme="minorEastAsia" w:hAnsi="Cambria Math" w:cstheme="minorHAnsi"/>
                        <w:i/>
                      </w:rPr>
                    </m:ctrlPr>
                  </m:sSupPr>
                  <m:e>
                    <m:r>
                      <w:rPr>
                        <w:rFonts w:ascii="Cambria Math" w:eastAsiaTheme="minorEastAsia" w:hAnsi="Cambria Math" w:cstheme="minorHAnsi"/>
                      </w:rPr>
                      <m:t>P</m:t>
                    </m:r>
                  </m:e>
                  <m:sup>
                    <m:r>
                      <w:rPr>
                        <w:rFonts w:ascii="Cambria Math" w:eastAsiaTheme="minorEastAsia" w:hAnsi="Cambria Math" w:cstheme="minorHAnsi"/>
                      </w:rPr>
                      <m:t>CPX</m:t>
                    </m:r>
                  </m:sup>
                </m:sSup>
                <m:r>
                  <w:rPr>
                    <w:rFonts w:ascii="Cambria Math" w:eastAsiaTheme="minorEastAsia" w:hAnsi="Cambria Math" w:cstheme="minorHAnsi"/>
                  </w:rPr>
                  <m:t>=16198c</m:t>
                </m:r>
                <m:sSubSup>
                  <m:sSubSupPr>
                    <m:ctrlPr>
                      <w:rPr>
                        <w:rFonts w:ascii="Cambria Math" w:eastAsiaTheme="minorEastAsia" w:hAnsi="Cambria Math" w:cstheme="minorHAnsi"/>
                        <w:i/>
                      </w:rPr>
                    </m:ctrlPr>
                  </m:sSubSupPr>
                  <m:e>
                    <m:r>
                      <w:rPr>
                        <w:rFonts w:ascii="Cambria Math" w:eastAsiaTheme="minorEastAsia" w:hAnsi="Cambria Math" w:cstheme="minorHAnsi"/>
                      </w:rPr>
                      <m:t>ap</m:t>
                    </m:r>
                  </m:e>
                  <m:sub>
                    <m:r>
                      <w:rPr>
                        <w:rFonts w:ascii="Cambria Math" w:eastAsiaTheme="minorEastAsia" w:hAnsi="Cambria Math" w:cstheme="minorHAnsi"/>
                      </w:rPr>
                      <m:t>therm</m:t>
                    </m:r>
                  </m:sub>
                  <m:sup>
                    <m:r>
                      <w:rPr>
                        <w:rFonts w:ascii="Cambria Math" w:eastAsiaTheme="minorEastAsia" w:hAnsi="Cambria Math" w:cstheme="minorHAnsi"/>
                      </w:rPr>
                      <m:t>-0.82</m:t>
                    </m:r>
                  </m:sup>
                </m:sSubSup>
              </m:oMath>
            </m:oMathPara>
          </w:p>
        </w:tc>
        <w:tc>
          <w:tcPr>
            <w:tcW w:w="456" w:type="pct"/>
            <w:gridSpan w:val="2"/>
            <w:tcBorders>
              <w:top w:val="nil"/>
              <w:left w:val="nil"/>
              <w:bottom w:val="nil"/>
              <w:right w:val="nil"/>
            </w:tcBorders>
          </w:tcPr>
          <w:p w14:paraId="21023C1F" w14:textId="775AF010" w:rsidR="005D49AE" w:rsidRPr="001A7FC6" w:rsidRDefault="005D49AE" w:rsidP="005D49AE">
            <w:pPr>
              <w:spacing w:line="276" w:lineRule="auto"/>
              <w:jc w:val="right"/>
              <w:rPr>
                <w:rFonts w:eastAsia="Times New Roman" w:cstheme="minorHAnsi"/>
                <w:color w:val="000000" w:themeColor="text1"/>
              </w:rPr>
            </w:pPr>
            <w:bookmarkStart w:id="12" w:name="_Ref15298060"/>
            <w:r w:rsidRPr="001A7FC6">
              <w:t>(</w:t>
            </w:r>
            <w:r w:rsidR="00872DA0" w:rsidRPr="001A7FC6">
              <w:t>S</w:t>
            </w:r>
            <w:r w:rsidRPr="001A7FC6">
              <w:rPr>
                <w:noProof/>
              </w:rPr>
              <w:fldChar w:fldCharType="begin"/>
            </w:r>
            <w:r w:rsidRPr="001A7FC6">
              <w:rPr>
                <w:noProof/>
              </w:rPr>
              <w:instrText xml:space="preserve"> SEQ Equation \* ARABIC </w:instrText>
            </w:r>
            <w:r w:rsidRPr="001A7FC6">
              <w:rPr>
                <w:noProof/>
              </w:rPr>
              <w:fldChar w:fldCharType="separate"/>
            </w:r>
            <w:r w:rsidR="00890150" w:rsidRPr="001A7FC6">
              <w:rPr>
                <w:noProof/>
              </w:rPr>
              <w:t>7</w:t>
            </w:r>
            <w:r w:rsidRPr="001A7FC6">
              <w:rPr>
                <w:noProof/>
              </w:rPr>
              <w:fldChar w:fldCharType="end"/>
            </w:r>
            <w:r w:rsidRPr="001A7FC6">
              <w:t>)</w:t>
            </w:r>
            <w:bookmarkEnd w:id="12"/>
          </w:p>
        </w:tc>
      </w:tr>
      <w:tr w:rsidR="005D49AE" w:rsidRPr="001A7FC6" w14:paraId="3ECFF28B" w14:textId="77777777" w:rsidTr="005D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7" w:type="pct"/>
            <w:tcBorders>
              <w:top w:val="nil"/>
              <w:left w:val="nil"/>
              <w:bottom w:val="nil"/>
              <w:right w:val="nil"/>
            </w:tcBorders>
          </w:tcPr>
          <w:p w14:paraId="58F4F3EF" w14:textId="77777777" w:rsidR="005D49AE" w:rsidRPr="001A7FC6" w:rsidRDefault="005D49AE" w:rsidP="005D49AE">
            <w:pPr>
              <w:spacing w:line="276" w:lineRule="auto"/>
              <w:rPr>
                <w:rFonts w:eastAsia="Calibri" w:cstheme="minorHAnsi"/>
                <w:vertAlign w:val="superscript"/>
              </w:rPr>
            </w:pPr>
            <w:r w:rsidRPr="001A7FC6">
              <w:rPr>
                <w:rFonts w:eastAsia="Calibri" w:cstheme="minorHAnsi"/>
              </w:rPr>
              <w:t>Biogas upgrading OPEX</w:t>
            </w:r>
            <w:r w:rsidRPr="001A7FC6">
              <w:rPr>
                <w:rFonts w:eastAsia="Calibri" w:cstheme="minorHAnsi"/>
                <w:vertAlign w:val="superscript"/>
              </w:rPr>
              <w:t>3</w:t>
            </w:r>
          </w:p>
        </w:tc>
        <w:tc>
          <w:tcPr>
            <w:tcW w:w="2358" w:type="pct"/>
            <w:gridSpan w:val="2"/>
            <w:tcBorders>
              <w:top w:val="nil"/>
              <w:left w:val="nil"/>
              <w:bottom w:val="nil"/>
              <w:right w:val="nil"/>
            </w:tcBorders>
          </w:tcPr>
          <w:p w14:paraId="483EFE8D" w14:textId="77777777" w:rsidR="005D49AE" w:rsidRPr="001A7FC6" w:rsidRDefault="005D49AE" w:rsidP="005D49AE">
            <w:pPr>
              <w:spacing w:line="276" w:lineRule="auto"/>
              <w:rPr>
                <w:rFonts w:eastAsiaTheme="minorEastAsia" w:cstheme="minorHAnsi"/>
              </w:rPr>
            </w:pPr>
            <m:oMathPara>
              <m:oMath>
                <m:r>
                  <w:rPr>
                    <w:rFonts w:ascii="Cambria Math" w:eastAsiaTheme="minorEastAsia" w:hAnsi="Cambria Math" w:cstheme="minorHAnsi"/>
                  </w:rPr>
                  <m:t>BU</m:t>
                </m:r>
                <m:sSup>
                  <m:sSupPr>
                    <m:ctrlPr>
                      <w:rPr>
                        <w:rFonts w:ascii="Cambria Math" w:eastAsiaTheme="minorEastAsia" w:hAnsi="Cambria Math" w:cstheme="minorHAnsi"/>
                        <w:i/>
                      </w:rPr>
                    </m:ctrlPr>
                  </m:sSupPr>
                  <m:e>
                    <m:r>
                      <w:rPr>
                        <w:rFonts w:ascii="Cambria Math" w:eastAsiaTheme="minorEastAsia" w:hAnsi="Cambria Math" w:cstheme="minorHAnsi"/>
                      </w:rPr>
                      <m:t>P</m:t>
                    </m:r>
                  </m:e>
                  <m:sup>
                    <m:r>
                      <w:rPr>
                        <w:rFonts w:ascii="Cambria Math" w:eastAsiaTheme="minorEastAsia" w:hAnsi="Cambria Math" w:cstheme="minorHAnsi"/>
                      </w:rPr>
                      <m:t>OPX</m:t>
                    </m:r>
                  </m:sup>
                </m:sSup>
                <m:r>
                  <w:rPr>
                    <w:rFonts w:ascii="Cambria Math" w:eastAsiaTheme="minorEastAsia" w:hAnsi="Cambria Math" w:cstheme="minorHAnsi"/>
                  </w:rPr>
                  <m:t>=19779c</m:t>
                </m:r>
                <m:sSubSup>
                  <m:sSubSupPr>
                    <m:ctrlPr>
                      <w:rPr>
                        <w:rFonts w:ascii="Cambria Math" w:eastAsiaTheme="minorEastAsia" w:hAnsi="Cambria Math" w:cstheme="minorHAnsi"/>
                        <w:i/>
                      </w:rPr>
                    </m:ctrlPr>
                  </m:sSubSupPr>
                  <m:e>
                    <m:r>
                      <w:rPr>
                        <w:rFonts w:ascii="Cambria Math" w:eastAsiaTheme="minorEastAsia" w:hAnsi="Cambria Math" w:cstheme="minorHAnsi"/>
                      </w:rPr>
                      <m:t>ap</m:t>
                    </m:r>
                  </m:e>
                  <m:sub>
                    <m:r>
                      <w:rPr>
                        <w:rFonts w:ascii="Cambria Math" w:eastAsiaTheme="minorEastAsia" w:hAnsi="Cambria Math" w:cstheme="minorHAnsi"/>
                      </w:rPr>
                      <m:t>therm</m:t>
                    </m:r>
                  </m:sub>
                  <m:sup>
                    <m:r>
                      <w:rPr>
                        <w:rFonts w:ascii="Cambria Math" w:eastAsiaTheme="minorEastAsia" w:hAnsi="Cambria Math" w:cstheme="minorHAnsi"/>
                      </w:rPr>
                      <m:t>-0.767</m:t>
                    </m:r>
                  </m:sup>
                </m:sSubSup>
                <m:r>
                  <w:rPr>
                    <w:rFonts w:ascii="Cambria Math" w:eastAsiaTheme="minorEastAsia" w:hAnsi="Cambria Math" w:cstheme="minorHAnsi"/>
                  </w:rPr>
                  <m:t xml:space="preserve"> </m:t>
                </m:r>
              </m:oMath>
            </m:oMathPara>
          </w:p>
        </w:tc>
        <w:tc>
          <w:tcPr>
            <w:tcW w:w="456" w:type="pct"/>
            <w:gridSpan w:val="2"/>
            <w:tcBorders>
              <w:top w:val="nil"/>
              <w:left w:val="nil"/>
              <w:bottom w:val="nil"/>
              <w:right w:val="nil"/>
            </w:tcBorders>
          </w:tcPr>
          <w:p w14:paraId="33B84230" w14:textId="35484437" w:rsidR="005D49AE" w:rsidRPr="001A7FC6" w:rsidRDefault="005D49AE" w:rsidP="005D49AE">
            <w:pPr>
              <w:spacing w:line="276" w:lineRule="auto"/>
              <w:jc w:val="right"/>
              <w:rPr>
                <w:rFonts w:eastAsia="Times New Roman" w:cstheme="minorHAnsi"/>
                <w:color w:val="000000" w:themeColor="text1"/>
              </w:rPr>
            </w:pPr>
            <w:bookmarkStart w:id="13" w:name="_Ref15298061"/>
            <w:r w:rsidRPr="001A7FC6">
              <w:t>(</w:t>
            </w:r>
            <w:r w:rsidR="00872DA0" w:rsidRPr="001A7FC6">
              <w:t>S</w:t>
            </w:r>
            <w:r w:rsidRPr="001A7FC6">
              <w:rPr>
                <w:noProof/>
              </w:rPr>
              <w:fldChar w:fldCharType="begin"/>
            </w:r>
            <w:r w:rsidRPr="001A7FC6">
              <w:rPr>
                <w:noProof/>
              </w:rPr>
              <w:instrText xml:space="preserve"> SEQ Equation \* ARABIC </w:instrText>
            </w:r>
            <w:r w:rsidRPr="001A7FC6">
              <w:rPr>
                <w:noProof/>
              </w:rPr>
              <w:fldChar w:fldCharType="separate"/>
            </w:r>
            <w:r w:rsidR="00890150" w:rsidRPr="001A7FC6">
              <w:rPr>
                <w:noProof/>
              </w:rPr>
              <w:t>8</w:t>
            </w:r>
            <w:r w:rsidRPr="001A7FC6">
              <w:rPr>
                <w:noProof/>
              </w:rPr>
              <w:fldChar w:fldCharType="end"/>
            </w:r>
            <w:r w:rsidRPr="001A7FC6">
              <w:t>)</w:t>
            </w:r>
            <w:bookmarkEnd w:id="13"/>
          </w:p>
        </w:tc>
      </w:tr>
      <w:tr w:rsidR="005D49AE" w:rsidRPr="001A7FC6" w14:paraId="1595DC6B" w14:textId="77777777" w:rsidTr="005D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7" w:type="pct"/>
            <w:tcBorders>
              <w:top w:val="nil"/>
              <w:left w:val="nil"/>
              <w:bottom w:val="nil"/>
              <w:right w:val="nil"/>
            </w:tcBorders>
          </w:tcPr>
          <w:p w14:paraId="4A98A6CC" w14:textId="77777777" w:rsidR="005D49AE" w:rsidRPr="001A7FC6" w:rsidRDefault="005D49AE" w:rsidP="005D49AE">
            <w:pPr>
              <w:spacing w:line="276" w:lineRule="auto"/>
              <w:rPr>
                <w:rFonts w:eastAsia="Calibri" w:cstheme="minorHAnsi"/>
              </w:rPr>
            </w:pPr>
            <w:r w:rsidRPr="001A7FC6">
              <w:rPr>
                <w:rFonts w:eastAsia="Calibri" w:cstheme="minorHAnsi"/>
              </w:rPr>
              <w:t>Biogas grid injection CAPEX</w:t>
            </w:r>
            <w:r w:rsidRPr="001A7FC6">
              <w:rPr>
                <w:rFonts w:eastAsia="Calibri" w:cstheme="minorHAnsi"/>
                <w:vertAlign w:val="superscript"/>
              </w:rPr>
              <w:t>4</w:t>
            </w:r>
          </w:p>
        </w:tc>
        <w:tc>
          <w:tcPr>
            <w:tcW w:w="2358" w:type="pct"/>
            <w:gridSpan w:val="2"/>
            <w:tcBorders>
              <w:top w:val="nil"/>
              <w:left w:val="nil"/>
              <w:bottom w:val="nil"/>
              <w:right w:val="nil"/>
            </w:tcBorders>
          </w:tcPr>
          <w:p w14:paraId="5D43B3F4" w14:textId="77777777" w:rsidR="005D49AE" w:rsidRPr="001A7FC6" w:rsidRDefault="00547887" w:rsidP="005D49AE">
            <w:pPr>
              <w:spacing w:line="276" w:lineRule="auto"/>
              <w:rPr>
                <w:rFonts w:eastAsiaTheme="minorEastAsia" w:cstheme="minorHAnsi"/>
              </w:rPr>
            </w:pPr>
            <m:oMathPara>
              <m:oMath>
                <m:sSup>
                  <m:sSupPr>
                    <m:ctrlPr>
                      <w:rPr>
                        <w:rFonts w:ascii="Cambria Math" w:eastAsiaTheme="minorEastAsia" w:hAnsi="Cambria Math" w:cstheme="minorHAnsi"/>
                        <w:i/>
                      </w:rPr>
                    </m:ctrlPr>
                  </m:sSupPr>
                  <m:e>
                    <m:r>
                      <w:rPr>
                        <w:rFonts w:ascii="Cambria Math" w:eastAsiaTheme="minorEastAsia" w:hAnsi="Cambria Math" w:cstheme="minorHAnsi"/>
                      </w:rPr>
                      <m:t>INJ</m:t>
                    </m:r>
                  </m:e>
                  <m:sup>
                    <m:r>
                      <w:rPr>
                        <w:rFonts w:ascii="Cambria Math" w:eastAsiaTheme="minorEastAsia" w:hAnsi="Cambria Math" w:cstheme="minorHAnsi"/>
                      </w:rPr>
                      <m:t>CPX</m:t>
                    </m:r>
                  </m:sup>
                </m:sSup>
                <m:r>
                  <w:rPr>
                    <w:rFonts w:ascii="Cambria Math" w:eastAsiaTheme="minorEastAsia" w:hAnsi="Cambria Math" w:cstheme="minorHAnsi"/>
                  </w:rPr>
                  <m:t>=413102c</m:t>
                </m:r>
                <m:sSubSup>
                  <m:sSubSupPr>
                    <m:ctrlPr>
                      <w:rPr>
                        <w:rFonts w:ascii="Cambria Math" w:eastAsiaTheme="minorEastAsia" w:hAnsi="Cambria Math" w:cstheme="minorHAnsi"/>
                        <w:i/>
                      </w:rPr>
                    </m:ctrlPr>
                  </m:sSubSupPr>
                  <m:e>
                    <m:r>
                      <w:rPr>
                        <w:rFonts w:ascii="Cambria Math" w:eastAsiaTheme="minorEastAsia" w:hAnsi="Cambria Math" w:cstheme="minorHAnsi"/>
                      </w:rPr>
                      <m:t>ap</m:t>
                    </m:r>
                  </m:e>
                  <m:sub>
                    <m:r>
                      <w:rPr>
                        <w:rFonts w:ascii="Cambria Math" w:eastAsiaTheme="minorEastAsia" w:hAnsi="Cambria Math" w:cstheme="minorHAnsi"/>
                      </w:rPr>
                      <m:t>therm</m:t>
                    </m:r>
                  </m:sub>
                  <m:sup>
                    <m:r>
                      <w:rPr>
                        <w:rFonts w:ascii="Cambria Math" w:eastAsiaTheme="minorEastAsia" w:hAnsi="Cambria Math" w:cstheme="minorHAnsi"/>
                      </w:rPr>
                      <m:t>-1.03</m:t>
                    </m:r>
                  </m:sup>
                </m:sSubSup>
              </m:oMath>
            </m:oMathPara>
          </w:p>
        </w:tc>
        <w:tc>
          <w:tcPr>
            <w:tcW w:w="456" w:type="pct"/>
            <w:gridSpan w:val="2"/>
            <w:tcBorders>
              <w:top w:val="nil"/>
              <w:left w:val="nil"/>
              <w:bottom w:val="nil"/>
              <w:right w:val="nil"/>
            </w:tcBorders>
          </w:tcPr>
          <w:p w14:paraId="095B7B4D" w14:textId="16DD993F" w:rsidR="005D49AE" w:rsidRPr="001A7FC6" w:rsidRDefault="005D49AE" w:rsidP="005D49AE">
            <w:pPr>
              <w:spacing w:line="276" w:lineRule="auto"/>
              <w:jc w:val="right"/>
              <w:rPr>
                <w:rFonts w:eastAsia="Times New Roman" w:cstheme="minorHAnsi"/>
                <w:color w:val="000000" w:themeColor="text1"/>
              </w:rPr>
            </w:pPr>
            <w:bookmarkStart w:id="14" w:name="_Ref15298062"/>
            <w:r w:rsidRPr="001A7FC6">
              <w:t>(</w:t>
            </w:r>
            <w:r w:rsidR="00872DA0" w:rsidRPr="001A7FC6">
              <w:t>S</w:t>
            </w:r>
            <w:r w:rsidRPr="001A7FC6">
              <w:rPr>
                <w:noProof/>
              </w:rPr>
              <w:fldChar w:fldCharType="begin"/>
            </w:r>
            <w:r w:rsidRPr="001A7FC6">
              <w:rPr>
                <w:noProof/>
              </w:rPr>
              <w:instrText xml:space="preserve"> SEQ Equation \* ARABIC </w:instrText>
            </w:r>
            <w:r w:rsidRPr="001A7FC6">
              <w:rPr>
                <w:noProof/>
              </w:rPr>
              <w:fldChar w:fldCharType="separate"/>
            </w:r>
            <w:r w:rsidR="00890150" w:rsidRPr="001A7FC6">
              <w:rPr>
                <w:noProof/>
              </w:rPr>
              <w:t>9</w:t>
            </w:r>
            <w:r w:rsidRPr="001A7FC6">
              <w:rPr>
                <w:noProof/>
              </w:rPr>
              <w:fldChar w:fldCharType="end"/>
            </w:r>
            <w:r w:rsidRPr="001A7FC6">
              <w:t>)</w:t>
            </w:r>
            <w:bookmarkEnd w:id="14"/>
          </w:p>
        </w:tc>
      </w:tr>
      <w:tr w:rsidR="005D49AE" w:rsidRPr="001A7FC6" w14:paraId="174894C6" w14:textId="77777777" w:rsidTr="005D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87" w:type="pct"/>
            <w:tcBorders>
              <w:top w:val="nil"/>
              <w:left w:val="nil"/>
              <w:bottom w:val="single" w:sz="4" w:space="0" w:color="auto"/>
              <w:right w:val="nil"/>
            </w:tcBorders>
          </w:tcPr>
          <w:p w14:paraId="3135A520" w14:textId="77777777" w:rsidR="005D49AE" w:rsidRPr="001A7FC6" w:rsidRDefault="005D49AE" w:rsidP="005D49AE">
            <w:pPr>
              <w:spacing w:line="276" w:lineRule="auto"/>
              <w:rPr>
                <w:rFonts w:eastAsia="Calibri" w:cstheme="minorHAnsi"/>
              </w:rPr>
            </w:pPr>
            <w:r w:rsidRPr="001A7FC6">
              <w:rPr>
                <w:rFonts w:eastAsia="Calibri" w:cstheme="minorHAnsi"/>
              </w:rPr>
              <w:t>Biogas grid injection OPEX</w:t>
            </w:r>
            <w:r w:rsidRPr="001A7FC6">
              <w:rPr>
                <w:rFonts w:eastAsia="Calibri" w:cstheme="minorHAnsi"/>
                <w:vertAlign w:val="superscript"/>
              </w:rPr>
              <w:t>4</w:t>
            </w:r>
          </w:p>
        </w:tc>
        <w:tc>
          <w:tcPr>
            <w:tcW w:w="2358" w:type="pct"/>
            <w:gridSpan w:val="2"/>
            <w:tcBorders>
              <w:top w:val="nil"/>
              <w:left w:val="nil"/>
              <w:bottom w:val="single" w:sz="4" w:space="0" w:color="auto"/>
              <w:right w:val="nil"/>
            </w:tcBorders>
          </w:tcPr>
          <w:p w14:paraId="720C9590" w14:textId="77777777" w:rsidR="005D49AE" w:rsidRPr="001A7FC6" w:rsidRDefault="00547887" w:rsidP="005D49AE">
            <w:pPr>
              <w:spacing w:line="276" w:lineRule="auto"/>
              <w:rPr>
                <w:rFonts w:eastAsiaTheme="minorEastAsia" w:cstheme="minorHAnsi"/>
              </w:rPr>
            </w:pPr>
            <m:oMathPara>
              <m:oMath>
                <m:sSup>
                  <m:sSupPr>
                    <m:ctrlPr>
                      <w:rPr>
                        <w:rFonts w:ascii="Cambria Math" w:eastAsiaTheme="minorEastAsia" w:hAnsi="Cambria Math" w:cstheme="minorHAnsi"/>
                        <w:i/>
                      </w:rPr>
                    </m:ctrlPr>
                  </m:sSupPr>
                  <m:e>
                    <m:r>
                      <w:rPr>
                        <w:rFonts w:ascii="Cambria Math" w:eastAsiaTheme="minorEastAsia" w:hAnsi="Cambria Math" w:cstheme="minorHAnsi"/>
                      </w:rPr>
                      <m:t>INJ</m:t>
                    </m:r>
                  </m:e>
                  <m:sup>
                    <m:r>
                      <w:rPr>
                        <w:rFonts w:ascii="Cambria Math" w:eastAsiaTheme="minorEastAsia" w:hAnsi="Cambria Math" w:cstheme="minorHAnsi"/>
                      </w:rPr>
                      <m:t>OPX</m:t>
                    </m:r>
                  </m:sup>
                </m:sSup>
                <m:r>
                  <w:rPr>
                    <w:rFonts w:ascii="Cambria Math" w:eastAsiaTheme="minorEastAsia" w:hAnsi="Cambria Math" w:cstheme="minorHAnsi"/>
                  </w:rPr>
                  <m:t>=205.33c</m:t>
                </m:r>
                <m:sSubSup>
                  <m:sSubSupPr>
                    <m:ctrlPr>
                      <w:rPr>
                        <w:rFonts w:ascii="Cambria Math" w:eastAsiaTheme="minorEastAsia" w:hAnsi="Cambria Math" w:cstheme="minorHAnsi"/>
                        <w:i/>
                      </w:rPr>
                    </m:ctrlPr>
                  </m:sSubSupPr>
                  <m:e>
                    <m:r>
                      <w:rPr>
                        <w:rFonts w:ascii="Cambria Math" w:eastAsiaTheme="minorEastAsia" w:hAnsi="Cambria Math" w:cstheme="minorHAnsi"/>
                      </w:rPr>
                      <m:t>ap</m:t>
                    </m:r>
                  </m:e>
                  <m:sub>
                    <m:r>
                      <w:rPr>
                        <w:rFonts w:ascii="Cambria Math" w:eastAsiaTheme="minorEastAsia" w:hAnsi="Cambria Math" w:cstheme="minorHAnsi"/>
                      </w:rPr>
                      <m:t>therm</m:t>
                    </m:r>
                  </m:sub>
                  <m:sup>
                    <m:r>
                      <w:rPr>
                        <w:rFonts w:ascii="Cambria Math" w:eastAsiaTheme="minorEastAsia" w:hAnsi="Cambria Math" w:cstheme="minorHAnsi"/>
                      </w:rPr>
                      <m:t>-0.472</m:t>
                    </m:r>
                  </m:sup>
                </m:sSubSup>
                <m:r>
                  <w:rPr>
                    <w:rFonts w:ascii="Cambria Math" w:eastAsiaTheme="minorEastAsia" w:hAnsi="Cambria Math" w:cstheme="minorHAnsi"/>
                  </w:rPr>
                  <m:t xml:space="preserve"> </m:t>
                </m:r>
              </m:oMath>
            </m:oMathPara>
          </w:p>
        </w:tc>
        <w:tc>
          <w:tcPr>
            <w:tcW w:w="456" w:type="pct"/>
            <w:gridSpan w:val="2"/>
            <w:tcBorders>
              <w:top w:val="nil"/>
              <w:left w:val="nil"/>
              <w:bottom w:val="single" w:sz="4" w:space="0" w:color="auto"/>
              <w:right w:val="nil"/>
            </w:tcBorders>
          </w:tcPr>
          <w:p w14:paraId="67D2A674" w14:textId="014CD76C" w:rsidR="005D49AE" w:rsidRPr="001A7FC6" w:rsidRDefault="005D49AE" w:rsidP="005D49AE">
            <w:pPr>
              <w:spacing w:line="276" w:lineRule="auto"/>
              <w:jc w:val="right"/>
              <w:rPr>
                <w:rFonts w:eastAsia="Times New Roman" w:cstheme="minorHAnsi"/>
                <w:color w:val="000000" w:themeColor="text1"/>
              </w:rPr>
            </w:pPr>
            <w:bookmarkStart w:id="15" w:name="_Ref15396599"/>
            <w:bookmarkStart w:id="16" w:name="_Ref15298065"/>
            <w:r w:rsidRPr="001A7FC6">
              <w:t>(</w:t>
            </w:r>
            <w:r w:rsidR="00872DA0" w:rsidRPr="001A7FC6">
              <w:t>S</w:t>
            </w:r>
            <w:r w:rsidRPr="001A7FC6">
              <w:rPr>
                <w:noProof/>
              </w:rPr>
              <w:fldChar w:fldCharType="begin"/>
            </w:r>
            <w:r w:rsidRPr="001A7FC6">
              <w:rPr>
                <w:noProof/>
              </w:rPr>
              <w:instrText xml:space="preserve"> SEQ Equation \* ARABIC </w:instrText>
            </w:r>
            <w:r w:rsidRPr="001A7FC6">
              <w:rPr>
                <w:noProof/>
              </w:rPr>
              <w:fldChar w:fldCharType="separate"/>
            </w:r>
            <w:r w:rsidR="00890150" w:rsidRPr="001A7FC6">
              <w:rPr>
                <w:noProof/>
              </w:rPr>
              <w:t>10</w:t>
            </w:r>
            <w:r w:rsidRPr="001A7FC6">
              <w:rPr>
                <w:noProof/>
              </w:rPr>
              <w:fldChar w:fldCharType="end"/>
            </w:r>
            <w:bookmarkEnd w:id="15"/>
            <w:r w:rsidRPr="001A7FC6">
              <w:t>)</w:t>
            </w:r>
            <w:bookmarkEnd w:id="16"/>
          </w:p>
        </w:tc>
      </w:tr>
      <w:tr w:rsidR="005D49AE" w:rsidRPr="001A7FC6" w14:paraId="4F3222B3" w14:textId="77777777" w:rsidTr="005D49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6" w:type="pct"/>
        </w:trPr>
        <w:tc>
          <w:tcPr>
            <w:tcW w:w="4026" w:type="pct"/>
            <w:gridSpan w:val="2"/>
            <w:tcBorders>
              <w:top w:val="single" w:sz="4" w:space="0" w:color="auto"/>
              <w:left w:val="nil"/>
              <w:bottom w:val="nil"/>
              <w:right w:val="nil"/>
            </w:tcBorders>
          </w:tcPr>
          <w:p w14:paraId="5680213B" w14:textId="178D0EF8" w:rsidR="005D49AE" w:rsidRPr="001A7FC6" w:rsidRDefault="005D49AE" w:rsidP="005D49AE">
            <w:r w:rsidRPr="001A7FC6">
              <w:rPr>
                <w:sz w:val="18"/>
                <w:lang w:val="es-ES"/>
              </w:rPr>
              <w:t xml:space="preserve"> </w:t>
            </w:r>
            <w:r w:rsidRPr="001A7FC6">
              <w:rPr>
                <w:sz w:val="18"/>
                <w:vertAlign w:val="superscript"/>
                <w:lang w:val="es-ES"/>
              </w:rPr>
              <w:t>1</w:t>
            </w:r>
            <w:r w:rsidRPr="001A7FC6">
              <w:rPr>
                <w:sz w:val="18"/>
              </w:rPr>
              <w:fldChar w:fldCharType="begin" w:fldLock="1"/>
            </w:r>
            <w:r w:rsidR="00031370" w:rsidRPr="001A7FC6">
              <w:rPr>
                <w:sz w:val="18"/>
                <w:lang w:val="es-ES"/>
              </w:rPr>
              <w:instrText>ADDIN CSL_CITATION {"citationItems":[{"id":"ITEM-1","itemData":{"author":[{"dropping-particle":"","family":"Sbodova","given":"Ivo","non-dropping-particle":"","parse-names":false,"suffix":""}],"id":"ITEM-1","issued":{"date-parts":[["2003"]]},"number-of-pages":"1-110","title":"Anaerobic digestion , storage , oligolysis , lime , heat and aerobic treatment of livestock manures Final report","type":"report"},"uris":["http://www.mendeley.com/documents/?uuid=3581c639-4989-47d9-9ae5-dda38822eeab"]}],"mendeley":{"formattedCitation":"(Sbodova, 2003)","plainTextFormattedCitation":"(Sbodova, 2003)","previouslyFormattedCitation":"(Sbodova, 2003)"},"properties":{"noteIndex":0},"schema":"https://github.com/citation-style-language/schema/raw/master/csl-citation.json"}</w:instrText>
            </w:r>
            <w:r w:rsidRPr="001A7FC6">
              <w:rPr>
                <w:sz w:val="18"/>
              </w:rPr>
              <w:fldChar w:fldCharType="separate"/>
            </w:r>
            <w:r w:rsidRPr="001A7FC6">
              <w:rPr>
                <w:noProof/>
                <w:sz w:val="18"/>
                <w:lang w:val="es-ES"/>
              </w:rPr>
              <w:t>(Sbodova, 2003)</w:t>
            </w:r>
            <w:r w:rsidRPr="001A7FC6">
              <w:rPr>
                <w:sz w:val="18"/>
              </w:rPr>
              <w:fldChar w:fldCharType="end"/>
            </w:r>
            <w:r w:rsidRPr="001A7FC6">
              <w:rPr>
                <w:sz w:val="18"/>
                <w:lang w:val="es-ES"/>
              </w:rPr>
              <w:t xml:space="preserve">, </w:t>
            </w:r>
            <w:r w:rsidRPr="001A7FC6">
              <w:rPr>
                <w:sz w:val="18"/>
                <w:vertAlign w:val="superscript"/>
                <w:lang w:val="es-ES"/>
              </w:rPr>
              <w:t>2</w:t>
            </w:r>
            <w:r w:rsidRPr="001A7FC6">
              <w:rPr>
                <w:sz w:val="18"/>
              </w:rPr>
              <w:fldChar w:fldCharType="begin" w:fldLock="1"/>
            </w:r>
            <w:r w:rsidR="00031370" w:rsidRPr="001A7FC6">
              <w:rPr>
                <w:sz w:val="18"/>
                <w:lang w:val="es-ES"/>
              </w:rPr>
              <w:instrText>ADDIN CSL_CITATION {"citationItems":[{"id":"ITEM-1","itemData":{"DOI":"10.3390/en10091396","author":[{"dropping-particle":"","family":"Oreggioni","given":"Gabriel D","non-dropping-particle":"","parse-names":false,"suffix":""},{"dropping-particle":"","family":"Gowreesunker","given":"Baboo Lesh","non-dropping-particle":"","parse-names":false,"suffix":""},{"dropping-particle":"","family":"Tassou","given":"Savvas A","non-dropping-particle":"","parse-names":false,"suffix":""},{"dropping-particle":"","family":"Bianchi","given":"Giuseppe","non-dropping-particle":"","parse-names":false,"suffix":""},{"dropping-particle":"","family":"Reilly","given":"Matthew","non-dropping-particle":"","parse-names":false,"suffix":""},{"dropping-particle":"","family":"Id","given":"Marie E Kirby","non-dropping-particle":"","parse-names":false,"suffix":""},{"dropping-particle":"","family":"Toop","given":"Trisha A","non-dropping-particle":"","parse-names":false,"suffix":""},{"dropping-particle":"","family":"Theodorou","given":"Mike K","non-dropping-particle":"","parse-names":false,"suffix":""}],"container-title":"Energies","id":"ITEM-1","issued":{"date-parts":[["2017"]]},"page":"1-16","title":"Potential for Energy Production from Farm Wastes Using Anaerobic Digestion in the UK : An Economic Comparison of Different Size Plants","type":"article-journal"},"uris":["http://www.mendeley.com/documents/?uuid=7b13cecf-7594-4e03-9318-e779bf7ab62b"]}],"mendeley":{"formattedCitation":"(Oreggioni et al., 2017)","plainTextFormattedCitation":"(Oreggioni et al., 2017)","previouslyFormattedCitation":"(Oreggioni et al., 2017)"},"properties":{"noteIndex":0},"schema":"https://github.com/citation-style-language/schema/raw/master/csl-citation.json"}</w:instrText>
            </w:r>
            <w:r w:rsidRPr="001A7FC6">
              <w:rPr>
                <w:sz w:val="18"/>
              </w:rPr>
              <w:fldChar w:fldCharType="separate"/>
            </w:r>
            <w:r w:rsidRPr="001A7FC6">
              <w:rPr>
                <w:noProof/>
                <w:sz w:val="18"/>
                <w:lang w:val="es-ES"/>
              </w:rPr>
              <w:t>(Oreggioni et al., 2017)</w:t>
            </w:r>
            <w:r w:rsidRPr="001A7FC6">
              <w:rPr>
                <w:sz w:val="18"/>
              </w:rPr>
              <w:fldChar w:fldCharType="end"/>
            </w:r>
            <w:r w:rsidRPr="001A7FC6">
              <w:rPr>
                <w:sz w:val="18"/>
                <w:lang w:val="es-ES"/>
              </w:rPr>
              <w:t xml:space="preserve">, </w:t>
            </w:r>
            <w:r w:rsidRPr="001A7FC6">
              <w:rPr>
                <w:sz w:val="18"/>
                <w:vertAlign w:val="superscript"/>
                <w:lang w:val="es-ES"/>
              </w:rPr>
              <w:t>3</w:t>
            </w:r>
            <w:r w:rsidRPr="001A7FC6">
              <w:rPr>
                <w:sz w:val="18"/>
                <w:vertAlign w:val="superscript"/>
              </w:rPr>
              <w:fldChar w:fldCharType="begin" w:fldLock="1"/>
            </w:r>
            <w:r w:rsidR="00031370" w:rsidRPr="001A7FC6">
              <w:rPr>
                <w:sz w:val="18"/>
                <w:vertAlign w:val="superscript"/>
                <w:lang w:val="es-ES"/>
              </w:rPr>
              <w:instrText>ADDIN CSL_CITATION {"citationItems":[{"id":"ITEM-1","itemData":{"DOI":"10.1016/j.ijggc.2009.12.013","ISSN":"17505836","abstract":"The biogas upgrading by membrane separation process using a highly efficient CO 2 -selective polyvinylamine/polyvinylalcohol (PVAm/PVA) blend membrane was investigated by experimental study and simulation with respect to process design, operation optimization and economic evaluation. This blend membrane takes advantages of the unique CO 2 facilitated transport from PVAm and the robust mechanical properties from PVA, exhibits both high CO 2 /CH 4 separation efficiency and very good stability. CO 2 transports through the water swollen membrane matrix in the form of bicarbonate. CO 2 /CH 4 selectivity up to 40 and CO 2 permeance up to 0.55 m 3 (STP)/m 2 h bar at 2 bar were documented in lab with synthesized biogas (35% CO 2 and 65% CH 4 ). Membrane performances at varying feed p</w:instrText>
            </w:r>
            <w:r w:rsidR="00031370" w:rsidRPr="001A7FC6">
              <w:rPr>
                <w:sz w:val="18"/>
                <w:vertAlign w:val="superscript"/>
              </w:rPr>
              <w:instrText>ressures were recorded and used as the simulation basis in this work. The process simulation of an on-farm scale biogas upgrading plant (1000 Nm 3 /h) was conducted. Processes with four different membrane module configurations with or without recycle were evaluated technically and economically, and the 2-stage in cascade with recycle configuration was proven optimal among the four processes. The sensitivity of the process to various operation parameters was analyzed and the operation conditions were optimized. © 2010 Elsevier Ltd. All rights reserved.","author":[{"dropping-particle":"","family":"Deng","given":"Liyuan","non-dropping-particle":"","parse-names":false,"suffix":""},{"dropping-particle":"","family":"Hägg","given":"May Britt","non-dropping-particle":"","parse-names":false,"suffix":""}],"container-title":"International Journal of Greenhouse Gas Control","id":"ITEM-1","issue":"4","issued":{"date-parts":[["2010"]]},"page":"638-646","publisher":"Elsevier Ltd","title":"Techno-economic evaluation of biogas upgrading process using CO 2 facilitated transport membrane","type":"article-journal","volume":"4"},"uris":["http://www.mendeley.com/documents/?uuid=f088d276-cc30-4940-83d3-863fcaaff445"]}],"mendeley":{"formattedCitation":"(Deng and Hägg, 2010)","plainTextFormattedCitation":"(Deng and Hägg, 2010)","previouslyFormattedCitation":"(Deng and Hägg, 2010)"},"properties":{"noteIndex":0},"schema":"https://github.com/citation-style-language/schema/raw/master/csl-citation.json"}</w:instrText>
            </w:r>
            <w:r w:rsidRPr="001A7FC6">
              <w:rPr>
                <w:sz w:val="18"/>
                <w:vertAlign w:val="superscript"/>
              </w:rPr>
              <w:fldChar w:fldCharType="separate"/>
            </w:r>
            <w:r w:rsidRPr="001A7FC6">
              <w:rPr>
                <w:noProof/>
                <w:sz w:val="18"/>
              </w:rPr>
              <w:t>(Deng and Hägg, 2010)</w:t>
            </w:r>
            <w:r w:rsidRPr="001A7FC6">
              <w:rPr>
                <w:sz w:val="18"/>
                <w:vertAlign w:val="superscript"/>
              </w:rPr>
              <w:fldChar w:fldCharType="end"/>
            </w:r>
            <w:r w:rsidRPr="001A7FC6">
              <w:rPr>
                <w:sz w:val="18"/>
              </w:rPr>
              <w:t xml:space="preserve">, </w:t>
            </w:r>
            <w:r w:rsidRPr="001A7FC6">
              <w:rPr>
                <w:sz w:val="18"/>
                <w:vertAlign w:val="superscript"/>
              </w:rPr>
              <w:t>4</w:t>
            </w:r>
            <w:r w:rsidRPr="001A7FC6">
              <w:rPr>
                <w:sz w:val="18"/>
                <w:vertAlign w:val="superscript"/>
              </w:rPr>
              <w:fldChar w:fldCharType="begin" w:fldLock="1"/>
            </w:r>
            <w:r w:rsidR="00031370" w:rsidRPr="001A7FC6">
              <w:rPr>
                <w:sz w:val="18"/>
                <w:vertAlign w:val="superscript"/>
              </w:rPr>
              <w:instrText>ADDIN CSL_CITATION {"citationItems":[{"id":"ITEM-1","itemData":{"ISBN":"978-92-9260-001-3","author":[{"dropping-particle":"","family":"IRENA","given":"","non-dropping-particle":"","parse-names":false,"suffix":""}],"id":"ITEM-1","issue":"March","issued":{"date-parts":[["2018"]]},"number-of-pages":"62","title":"Biogas for Road Vehicles: tehnology brief","type":"report"},"uris":["http://www.mendeley.com/documents/?uuid=974db7f0-9eb8-4199-8b32-ef652b83bb85"]}],"mendeley":{"formattedCitation":"(IRENA, 2018)","plainTextFormattedCitation":"(IRENA, 2018)","previouslyFormattedCitation":"(IRENA, 2018)"},"properties":{"noteIndex":0},"schema":"https://github.com/citation-style-language/schema/raw/master/csl-citation.json"}</w:instrText>
            </w:r>
            <w:r w:rsidRPr="001A7FC6">
              <w:rPr>
                <w:sz w:val="18"/>
                <w:vertAlign w:val="superscript"/>
              </w:rPr>
              <w:fldChar w:fldCharType="separate"/>
            </w:r>
            <w:r w:rsidRPr="001A7FC6">
              <w:rPr>
                <w:noProof/>
                <w:sz w:val="18"/>
              </w:rPr>
              <w:t>(IRENA, 2018)</w:t>
            </w:r>
            <w:r w:rsidRPr="001A7FC6">
              <w:rPr>
                <w:sz w:val="18"/>
                <w:vertAlign w:val="superscript"/>
              </w:rPr>
              <w:fldChar w:fldCharType="end"/>
            </w:r>
          </w:p>
        </w:tc>
        <w:tc>
          <w:tcPr>
            <w:tcW w:w="788" w:type="pct"/>
            <w:gridSpan w:val="2"/>
            <w:tcBorders>
              <w:top w:val="single" w:sz="4" w:space="0" w:color="auto"/>
              <w:left w:val="nil"/>
              <w:bottom w:val="nil"/>
              <w:right w:val="nil"/>
            </w:tcBorders>
          </w:tcPr>
          <w:p w14:paraId="0C87C235" w14:textId="77777777" w:rsidR="005D49AE" w:rsidRPr="001A7FC6" w:rsidRDefault="005D49AE" w:rsidP="005D49AE"/>
        </w:tc>
      </w:tr>
    </w:tbl>
    <w:p w14:paraId="3CA3540C" w14:textId="4B57F7EA" w:rsidR="005D49AE" w:rsidRPr="001A7FC6" w:rsidRDefault="005D49AE" w:rsidP="005D49AE">
      <w:pPr>
        <w:rPr>
          <w:color w:val="000000" w:themeColor="text1"/>
        </w:rPr>
      </w:pPr>
      <w:r w:rsidRPr="001A7FC6">
        <w:t xml:space="preserve">Energy recovery from digestate solid fraction requires digestate pre-treatment. In the case of incineration, the digestate must be dried and in the case of pyrolysis, it must be dried and pelletized </w:t>
      </w:r>
      <w:r w:rsidRPr="001A7FC6">
        <w:fldChar w:fldCharType="begin" w:fldLock="1"/>
      </w:r>
      <w:r w:rsidR="00031370" w:rsidRPr="001A7FC6">
        <w:instrText>ADDIN CSL_CITATION {"citationItems":[{"id":"ITEM-1","itemData":{"DOI":"10.1007/s12649-017-0071-2","ISBN":"0123456789","ISSN":"1877265X","abstract":"The anaerobic digestion (AD) of the organic fraction of municipal solid waste (OFMSW) and food waste achieves both environmental and economic benefits. This bio-process, well-known for producing biogas, is used extensively for industrial applications all over the world. Despite the use of AD across the world, the overall sustainability of this process as a source of an alternate fuel (i.e., biomethane) is intrinsically linked to the successful management of one of its major byproducts, the digestate. In order for the digestate to be classified as a ``product'' rather than a ``waste'' and to achieve regulatory compliance, this liquid stream needs to undergo biological or physicochemical treatments. The most common treatment for digestate is the use as a soil amendment. Nutrients surplus, variable agricultural seasonal requirements, escalating transportation cost, and market acceptance (e.g., risk for food safety) represents the major obstacle for the use of digestate for agricultural applications. Therefore, it is necessary to study alternative approaches for digestate management and utilization options. One alternative concept is the Back to Earth Alternative (BEA) whose aim is to bring appropriately treated residues back to their non-mobile state, as they were extracted from the earth to be used as raw materials, which would achieve actual closing of the materials cycles. Similarly, the same concept can be introduced into the digestate management process, with the goal of reducing resource costs and mitigate potential impacts on climate change, by employing a more holistic circular economy model instead of linear economy model commonly referred to as ``take-make-dispose''. The overarching aim of this study is to introduce the BEA and circular economy concepts into the digestate management process taking into consideration the initial quality of the digestate and the techniques and processes necessary to meet the specific regulatory and quality requirements for the utilization of this waste stream for different applications. Cost benefit analysis and environmental impact were also evaluated for each BEA.","author":[{"dropping-particle":"","family":"Peng","given":"Wei","non-dropping-particle":"","parse-names":false,"suffix":""},{"dropping-particle":"","family":"Pivato","given":"Alberto","non-dropping-particle":"","parse-names":false,"suffix":""}],"container-title":"Waste and Biomass Valorization","id":"ITEM-1","issue":"2","issued":{"date-parts":[["2019"]]},"page":"465-481","publisher":"Springer Netherlands","title":"Sustainable Management of Digestate from the Organic Fraction of Municipal Solid Waste and Food Waste Under the Concepts of Back to Earth Alternatives and Circular Economy","type":"article-journal","volume":"10"},"uris":["http://www.mendeley.com/documents/?uuid=3eac263b-ec69-46e2-a26d-528e33771cbd"]},{"id":"ITEM-2","itemData":{"DOI":"10.1007/s11666-009-9304-7","ISSN":"10599630","abstract":"Desk top study on digestate enhancement and treatment. \\r\\nA review of enhancement techniques, processing options and novel digestate products.","author":[{"dropping-particle":"","family":"WRAP","given":"","non-dropping-particle":"","parse-names":false,"suffix":""}],"container-title":"Waste and Resources Action Programme","id":"ITEM-2","issue":"May","issued":{"date-parts":[["2012"]]},"page":"1-38","title":"Enhancement and treatment of digestates from anaerobic digestion","type":"article-journal"},"uris":["http://www.mendeley.com/documents/?uuid=ad14309b-264e-4ff3-a68f-29bb01b3a255"]}],"mendeley":{"formattedCitation":"(Peng and Pivato, 2019; WRAP, 2012)","plainTextFormattedCitation":"(Peng and Pivato, 2019; WRAP, 2012)","previouslyFormattedCitation":"(Peng and Pivato, 2019; WRAP, 2012)"},"properties":{"noteIndex":0},"schema":"https://github.com/citation-style-language/schema/raw/master/csl-citation.json"}</w:instrText>
      </w:r>
      <w:r w:rsidRPr="001A7FC6">
        <w:fldChar w:fldCharType="separate"/>
      </w:r>
      <w:r w:rsidR="0014186D" w:rsidRPr="001A7FC6">
        <w:rPr>
          <w:noProof/>
        </w:rPr>
        <w:t>(Peng and Pivato, 2019; WRAP, 2012)</w:t>
      </w:r>
      <w:r w:rsidRPr="001A7FC6">
        <w:fldChar w:fldCharType="end"/>
      </w:r>
      <w:r w:rsidRPr="001A7FC6">
        <w:t xml:space="preserve">. To model this, values reported in </w:t>
      </w:r>
      <w:r w:rsidRPr="001A7FC6">
        <w:fldChar w:fldCharType="begin" w:fldLock="1"/>
      </w:r>
      <w:r w:rsidR="00031370" w:rsidRPr="001A7FC6">
        <w:instrText>ADDIN CSL_CITATION {"citationItems":[{"id":"ITEM-1","itemData":{"DOI":"10.3390/en11051135","ISSN":"19961073","abstract":"© 2018 by the authors. Licensee MDPI, Basel, Switzerland. In our paper we examine the economics of a technological process which utilizes the separated biogas plant digestate as the primary material and, as auxiliary material, the waste heat produced by the cogeneration process, to produce a marketable pellet which can be used in two ways (to supply soil nutrients and heat energy). Using multivariate linear regression model we developed an equation for the biogas yield from the modelled production recipe and expected nutrient pellet prices, and sensitivity analysis were also performed for the substrate dry matter content. We found that pellets can be produced at a cost of 88-90 EUR/ton with a 6 to 10% dry matter substrate content and that, primarily, sales of pellets for heating justify  pelleting; producer's own use and use for nutrient purposes can only be justified in exceptional cases. In the case of dry solid content above 5%, the process does not require the total amount of waste heat; some of this can be used to cover other heat requirements.","author":[{"dropping-particle":"","family":"Nagy","given":"Dávid","non-dropping-particle":"","parse-names":false,"suffix":""},{"dropping-particle":"","family":"Balogh","given":"Péter","non-dropping-particle":"","parse-names":false,"suffix":""},{"dropping-particle":"","family":"Gabnai","given":"Zoltán","non-dropping-particle":"","parse-names":false,"suffix":""},{"dropping-particle":"","family":"Popp","given":"József","non-dropping-particle":"","parse-names":false,"suffix":""},{"dropping-particle":"","family":"Oláh","given":"Judit","non-dropping-particle":"","parse-names":false,"suffix":""},{"dropping-particle":"","family":"Bai","given":"Attila","non-dropping-particle":"","parse-names":false,"suffix":""}],"container-title":"Energies","id":"ITEM-1","issue":"5","issued":{"date-parts":[["2018"]]},"page":"1-21","title":"Economic analysis of pellet production in co-digestion biogas plants","type":"article-journal","volume":"11"},"uris":["http://www.mendeley.com/documents/?uuid=6db8025a-4af8-4f54-8857-09db93c53a5a"]}],"mendeley":{"formattedCitation":"(Nagy et al., 2018)","plainTextFormattedCitation":"(Nagy et al., 2018)","previouslyFormattedCitation":"(Nagy et al., 2018)"},"properties":{"noteIndex":0},"schema":"https://github.com/citation-style-language/schema/raw/master/csl-citation.json"}</w:instrText>
      </w:r>
      <w:r w:rsidRPr="001A7FC6">
        <w:fldChar w:fldCharType="separate"/>
      </w:r>
      <w:r w:rsidRPr="001A7FC6">
        <w:rPr>
          <w:noProof/>
        </w:rPr>
        <w:t>(Nagy et al., 2018)</w:t>
      </w:r>
      <w:r w:rsidRPr="001A7FC6">
        <w:fldChar w:fldCharType="end"/>
      </w:r>
      <w:r w:rsidRPr="001A7FC6">
        <w:t xml:space="preserve"> were used whereby digestate solid (SF) and liquid (LF) fractions are separated using a screw press. The SF is then dried using a belt drier and recycled heat from CHP, before being pelletized using a pelletiser. In </w:t>
      </w:r>
      <w:r w:rsidRPr="001A7FC6">
        <w:fldChar w:fldCharType="begin"/>
      </w:r>
      <w:r w:rsidRPr="001A7FC6">
        <w:instrText xml:space="preserve"> REF _Ref15411309 \h </w:instrText>
      </w:r>
      <w:r w:rsidR="001A7FC6">
        <w:instrText xml:space="preserve"> \* MERGEFORMAT </w:instrText>
      </w:r>
      <w:r w:rsidRPr="001A7FC6">
        <w:fldChar w:fldCharType="separate"/>
      </w:r>
      <w:r w:rsidR="00D755A0" w:rsidRPr="001A7FC6">
        <w:rPr>
          <w:color w:val="000000" w:themeColor="text1"/>
        </w:rPr>
        <w:t>Table S</w:t>
      </w:r>
      <w:r w:rsidR="00D755A0" w:rsidRPr="001A7FC6">
        <w:rPr>
          <w:noProof/>
          <w:color w:val="000000" w:themeColor="text1"/>
        </w:rPr>
        <w:t>3</w:t>
      </w:r>
      <w:r w:rsidRPr="001A7FC6">
        <w:fldChar w:fldCharType="end"/>
      </w:r>
      <w:r w:rsidRPr="001A7FC6">
        <w:t xml:space="preserve">, the unit product price for revenue calculation is presented. </w:t>
      </w:r>
      <w:r w:rsidR="00A3379C" w:rsidRPr="001A7FC6">
        <w:t xml:space="preserve">The relevant CAPEX and OPEX data are presented </w:t>
      </w:r>
      <w:r w:rsidR="00D755A0" w:rsidRPr="001A7FC6">
        <w:fldChar w:fldCharType="begin"/>
      </w:r>
      <w:r w:rsidR="00D755A0" w:rsidRPr="001A7FC6">
        <w:instrText xml:space="preserve"> REF _Ref15480146 \h </w:instrText>
      </w:r>
      <w:r w:rsidR="001A7FC6">
        <w:instrText xml:space="preserve"> \* MERGEFORMAT </w:instrText>
      </w:r>
      <w:r w:rsidR="00D755A0" w:rsidRPr="001A7FC6">
        <w:fldChar w:fldCharType="separate"/>
      </w:r>
      <w:r w:rsidR="00D755A0" w:rsidRPr="001A7FC6">
        <w:t>Table S</w:t>
      </w:r>
      <w:r w:rsidR="00D755A0" w:rsidRPr="001A7FC6">
        <w:rPr>
          <w:noProof/>
        </w:rPr>
        <w:t>8</w:t>
      </w:r>
      <w:r w:rsidR="00D755A0" w:rsidRPr="001A7FC6">
        <w:fldChar w:fldCharType="end"/>
      </w:r>
      <w:r w:rsidR="00A3379C" w:rsidRPr="001A7FC6">
        <w:t>.</w:t>
      </w:r>
    </w:p>
    <w:p w14:paraId="77043273" w14:textId="1842D9EF" w:rsidR="005D49AE" w:rsidRPr="001A7FC6" w:rsidRDefault="005D49AE" w:rsidP="005D49AE">
      <w:pPr>
        <w:pStyle w:val="Caption"/>
        <w:keepNext/>
        <w:spacing w:after="0"/>
        <w:rPr>
          <w:color w:val="000000" w:themeColor="text1"/>
        </w:rPr>
      </w:pPr>
      <w:bookmarkStart w:id="17" w:name="_Ref15411309"/>
      <w:r w:rsidRPr="001A7FC6">
        <w:rPr>
          <w:color w:val="000000" w:themeColor="text1"/>
        </w:rPr>
        <w:t xml:space="preserve">Table </w:t>
      </w:r>
      <w:r w:rsidR="00FF2AAF" w:rsidRPr="001A7FC6">
        <w:rPr>
          <w:color w:val="000000" w:themeColor="text1"/>
        </w:rPr>
        <w:t>S</w:t>
      </w:r>
      <w:r w:rsidRPr="001A7FC6">
        <w:rPr>
          <w:color w:val="000000" w:themeColor="text1"/>
        </w:rPr>
        <w:fldChar w:fldCharType="begin"/>
      </w:r>
      <w:r w:rsidRPr="001A7FC6">
        <w:rPr>
          <w:color w:val="000000" w:themeColor="text1"/>
        </w:rPr>
        <w:instrText xml:space="preserve"> SEQ Table \* ARABIC </w:instrText>
      </w:r>
      <w:r w:rsidRPr="001A7FC6">
        <w:rPr>
          <w:color w:val="000000" w:themeColor="text1"/>
        </w:rPr>
        <w:fldChar w:fldCharType="separate"/>
      </w:r>
      <w:r w:rsidR="00890150" w:rsidRPr="001A7FC6">
        <w:rPr>
          <w:noProof/>
          <w:color w:val="000000" w:themeColor="text1"/>
        </w:rPr>
        <w:t>3</w:t>
      </w:r>
      <w:r w:rsidRPr="001A7FC6">
        <w:rPr>
          <w:color w:val="000000" w:themeColor="text1"/>
        </w:rPr>
        <w:fldChar w:fldCharType="end"/>
      </w:r>
      <w:bookmarkEnd w:id="17"/>
      <w:r w:rsidRPr="001A7FC6">
        <w:rPr>
          <w:color w:val="000000" w:themeColor="text1"/>
        </w:rPr>
        <w:t>: Price of process products</w:t>
      </w:r>
    </w:p>
    <w:tbl>
      <w:tblPr>
        <w:tblStyle w:val="TableGrid"/>
        <w:tblW w:w="5000" w:type="pct"/>
        <w:tblLook w:val="04A0" w:firstRow="1" w:lastRow="0" w:firstColumn="1" w:lastColumn="0" w:noHBand="0" w:noVBand="1"/>
      </w:tblPr>
      <w:tblGrid>
        <w:gridCol w:w="3991"/>
        <w:gridCol w:w="5035"/>
      </w:tblGrid>
      <w:tr w:rsidR="005D49AE" w:rsidRPr="001A7FC6" w14:paraId="2F683F3F" w14:textId="77777777" w:rsidTr="005D49AE">
        <w:tc>
          <w:tcPr>
            <w:tcW w:w="2211" w:type="pct"/>
            <w:tcBorders>
              <w:top w:val="single" w:sz="4" w:space="0" w:color="auto"/>
              <w:left w:val="nil"/>
              <w:bottom w:val="single" w:sz="4" w:space="0" w:color="auto"/>
              <w:right w:val="nil"/>
            </w:tcBorders>
          </w:tcPr>
          <w:p w14:paraId="77105E1C" w14:textId="77777777" w:rsidR="005D49AE" w:rsidRPr="001A7FC6" w:rsidRDefault="005D49AE" w:rsidP="005D49AE">
            <w:pPr>
              <w:rPr>
                <w:b/>
                <w:sz w:val="20"/>
              </w:rPr>
            </w:pPr>
            <w:r w:rsidRPr="001A7FC6">
              <w:rPr>
                <w:b/>
                <w:sz w:val="20"/>
              </w:rPr>
              <w:t>Product</w:t>
            </w:r>
          </w:p>
        </w:tc>
        <w:tc>
          <w:tcPr>
            <w:tcW w:w="2789" w:type="pct"/>
            <w:tcBorders>
              <w:top w:val="single" w:sz="4" w:space="0" w:color="auto"/>
              <w:left w:val="nil"/>
              <w:bottom w:val="single" w:sz="4" w:space="0" w:color="auto"/>
              <w:right w:val="nil"/>
            </w:tcBorders>
          </w:tcPr>
          <w:p w14:paraId="49F74D96" w14:textId="77777777" w:rsidR="005D49AE" w:rsidRPr="001A7FC6" w:rsidRDefault="005D49AE" w:rsidP="005D49AE">
            <w:pPr>
              <w:jc w:val="center"/>
              <w:rPr>
                <w:b/>
                <w:sz w:val="20"/>
              </w:rPr>
            </w:pPr>
            <w:r w:rsidRPr="001A7FC6">
              <w:rPr>
                <w:b/>
                <w:sz w:val="20"/>
              </w:rPr>
              <w:t>Price (£/unit)</w:t>
            </w:r>
          </w:p>
        </w:tc>
      </w:tr>
      <w:tr w:rsidR="005D49AE" w:rsidRPr="001A7FC6" w14:paraId="0CA54025" w14:textId="77777777" w:rsidTr="005D49AE">
        <w:tc>
          <w:tcPr>
            <w:tcW w:w="2211" w:type="pct"/>
            <w:tcBorders>
              <w:top w:val="single" w:sz="4" w:space="0" w:color="auto"/>
              <w:left w:val="nil"/>
              <w:bottom w:val="nil"/>
              <w:right w:val="nil"/>
            </w:tcBorders>
          </w:tcPr>
          <w:p w14:paraId="4D4F1FDD" w14:textId="77777777" w:rsidR="005D49AE" w:rsidRPr="001A7FC6" w:rsidRDefault="005D49AE" w:rsidP="005D49AE">
            <w:pPr>
              <w:rPr>
                <w:sz w:val="20"/>
                <w:vertAlign w:val="superscript"/>
              </w:rPr>
            </w:pPr>
            <w:r w:rsidRPr="001A7FC6">
              <w:rPr>
                <w:sz w:val="20"/>
              </w:rPr>
              <w:t>Electricity (MWh)</w:t>
            </w:r>
            <w:r w:rsidRPr="001A7FC6">
              <w:rPr>
                <w:sz w:val="20"/>
                <w:vertAlign w:val="superscript"/>
              </w:rPr>
              <w:t>1</w:t>
            </w:r>
          </w:p>
        </w:tc>
        <w:tc>
          <w:tcPr>
            <w:tcW w:w="2789" w:type="pct"/>
            <w:tcBorders>
              <w:top w:val="single" w:sz="4" w:space="0" w:color="auto"/>
              <w:left w:val="nil"/>
              <w:bottom w:val="nil"/>
              <w:right w:val="nil"/>
            </w:tcBorders>
          </w:tcPr>
          <w:p w14:paraId="6F86422A" w14:textId="77777777" w:rsidR="005D49AE" w:rsidRPr="001A7FC6" w:rsidRDefault="005D49AE" w:rsidP="005D49AE">
            <w:pPr>
              <w:jc w:val="center"/>
              <w:rPr>
                <w:sz w:val="20"/>
              </w:rPr>
            </w:pPr>
            <w:r w:rsidRPr="001A7FC6">
              <w:rPr>
                <w:sz w:val="20"/>
              </w:rPr>
              <w:t>58.23</w:t>
            </w:r>
          </w:p>
        </w:tc>
      </w:tr>
      <w:tr w:rsidR="005D49AE" w:rsidRPr="001A7FC6" w14:paraId="11C38883" w14:textId="77777777" w:rsidTr="005D49AE">
        <w:tc>
          <w:tcPr>
            <w:tcW w:w="2211" w:type="pct"/>
            <w:tcBorders>
              <w:top w:val="nil"/>
              <w:left w:val="nil"/>
              <w:bottom w:val="nil"/>
              <w:right w:val="nil"/>
            </w:tcBorders>
          </w:tcPr>
          <w:p w14:paraId="3A9A7AB9" w14:textId="77777777" w:rsidR="005D49AE" w:rsidRPr="001A7FC6" w:rsidRDefault="005D49AE" w:rsidP="005D49AE">
            <w:pPr>
              <w:rPr>
                <w:sz w:val="20"/>
                <w:vertAlign w:val="superscript"/>
              </w:rPr>
            </w:pPr>
            <w:r w:rsidRPr="001A7FC6">
              <w:rPr>
                <w:sz w:val="20"/>
              </w:rPr>
              <w:t>Biogas</w:t>
            </w:r>
            <w:r w:rsidRPr="001A7FC6">
              <w:rPr>
                <w:sz w:val="20"/>
                <w:vertAlign w:val="superscript"/>
              </w:rPr>
              <w:t xml:space="preserve"> </w:t>
            </w:r>
            <w:r w:rsidRPr="001A7FC6">
              <w:rPr>
                <w:sz w:val="20"/>
              </w:rPr>
              <w:t>(</w:t>
            </w:r>
            <w:proofErr w:type="spellStart"/>
            <w:r w:rsidRPr="001A7FC6">
              <w:rPr>
                <w:sz w:val="20"/>
              </w:rPr>
              <w:t>therm</w:t>
            </w:r>
            <w:proofErr w:type="spellEnd"/>
            <w:r w:rsidRPr="001A7FC6">
              <w:rPr>
                <w:sz w:val="20"/>
              </w:rPr>
              <w:t>)</w:t>
            </w:r>
            <w:r w:rsidRPr="001A7FC6">
              <w:rPr>
                <w:sz w:val="20"/>
                <w:vertAlign w:val="superscript"/>
              </w:rPr>
              <w:t>1</w:t>
            </w:r>
          </w:p>
        </w:tc>
        <w:tc>
          <w:tcPr>
            <w:tcW w:w="2789" w:type="pct"/>
            <w:tcBorders>
              <w:top w:val="nil"/>
              <w:left w:val="nil"/>
              <w:bottom w:val="nil"/>
              <w:right w:val="nil"/>
            </w:tcBorders>
          </w:tcPr>
          <w:p w14:paraId="5362D649" w14:textId="77777777" w:rsidR="005D49AE" w:rsidRPr="001A7FC6" w:rsidRDefault="005D49AE" w:rsidP="005D49AE">
            <w:pPr>
              <w:jc w:val="center"/>
              <w:rPr>
                <w:sz w:val="20"/>
              </w:rPr>
            </w:pPr>
            <w:r w:rsidRPr="001A7FC6">
              <w:rPr>
                <w:sz w:val="20"/>
              </w:rPr>
              <w:t>0.604</w:t>
            </w:r>
          </w:p>
        </w:tc>
      </w:tr>
      <w:tr w:rsidR="005D49AE" w:rsidRPr="001A7FC6" w14:paraId="2BF365CE" w14:textId="77777777" w:rsidTr="005D49AE">
        <w:tc>
          <w:tcPr>
            <w:tcW w:w="2211" w:type="pct"/>
            <w:tcBorders>
              <w:top w:val="nil"/>
              <w:left w:val="nil"/>
              <w:bottom w:val="nil"/>
              <w:right w:val="nil"/>
            </w:tcBorders>
          </w:tcPr>
          <w:p w14:paraId="1558C2D7" w14:textId="77777777" w:rsidR="005D49AE" w:rsidRPr="001A7FC6" w:rsidRDefault="005D49AE" w:rsidP="005D49AE">
            <w:pPr>
              <w:rPr>
                <w:sz w:val="20"/>
                <w:vertAlign w:val="superscript"/>
              </w:rPr>
            </w:pPr>
            <w:r w:rsidRPr="001A7FC6">
              <w:rPr>
                <w:sz w:val="20"/>
              </w:rPr>
              <w:t>Biochar (tonne)</w:t>
            </w:r>
            <w:r w:rsidRPr="001A7FC6">
              <w:rPr>
                <w:sz w:val="20"/>
                <w:vertAlign w:val="superscript"/>
              </w:rPr>
              <w:t>2</w:t>
            </w:r>
          </w:p>
        </w:tc>
        <w:tc>
          <w:tcPr>
            <w:tcW w:w="2789" w:type="pct"/>
            <w:tcBorders>
              <w:top w:val="nil"/>
              <w:left w:val="nil"/>
              <w:bottom w:val="nil"/>
              <w:right w:val="nil"/>
            </w:tcBorders>
          </w:tcPr>
          <w:p w14:paraId="09375CE5" w14:textId="77777777" w:rsidR="005D49AE" w:rsidRPr="001A7FC6" w:rsidRDefault="005D49AE" w:rsidP="005D49AE">
            <w:pPr>
              <w:jc w:val="center"/>
              <w:rPr>
                <w:sz w:val="20"/>
              </w:rPr>
            </w:pPr>
            <w:r w:rsidRPr="001A7FC6">
              <w:rPr>
                <w:sz w:val="20"/>
              </w:rPr>
              <w:t>33.6</w:t>
            </w:r>
          </w:p>
        </w:tc>
      </w:tr>
      <w:tr w:rsidR="005D49AE" w:rsidRPr="001A7FC6" w14:paraId="64AB9989" w14:textId="77777777" w:rsidTr="005D49AE">
        <w:tc>
          <w:tcPr>
            <w:tcW w:w="2211" w:type="pct"/>
            <w:tcBorders>
              <w:top w:val="nil"/>
              <w:left w:val="nil"/>
              <w:bottom w:val="nil"/>
              <w:right w:val="nil"/>
            </w:tcBorders>
          </w:tcPr>
          <w:p w14:paraId="3395548C" w14:textId="77777777" w:rsidR="005D49AE" w:rsidRPr="001A7FC6" w:rsidRDefault="005D49AE" w:rsidP="005D49AE">
            <w:pPr>
              <w:rPr>
                <w:sz w:val="20"/>
                <w:vertAlign w:val="superscript"/>
              </w:rPr>
            </w:pPr>
            <w:r w:rsidRPr="001A7FC6">
              <w:rPr>
                <w:sz w:val="20"/>
              </w:rPr>
              <w:t>Green SNF</w:t>
            </w:r>
            <w:r w:rsidRPr="001A7FC6">
              <w:rPr>
                <w:sz w:val="20"/>
                <w:vertAlign w:val="superscript"/>
              </w:rPr>
              <w:t xml:space="preserve"> </w:t>
            </w:r>
            <w:r w:rsidRPr="001A7FC6">
              <w:rPr>
                <w:sz w:val="20"/>
              </w:rPr>
              <w:t>(GJ)</w:t>
            </w:r>
            <w:r w:rsidRPr="001A7FC6">
              <w:rPr>
                <w:sz w:val="20"/>
                <w:vertAlign w:val="superscript"/>
              </w:rPr>
              <w:t>3</w:t>
            </w:r>
          </w:p>
        </w:tc>
        <w:tc>
          <w:tcPr>
            <w:tcW w:w="2789" w:type="pct"/>
            <w:tcBorders>
              <w:top w:val="nil"/>
              <w:left w:val="nil"/>
              <w:bottom w:val="nil"/>
              <w:right w:val="nil"/>
            </w:tcBorders>
          </w:tcPr>
          <w:p w14:paraId="02D947FE" w14:textId="77777777" w:rsidR="005D49AE" w:rsidRPr="001A7FC6" w:rsidRDefault="005D49AE" w:rsidP="005D49AE">
            <w:pPr>
              <w:jc w:val="center"/>
              <w:rPr>
                <w:sz w:val="20"/>
              </w:rPr>
            </w:pPr>
            <w:r w:rsidRPr="001A7FC6">
              <w:rPr>
                <w:sz w:val="20"/>
              </w:rPr>
              <w:t>11.52</w:t>
            </w:r>
          </w:p>
        </w:tc>
      </w:tr>
      <w:tr w:rsidR="005D49AE" w:rsidRPr="001A7FC6" w14:paraId="5BAC9AD8" w14:textId="77777777" w:rsidTr="005D49AE">
        <w:tc>
          <w:tcPr>
            <w:tcW w:w="2211" w:type="pct"/>
            <w:tcBorders>
              <w:top w:val="nil"/>
              <w:left w:val="nil"/>
              <w:bottom w:val="single" w:sz="4" w:space="0" w:color="auto"/>
              <w:right w:val="nil"/>
            </w:tcBorders>
          </w:tcPr>
          <w:p w14:paraId="262E1ACE" w14:textId="77777777" w:rsidR="005D49AE" w:rsidRPr="001A7FC6" w:rsidRDefault="005D49AE" w:rsidP="005D49AE">
            <w:pPr>
              <w:rPr>
                <w:sz w:val="20"/>
                <w:vertAlign w:val="superscript"/>
              </w:rPr>
            </w:pPr>
            <w:r w:rsidRPr="001A7FC6">
              <w:rPr>
                <w:sz w:val="20"/>
              </w:rPr>
              <w:t>Bio Oil (gallon)</w:t>
            </w:r>
            <w:r w:rsidRPr="001A7FC6">
              <w:rPr>
                <w:sz w:val="20"/>
                <w:vertAlign w:val="superscript"/>
              </w:rPr>
              <w:t>4</w:t>
            </w:r>
          </w:p>
        </w:tc>
        <w:tc>
          <w:tcPr>
            <w:tcW w:w="2789" w:type="pct"/>
            <w:tcBorders>
              <w:top w:val="nil"/>
              <w:left w:val="nil"/>
              <w:bottom w:val="single" w:sz="4" w:space="0" w:color="auto"/>
              <w:right w:val="nil"/>
            </w:tcBorders>
          </w:tcPr>
          <w:p w14:paraId="51C708E2" w14:textId="77777777" w:rsidR="005D49AE" w:rsidRPr="001A7FC6" w:rsidRDefault="005D49AE" w:rsidP="005D49AE">
            <w:pPr>
              <w:jc w:val="center"/>
              <w:rPr>
                <w:sz w:val="20"/>
              </w:rPr>
            </w:pPr>
            <w:r w:rsidRPr="001A7FC6">
              <w:rPr>
                <w:sz w:val="20"/>
              </w:rPr>
              <w:t>2.56</w:t>
            </w:r>
          </w:p>
        </w:tc>
      </w:tr>
      <w:tr w:rsidR="005D49AE" w:rsidRPr="001A7FC6" w14:paraId="3CDE5585" w14:textId="77777777" w:rsidTr="005D49AE">
        <w:tc>
          <w:tcPr>
            <w:tcW w:w="5000" w:type="pct"/>
            <w:gridSpan w:val="2"/>
            <w:tcBorders>
              <w:top w:val="single" w:sz="4" w:space="0" w:color="auto"/>
              <w:left w:val="nil"/>
              <w:bottom w:val="nil"/>
              <w:right w:val="nil"/>
            </w:tcBorders>
          </w:tcPr>
          <w:p w14:paraId="07BD3B05" w14:textId="16EE7BDA" w:rsidR="005D49AE" w:rsidRPr="001A7FC6" w:rsidRDefault="005D49AE" w:rsidP="005D49AE">
            <w:pPr>
              <w:rPr>
                <w:i/>
                <w:sz w:val="18"/>
                <w:vertAlign w:val="superscript"/>
              </w:rPr>
            </w:pPr>
            <w:r w:rsidRPr="001A7FC6">
              <w:rPr>
                <w:i/>
                <w:sz w:val="18"/>
                <w:vertAlign w:val="superscript"/>
              </w:rPr>
              <w:t xml:space="preserve">1 </w:t>
            </w:r>
            <w:r w:rsidRPr="001A7FC6">
              <w:rPr>
                <w:i/>
                <w:sz w:val="18"/>
                <w:vertAlign w:val="superscript"/>
              </w:rPr>
              <w:fldChar w:fldCharType="begin" w:fldLock="1"/>
            </w:r>
            <w:r w:rsidR="00031370" w:rsidRPr="001A7FC6">
              <w:rPr>
                <w:i/>
                <w:sz w:val="18"/>
                <w:vertAlign w:val="superscript"/>
              </w:rPr>
              <w:instrText>ADDIN CSL_CITATION {"citationItems":[{"id":"ITEM-1","itemData":{"author":[{"dropping-particle":"","family":"Ofgem","given":"","non-dropping-particle":"","parse-names":false,"suffix":""}],"id":"ITEM-1","issued":{"date-parts":[["2016"]]},"title":"Monitoring the market: wholesale market indicators","type":"webpage"},"uris":["http://www.mendeley.com/documents/?uuid=35593657-2d10-4e0e-9f7c-f885f1a8eecd","http://www.mendeley.com/documents/?uuid=78505e0f-4e5f-44f8-a6f7-6e9428a5aaad"]}],"mendeley":{"formattedCitation":"(Ofgem, 2016)","plainTextFormattedCitation":"(Ofgem, 2016)","previouslyFormattedCitation":"(Ofgem, 2016)"},"properties":{"noteIndex":0},"schema":"https://github.com/citation-style-language/schema/raw/master/csl-citation.json"}</w:instrText>
            </w:r>
            <w:r w:rsidRPr="001A7FC6">
              <w:rPr>
                <w:i/>
                <w:sz w:val="18"/>
                <w:vertAlign w:val="superscript"/>
              </w:rPr>
              <w:fldChar w:fldCharType="separate"/>
            </w:r>
            <w:r w:rsidR="00167733" w:rsidRPr="001A7FC6">
              <w:rPr>
                <w:noProof/>
                <w:sz w:val="18"/>
              </w:rPr>
              <w:t>(Ofgem, 2016)</w:t>
            </w:r>
            <w:r w:rsidRPr="001A7FC6">
              <w:rPr>
                <w:i/>
                <w:sz w:val="18"/>
                <w:vertAlign w:val="superscript"/>
              </w:rPr>
              <w:fldChar w:fldCharType="end"/>
            </w:r>
            <w:r w:rsidRPr="001A7FC6">
              <w:rPr>
                <w:i/>
                <w:sz w:val="18"/>
              </w:rPr>
              <w:t xml:space="preserve">, </w:t>
            </w:r>
            <w:r w:rsidRPr="001A7FC6">
              <w:rPr>
                <w:i/>
                <w:sz w:val="18"/>
                <w:vertAlign w:val="superscript"/>
              </w:rPr>
              <w:t>2</w:t>
            </w:r>
            <w:r w:rsidRPr="001A7FC6">
              <w:rPr>
                <w:i/>
                <w:sz w:val="18"/>
                <w:vertAlign w:val="superscript"/>
              </w:rPr>
              <w:fldChar w:fldCharType="begin" w:fldLock="1"/>
            </w:r>
            <w:r w:rsidR="00031370" w:rsidRPr="001A7FC6">
              <w:rPr>
                <w:i/>
                <w:sz w:val="18"/>
                <w:vertAlign w:val="superscript"/>
              </w:rPr>
              <w:instrText>ADDIN CSL_CITATION {"citationItems":[{"id":"ITEM-1","itemData":{"DOI":"10.1002/ep.11791","ISSN":"1944-7442","abstract":"A techno-economic analysis (TEA) is performed to investigate the production of gasoline and diesel range hydrocarbon fuels by conversion of woody biomass via Gas Technology Institute (GTI)'s integrated hydropyrolysis plus hydroconversion (IH2) process. The processing capacity is 2000 dry metric tonnes (2205 dry US tons) of woody biomass per day. Major process areas include catalytic hydropyrolysis, catalytic hydroconversion, on-site hydrogen production, feedstock handling and storage, hydrocarbon absorber, sour water stripper, hydrogen sulfide scrubber, distillation tower, and all other operations support utilities. The TEA incorporates applicable commercial technologies, process modeling using Aspen HYSYS software, equipment cost estimation, and discounted cash flow analysis. The resulting minimum fuel selling price is $1.64 per gallon (or $1.68 per gallon of gasoline equivalent) in 2007 US dollars. The process yields 79 gallons of liquid fuels per dry US ton of woody biomass feedstock, for an annual fuel production rate of 61 million gallons at 96% on-stream time. The estimated total capital investment for an nth-plant is $264 million. A sensitivity analysis captures uncertainties in costs and plant performance. Results from this TEA can serve as the baseline for future comparison and as a basis for comparing this process to other biomass-to-liquid fuel pathways. ? 2013 American Institute of Chemical Engineers Environ Prog, 33: 609?617, 2014","author":[{"dropping-particle":"","family":"Tan","given":"Eric C D","non-dropping-particle":"","parse-names":false,"suffix":""},{"dropping-particle":"","family":"Marker","given":"Terry L","non-dropping-particle":"","parse-names":false,"suffix":""},{"dropping-particle":"","family":"Roberts","given":"Michael J","non-dropping-particle":"","parse-names":false,"suffix":""}],"container-title":"Environmental Progress &amp; Sustainable Energy","id":"ITEM-1","issue":"2","issued":{"date-parts":[["2014","7","1"]]},"note":"doi: 10.1002/ep.11791","page":"609-617","publisher":"John Wiley &amp; Sons, Ltd","title":"Direct production of gasoline and diesel fuels from biomass via integrated hydropyrolysis and hydroconversion process—A techno-economic analysis","type":"article-journal","volume":"33"},"uris":["http://www.mendeley.com/documents/?uuid=9a19ddb9-eb17-4279-962e-b5ba02d37824"]}],"mendeley":{"formattedCitation":"(Tan et al., 2014)","plainTextFormattedCitation":"(Tan et al., 2014)","previouslyFormattedCitation":"(Tan et al., 2014)"},"properties":{"noteIndex":0},"schema":"https://github.com/citation-style-language/schema/raw/master/csl-citation.json"}</w:instrText>
            </w:r>
            <w:r w:rsidRPr="001A7FC6">
              <w:rPr>
                <w:i/>
                <w:sz w:val="18"/>
                <w:vertAlign w:val="superscript"/>
              </w:rPr>
              <w:fldChar w:fldCharType="separate"/>
            </w:r>
            <w:r w:rsidR="0014186D" w:rsidRPr="001A7FC6">
              <w:rPr>
                <w:noProof/>
                <w:sz w:val="18"/>
              </w:rPr>
              <w:t>(Tan et al., 2014)</w:t>
            </w:r>
            <w:r w:rsidRPr="001A7FC6">
              <w:rPr>
                <w:i/>
                <w:sz w:val="18"/>
                <w:vertAlign w:val="superscript"/>
              </w:rPr>
              <w:fldChar w:fldCharType="end"/>
            </w:r>
            <w:r w:rsidRPr="001A7FC6">
              <w:rPr>
                <w:i/>
                <w:sz w:val="18"/>
              </w:rPr>
              <w:t xml:space="preserve">, </w:t>
            </w:r>
            <w:r w:rsidRPr="001A7FC6">
              <w:rPr>
                <w:i/>
                <w:sz w:val="18"/>
                <w:vertAlign w:val="superscript"/>
              </w:rPr>
              <w:t>3</w:t>
            </w:r>
            <w:r w:rsidRPr="001A7FC6">
              <w:rPr>
                <w:i/>
                <w:sz w:val="18"/>
                <w:vertAlign w:val="superscript"/>
              </w:rPr>
              <w:fldChar w:fldCharType="begin" w:fldLock="1"/>
            </w:r>
            <w:r w:rsidR="00031370" w:rsidRPr="001A7FC6">
              <w:rPr>
                <w:i/>
                <w:sz w:val="18"/>
                <w:vertAlign w:val="superscript"/>
              </w:rPr>
              <w:instrText>ADDIN CSL_CITATION {"citationItems":[{"id":"ITEM-1","itemData":{"author":[{"dropping-particle":"","family":"Haldor Topsøe","given":"","non-dropping-particle":"","parse-names":false,"suffix":""}],"id":"ITEM-1","issued":{"date-parts":[["2012"]]},"title":"SOEC Electrochemical upgrading of biogas to pipeline quality by means of SOEC electrolysis","type":"report"},"uris":["http://www.mendeley.com/documents/?uuid=2b734837-1165-474c-b0b3-4e6a7e217738"]}],"mendeley":{"formattedCitation":"(Haldor Topsøe, 2012)","plainTextFormattedCitation":"(Haldor Topsøe, 2012)","previouslyFormattedCitation":"(Haldor Topsøe, 2012)"},"properties":{"noteIndex":0},"schema":"https://github.com/citation-style-language/schema/raw/master/csl-citation.json"}</w:instrText>
            </w:r>
            <w:r w:rsidRPr="001A7FC6">
              <w:rPr>
                <w:i/>
                <w:sz w:val="18"/>
                <w:vertAlign w:val="superscript"/>
              </w:rPr>
              <w:fldChar w:fldCharType="separate"/>
            </w:r>
            <w:r w:rsidRPr="001A7FC6">
              <w:rPr>
                <w:noProof/>
                <w:sz w:val="18"/>
              </w:rPr>
              <w:t>(Haldor Topsøe, 2012)</w:t>
            </w:r>
            <w:r w:rsidRPr="001A7FC6">
              <w:rPr>
                <w:i/>
                <w:sz w:val="18"/>
                <w:vertAlign w:val="superscript"/>
              </w:rPr>
              <w:fldChar w:fldCharType="end"/>
            </w:r>
            <w:r w:rsidRPr="001A7FC6">
              <w:rPr>
                <w:i/>
                <w:sz w:val="18"/>
              </w:rPr>
              <w:t xml:space="preserve">, </w:t>
            </w:r>
            <w:r w:rsidRPr="001A7FC6">
              <w:rPr>
                <w:i/>
                <w:sz w:val="18"/>
                <w:vertAlign w:val="superscript"/>
              </w:rPr>
              <w:t xml:space="preserve">4 </w:t>
            </w:r>
            <w:r w:rsidRPr="001A7FC6">
              <w:rPr>
                <w:i/>
                <w:sz w:val="18"/>
                <w:vertAlign w:val="superscript"/>
              </w:rPr>
              <w:fldChar w:fldCharType="begin" w:fldLock="1"/>
            </w:r>
            <w:r w:rsidR="00031370" w:rsidRPr="001A7FC6">
              <w:rPr>
                <w:i/>
                <w:sz w:val="18"/>
                <w:vertAlign w:val="superscript"/>
              </w:rPr>
              <w:instrText>ADDIN CSL_CITATION {"citationItems":[{"id":"ITEM-1","itemData":{"DOI":"10.1016/j.fuel.2012.11.029","ISSN":"0016-2361","author":[{"dropping-particle":"","family":"Brown","given":"Tristan R","non-dropping-particle":"","parse-names":false,"suffix":""},{"dropping-particle":"","family":"Thilakaratne","given":"Rajeeva","non-dropping-particle":"","parse-names":false,"suffix":""},{"dropping-particle":"","family":"Brown","given":"Robert C","non-dropping-particle":"","parse-names":false,"suffix":""},{"dropping-particle":"","family":"Hu","given":"Guiping","non-dropping-particle":"","parse-names":false,"suffix":""}],"container-title":"Fuel","id":"ITEM-1","issued":{"date-parts":[["2013"]]},"note":"Potential pyrolysis cost","page":"463-469","title":"Techno-economic analysis of biomass to transportation fuels and electricity via fast pyrolysis and hydroprocessing","type":"article-journal","volume":"106"},"uris":["http://www.mendeley.com/documents/?uuid=038ee764-36b4-4872-b410-398d20adc3ee"]}],"mendeley":{"formattedCitation":"(Brown et al., 2013)","plainTextFormattedCitation":"(Brown et al., 2013)","previouslyFormattedCitation":"(Brown et al., 2013)"},"properties":{"noteIndex":0},"schema":"https://github.com/citation-style-language/schema/raw/master/csl-citation.json"}</w:instrText>
            </w:r>
            <w:r w:rsidRPr="001A7FC6">
              <w:rPr>
                <w:i/>
                <w:sz w:val="18"/>
                <w:vertAlign w:val="superscript"/>
              </w:rPr>
              <w:fldChar w:fldCharType="separate"/>
            </w:r>
            <w:r w:rsidRPr="001A7FC6">
              <w:rPr>
                <w:noProof/>
                <w:sz w:val="18"/>
              </w:rPr>
              <w:t>(Brown et al., 2013)</w:t>
            </w:r>
            <w:r w:rsidRPr="001A7FC6">
              <w:rPr>
                <w:i/>
                <w:sz w:val="18"/>
                <w:vertAlign w:val="superscript"/>
              </w:rPr>
              <w:fldChar w:fldCharType="end"/>
            </w:r>
          </w:p>
          <w:p w14:paraId="018DED89" w14:textId="77777777" w:rsidR="005D49AE" w:rsidRPr="001A7FC6" w:rsidRDefault="005D49AE" w:rsidP="005D49AE">
            <w:pPr>
              <w:rPr>
                <w:i/>
                <w:sz w:val="18"/>
                <w:vertAlign w:val="superscript"/>
              </w:rPr>
            </w:pPr>
          </w:p>
        </w:tc>
      </w:tr>
    </w:tbl>
    <w:p w14:paraId="3883A45D" w14:textId="08CEA480" w:rsidR="005D49AE" w:rsidRPr="001A7FC6" w:rsidRDefault="005D49AE" w:rsidP="005D49AE">
      <w:r w:rsidRPr="001A7FC6">
        <w:t xml:space="preserve">Note that all the capital costs in this model have been adjusted to the year 2018 using the CEPCI </w:t>
      </w:r>
      <w:r w:rsidRPr="001A7FC6">
        <w:fldChar w:fldCharType="begin" w:fldLock="1"/>
      </w:r>
      <w:r w:rsidR="00031370" w:rsidRPr="001A7FC6">
        <w:instrText>ADDIN CSL_CITATION {"citationItems":[{"id":"ITEM-1","itemData":{"URL":"https://www.chemengonline.com/pci","accessed":{"date-parts":[["2019","7","10"]]},"author":[{"dropping-particle":"","family":"Chemical Engineering","given":"","non-dropping-particle":"","parse-names":false,"suffix":""}],"container-title":"Chemical Engineering essentiaks for the CPI professional","id":"ITEM-1","issued":{"date-parts":[["2019"]]},"title":"Economic Indicators","type":"webpage"},"uris":["http://www.mendeley.com/documents/?uuid=ef0fac3f-81c9-45c0-af43-67d273bf5a13"]}],"mendeley":{"formattedCitation":"(Chemical Engineering, 2019)","plainTextFormattedCitation":"(Chemical Engineering, 2019)","previouslyFormattedCitation":"(Chemical Engineering, 2019)"},"properties":{"noteIndex":0},"schema":"https://github.com/citation-style-language/schema/raw/master/csl-citation.json"}</w:instrText>
      </w:r>
      <w:r w:rsidRPr="001A7FC6">
        <w:fldChar w:fldCharType="separate"/>
      </w:r>
      <w:r w:rsidRPr="001A7FC6">
        <w:rPr>
          <w:noProof/>
        </w:rPr>
        <w:t>(Chemical Engineering, 2019)</w:t>
      </w:r>
      <w:r w:rsidRPr="001A7FC6">
        <w:fldChar w:fldCharType="end"/>
      </w:r>
      <w:r w:rsidRPr="001A7FC6">
        <w:t xml:space="preserve"> and the operational costs have been adjusted to account for inflation by using the producer price index (PPI) </w:t>
      </w:r>
      <w:r w:rsidRPr="001A7FC6">
        <w:fldChar w:fldCharType="begin" w:fldLock="1"/>
      </w:r>
      <w:r w:rsidR="00031370" w:rsidRPr="001A7FC6">
        <w:instrText>ADDIN CSL_CITATION {"citationItems":[{"id":"ITEM-1","itemData":{"URL":"https://data.oecd.org/price/producer-price-indices-ppi.htm","accessed":{"date-parts":[["2019","7","11"]]},"author":[{"dropping-particle":"","family":"OECD","given":"","non-dropping-particle":"","parse-names":false,"suffix":""}],"container-title":"OECD Data","id":"ITEM-1","issued":{"date-parts":[["2019"]]},"page":"1","title":"Producer price indices (PPI)","type":"webpage"},"uris":["http://www.mendeley.com/documents/?uuid=270731bf-b215-491f-b395-a5faab321759"]}],"mendeley":{"formattedCitation":"(OECD, 2019)","plainTextFormattedCitation":"(OECD, 2019)","previouslyFormattedCitation":"(OECD, 2019)"},"properties":{"noteIndex":0},"schema":"https://github.com/citation-style-language/schema/raw/master/csl-citation.json"}</w:instrText>
      </w:r>
      <w:r w:rsidRPr="001A7FC6">
        <w:fldChar w:fldCharType="separate"/>
      </w:r>
      <w:r w:rsidRPr="001A7FC6">
        <w:rPr>
          <w:noProof/>
        </w:rPr>
        <w:t>(OECD, 2019)</w:t>
      </w:r>
      <w:r w:rsidRPr="001A7FC6">
        <w:fldChar w:fldCharType="end"/>
      </w:r>
      <w:r w:rsidRPr="001A7FC6">
        <w:t>. Eq.</w:t>
      </w:r>
      <w:r w:rsidR="00387CDE" w:rsidRPr="001A7FC6">
        <w:t xml:space="preserve"> </w:t>
      </w:r>
      <w:r w:rsidR="00387CDE" w:rsidRPr="001A7FC6">
        <w:fldChar w:fldCharType="begin"/>
      </w:r>
      <w:r w:rsidR="00387CDE" w:rsidRPr="001A7FC6">
        <w:instrText xml:space="preserve"> REF _Ref15406961 \h </w:instrText>
      </w:r>
      <w:r w:rsidR="001A7FC6">
        <w:instrText xml:space="preserve"> \* MERGEFORMAT </w:instrText>
      </w:r>
      <w:r w:rsidR="00387CDE" w:rsidRPr="001A7FC6">
        <w:fldChar w:fldCharType="separate"/>
      </w:r>
      <w:r w:rsidR="00890150" w:rsidRPr="001A7FC6">
        <w:t>(S</w:t>
      </w:r>
      <w:r w:rsidR="00890150" w:rsidRPr="001A7FC6">
        <w:rPr>
          <w:noProof/>
        </w:rPr>
        <w:t>11</w:t>
      </w:r>
      <w:r w:rsidR="00890150" w:rsidRPr="001A7FC6">
        <w:t>)</w:t>
      </w:r>
      <w:r w:rsidR="00387CDE" w:rsidRPr="001A7FC6">
        <w:fldChar w:fldCharType="end"/>
      </w:r>
      <w:r w:rsidRPr="001A7FC6">
        <w:t xml:space="preserve"> is used to calculate the cost in the year of interest by using the relevant indices and cost during the original year.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799"/>
      </w:tblGrid>
      <w:tr w:rsidR="005D49AE" w:rsidRPr="001A7FC6" w14:paraId="5D38EC7B" w14:textId="77777777" w:rsidTr="005D49AE">
        <w:tc>
          <w:tcPr>
            <w:tcW w:w="8217" w:type="dxa"/>
          </w:tcPr>
          <w:p w14:paraId="2D4548F2" w14:textId="77777777" w:rsidR="005D49AE" w:rsidRPr="001A7FC6" w:rsidRDefault="005D49AE" w:rsidP="005D49AE">
            <w:pPr>
              <w:rPr>
                <w:rFonts w:eastAsiaTheme="minorEastAsia"/>
              </w:rPr>
            </w:pPr>
            <m:oMathPara>
              <m:oMath>
                <m:r>
                  <w:rPr>
                    <w:rFonts w:ascii="Cambria Math" w:hAnsi="Cambria Math"/>
                  </w:rPr>
                  <m:t>Cos</m:t>
                </m:r>
                <m:sSub>
                  <m:sSubPr>
                    <m:ctrlPr>
                      <w:rPr>
                        <w:rFonts w:ascii="Cambria Math" w:hAnsi="Cambria Math"/>
                        <w:i/>
                      </w:rPr>
                    </m:ctrlPr>
                  </m:sSubPr>
                  <m:e>
                    <m:r>
                      <w:rPr>
                        <w:rFonts w:ascii="Cambria Math" w:hAnsi="Cambria Math"/>
                      </w:rPr>
                      <m:t>t</m:t>
                    </m:r>
                  </m:e>
                  <m:sub>
                    <m:r>
                      <w:rPr>
                        <w:rFonts w:ascii="Cambria Math" w:hAnsi="Cambria Math"/>
                      </w:rPr>
                      <m:t>2018</m:t>
                    </m:r>
                  </m:sub>
                </m:sSub>
                <m:r>
                  <w:rPr>
                    <w:rFonts w:ascii="Cambria Math" w:hAnsi="Cambria Math"/>
                  </w:rPr>
                  <m:t>=</m:t>
                </m:r>
                <m:f>
                  <m:fPr>
                    <m:ctrlPr>
                      <w:rPr>
                        <w:rFonts w:ascii="Cambria Math" w:hAnsi="Cambria Math"/>
                        <w:i/>
                      </w:rPr>
                    </m:ctrlPr>
                  </m:fPr>
                  <m:num>
                    <m:r>
                      <w:rPr>
                        <w:rFonts w:ascii="Cambria Math" w:hAnsi="Cambria Math"/>
                      </w:rPr>
                      <m:t>Inde</m:t>
                    </m:r>
                    <m:sSub>
                      <m:sSubPr>
                        <m:ctrlPr>
                          <w:rPr>
                            <w:rFonts w:ascii="Cambria Math" w:hAnsi="Cambria Math"/>
                            <w:i/>
                          </w:rPr>
                        </m:ctrlPr>
                      </m:sSubPr>
                      <m:e>
                        <m:r>
                          <w:rPr>
                            <w:rFonts w:ascii="Cambria Math" w:hAnsi="Cambria Math"/>
                          </w:rPr>
                          <m:t>x</m:t>
                        </m:r>
                      </m:e>
                      <m:sub>
                        <m:r>
                          <w:rPr>
                            <w:rFonts w:ascii="Cambria Math" w:hAnsi="Cambria Math"/>
                          </w:rPr>
                          <m:t xml:space="preserve"> 2018</m:t>
                        </m:r>
                      </m:sub>
                    </m:sSub>
                    <m:ctrlPr>
                      <w:rPr>
                        <w:rFonts w:ascii="Cambria Math" w:eastAsiaTheme="minorEastAsia" w:hAnsi="Cambria Math"/>
                        <w:i/>
                      </w:rPr>
                    </m:ctrlPr>
                  </m:num>
                  <m:den>
                    <m:r>
                      <w:rPr>
                        <w:rFonts w:ascii="Cambria Math" w:eastAsiaTheme="minorEastAsia" w:hAnsi="Cambria Math"/>
                      </w:rPr>
                      <m:t>Inde</m:t>
                    </m:r>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year (Original)</m:t>
                        </m:r>
                      </m:sub>
                    </m:sSub>
                  </m:den>
                </m:f>
                <m:r>
                  <w:rPr>
                    <w:rFonts w:ascii="Cambria Math" w:hAnsi="Cambria Math"/>
                  </w:rPr>
                  <m:t>Cos</m:t>
                </m:r>
                <m:sSub>
                  <m:sSubPr>
                    <m:ctrlPr>
                      <w:rPr>
                        <w:rFonts w:ascii="Cambria Math" w:hAnsi="Cambria Math"/>
                        <w:i/>
                      </w:rPr>
                    </m:ctrlPr>
                  </m:sSubPr>
                  <m:e>
                    <m:r>
                      <w:rPr>
                        <w:rFonts w:ascii="Cambria Math" w:hAnsi="Cambria Math"/>
                      </w:rPr>
                      <m:t>t</m:t>
                    </m:r>
                  </m:e>
                  <m:sub>
                    <m:r>
                      <w:rPr>
                        <w:rFonts w:ascii="Cambria Math" w:hAnsi="Cambria Math"/>
                      </w:rPr>
                      <m:t>year (Original)</m:t>
                    </m:r>
                  </m:sub>
                </m:sSub>
              </m:oMath>
            </m:oMathPara>
          </w:p>
          <w:p w14:paraId="560C387D" w14:textId="77777777" w:rsidR="005D49AE" w:rsidRPr="001A7FC6" w:rsidRDefault="005D49AE" w:rsidP="005D49AE">
            <w:pPr>
              <w:rPr>
                <w:rFonts w:eastAsiaTheme="minorEastAsia"/>
              </w:rPr>
            </w:pPr>
          </w:p>
        </w:tc>
        <w:tc>
          <w:tcPr>
            <w:tcW w:w="799" w:type="dxa"/>
          </w:tcPr>
          <w:p w14:paraId="2DE005AD" w14:textId="5077E631" w:rsidR="005D49AE" w:rsidRPr="001A7FC6" w:rsidRDefault="005D49AE" w:rsidP="005D49AE">
            <w:pPr>
              <w:jc w:val="right"/>
            </w:pPr>
            <w:bookmarkStart w:id="18" w:name="_Ref15406961"/>
            <w:r w:rsidRPr="001A7FC6">
              <w:t>(</w:t>
            </w:r>
            <w:r w:rsidR="00872DA0" w:rsidRPr="001A7FC6">
              <w:t>S</w:t>
            </w:r>
            <w:r w:rsidRPr="001A7FC6">
              <w:rPr>
                <w:noProof/>
              </w:rPr>
              <w:fldChar w:fldCharType="begin"/>
            </w:r>
            <w:r w:rsidRPr="001A7FC6">
              <w:rPr>
                <w:noProof/>
              </w:rPr>
              <w:instrText xml:space="preserve"> SEQ Equation \* ARABIC </w:instrText>
            </w:r>
            <w:r w:rsidRPr="001A7FC6">
              <w:rPr>
                <w:noProof/>
              </w:rPr>
              <w:fldChar w:fldCharType="separate"/>
            </w:r>
            <w:r w:rsidR="00890150" w:rsidRPr="001A7FC6">
              <w:rPr>
                <w:noProof/>
              </w:rPr>
              <w:t>11</w:t>
            </w:r>
            <w:r w:rsidRPr="001A7FC6">
              <w:rPr>
                <w:noProof/>
              </w:rPr>
              <w:fldChar w:fldCharType="end"/>
            </w:r>
            <w:r w:rsidRPr="001A7FC6">
              <w:t>)</w:t>
            </w:r>
            <w:bookmarkEnd w:id="18"/>
          </w:p>
          <w:p w14:paraId="064697C4" w14:textId="77777777" w:rsidR="005D49AE" w:rsidRPr="001A7FC6" w:rsidRDefault="005D49AE" w:rsidP="005D49AE">
            <w:pPr>
              <w:jc w:val="right"/>
            </w:pPr>
          </w:p>
        </w:tc>
      </w:tr>
    </w:tbl>
    <w:p w14:paraId="6BD4FFF3" w14:textId="77777777" w:rsidR="005D49AE" w:rsidRPr="001A7FC6" w:rsidRDefault="005D49AE" w:rsidP="005D49AE">
      <w:pPr>
        <w:pStyle w:val="Heading2"/>
        <w:numPr>
          <w:ilvl w:val="1"/>
          <w:numId w:val="1"/>
        </w:numPr>
      </w:pPr>
      <w:bookmarkStart w:id="19" w:name="_Toc14891688"/>
      <w:r w:rsidRPr="001A7FC6">
        <w:lastRenderedPageBreak/>
        <w:t>Incineration</w:t>
      </w:r>
      <w:bookmarkEnd w:id="19"/>
    </w:p>
    <w:p w14:paraId="656C023D" w14:textId="2836441F" w:rsidR="005D49AE" w:rsidRPr="001A7FC6" w:rsidRDefault="005D49AE" w:rsidP="005D49AE">
      <w:r w:rsidRPr="001A7FC6">
        <w:t xml:space="preserve">To model the resource recovery from digestate by incineration, the extractable energy quantity must be modelled. To achieve this, the empirical relation between elemental species and the Higher Heating Value (HHV) for biomass provided in </w:t>
      </w:r>
      <w:r w:rsidRPr="001A7FC6">
        <w:fldChar w:fldCharType="begin" w:fldLock="1"/>
      </w:r>
      <w:r w:rsidR="00031370" w:rsidRPr="001A7FC6">
        <w:instrText>ADDIN CSL_CITATION {"citationItems":[{"id":"ITEM-1","itemData":{"ISBN":"9048621682","author":[{"dropping-particle":"","family":"Acar","given":"S","non-dropping-particle":"","parse-names":false,"suffix":""},{"dropping-particle":"","family":"Ayanoglu","given":"A","non-dropping-particle":"","parse-names":false,"suffix":""},{"dropping-particle":"","family":"Demirbas","given":"A","non-dropping-particle":"","parse-names":false,"suffix":""}],"container-title":"FUELS AND COMBUSTION IN ENGINEERING JOURNAL","id":"ITEM-1","issue":"1","issued":{"date-parts":[["2011"]]},"page":"14-16","title":"DETERMINATION OF HIGHER HEATING VALUES (HHVS) OF BIOMASS FUELS","type":"article-journal","volume":"119"},"uris":["http://www.mendeley.com/documents/?uuid=8b7ece6a-1325-457e-873f-06287dd57c80"]}],"mendeley":{"formattedCitation":"(Acar et al., 2011)","plainTextFormattedCitation":"(Acar et al., 2011)","previouslyFormattedCitation":"(Acar et al., 2011)"},"properties":{"noteIndex":0},"schema":"https://github.com/citation-style-language/schema/raw/master/csl-citation.json"}</w:instrText>
      </w:r>
      <w:r w:rsidRPr="001A7FC6">
        <w:fldChar w:fldCharType="separate"/>
      </w:r>
      <w:r w:rsidR="0014186D" w:rsidRPr="001A7FC6">
        <w:rPr>
          <w:noProof/>
        </w:rPr>
        <w:t>(Acar et al., 2011)</w:t>
      </w:r>
      <w:r w:rsidRPr="001A7FC6">
        <w:fldChar w:fldCharType="end"/>
      </w:r>
      <w:r w:rsidRPr="001A7FC6">
        <w:t xml:space="preserve"> is used and shown in Eq.</w:t>
      </w:r>
      <w:r w:rsidR="00387CDE" w:rsidRPr="001A7FC6">
        <w:t xml:space="preserve"> </w:t>
      </w:r>
      <w:r w:rsidRPr="001A7FC6">
        <w:fldChar w:fldCharType="begin"/>
      </w:r>
      <w:r w:rsidRPr="001A7FC6">
        <w:instrText xml:space="preserve"> REF _Ref15298194 \h  \* MERGEFORMAT </w:instrText>
      </w:r>
      <w:r w:rsidRPr="001A7FC6">
        <w:fldChar w:fldCharType="separate"/>
      </w:r>
      <w:r w:rsidR="00890150" w:rsidRPr="001A7FC6">
        <w:t>(</w:t>
      </w:r>
      <w:r w:rsidR="00890150" w:rsidRPr="001A7FC6">
        <w:rPr>
          <w:noProof/>
        </w:rPr>
        <w:t>S12</w:t>
      </w:r>
      <w:r w:rsidR="00890150" w:rsidRPr="001A7FC6">
        <w:t>)</w:t>
      </w:r>
      <w:r w:rsidRPr="001A7FC6">
        <w:fldChar w:fldCharType="end"/>
      </w:r>
      <w:r w:rsidRPr="001A7FC6">
        <w:t xml:space="preserve">, where </w:t>
      </w:r>
      <m:oMath>
        <m:sSub>
          <m:sSubPr>
            <m:ctrlPr>
              <w:rPr>
                <w:rFonts w:ascii="Cambria Math" w:hAnsi="Cambria Math"/>
                <w:i/>
              </w:rPr>
            </m:ctrlPr>
          </m:sSubPr>
          <m:e>
            <m:r>
              <w:rPr>
                <w:rFonts w:ascii="Cambria Math" w:hAnsi="Cambria Math"/>
              </w:rPr>
              <m:t>M</m:t>
            </m:r>
          </m:e>
          <m:sub>
            <m:r>
              <w:rPr>
                <w:rFonts w:ascii="Cambria Math" w:hAnsi="Cambria Math"/>
              </w:rPr>
              <m:t>C</m:t>
            </m:r>
          </m:sub>
        </m:sSub>
      </m:oMath>
      <w:r w:rsidRPr="001A7FC6">
        <w:t xml:space="preserve">, </w:t>
      </w:r>
      <m:oMath>
        <m:sSub>
          <m:sSubPr>
            <m:ctrlPr>
              <w:rPr>
                <w:rFonts w:ascii="Cambria Math" w:hAnsi="Cambria Math"/>
                <w:i/>
              </w:rPr>
            </m:ctrlPr>
          </m:sSubPr>
          <m:e>
            <m:r>
              <w:rPr>
                <w:rFonts w:ascii="Cambria Math" w:hAnsi="Cambria Math"/>
              </w:rPr>
              <m:t>M</m:t>
            </m:r>
          </m:e>
          <m:sub>
            <m:r>
              <w:rPr>
                <w:rFonts w:ascii="Cambria Math" w:hAnsi="Cambria Math"/>
              </w:rPr>
              <m:t>H</m:t>
            </m:r>
          </m:sub>
        </m:sSub>
      </m:oMath>
      <w:r w:rsidRPr="001A7FC6">
        <w:t xml:space="preserve">, </w:t>
      </w:r>
      <m:oMath>
        <m:r>
          <w:rPr>
            <w:rFonts w:ascii="Cambria Math" w:hAnsi="Cambria Math"/>
          </w:rPr>
          <m:t>M</m:t>
        </m:r>
        <m:sSub>
          <m:sSubPr>
            <m:ctrlPr>
              <w:rPr>
                <w:rFonts w:ascii="Cambria Math" w:hAnsi="Cambria Math"/>
                <w:i/>
              </w:rPr>
            </m:ctrlPr>
          </m:sSubPr>
          <m:e>
            <m:r>
              <m:rPr>
                <m:sty m:val="p"/>
              </m:rPr>
              <w:rPr>
                <w:rFonts w:ascii="Cambria Math" w:hAnsi="Cambria Math"/>
              </w:rPr>
              <w:softHyphen/>
            </m:r>
          </m:e>
          <m:sub>
            <m:r>
              <w:rPr>
                <w:rFonts w:ascii="Cambria Math" w:hAnsi="Cambria Math"/>
              </w:rPr>
              <m:t>O</m:t>
            </m:r>
          </m:sub>
        </m:sSub>
      </m:oMath>
      <w:r w:rsidRPr="001A7FC6">
        <w:t xml:space="preserve">, </w:t>
      </w:r>
      <m:oMath>
        <m:sSub>
          <m:sSubPr>
            <m:ctrlPr>
              <w:rPr>
                <w:rFonts w:ascii="Cambria Math" w:hAnsi="Cambria Math"/>
                <w:i/>
              </w:rPr>
            </m:ctrlPr>
          </m:sSubPr>
          <m:e>
            <m:r>
              <w:rPr>
                <w:rFonts w:ascii="Cambria Math" w:hAnsi="Cambria Math"/>
              </w:rPr>
              <m:t>M</m:t>
            </m:r>
          </m:e>
          <m:sub>
            <m:r>
              <w:rPr>
                <w:rFonts w:ascii="Cambria Math" w:hAnsi="Cambria Math"/>
              </w:rPr>
              <m:t>N</m:t>
            </m:r>
          </m:sub>
        </m:sSub>
      </m:oMath>
      <w:r w:rsidRPr="001A7FC6">
        <w:t xml:space="preserve"> and </w:t>
      </w:r>
      <m:oMath>
        <m:sSub>
          <m:sSubPr>
            <m:ctrlPr>
              <w:rPr>
                <w:rFonts w:ascii="Cambria Math" w:hAnsi="Cambria Math"/>
                <w:i/>
              </w:rPr>
            </m:ctrlPr>
          </m:sSubPr>
          <m:e>
            <m:r>
              <w:rPr>
                <w:rFonts w:ascii="Cambria Math" w:hAnsi="Cambria Math"/>
              </w:rPr>
              <m:t>M</m:t>
            </m:r>
          </m:e>
          <m:sub>
            <m:r>
              <w:rPr>
                <w:rFonts w:ascii="Cambria Math" w:hAnsi="Cambria Math"/>
              </w:rPr>
              <m:t>fuel</m:t>
            </m:r>
          </m:sub>
        </m:sSub>
      </m:oMath>
      <w:r w:rsidRPr="001A7FC6">
        <w:t xml:space="preserve"> are the masses of carbon, hydrogen, oxygen, nitrogen and the fuel respectively. Furthermore, the Lower Heating Value (LHV) is calculated from the HHV as shown in Eq.</w:t>
      </w:r>
      <w:r w:rsidR="00387CDE" w:rsidRPr="001A7FC6">
        <w:t xml:space="preserve"> </w:t>
      </w:r>
      <w:r w:rsidRPr="001A7FC6">
        <w:fldChar w:fldCharType="begin"/>
      </w:r>
      <w:r w:rsidRPr="001A7FC6">
        <w:instrText xml:space="preserve"> REF _Ref15298196 \h  \* MERGEFORMAT </w:instrText>
      </w:r>
      <w:r w:rsidRPr="001A7FC6">
        <w:fldChar w:fldCharType="separate"/>
      </w:r>
      <w:r w:rsidR="00890150" w:rsidRPr="001A7FC6">
        <w:t>(</w:t>
      </w:r>
      <w:r w:rsidR="00890150" w:rsidRPr="001A7FC6">
        <w:rPr>
          <w:noProof/>
        </w:rPr>
        <w:t>S13</w:t>
      </w:r>
      <w:r w:rsidR="00890150" w:rsidRPr="001A7FC6">
        <w:t>)</w:t>
      </w:r>
      <w:r w:rsidRPr="001A7FC6">
        <w:fldChar w:fldCharType="end"/>
      </w:r>
      <w:r w:rsidRPr="001A7FC6">
        <w:t xml:space="preserve"> </w:t>
      </w:r>
      <w:r w:rsidRPr="001A7FC6">
        <w:fldChar w:fldCharType="begin" w:fldLock="1"/>
      </w:r>
      <w:r w:rsidR="00031370" w:rsidRPr="001A7FC6">
        <w:instrText xml:space="preserve">ADDIN CSL_CITATION {"citationItems":[{"id":"ITEM-1","itemData":{"DOI":"10.1016/j.egypro.2017.03.490","ISSN":"18766102","abstract":"The transport sector accounts for the second biggest greenhouse gas emission in the European Union (EU). In order to achieve the target of CO2 emission reduction there is a rapid growing interest in using biomethane as fuel for transport applications. Biomethane can be produced through anaerobic digestion or biomass gasification. Anaerobic digestion is a biochemical process. Since the raw gas contains approximately 65vol% CH4 and 35vol%, an upgrading process is needed to remove CO2. Göteborg biomass gasification project (GoBiGas) is the world's first demonstration plant for large-scale production of biomethane through the gasification of forest residues. To achieve high purity CH4, a methanation process is required after gasification. This work compares these two technologies from the perspective of energy efficiency. Simulation results show that they have similar efficiencies: 62-64% for AE and </w:instrText>
      </w:r>
      <w:r w:rsidR="00031370" w:rsidRPr="001A7FC6">
        <w:rPr>
          <w:rFonts w:ascii="Cambria Math" w:hAnsi="Cambria Math" w:cs="Cambria Math"/>
        </w:rPr>
        <w:instrText>∼</w:instrText>
      </w:r>
      <w:r w:rsidR="00031370" w:rsidRPr="001A7FC6">
        <w:instrText>65% for GoBiGas.","author":[{"dropping-particle":"","family":"Li","given":"Hailong","non-dropping-particle":"","parse-names":false,"suffix":""},{"dropping-particle":"","family":"Mehmood","given":"Daheem","non-dropping-particle":"","parse-names":false,"suffix":""},{"dropping-particle":"","family":"Thorin","given":"Eva","non-dropping-particle":"","parse-names":false,"suffix":""},{"dropping-particle":"","family":"Yu","given":"Zhixin","non-dropping-particle":"","parse-names":false,"suffix":""}],"container-title":"Energy Procedia","id":"ITEM-1","issued":{"date-parts":[["2017"]]},"page":"1172-1177","publisher":"The Author(s)","title":"Biomethane Production Via Anaerobic Digestion and Biomass Gasification","type":"article-journal","volume":"105"},"uris":["http://www.mendeley.com/documents/?uuid=0fc1e7ff-3669-41a8-8d4c-fb97ea456513"]}],"mendeley":{"formattedCitation":"(Li et al., 2017)","plainTextFormattedCitation":"(Li et al., 2017)","previouslyFormattedCitation":"(Li et al., 2017)"},"properties":{"noteIndex":0},"schema":"https://github.com/citation-style-language/schema/raw/master/csl-citation.json"}</w:instrText>
      </w:r>
      <w:r w:rsidRPr="001A7FC6">
        <w:fldChar w:fldCharType="separate"/>
      </w:r>
      <w:r w:rsidRPr="001A7FC6">
        <w:rPr>
          <w:noProof/>
        </w:rPr>
        <w:t>(Li et al., 2017)</w:t>
      </w:r>
      <w:r w:rsidRPr="001A7FC6">
        <w:fldChar w:fldCharType="end"/>
      </w:r>
      <w:r w:rsidRPr="001A7FC6">
        <w:t xml:space="preserve">, where </w:t>
      </w:r>
      <m:oMath>
        <m:sSub>
          <m:sSubPr>
            <m:ctrlPr>
              <w:rPr>
                <w:rFonts w:ascii="Cambria Math" w:eastAsiaTheme="minorEastAsia" w:hAnsi="Cambria Math"/>
                <w:i/>
              </w:rPr>
            </m:ctrlPr>
          </m:sSubPr>
          <m:e>
            <m:r>
              <w:rPr>
                <w:rFonts w:ascii="Cambria Math" w:eastAsiaTheme="minorEastAsia" w:hAnsi="Cambria Math"/>
              </w:rPr>
              <m:t>M</m:t>
            </m:r>
          </m:e>
          <m:sub>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r>
              <w:rPr>
                <w:rFonts w:ascii="Cambria Math" w:eastAsiaTheme="minorEastAsia" w:hAnsi="Cambria Math"/>
              </w:rPr>
              <m:t>O</m:t>
            </m:r>
          </m:sub>
        </m:sSub>
      </m:oMath>
      <w:r w:rsidRPr="001A7FC6">
        <w:t xml:space="preserve"> is the water mass and the latent heat of vaporisation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v</m:t>
            </m:r>
          </m:sub>
        </m:sSub>
        <m:r>
          <w:rPr>
            <w:rFonts w:ascii="Cambria Math" w:eastAsiaTheme="minorEastAsia" w:hAnsi="Cambria Math"/>
          </w:rPr>
          <m:t>=2.26 MJ k</m:t>
        </m:r>
        <m:sSup>
          <m:sSupPr>
            <m:ctrlPr>
              <w:rPr>
                <w:rFonts w:ascii="Cambria Math" w:eastAsiaTheme="minorEastAsia" w:hAnsi="Cambria Math"/>
                <w:i/>
              </w:rPr>
            </m:ctrlPr>
          </m:sSupPr>
          <m:e>
            <m:r>
              <w:rPr>
                <w:rFonts w:ascii="Cambria Math" w:eastAsiaTheme="minorEastAsia" w:hAnsi="Cambria Math"/>
              </w:rPr>
              <m:t>g</m:t>
            </m:r>
          </m:e>
          <m:sup>
            <m:r>
              <w:rPr>
                <w:rFonts w:ascii="Cambria Math" w:eastAsiaTheme="minorEastAsia" w:hAnsi="Cambria Math"/>
              </w:rPr>
              <m:t>-1</m:t>
            </m:r>
          </m:sup>
        </m:sSup>
        <m:r>
          <w:rPr>
            <w:rFonts w:ascii="Cambria Math" w:eastAsiaTheme="minorEastAsia" w:hAnsi="Cambria Math"/>
          </w:rPr>
          <m:t xml:space="preserve"> </m:t>
        </m:r>
      </m:oMath>
      <w:r w:rsidRPr="001A7FC6">
        <w:rPr>
          <w:rFonts w:eastAsiaTheme="minorEastAsia"/>
        </w:rPr>
        <w:fldChar w:fldCharType="begin" w:fldLock="1"/>
      </w:r>
      <w:r w:rsidR="00031370" w:rsidRPr="001A7FC6">
        <w:rPr>
          <w:rFonts w:eastAsiaTheme="minorEastAsia"/>
        </w:rPr>
        <w:instrText>ADDIN CSL_CITATION {"citationItems":[{"id":"ITEM-1","itemData":{"DOI":"10.1007/978-90-481-2642-2_327","ISBN":"978-90-481-2642-2","author":[{"dropping-particle":"","family":"Datt","given":"Prem","non-dropping-particle":"","parse-names":false,"suffix":""}],"container-title":"Encyclopedia of Snow, Ice and Glaciers","editor":[{"dropping-particle":"","family":"Singh","given":"Vijay P","non-dropping-particle":"","parse-names":false,"suffix":""},{"dropping-particle":"","family":"Singh","given":"Pratap","non-dropping-particle":"","parse-names":false,"suffix":""},{"dropping-particle":"","family":"Haritashya","given":"Umesh K","non-dropping-particle":"","parse-names":false,"suffix":""}],"id":"ITEM-1","issued":{"date-parts":[["2011"]]},"page":"703","publisher":"Springer Netherlands","publisher-place":"Dordrecht","title":"Latent Heat of Vaporization/Condensation","type":"chapter"},"uris":["http://www.mendeley.com/documents/?uuid=f2762a3f-cd50-43ce-bcc7-cbd52458fc21"]}],"mendeley":{"formattedCitation":"(Datt, 2011)","plainTextFormattedCitation":"(Datt, 2011)","previouslyFormattedCitation":"(Datt, 2011)"},"properties":{"noteIndex":0},"schema":"https://github.com/citation-style-language/schema/raw/master/csl-citation.json"}</w:instrText>
      </w:r>
      <w:r w:rsidRPr="001A7FC6">
        <w:rPr>
          <w:rFonts w:eastAsiaTheme="minorEastAsia"/>
        </w:rPr>
        <w:fldChar w:fldCharType="separate"/>
      </w:r>
      <w:r w:rsidRPr="001A7FC6">
        <w:rPr>
          <w:rFonts w:eastAsiaTheme="minorEastAsia"/>
          <w:noProof/>
        </w:rPr>
        <w:t>(Datt, 2011)</w:t>
      </w:r>
      <w:r w:rsidRPr="001A7FC6">
        <w:rPr>
          <w:rFonts w:eastAsiaTheme="minorEastAsia"/>
        </w:rPr>
        <w:fldChar w:fldCharType="end"/>
      </w:r>
      <w:r w:rsidRPr="001A7FC6">
        <w:rPr>
          <w:rFonts w:eastAsiaTheme="minorEastAsi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799"/>
      </w:tblGrid>
      <w:tr w:rsidR="005D49AE" w:rsidRPr="001A7FC6" w14:paraId="1BC2027B" w14:textId="77777777" w:rsidTr="005D49AE">
        <w:tc>
          <w:tcPr>
            <w:tcW w:w="8217" w:type="dxa"/>
          </w:tcPr>
          <w:p w14:paraId="7B9ECCD3" w14:textId="77777777" w:rsidR="005D49AE" w:rsidRPr="001A7FC6" w:rsidRDefault="005D49AE" w:rsidP="005D49AE">
            <w:pPr>
              <w:rPr>
                <w:rFonts w:eastAsiaTheme="minorEastAsia"/>
              </w:rPr>
            </w:pPr>
            <m:oMathPara>
              <m:oMath>
                <m:r>
                  <w:rPr>
                    <w:rFonts w:ascii="Cambria Math" w:hAnsi="Cambria Math"/>
                  </w:rPr>
                  <m:t>HHV=</m:t>
                </m:r>
                <m:r>
                  <w:rPr>
                    <w:rFonts w:ascii="Cambria Math" w:eastAsiaTheme="minorEastAsia" w:hAnsi="Cambria Math"/>
                  </w:rPr>
                  <m:t xml:space="preserve">33.5 </m:t>
                </m:r>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C</m:t>
                            </m:r>
                          </m:sub>
                        </m:sSub>
                      </m:num>
                      <m:den>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fuel</m:t>
                            </m:r>
                          </m:sub>
                        </m:sSub>
                      </m:den>
                    </m:f>
                  </m:e>
                </m:d>
                <m:r>
                  <w:rPr>
                    <w:rFonts w:ascii="Cambria Math" w:eastAsiaTheme="minorEastAsia" w:hAnsi="Cambria Math"/>
                  </w:rPr>
                  <m:t xml:space="preserve">+142.3 </m:t>
                </m:r>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H</m:t>
                            </m:r>
                          </m:sub>
                        </m:sSub>
                      </m:num>
                      <m:den>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fuel</m:t>
                            </m:r>
                          </m:sub>
                        </m:sSub>
                      </m:den>
                    </m:f>
                  </m:e>
                </m:d>
                <m:r>
                  <w:rPr>
                    <w:rFonts w:ascii="Cambria Math" w:eastAsiaTheme="minorEastAsia" w:hAnsi="Cambria Math"/>
                  </w:rPr>
                  <m:t xml:space="preserve">-15.4 </m:t>
                </m:r>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O</m:t>
                            </m:r>
                          </m:sub>
                        </m:sSub>
                      </m:num>
                      <m:den>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fuel</m:t>
                            </m:r>
                          </m:sub>
                        </m:sSub>
                      </m:den>
                    </m:f>
                  </m:e>
                </m:d>
                <m:r>
                  <w:rPr>
                    <w:rFonts w:ascii="Cambria Math" w:eastAsiaTheme="minorEastAsia" w:hAnsi="Cambria Math"/>
                  </w:rPr>
                  <m:t xml:space="preserve">-24.5 </m:t>
                </m:r>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N</m:t>
                            </m:r>
                          </m:sub>
                        </m:sSub>
                      </m:num>
                      <m:den>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fuel</m:t>
                            </m:r>
                          </m:sub>
                        </m:sSub>
                      </m:den>
                    </m:f>
                  </m:e>
                </m:d>
              </m:oMath>
            </m:oMathPara>
          </w:p>
        </w:tc>
        <w:tc>
          <w:tcPr>
            <w:tcW w:w="799" w:type="dxa"/>
          </w:tcPr>
          <w:p w14:paraId="1624C5B9" w14:textId="5F7AD0C2" w:rsidR="005D49AE" w:rsidRPr="001A7FC6" w:rsidRDefault="005D49AE" w:rsidP="005D49AE">
            <w:pPr>
              <w:jc w:val="right"/>
            </w:pPr>
            <w:bookmarkStart w:id="20" w:name="_Ref15396339"/>
            <w:bookmarkStart w:id="21" w:name="_Ref15298194"/>
            <w:r w:rsidRPr="001A7FC6">
              <w:t>(</w:t>
            </w:r>
            <w:r w:rsidR="00872DA0" w:rsidRPr="001A7FC6">
              <w:t>S</w:t>
            </w:r>
            <w:r w:rsidRPr="001A7FC6">
              <w:rPr>
                <w:noProof/>
              </w:rPr>
              <w:fldChar w:fldCharType="begin"/>
            </w:r>
            <w:r w:rsidRPr="001A7FC6">
              <w:rPr>
                <w:noProof/>
              </w:rPr>
              <w:instrText xml:space="preserve"> SEQ Equation \* ARABIC </w:instrText>
            </w:r>
            <w:r w:rsidRPr="001A7FC6">
              <w:rPr>
                <w:noProof/>
              </w:rPr>
              <w:fldChar w:fldCharType="separate"/>
            </w:r>
            <w:r w:rsidR="00890150" w:rsidRPr="001A7FC6">
              <w:rPr>
                <w:noProof/>
              </w:rPr>
              <w:t>12</w:t>
            </w:r>
            <w:r w:rsidRPr="001A7FC6">
              <w:rPr>
                <w:noProof/>
              </w:rPr>
              <w:fldChar w:fldCharType="end"/>
            </w:r>
            <w:bookmarkEnd w:id="20"/>
            <w:r w:rsidRPr="001A7FC6">
              <w:t>)</w:t>
            </w:r>
            <w:bookmarkEnd w:id="21"/>
          </w:p>
        </w:tc>
      </w:tr>
      <w:tr w:rsidR="005D49AE" w:rsidRPr="001A7FC6" w14:paraId="745E8B0D" w14:textId="77777777" w:rsidTr="005D49AE">
        <w:tc>
          <w:tcPr>
            <w:tcW w:w="8217" w:type="dxa"/>
          </w:tcPr>
          <w:p w14:paraId="7CE5EBF7" w14:textId="77777777" w:rsidR="005D49AE" w:rsidRPr="001A7FC6" w:rsidRDefault="005D49AE" w:rsidP="005D49AE">
            <w:pPr>
              <w:rPr>
                <w:rFonts w:eastAsiaTheme="minorEastAsia"/>
              </w:rPr>
            </w:pPr>
            <m:oMathPara>
              <m:oMath>
                <m:r>
                  <w:rPr>
                    <w:rFonts w:ascii="Cambria Math" w:hAnsi="Cambria Math"/>
                  </w:rPr>
                  <m:t>LHV=</m:t>
                </m:r>
                <m:r>
                  <w:rPr>
                    <w:rFonts w:ascii="Cambria Math" w:eastAsiaTheme="minorEastAsia" w:hAnsi="Cambria Math"/>
                  </w:rPr>
                  <m:t>HHV-</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v</m:t>
                    </m:r>
                  </m:sub>
                </m:sSub>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M</m:t>
                            </m:r>
                          </m:e>
                          <m:sub>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r>
                              <w:rPr>
                                <w:rFonts w:ascii="Cambria Math" w:eastAsiaTheme="minorEastAsia" w:hAnsi="Cambria Math"/>
                              </w:rPr>
                              <m:t>O</m:t>
                            </m:r>
                          </m:sub>
                        </m:sSub>
                      </m:num>
                      <m:den>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fuel</m:t>
                            </m:r>
                          </m:sub>
                        </m:sSub>
                      </m:den>
                    </m:f>
                  </m:e>
                </m:d>
              </m:oMath>
            </m:oMathPara>
          </w:p>
        </w:tc>
        <w:tc>
          <w:tcPr>
            <w:tcW w:w="799" w:type="dxa"/>
          </w:tcPr>
          <w:p w14:paraId="1B9A6748" w14:textId="3C61D55F" w:rsidR="005D49AE" w:rsidRPr="001A7FC6" w:rsidRDefault="005D49AE" w:rsidP="005D49AE">
            <w:pPr>
              <w:jc w:val="right"/>
            </w:pPr>
            <w:bookmarkStart w:id="22" w:name="_Ref15396343"/>
            <w:bookmarkStart w:id="23" w:name="_Ref15298196"/>
            <w:r w:rsidRPr="001A7FC6">
              <w:t>(</w:t>
            </w:r>
            <w:r w:rsidR="00872DA0" w:rsidRPr="001A7FC6">
              <w:t>S</w:t>
            </w:r>
            <w:r w:rsidRPr="001A7FC6">
              <w:rPr>
                <w:noProof/>
              </w:rPr>
              <w:fldChar w:fldCharType="begin"/>
            </w:r>
            <w:r w:rsidRPr="001A7FC6">
              <w:rPr>
                <w:noProof/>
              </w:rPr>
              <w:instrText xml:space="preserve"> SEQ Equation \* ARABIC </w:instrText>
            </w:r>
            <w:r w:rsidRPr="001A7FC6">
              <w:rPr>
                <w:noProof/>
              </w:rPr>
              <w:fldChar w:fldCharType="separate"/>
            </w:r>
            <w:r w:rsidR="00890150" w:rsidRPr="001A7FC6">
              <w:rPr>
                <w:noProof/>
              </w:rPr>
              <w:t>13</w:t>
            </w:r>
            <w:r w:rsidRPr="001A7FC6">
              <w:rPr>
                <w:noProof/>
              </w:rPr>
              <w:fldChar w:fldCharType="end"/>
            </w:r>
            <w:bookmarkEnd w:id="22"/>
            <w:r w:rsidRPr="001A7FC6">
              <w:t>)</w:t>
            </w:r>
            <w:bookmarkEnd w:id="23"/>
          </w:p>
          <w:p w14:paraId="0D78F513" w14:textId="77777777" w:rsidR="005D49AE" w:rsidRPr="001A7FC6" w:rsidRDefault="005D49AE" w:rsidP="005D49AE">
            <w:pPr>
              <w:jc w:val="right"/>
            </w:pPr>
          </w:p>
        </w:tc>
      </w:tr>
    </w:tbl>
    <w:p w14:paraId="6A0977EB" w14:textId="62C5177C" w:rsidR="005D49AE" w:rsidRPr="001A7FC6" w:rsidRDefault="005D49AE" w:rsidP="005D49AE">
      <w:r w:rsidRPr="001A7FC6">
        <w:t xml:space="preserve">Incineration of biomass wastes utilise complex Rankine steam cycle configurations with electrical efficiencies of 28% </w:t>
      </w:r>
      <w:r w:rsidRPr="001A7FC6">
        <w:fldChar w:fldCharType="begin" w:fldLock="1"/>
      </w:r>
      <w:r w:rsidR="00031370" w:rsidRPr="001A7FC6">
        <w:instrText>ADDIN CSL_CITATION {"citationItems":[{"id":"ITEM-1","itemData":{"DOI":"10.1007/s40518-014-0018-1","author":[{"dropping-particle":"","family":"Tobiasen","given":"Lasse","non-dropping-particle":"","parse-names":false,"suffix":""},{"dropping-particle":"","family":"Kahle","given":"Kristian","non-dropping-particle":"","parse-names":false,"suffix":""},{"dropping-particle":"","family":"Hindsgaul","given":"Claus","non-dropping-particle":"","parse-names":false,"suffix":""},{"dropping-particle":"","family":"Kamuk","given":"Bettina","non-dropping-particle":"","parse-names":false,"suffix":""}],"container-title":"Current Sustainable/Renewable Energy Reports","id":"ITEM-1","issue":"4","issued":{"date-parts":[["2014"]]},"page":"136-149","title":"Waste to Energy – Energy Recovery of Green Bin Waste: Incineration/Biogas Comparison","type":"article-journal","volume":"1"},"uris":["http://www.mendeley.com/documents/?uuid=061b4c94-87c0-4380-b9ba-56b4a20e19b2"]}],"mendeley":{"formattedCitation":"(Tobiasen et al., 2014)","plainTextFormattedCitation":"(Tobiasen et al., 2014)","previouslyFormattedCitation":"(Tobiasen et al., 2014)"},"properties":{"noteIndex":0},"schema":"https://github.com/citation-style-language/schema/raw/master/csl-citation.json"}</w:instrText>
      </w:r>
      <w:r w:rsidRPr="001A7FC6">
        <w:fldChar w:fldCharType="separate"/>
      </w:r>
      <w:r w:rsidRPr="001A7FC6">
        <w:rPr>
          <w:noProof/>
        </w:rPr>
        <w:t>(Tobiasen et al., 2014)</w:t>
      </w:r>
      <w:r w:rsidRPr="001A7FC6">
        <w:fldChar w:fldCharType="end"/>
      </w:r>
      <w:r w:rsidRPr="001A7FC6">
        <w:t xml:space="preserve"> used in the model.</w:t>
      </w:r>
    </w:p>
    <w:p w14:paraId="084A5881" w14:textId="77777777" w:rsidR="005D49AE" w:rsidRPr="001A7FC6" w:rsidRDefault="005D49AE" w:rsidP="005D49AE">
      <w:pPr>
        <w:pStyle w:val="Heading2"/>
        <w:numPr>
          <w:ilvl w:val="1"/>
          <w:numId w:val="1"/>
        </w:numPr>
      </w:pPr>
      <w:bookmarkStart w:id="24" w:name="_Toc14891689"/>
      <w:r w:rsidRPr="001A7FC6">
        <w:t>Pyrolysis</w:t>
      </w:r>
      <w:bookmarkEnd w:id="24"/>
    </w:p>
    <w:p w14:paraId="2731F015" w14:textId="122558FB" w:rsidR="005D49AE" w:rsidRPr="001A7FC6" w:rsidRDefault="005D49AE" w:rsidP="005D49AE">
      <w:r w:rsidRPr="001A7FC6">
        <w:t xml:space="preserve">During the pyrolysis of digestate, syngas, oil and char are produced. The yields reported by </w:t>
      </w:r>
      <w:r w:rsidRPr="001A7FC6">
        <w:fldChar w:fldCharType="begin" w:fldLock="1"/>
      </w:r>
      <w:r w:rsidR="00031370" w:rsidRPr="001A7FC6">
        <w:instrText>ADDIN CSL_CITATION {"citationItems":[{"id":"ITEM-1","itemData":{"DOI":"10.1016/j.jclepro.2019.03.234","ISSN":"0959-6526","author":[{"dropping-particle":"","family":"Wei","given":"Yi","non-dropping-particle":"","parse-names":false,"suffix":""},{"dropping-particle":"","family":"Tang","given":"Jitong","non-dropping-particle":"","parse-names":false,"suffix":""},{"dropping-particle":"","family":"Xie","given":"Jiale","non-dropping-particle":"","parse-names":false,"suffix":""},{"dropping-particle":"","family":"Shen","given":"Chaoyue","non-dropping-particle":"","parse-names":false,"suffix":""}],"container-title":"Journal of Cleaner Production","id":"ITEM-1","issued":{"date-parts":[["2019"]]},"page":"143-151","publisher":"Elsevier Ltd","title":"Molten alkali carbonates pyrolysis of digestate for phenolic productions","type":"article-journal","volume":"225"},"uris":["http://www.mendeley.com/documents/?uuid=bed03725-e5c2-4a53-b165-13095f7733c1"]}],"mendeley":{"formattedCitation":"(Wei et al., 2019)","plainTextFormattedCitation":"(Wei et al., 2019)","previouslyFormattedCitation":"(Wei et al., 2019)"},"properties":{"noteIndex":0},"schema":"https://github.com/citation-style-language/schema/raw/master/csl-citation.json"}</w:instrText>
      </w:r>
      <w:r w:rsidRPr="001A7FC6">
        <w:fldChar w:fldCharType="separate"/>
      </w:r>
      <w:r w:rsidRPr="001A7FC6">
        <w:rPr>
          <w:noProof/>
        </w:rPr>
        <w:t>(Wei et al., 2019)</w:t>
      </w:r>
      <w:r w:rsidRPr="001A7FC6">
        <w:fldChar w:fldCharType="end"/>
      </w:r>
      <w:r w:rsidRPr="001A7FC6">
        <w:t xml:space="preserve"> were followed in the model, where on a dry basis 25.6%wt is syngas, 8.6 </w:t>
      </w:r>
      <w:proofErr w:type="spellStart"/>
      <w:r w:rsidRPr="001A7FC6">
        <w:t>wt</w:t>
      </w:r>
      <w:proofErr w:type="spellEnd"/>
      <w:r w:rsidRPr="001A7FC6">
        <w:t>% is bio oil and 42% is char. The calorific value of syngas was assumed to be 11MJ kg</w:t>
      </w:r>
      <w:r w:rsidRPr="001A7FC6">
        <w:rPr>
          <w:vertAlign w:val="superscript"/>
        </w:rPr>
        <w:t>-1</w:t>
      </w:r>
      <w:r w:rsidRPr="001A7FC6">
        <w:t xml:space="preserve"> </w:t>
      </w:r>
      <w:r w:rsidRPr="001A7FC6">
        <w:fldChar w:fldCharType="begin" w:fldLock="1"/>
      </w:r>
      <w:r w:rsidR="00031370" w:rsidRPr="001A7FC6">
        <w:instrText>ADDIN CSL_CITATION {"citationItems":[{"id":"ITEM-1","itemData":{"DOI":"10.1088/1742-6596/653/1/012031","author":[{"dropping-particle":"","family":"Park","given":"Inmyong","non-dropping-particle":"","parse-names":false,"suffix":""},{"dropping-particle":"","family":"Jeong","given":"Sangkwon","non-dropping-particle":"","parse-names":false,"suffix":""},{"dropping-particle":"","family":"Obokata","given":"Takeshi","non-dropping-particle":"","parse-names":false,"suffix":""},{"dropping-particle":"","family":"Okada","given":"Hideo","non-dropping-particle":"","parse-names":false,"suffix":""},{"dropping-particle":"","family":"Wafers","given":"Gaas","non-dropping-particle":"","parse-names":false,"suffix":""},{"dropping-particle":"","family":"Tanaka","given":"Toshio","non-dropping-particle":"","parse-names":false,"suffix":""},{"dropping-particle":"","family":"Takamiya","given":"Saburo","non-dropping-particle":"","parse-names":false,"suffix":""}],"container-title":"Journal of Physics: Conference Series","id":"ITEM-1","issued":{"date-parts":[["2015"]]},"title":"Simulation of a process for the two-stage thermal conversion of biomass into the synthesis gas","type":"article-journal","volume":"653"},"uris":["http://www.mendeley.com/documents/?uuid=10dee6db-3e8f-461f-8f90-6220bab238c9"]}],"mendeley":{"formattedCitation":"(Park et al., 2015)","plainTextFormattedCitation":"(Park et al., 2015)","previouslyFormattedCitation":"(Park et al., 2015)"},"properties":{"noteIndex":0},"schema":"https://github.com/citation-style-language/schema/raw/master/csl-citation.json"}</w:instrText>
      </w:r>
      <w:r w:rsidRPr="001A7FC6">
        <w:fldChar w:fldCharType="separate"/>
      </w:r>
      <w:r w:rsidRPr="001A7FC6">
        <w:rPr>
          <w:noProof/>
        </w:rPr>
        <w:t>(Park et al., 2015)</w:t>
      </w:r>
      <w:r w:rsidRPr="001A7FC6">
        <w:fldChar w:fldCharType="end"/>
      </w:r>
      <w:r w:rsidRPr="001A7FC6">
        <w:t>. All operational costs related to pyrolysis are considered except that of the feedstock, as this is obtained as waste from AD.</w:t>
      </w:r>
    </w:p>
    <w:p w14:paraId="41D41757" w14:textId="77777777" w:rsidR="005D49AE" w:rsidRPr="001A7FC6" w:rsidRDefault="005D49AE" w:rsidP="005D49AE">
      <w:pPr>
        <w:pStyle w:val="Heading2"/>
        <w:numPr>
          <w:ilvl w:val="1"/>
          <w:numId w:val="1"/>
        </w:numPr>
      </w:pPr>
      <w:bookmarkStart w:id="25" w:name="_Toc14891690"/>
      <w:bookmarkStart w:id="26" w:name="_Ref15410277"/>
      <w:bookmarkStart w:id="27" w:name="_Ref15410290"/>
      <w:bookmarkStart w:id="28" w:name="_Ref15410461"/>
      <w:bookmarkStart w:id="29" w:name="_Ref15410802"/>
      <w:bookmarkStart w:id="30" w:name="_Ref15410821"/>
      <w:r w:rsidRPr="001A7FC6">
        <w:t>Waste feed chemical characterisation</w:t>
      </w:r>
      <w:bookmarkEnd w:id="25"/>
      <w:bookmarkEnd w:id="26"/>
      <w:bookmarkEnd w:id="27"/>
      <w:bookmarkEnd w:id="28"/>
      <w:bookmarkEnd w:id="29"/>
      <w:bookmarkEnd w:id="30"/>
    </w:p>
    <w:p w14:paraId="009049EA" w14:textId="7A8989D4" w:rsidR="005D49AE" w:rsidRPr="001A7FC6" w:rsidRDefault="005D49AE" w:rsidP="005D49AE">
      <w:pPr>
        <w:rPr>
          <w:color w:val="000000" w:themeColor="text1"/>
        </w:rPr>
      </w:pPr>
      <w:r w:rsidRPr="001A7FC6">
        <w:t xml:space="preserve">The spatially-explicit OFMSW resource potential was derived from </w:t>
      </w:r>
      <w:r w:rsidRPr="001A7FC6">
        <w:fldChar w:fldCharType="begin" w:fldLock="1"/>
      </w:r>
      <w:r w:rsidR="00031370" w:rsidRPr="001A7FC6">
        <w:instrText>ADDIN CSL_CITATION {"citationItems":[{"id":"ITEM-1","itemData":{"URL":"http://www.wastedataflow.org/","accessed":{"date-parts":[["2019","6","5"]]},"author":[{"dropping-particle":"","family":"WDF","given":"","non-dropping-particle":"","parse-names":false,"suffix":""}],"container-title":"Waste Data Flow","id":"ITEM-1","issued":{"date-parts":[["2019"]]},"title":"Data on organic fraction municipal solid waste","type":"webpage"},"uris":["http://www.mendeley.com/documents/?uuid=daa18e07-5bfd-4fbe-92b2-2f1c677fdd89"]}],"mendeley":{"formattedCitation":"(WDF, 2019)","plainTextFormattedCitation":"(WDF, 2019)","previouslyFormattedCitation":"(WDF, 2019)"},"properties":{"noteIndex":0},"schema":"https://github.com/citation-style-language/schema/raw/master/csl-citation.json"}</w:instrText>
      </w:r>
      <w:r w:rsidRPr="001A7FC6">
        <w:fldChar w:fldCharType="separate"/>
      </w:r>
      <w:r w:rsidRPr="001A7FC6">
        <w:rPr>
          <w:noProof/>
        </w:rPr>
        <w:t>(WDF, 2019)</w:t>
      </w:r>
      <w:r w:rsidRPr="001A7FC6">
        <w:fldChar w:fldCharType="end"/>
      </w:r>
      <w:r w:rsidRPr="001A7FC6">
        <w:t>. UK OFMSW can be broadly classified into four categories: (i) food waste, (ii) green garden waste, (iii) mixed garden/food waste</w:t>
      </w:r>
      <w:r w:rsidRPr="001A7FC6">
        <w:rPr>
          <w:color w:val="FF0000"/>
        </w:rPr>
        <w:t xml:space="preserve"> </w:t>
      </w:r>
      <w:r w:rsidRPr="001A7FC6">
        <w:t xml:space="preserve">and (iv) other </w:t>
      </w:r>
      <w:r w:rsidRPr="001A7FC6">
        <w:rPr>
          <w:color w:val="000000" w:themeColor="text1"/>
        </w:rPr>
        <w:t xml:space="preserve">compostable waste. The compositions for these wastes are shown in </w:t>
      </w:r>
      <w:r w:rsidRPr="001A7FC6">
        <w:rPr>
          <w:color w:val="000000" w:themeColor="text1"/>
        </w:rPr>
        <w:fldChar w:fldCharType="begin"/>
      </w:r>
      <w:r w:rsidRPr="001A7FC6">
        <w:rPr>
          <w:color w:val="000000" w:themeColor="text1"/>
        </w:rPr>
        <w:instrText xml:space="preserve"> REF _Ref15411359 \h </w:instrText>
      </w:r>
      <w:r w:rsidR="001A7FC6">
        <w:rPr>
          <w:color w:val="000000" w:themeColor="text1"/>
        </w:rPr>
        <w:instrText xml:space="preserve"> \* MERGEFORMAT </w:instrText>
      </w:r>
      <w:r w:rsidRPr="001A7FC6">
        <w:rPr>
          <w:color w:val="000000" w:themeColor="text1"/>
        </w:rPr>
      </w:r>
      <w:r w:rsidRPr="001A7FC6">
        <w:rPr>
          <w:color w:val="000000" w:themeColor="text1"/>
        </w:rPr>
        <w:fldChar w:fldCharType="separate"/>
      </w:r>
      <w:r w:rsidR="00890150" w:rsidRPr="001A7FC6">
        <w:rPr>
          <w:color w:val="000000" w:themeColor="text1"/>
        </w:rPr>
        <w:t>Table S</w:t>
      </w:r>
      <w:r w:rsidR="00890150" w:rsidRPr="001A7FC6">
        <w:rPr>
          <w:noProof/>
          <w:color w:val="000000" w:themeColor="text1"/>
        </w:rPr>
        <w:t>4</w:t>
      </w:r>
      <w:r w:rsidRPr="001A7FC6">
        <w:rPr>
          <w:color w:val="000000" w:themeColor="text1"/>
        </w:rPr>
        <w:fldChar w:fldCharType="end"/>
      </w:r>
      <w:r w:rsidRPr="001A7FC6">
        <w:rPr>
          <w:color w:val="000000" w:themeColor="text1"/>
        </w:rPr>
        <w:t xml:space="preserve">, and used in the optimisation model as parameters.  </w:t>
      </w:r>
    </w:p>
    <w:p w14:paraId="3A70394D" w14:textId="5FE29808" w:rsidR="005D49AE" w:rsidRPr="001A7FC6" w:rsidRDefault="005D49AE" w:rsidP="005D49AE">
      <w:r w:rsidRPr="001A7FC6">
        <w:rPr>
          <w:color w:val="000000" w:themeColor="text1"/>
        </w:rPr>
        <w:lastRenderedPageBreak/>
        <w:t xml:space="preserve">For the elemental analyses, the composition of hemicellulose is taken as that of </w:t>
      </w:r>
      <w:proofErr w:type="spellStart"/>
      <w:r w:rsidRPr="001A7FC6">
        <w:rPr>
          <w:color w:val="000000" w:themeColor="text1"/>
        </w:rPr>
        <w:t>Xylan</w:t>
      </w:r>
      <w:proofErr w:type="spellEnd"/>
      <w:r w:rsidRPr="001A7FC6">
        <w:rPr>
          <w:color w:val="000000" w:themeColor="text1"/>
        </w:rPr>
        <w:t xml:space="preserve"> and the ‘other compostable waste’ category is characterised as generic mechanically recovered OFMSW.  When considering mixed food and garden waste, a ratio of 1.21:1 respectively is assumed based on typical MSW sample fractions recorded by </w:t>
      </w:r>
      <w:r w:rsidRPr="001A7FC6">
        <w:rPr>
          <w:color w:val="000000" w:themeColor="text1"/>
        </w:rPr>
        <w:fldChar w:fldCharType="begin" w:fldLock="1"/>
      </w:r>
      <w:r w:rsidR="00031370" w:rsidRPr="001A7FC6">
        <w:rPr>
          <w:color w:val="000000" w:themeColor="text1"/>
        </w:rPr>
        <w:instrText>ADDIN CSL_CITATION {"citationItems":[{"id":"ITEM-1","itemData":{"abstract":"A report that describes the composition of municipal solid waste in Wales. The information can be used by national and local governments to inform their waste management policy and practice decisions.","author":[{"dropping-particle":"","family":"WastesWork","given":"","non-dropping-particle":"","parse-names":false,"suffix":""},{"dropping-particle":"","family":"AEA","given":"","non-dropping-particle":"","parse-names":false,"suffix":""}],"container-title":"Wrap","id":"ITEM-1","issue":"May","issued":{"date-parts":[["2010"]]},"page":"38-39","title":"The composition of municipal solid waste in Wales","type":"article-journal"},"uris":["http://www.mendeley.com/documents/?uuid=6df2fa34-4daf-490c-b207-ad2c723f61e3"]}],"mendeley":{"formattedCitation":"(WastesWork and AEA, 2010)","plainTextFormattedCitation":"(WastesWork and AEA, 2010)","previouslyFormattedCitation":"(WastesWork and AEA, 2010)"},"properties":{"noteIndex":0},"schema":"https://github.com/citation-style-language/schema/raw/master/csl-citation.json"}</w:instrText>
      </w:r>
      <w:r w:rsidRPr="001A7FC6">
        <w:rPr>
          <w:color w:val="000000" w:themeColor="text1"/>
        </w:rPr>
        <w:fldChar w:fldCharType="separate"/>
      </w:r>
      <w:r w:rsidRPr="001A7FC6">
        <w:rPr>
          <w:noProof/>
          <w:color w:val="000000" w:themeColor="text1"/>
        </w:rPr>
        <w:t>(WastesWork and AEA, 2010)</w:t>
      </w:r>
      <w:r w:rsidRPr="001A7FC6">
        <w:rPr>
          <w:color w:val="000000" w:themeColor="text1"/>
        </w:rPr>
        <w:fldChar w:fldCharType="end"/>
      </w:r>
      <w:r w:rsidRPr="001A7FC6">
        <w:rPr>
          <w:color w:val="000000" w:themeColor="text1"/>
        </w:rPr>
        <w:t xml:space="preserve">. </w:t>
      </w:r>
      <w:bookmarkStart w:id="31" w:name="_Ref11523397"/>
      <w:r w:rsidRPr="001A7FC6">
        <w:t xml:space="preserve">Additionally, for the AD of garden waste, lignin is assumed to not be anaerobically </w:t>
      </w:r>
      <w:proofErr w:type="spellStart"/>
      <w:r w:rsidRPr="001A7FC6">
        <w:t>digestable</w:t>
      </w:r>
      <w:proofErr w:type="spellEnd"/>
      <w:r w:rsidRPr="001A7FC6">
        <w:t xml:space="preserve">,  and remains in the digestate after AD processing </w:t>
      </w:r>
      <w:r w:rsidRPr="001A7FC6">
        <w:fldChar w:fldCharType="begin" w:fldLock="1"/>
      </w:r>
      <w:r w:rsidR="00031370" w:rsidRPr="001A7FC6">
        <w:instrText>ADDIN CSL_CITATION {"citationItems":[{"id":"ITEM-1","itemData":{"DOI":"10.1016/j.jclepro.2018.10.055","ISSN":"09596526","abstract":"Anaerobic digestion (AD) is an established process for the treatment of organic wastes and the production of renewable energy. However, high amounts of digestate produced by AD plants require enhancement for further use. This study investigates a conceptual model for the digestate enhancement by using a downstream gasification. It is based on a 'systemic approach’ considering the interactions of every contributing process into the dual system. The digestate was provided by an Italian AD plant, that treats mixed agricultural wastes of pig manure (43%), cow manure (20%), maize and triticale silages (25%), and cereal bran (12%). Digestate air gasification experiments were conducted, in a downdraft fixed-bed reactor, at temperature range from 750 °C to 850 °C, with λ varying from 0.14 to 0.34. Results have shown that gasification of digestate at 850 °C with λ = 0.24, increased producer gas yield (65.5 wt %), and its LHV (2.88 MJ Nm−3). The gas is classified as medium heating value fuel, suitable to generate electricity of 971 kWhel day−1 to enhance the AD plant's economic viability. A carbonaceous material rich in macronutrients (P, K, Ca, Mg) was produced, with R50 = 0.48, suitable for carbon sequestration. The study offers a resource closed loop approach of converting AD digestate into energy and soil fertilizer. Useful suggestions for policy makers and business can be drawn.","author":[{"dropping-particle":"","family":"Antoniou","given":"N.","non-dropping-particle":"","parse-names":false,"suffix":""},{"dropping-particle":"","family":"Monlau","given":"F.","non-dropping-particle":"","parse-names":false,"suffix":""},{"dropping-particle":"","family":"Sambusiti","given":"C.","non-dropping-particle":"","parse-names":false,"suffix":""},{"dropping-particle":"","family":"Ficara","given":"E.","non-dropping-particle":"","parse-names":false,"suffix":""},{"dropping-particle":"","family":"Barakat","given":"A.","non-dropping-particle":"","parse-names":false,"suffix":""},{"dropping-particle":"","family":"Zabaniotou","given":"A.","non-dropping-particle":"","parse-names":false,"suffix":""}],"container-title":"Journal of Cleaner Production","id":"ITEM-1","issued":{"date-parts":[["2019"]]},"page":"505-514","publisher":"Elsevier Ltd","title":"Contribution to Circular Economy options of mixed agricultural wastes management: Coupling anaerobic digestion with gasification for enhanced energy and material recovery","type":"article-journal","volume":"209"},"uris":["http://www.mendeley.com/documents/?uuid=17471e86-e87b-431f-aed1-92a41426555b"]}],"mendeley":{"formattedCitation":"(Antoniou et al., 2019)","plainTextFormattedCitation":"(Antoniou et al., 2019)","previouslyFormattedCitation":"(Antoniou et al., 2019)"},"properties":{"noteIndex":0},"schema":"https://github.com/citation-style-language/schema/raw/master/csl-citation.json"}</w:instrText>
      </w:r>
      <w:r w:rsidRPr="001A7FC6">
        <w:fldChar w:fldCharType="separate"/>
      </w:r>
      <w:r w:rsidRPr="001A7FC6">
        <w:rPr>
          <w:noProof/>
        </w:rPr>
        <w:t>(Antoniou et al., 2019)</w:t>
      </w:r>
      <w:r w:rsidRPr="001A7FC6">
        <w:fldChar w:fldCharType="end"/>
      </w:r>
      <w:r w:rsidRPr="001A7FC6">
        <w:t>. Even though this strongly inhibits the potential for biogas production, it increases the possibilities for further resource recovery through the posttreatments mentioned above.</w:t>
      </w:r>
      <w:bookmarkEnd w:id="31"/>
    </w:p>
    <w:p w14:paraId="7E5307A7" w14:textId="6A270535" w:rsidR="005D49AE" w:rsidRPr="001A7FC6" w:rsidRDefault="005D49AE" w:rsidP="005D49AE">
      <w:pPr>
        <w:pStyle w:val="Caption"/>
        <w:keepNext/>
        <w:spacing w:after="0"/>
        <w:rPr>
          <w:color w:val="000000" w:themeColor="text1"/>
        </w:rPr>
      </w:pPr>
      <w:bookmarkStart w:id="32" w:name="_Ref15411359"/>
      <w:r w:rsidRPr="001A7FC6">
        <w:rPr>
          <w:color w:val="000000" w:themeColor="text1"/>
        </w:rPr>
        <w:t xml:space="preserve">Table </w:t>
      </w:r>
      <w:r w:rsidR="00FF2AAF" w:rsidRPr="001A7FC6">
        <w:rPr>
          <w:color w:val="000000" w:themeColor="text1"/>
        </w:rPr>
        <w:t>S</w:t>
      </w:r>
      <w:r w:rsidRPr="001A7FC6">
        <w:rPr>
          <w:color w:val="000000" w:themeColor="text1"/>
        </w:rPr>
        <w:fldChar w:fldCharType="begin"/>
      </w:r>
      <w:r w:rsidRPr="001A7FC6">
        <w:rPr>
          <w:color w:val="000000" w:themeColor="text1"/>
        </w:rPr>
        <w:instrText xml:space="preserve"> SEQ Table \* ARABIC </w:instrText>
      </w:r>
      <w:r w:rsidRPr="001A7FC6">
        <w:rPr>
          <w:color w:val="000000" w:themeColor="text1"/>
        </w:rPr>
        <w:fldChar w:fldCharType="separate"/>
      </w:r>
      <w:r w:rsidR="00890150" w:rsidRPr="001A7FC6">
        <w:rPr>
          <w:noProof/>
          <w:color w:val="000000" w:themeColor="text1"/>
        </w:rPr>
        <w:t>4</w:t>
      </w:r>
      <w:r w:rsidRPr="001A7FC6">
        <w:rPr>
          <w:color w:val="000000" w:themeColor="text1"/>
        </w:rPr>
        <w:fldChar w:fldCharType="end"/>
      </w:r>
      <w:bookmarkEnd w:id="32"/>
      <w:r w:rsidRPr="001A7FC6">
        <w:rPr>
          <w:color w:val="000000" w:themeColor="text1"/>
        </w:rPr>
        <w:t>: Elemental analysis of the digestible part of the relevant types of OFMSW and component analysis of garden waste</w:t>
      </w:r>
    </w:p>
    <w:tbl>
      <w:tblPr>
        <w:tblStyle w:val="TableGrid"/>
        <w:tblW w:w="5000" w:type="pct"/>
        <w:tblLook w:val="04A0" w:firstRow="1" w:lastRow="0" w:firstColumn="1" w:lastColumn="0" w:noHBand="0" w:noVBand="1"/>
      </w:tblPr>
      <w:tblGrid>
        <w:gridCol w:w="1589"/>
        <w:gridCol w:w="2397"/>
        <w:gridCol w:w="2520"/>
        <w:gridCol w:w="2520"/>
      </w:tblGrid>
      <w:tr w:rsidR="005D49AE" w:rsidRPr="001A7FC6" w14:paraId="3D222BDB" w14:textId="77777777" w:rsidTr="005D49AE">
        <w:tc>
          <w:tcPr>
            <w:tcW w:w="880" w:type="pct"/>
            <w:tcBorders>
              <w:top w:val="single" w:sz="4" w:space="0" w:color="auto"/>
              <w:left w:val="nil"/>
              <w:bottom w:val="single" w:sz="4" w:space="0" w:color="auto"/>
              <w:right w:val="nil"/>
            </w:tcBorders>
          </w:tcPr>
          <w:p w14:paraId="52597E50" w14:textId="77777777" w:rsidR="005D49AE" w:rsidRPr="001A7FC6" w:rsidRDefault="005D49AE" w:rsidP="005D49AE">
            <w:pPr>
              <w:spacing w:line="276" w:lineRule="auto"/>
              <w:rPr>
                <w:b/>
              </w:rPr>
            </w:pPr>
            <w:r w:rsidRPr="001A7FC6">
              <w:rPr>
                <w:b/>
              </w:rPr>
              <w:t>Element</w:t>
            </w:r>
          </w:p>
        </w:tc>
        <w:tc>
          <w:tcPr>
            <w:tcW w:w="1328" w:type="pct"/>
            <w:tcBorders>
              <w:top w:val="single" w:sz="4" w:space="0" w:color="auto"/>
              <w:left w:val="nil"/>
              <w:bottom w:val="single" w:sz="4" w:space="0" w:color="auto"/>
              <w:right w:val="nil"/>
            </w:tcBorders>
          </w:tcPr>
          <w:p w14:paraId="4E4FAB96" w14:textId="77777777" w:rsidR="005D49AE" w:rsidRPr="001A7FC6" w:rsidRDefault="005D49AE" w:rsidP="005D49AE">
            <w:pPr>
              <w:spacing w:line="276" w:lineRule="auto"/>
              <w:jc w:val="center"/>
              <w:rPr>
                <w:b/>
                <w:vertAlign w:val="superscript"/>
              </w:rPr>
            </w:pPr>
            <w:r w:rsidRPr="001A7FC6">
              <w:rPr>
                <w:b/>
              </w:rPr>
              <w:t>Food waste (% TS)</w:t>
            </w:r>
            <w:r w:rsidRPr="001A7FC6">
              <w:rPr>
                <w:b/>
                <w:vertAlign w:val="superscript"/>
              </w:rPr>
              <w:t>1</w:t>
            </w:r>
          </w:p>
        </w:tc>
        <w:tc>
          <w:tcPr>
            <w:tcW w:w="1396" w:type="pct"/>
            <w:tcBorders>
              <w:top w:val="single" w:sz="4" w:space="0" w:color="auto"/>
              <w:left w:val="nil"/>
              <w:bottom w:val="single" w:sz="4" w:space="0" w:color="auto"/>
              <w:right w:val="nil"/>
            </w:tcBorders>
          </w:tcPr>
          <w:p w14:paraId="6176823D" w14:textId="77777777" w:rsidR="005D49AE" w:rsidRPr="001A7FC6" w:rsidRDefault="005D49AE" w:rsidP="005D49AE">
            <w:pPr>
              <w:spacing w:line="276" w:lineRule="auto"/>
              <w:jc w:val="center"/>
              <w:rPr>
                <w:b/>
                <w:vertAlign w:val="superscript"/>
              </w:rPr>
            </w:pPr>
            <w:r w:rsidRPr="001A7FC6">
              <w:rPr>
                <w:b/>
              </w:rPr>
              <w:t>Garden waste (%TS</w:t>
            </w:r>
            <w:r w:rsidRPr="001A7FC6">
              <w:rPr>
                <w:b/>
                <w:vertAlign w:val="superscript"/>
              </w:rPr>
              <w:t>*</w:t>
            </w:r>
            <w:r w:rsidRPr="001A7FC6">
              <w:rPr>
                <w:b/>
              </w:rPr>
              <w:t>)</w:t>
            </w:r>
            <w:r w:rsidRPr="001A7FC6">
              <w:rPr>
                <w:b/>
                <w:vertAlign w:val="superscript"/>
              </w:rPr>
              <w:t>2</w:t>
            </w:r>
          </w:p>
        </w:tc>
        <w:tc>
          <w:tcPr>
            <w:tcW w:w="1396" w:type="pct"/>
            <w:tcBorders>
              <w:top w:val="single" w:sz="4" w:space="0" w:color="auto"/>
              <w:left w:val="nil"/>
              <w:bottom w:val="single" w:sz="4" w:space="0" w:color="auto"/>
              <w:right w:val="nil"/>
            </w:tcBorders>
          </w:tcPr>
          <w:p w14:paraId="1A6F5BD1" w14:textId="77777777" w:rsidR="005D49AE" w:rsidRPr="001A7FC6" w:rsidRDefault="005D49AE" w:rsidP="005D49AE">
            <w:pPr>
              <w:spacing w:line="276" w:lineRule="auto"/>
              <w:jc w:val="center"/>
            </w:pPr>
            <w:r w:rsidRPr="001A7FC6">
              <w:rPr>
                <w:b/>
              </w:rPr>
              <w:t>Mr-OFMSW (%TS)</w:t>
            </w:r>
            <w:r w:rsidRPr="001A7FC6">
              <w:rPr>
                <w:vertAlign w:val="superscript"/>
              </w:rPr>
              <w:t>3</w:t>
            </w:r>
          </w:p>
        </w:tc>
      </w:tr>
      <w:tr w:rsidR="005D49AE" w:rsidRPr="001A7FC6" w14:paraId="06EE4A14" w14:textId="77777777" w:rsidTr="005D49AE">
        <w:tc>
          <w:tcPr>
            <w:tcW w:w="880" w:type="pct"/>
            <w:tcBorders>
              <w:top w:val="single" w:sz="4" w:space="0" w:color="auto"/>
              <w:left w:val="nil"/>
              <w:bottom w:val="nil"/>
              <w:right w:val="nil"/>
            </w:tcBorders>
          </w:tcPr>
          <w:p w14:paraId="62F93C9C" w14:textId="77777777" w:rsidR="005D49AE" w:rsidRPr="001A7FC6" w:rsidRDefault="005D49AE" w:rsidP="005D49AE">
            <w:pPr>
              <w:spacing w:line="276" w:lineRule="auto"/>
            </w:pPr>
            <w:r w:rsidRPr="001A7FC6">
              <w:t>Nitrogen</w:t>
            </w:r>
          </w:p>
        </w:tc>
        <w:tc>
          <w:tcPr>
            <w:tcW w:w="1328" w:type="pct"/>
            <w:tcBorders>
              <w:top w:val="single" w:sz="4" w:space="0" w:color="auto"/>
              <w:left w:val="nil"/>
              <w:bottom w:val="nil"/>
              <w:right w:val="nil"/>
            </w:tcBorders>
          </w:tcPr>
          <w:p w14:paraId="0E971487" w14:textId="77777777" w:rsidR="005D49AE" w:rsidRPr="001A7FC6" w:rsidRDefault="005D49AE" w:rsidP="005D49AE">
            <w:pPr>
              <w:spacing w:line="276" w:lineRule="auto"/>
              <w:jc w:val="center"/>
            </w:pPr>
            <w:r w:rsidRPr="001A7FC6">
              <w:t>3.63</w:t>
            </w:r>
          </w:p>
        </w:tc>
        <w:tc>
          <w:tcPr>
            <w:tcW w:w="1396" w:type="pct"/>
            <w:tcBorders>
              <w:top w:val="single" w:sz="4" w:space="0" w:color="auto"/>
              <w:left w:val="nil"/>
              <w:bottom w:val="nil"/>
              <w:right w:val="nil"/>
            </w:tcBorders>
          </w:tcPr>
          <w:p w14:paraId="54FB2914" w14:textId="77777777" w:rsidR="005D49AE" w:rsidRPr="001A7FC6" w:rsidRDefault="005D49AE" w:rsidP="005D49AE">
            <w:pPr>
              <w:spacing w:line="276" w:lineRule="auto"/>
              <w:jc w:val="center"/>
            </w:pPr>
            <w:r w:rsidRPr="001A7FC6">
              <w:t>1.65</w:t>
            </w:r>
          </w:p>
        </w:tc>
        <w:tc>
          <w:tcPr>
            <w:tcW w:w="1396" w:type="pct"/>
            <w:tcBorders>
              <w:top w:val="single" w:sz="4" w:space="0" w:color="auto"/>
              <w:left w:val="nil"/>
              <w:bottom w:val="nil"/>
              <w:right w:val="nil"/>
            </w:tcBorders>
          </w:tcPr>
          <w:p w14:paraId="4263BA49" w14:textId="77777777" w:rsidR="005D49AE" w:rsidRPr="001A7FC6" w:rsidRDefault="005D49AE" w:rsidP="005D49AE">
            <w:pPr>
              <w:spacing w:line="276" w:lineRule="auto"/>
              <w:jc w:val="center"/>
            </w:pPr>
            <w:r w:rsidRPr="001A7FC6">
              <w:t>1.32</w:t>
            </w:r>
          </w:p>
        </w:tc>
      </w:tr>
      <w:tr w:rsidR="005D49AE" w:rsidRPr="001A7FC6" w14:paraId="6331AAE5" w14:textId="77777777" w:rsidTr="005D49AE">
        <w:tc>
          <w:tcPr>
            <w:tcW w:w="880" w:type="pct"/>
            <w:tcBorders>
              <w:top w:val="nil"/>
              <w:left w:val="nil"/>
              <w:bottom w:val="nil"/>
              <w:right w:val="nil"/>
            </w:tcBorders>
          </w:tcPr>
          <w:p w14:paraId="7E9CA6A5" w14:textId="77777777" w:rsidR="005D49AE" w:rsidRPr="001A7FC6" w:rsidRDefault="005D49AE" w:rsidP="005D49AE">
            <w:pPr>
              <w:spacing w:line="276" w:lineRule="auto"/>
            </w:pPr>
            <w:r w:rsidRPr="001A7FC6">
              <w:t>Carbon</w:t>
            </w:r>
          </w:p>
        </w:tc>
        <w:tc>
          <w:tcPr>
            <w:tcW w:w="1328" w:type="pct"/>
            <w:tcBorders>
              <w:top w:val="nil"/>
              <w:left w:val="nil"/>
              <w:bottom w:val="nil"/>
              <w:right w:val="nil"/>
            </w:tcBorders>
          </w:tcPr>
          <w:p w14:paraId="5AB20FC9" w14:textId="77777777" w:rsidR="005D49AE" w:rsidRPr="001A7FC6" w:rsidRDefault="005D49AE" w:rsidP="005D49AE">
            <w:pPr>
              <w:spacing w:line="276" w:lineRule="auto"/>
              <w:jc w:val="center"/>
            </w:pPr>
            <w:r w:rsidRPr="001A7FC6">
              <w:t>47.54</w:t>
            </w:r>
          </w:p>
        </w:tc>
        <w:tc>
          <w:tcPr>
            <w:tcW w:w="1396" w:type="pct"/>
            <w:tcBorders>
              <w:top w:val="nil"/>
              <w:left w:val="nil"/>
              <w:bottom w:val="nil"/>
              <w:right w:val="nil"/>
            </w:tcBorders>
          </w:tcPr>
          <w:p w14:paraId="7C1477FE" w14:textId="77777777" w:rsidR="005D49AE" w:rsidRPr="001A7FC6" w:rsidRDefault="005D49AE" w:rsidP="005D49AE">
            <w:pPr>
              <w:spacing w:line="276" w:lineRule="auto"/>
              <w:jc w:val="center"/>
            </w:pPr>
            <w:r w:rsidRPr="001A7FC6">
              <w:t>26.61</w:t>
            </w:r>
          </w:p>
        </w:tc>
        <w:tc>
          <w:tcPr>
            <w:tcW w:w="1396" w:type="pct"/>
            <w:tcBorders>
              <w:top w:val="nil"/>
              <w:left w:val="nil"/>
              <w:bottom w:val="nil"/>
              <w:right w:val="nil"/>
            </w:tcBorders>
          </w:tcPr>
          <w:p w14:paraId="384C53A5" w14:textId="77777777" w:rsidR="005D49AE" w:rsidRPr="001A7FC6" w:rsidRDefault="005D49AE" w:rsidP="005D49AE">
            <w:pPr>
              <w:spacing w:line="276" w:lineRule="auto"/>
              <w:jc w:val="center"/>
            </w:pPr>
            <w:r w:rsidRPr="001A7FC6">
              <w:t>33.0</w:t>
            </w:r>
          </w:p>
        </w:tc>
      </w:tr>
      <w:tr w:rsidR="005D49AE" w:rsidRPr="001A7FC6" w14:paraId="7ED157FE" w14:textId="77777777" w:rsidTr="005D49AE">
        <w:tc>
          <w:tcPr>
            <w:tcW w:w="880" w:type="pct"/>
            <w:tcBorders>
              <w:top w:val="nil"/>
              <w:left w:val="nil"/>
              <w:bottom w:val="nil"/>
              <w:right w:val="nil"/>
            </w:tcBorders>
          </w:tcPr>
          <w:p w14:paraId="0375F7C0" w14:textId="77777777" w:rsidR="005D49AE" w:rsidRPr="001A7FC6" w:rsidRDefault="005D49AE" w:rsidP="005D49AE">
            <w:pPr>
              <w:spacing w:line="276" w:lineRule="auto"/>
            </w:pPr>
            <w:r w:rsidRPr="001A7FC6">
              <w:t xml:space="preserve">Hydrogen </w:t>
            </w:r>
          </w:p>
        </w:tc>
        <w:tc>
          <w:tcPr>
            <w:tcW w:w="1328" w:type="pct"/>
            <w:tcBorders>
              <w:top w:val="nil"/>
              <w:left w:val="nil"/>
              <w:bottom w:val="nil"/>
              <w:right w:val="nil"/>
            </w:tcBorders>
          </w:tcPr>
          <w:p w14:paraId="5FAE2B15" w14:textId="77777777" w:rsidR="005D49AE" w:rsidRPr="001A7FC6" w:rsidRDefault="005D49AE" w:rsidP="005D49AE">
            <w:pPr>
              <w:spacing w:line="276" w:lineRule="auto"/>
              <w:jc w:val="center"/>
            </w:pPr>
            <w:r w:rsidRPr="001A7FC6">
              <w:t>6.40</w:t>
            </w:r>
          </w:p>
        </w:tc>
        <w:tc>
          <w:tcPr>
            <w:tcW w:w="1396" w:type="pct"/>
            <w:tcBorders>
              <w:top w:val="nil"/>
              <w:left w:val="nil"/>
              <w:bottom w:val="nil"/>
              <w:right w:val="nil"/>
            </w:tcBorders>
          </w:tcPr>
          <w:p w14:paraId="37B7B685" w14:textId="77777777" w:rsidR="005D49AE" w:rsidRPr="001A7FC6" w:rsidRDefault="005D49AE" w:rsidP="005D49AE">
            <w:pPr>
              <w:spacing w:line="276" w:lineRule="auto"/>
              <w:jc w:val="center"/>
            </w:pPr>
            <w:r w:rsidRPr="001A7FC6">
              <w:t>3.96</w:t>
            </w:r>
          </w:p>
        </w:tc>
        <w:tc>
          <w:tcPr>
            <w:tcW w:w="1396" w:type="pct"/>
            <w:tcBorders>
              <w:top w:val="nil"/>
              <w:left w:val="nil"/>
              <w:bottom w:val="nil"/>
              <w:right w:val="nil"/>
            </w:tcBorders>
          </w:tcPr>
          <w:p w14:paraId="1DE1E9C1" w14:textId="77777777" w:rsidR="005D49AE" w:rsidRPr="001A7FC6" w:rsidRDefault="005D49AE" w:rsidP="005D49AE">
            <w:pPr>
              <w:spacing w:line="276" w:lineRule="auto"/>
              <w:jc w:val="center"/>
            </w:pPr>
            <w:r w:rsidRPr="001A7FC6">
              <w:t>4.80</w:t>
            </w:r>
          </w:p>
        </w:tc>
      </w:tr>
      <w:tr w:rsidR="005D49AE" w:rsidRPr="001A7FC6" w14:paraId="2BDB59C5" w14:textId="77777777" w:rsidTr="005D49AE">
        <w:trPr>
          <w:trHeight w:val="60"/>
        </w:trPr>
        <w:tc>
          <w:tcPr>
            <w:tcW w:w="880" w:type="pct"/>
            <w:tcBorders>
              <w:top w:val="nil"/>
              <w:left w:val="nil"/>
              <w:bottom w:val="single" w:sz="4" w:space="0" w:color="auto"/>
              <w:right w:val="nil"/>
            </w:tcBorders>
          </w:tcPr>
          <w:p w14:paraId="4029A508" w14:textId="77777777" w:rsidR="005D49AE" w:rsidRPr="001A7FC6" w:rsidRDefault="005D49AE" w:rsidP="005D49AE">
            <w:pPr>
              <w:spacing w:line="276" w:lineRule="auto"/>
            </w:pPr>
            <w:r w:rsidRPr="001A7FC6">
              <w:t>Oxygen</w:t>
            </w:r>
          </w:p>
        </w:tc>
        <w:tc>
          <w:tcPr>
            <w:tcW w:w="1328" w:type="pct"/>
            <w:tcBorders>
              <w:top w:val="nil"/>
              <w:left w:val="nil"/>
              <w:bottom w:val="single" w:sz="4" w:space="0" w:color="auto"/>
              <w:right w:val="nil"/>
            </w:tcBorders>
          </w:tcPr>
          <w:p w14:paraId="18AD0431" w14:textId="77777777" w:rsidR="005D49AE" w:rsidRPr="001A7FC6" w:rsidRDefault="005D49AE" w:rsidP="005D49AE">
            <w:pPr>
              <w:spacing w:line="276" w:lineRule="auto"/>
              <w:jc w:val="center"/>
            </w:pPr>
            <w:r w:rsidRPr="001A7FC6">
              <w:t>36.10</w:t>
            </w:r>
          </w:p>
        </w:tc>
        <w:tc>
          <w:tcPr>
            <w:tcW w:w="1396" w:type="pct"/>
            <w:tcBorders>
              <w:top w:val="nil"/>
              <w:left w:val="nil"/>
              <w:bottom w:val="single" w:sz="4" w:space="0" w:color="auto"/>
              <w:right w:val="nil"/>
            </w:tcBorders>
          </w:tcPr>
          <w:p w14:paraId="40868EF0" w14:textId="77777777" w:rsidR="005D49AE" w:rsidRPr="001A7FC6" w:rsidRDefault="005D49AE" w:rsidP="005D49AE">
            <w:pPr>
              <w:spacing w:line="276" w:lineRule="auto"/>
              <w:jc w:val="center"/>
            </w:pPr>
            <w:r w:rsidRPr="001A7FC6">
              <w:t>34.21</w:t>
            </w:r>
          </w:p>
        </w:tc>
        <w:tc>
          <w:tcPr>
            <w:tcW w:w="1396" w:type="pct"/>
            <w:tcBorders>
              <w:top w:val="nil"/>
              <w:left w:val="nil"/>
              <w:bottom w:val="single" w:sz="4" w:space="0" w:color="auto"/>
              <w:right w:val="nil"/>
            </w:tcBorders>
          </w:tcPr>
          <w:p w14:paraId="05265D71" w14:textId="77777777" w:rsidR="005D49AE" w:rsidRPr="001A7FC6" w:rsidRDefault="005D49AE" w:rsidP="005D49AE">
            <w:pPr>
              <w:spacing w:line="276" w:lineRule="auto"/>
              <w:jc w:val="center"/>
            </w:pPr>
            <w:r w:rsidRPr="001A7FC6">
              <w:t>22.2</w:t>
            </w:r>
          </w:p>
        </w:tc>
      </w:tr>
      <w:tr w:rsidR="005D49AE" w:rsidRPr="001A7FC6" w14:paraId="708BB428" w14:textId="77777777" w:rsidTr="005D49AE">
        <w:trPr>
          <w:trHeight w:val="60"/>
        </w:trPr>
        <w:tc>
          <w:tcPr>
            <w:tcW w:w="880" w:type="pct"/>
            <w:tcBorders>
              <w:top w:val="single" w:sz="4" w:space="0" w:color="auto"/>
              <w:left w:val="nil"/>
              <w:bottom w:val="single" w:sz="4" w:space="0" w:color="auto"/>
              <w:right w:val="nil"/>
            </w:tcBorders>
          </w:tcPr>
          <w:p w14:paraId="190FAA5E" w14:textId="77777777" w:rsidR="005D49AE" w:rsidRPr="001A7FC6" w:rsidRDefault="005D49AE" w:rsidP="005D49AE">
            <w:pPr>
              <w:spacing w:line="276" w:lineRule="auto"/>
              <w:rPr>
                <w:b/>
              </w:rPr>
            </w:pPr>
            <w:r w:rsidRPr="001A7FC6">
              <w:rPr>
                <w:b/>
              </w:rPr>
              <w:t>Component</w:t>
            </w:r>
          </w:p>
        </w:tc>
        <w:tc>
          <w:tcPr>
            <w:tcW w:w="1328" w:type="pct"/>
            <w:tcBorders>
              <w:top w:val="single" w:sz="4" w:space="0" w:color="auto"/>
              <w:left w:val="nil"/>
              <w:bottom w:val="single" w:sz="4" w:space="0" w:color="auto"/>
              <w:right w:val="nil"/>
            </w:tcBorders>
          </w:tcPr>
          <w:p w14:paraId="09079CC9" w14:textId="77777777" w:rsidR="005D49AE" w:rsidRPr="001A7FC6" w:rsidRDefault="005D49AE" w:rsidP="005D49AE">
            <w:pPr>
              <w:spacing w:line="276" w:lineRule="auto"/>
              <w:jc w:val="center"/>
              <w:rPr>
                <w:b/>
              </w:rPr>
            </w:pPr>
          </w:p>
        </w:tc>
        <w:tc>
          <w:tcPr>
            <w:tcW w:w="1396" w:type="pct"/>
            <w:tcBorders>
              <w:top w:val="single" w:sz="4" w:space="0" w:color="auto"/>
              <w:left w:val="nil"/>
              <w:bottom w:val="single" w:sz="4" w:space="0" w:color="auto"/>
              <w:right w:val="nil"/>
            </w:tcBorders>
          </w:tcPr>
          <w:p w14:paraId="04168D2F" w14:textId="77777777" w:rsidR="005D49AE" w:rsidRPr="001A7FC6" w:rsidRDefault="005D49AE" w:rsidP="005D49AE">
            <w:pPr>
              <w:spacing w:line="276" w:lineRule="auto"/>
              <w:jc w:val="center"/>
              <w:rPr>
                <w:b/>
              </w:rPr>
            </w:pPr>
            <w:r w:rsidRPr="001A7FC6">
              <w:rPr>
                <w:b/>
              </w:rPr>
              <w:t>(%TS)</w:t>
            </w:r>
          </w:p>
        </w:tc>
        <w:tc>
          <w:tcPr>
            <w:tcW w:w="1396" w:type="pct"/>
            <w:tcBorders>
              <w:top w:val="single" w:sz="4" w:space="0" w:color="auto"/>
              <w:left w:val="nil"/>
              <w:bottom w:val="single" w:sz="4" w:space="0" w:color="auto"/>
              <w:right w:val="nil"/>
            </w:tcBorders>
          </w:tcPr>
          <w:p w14:paraId="70330675" w14:textId="77777777" w:rsidR="005D49AE" w:rsidRPr="001A7FC6" w:rsidRDefault="005D49AE" w:rsidP="005D49AE">
            <w:pPr>
              <w:spacing w:line="276" w:lineRule="auto"/>
              <w:jc w:val="center"/>
            </w:pPr>
          </w:p>
        </w:tc>
      </w:tr>
      <w:tr w:rsidR="005D49AE" w:rsidRPr="001A7FC6" w14:paraId="393F4B53" w14:textId="77777777" w:rsidTr="005D49AE">
        <w:trPr>
          <w:trHeight w:val="60"/>
        </w:trPr>
        <w:tc>
          <w:tcPr>
            <w:tcW w:w="880" w:type="pct"/>
            <w:tcBorders>
              <w:top w:val="single" w:sz="4" w:space="0" w:color="auto"/>
              <w:left w:val="nil"/>
              <w:bottom w:val="nil"/>
              <w:right w:val="nil"/>
            </w:tcBorders>
          </w:tcPr>
          <w:p w14:paraId="3A8B53E6" w14:textId="77777777" w:rsidR="005D49AE" w:rsidRPr="001A7FC6" w:rsidRDefault="005D49AE" w:rsidP="005D49AE">
            <w:pPr>
              <w:spacing w:line="276" w:lineRule="auto"/>
            </w:pPr>
            <w:r w:rsidRPr="001A7FC6">
              <w:t>Lignin</w:t>
            </w:r>
          </w:p>
        </w:tc>
        <w:tc>
          <w:tcPr>
            <w:tcW w:w="1328" w:type="pct"/>
            <w:tcBorders>
              <w:top w:val="single" w:sz="4" w:space="0" w:color="auto"/>
              <w:left w:val="nil"/>
              <w:bottom w:val="nil"/>
              <w:right w:val="nil"/>
            </w:tcBorders>
          </w:tcPr>
          <w:p w14:paraId="0E1E71A7" w14:textId="77777777" w:rsidR="005D49AE" w:rsidRPr="001A7FC6" w:rsidRDefault="005D49AE" w:rsidP="005D49AE">
            <w:pPr>
              <w:spacing w:line="276" w:lineRule="auto"/>
              <w:jc w:val="center"/>
            </w:pPr>
            <w:r w:rsidRPr="001A7FC6">
              <w:t>-</w:t>
            </w:r>
          </w:p>
        </w:tc>
        <w:tc>
          <w:tcPr>
            <w:tcW w:w="1396" w:type="pct"/>
            <w:tcBorders>
              <w:top w:val="single" w:sz="4" w:space="0" w:color="auto"/>
              <w:left w:val="nil"/>
              <w:bottom w:val="nil"/>
              <w:right w:val="nil"/>
            </w:tcBorders>
          </w:tcPr>
          <w:p w14:paraId="40FAD801" w14:textId="77777777" w:rsidR="005D49AE" w:rsidRPr="001A7FC6" w:rsidRDefault="005D49AE" w:rsidP="005D49AE">
            <w:pPr>
              <w:spacing w:line="276" w:lineRule="auto"/>
              <w:jc w:val="center"/>
            </w:pPr>
            <w:r w:rsidRPr="001A7FC6">
              <w:t>25.68</w:t>
            </w:r>
          </w:p>
        </w:tc>
        <w:tc>
          <w:tcPr>
            <w:tcW w:w="1396" w:type="pct"/>
            <w:tcBorders>
              <w:top w:val="single" w:sz="4" w:space="0" w:color="auto"/>
              <w:left w:val="nil"/>
              <w:bottom w:val="nil"/>
              <w:right w:val="nil"/>
            </w:tcBorders>
          </w:tcPr>
          <w:p w14:paraId="723D6B03" w14:textId="77777777" w:rsidR="005D49AE" w:rsidRPr="001A7FC6" w:rsidRDefault="005D49AE" w:rsidP="005D49AE">
            <w:pPr>
              <w:spacing w:line="276" w:lineRule="auto"/>
              <w:jc w:val="center"/>
            </w:pPr>
            <w:r w:rsidRPr="001A7FC6">
              <w:t>-</w:t>
            </w:r>
          </w:p>
        </w:tc>
      </w:tr>
      <w:tr w:rsidR="005D49AE" w:rsidRPr="001A7FC6" w14:paraId="177F98E1" w14:textId="77777777" w:rsidTr="005D49AE">
        <w:trPr>
          <w:trHeight w:val="60"/>
        </w:trPr>
        <w:tc>
          <w:tcPr>
            <w:tcW w:w="880" w:type="pct"/>
            <w:tcBorders>
              <w:top w:val="nil"/>
              <w:left w:val="nil"/>
              <w:bottom w:val="nil"/>
              <w:right w:val="nil"/>
            </w:tcBorders>
          </w:tcPr>
          <w:p w14:paraId="4C398518" w14:textId="77777777" w:rsidR="005D49AE" w:rsidRPr="001A7FC6" w:rsidRDefault="005D49AE" w:rsidP="005D49AE">
            <w:pPr>
              <w:spacing w:line="276" w:lineRule="auto"/>
            </w:pPr>
            <w:r w:rsidRPr="001A7FC6">
              <w:t xml:space="preserve">Cellulose </w:t>
            </w:r>
          </w:p>
        </w:tc>
        <w:tc>
          <w:tcPr>
            <w:tcW w:w="1328" w:type="pct"/>
            <w:tcBorders>
              <w:top w:val="nil"/>
              <w:left w:val="nil"/>
              <w:bottom w:val="nil"/>
              <w:right w:val="nil"/>
            </w:tcBorders>
          </w:tcPr>
          <w:p w14:paraId="55B3D0AB" w14:textId="77777777" w:rsidR="005D49AE" w:rsidRPr="001A7FC6" w:rsidRDefault="005D49AE" w:rsidP="005D49AE">
            <w:pPr>
              <w:spacing w:line="276" w:lineRule="auto"/>
              <w:jc w:val="center"/>
            </w:pPr>
            <w:r w:rsidRPr="001A7FC6">
              <w:t>-</w:t>
            </w:r>
          </w:p>
        </w:tc>
        <w:tc>
          <w:tcPr>
            <w:tcW w:w="1396" w:type="pct"/>
            <w:tcBorders>
              <w:top w:val="nil"/>
              <w:left w:val="nil"/>
              <w:bottom w:val="nil"/>
              <w:right w:val="nil"/>
            </w:tcBorders>
          </w:tcPr>
          <w:p w14:paraId="6E591FFD" w14:textId="77777777" w:rsidR="005D49AE" w:rsidRPr="001A7FC6" w:rsidRDefault="005D49AE" w:rsidP="005D49AE">
            <w:pPr>
              <w:spacing w:line="276" w:lineRule="auto"/>
              <w:jc w:val="center"/>
            </w:pPr>
            <w:r w:rsidRPr="001A7FC6">
              <w:t>38.54</w:t>
            </w:r>
          </w:p>
        </w:tc>
        <w:tc>
          <w:tcPr>
            <w:tcW w:w="1396" w:type="pct"/>
            <w:tcBorders>
              <w:top w:val="nil"/>
              <w:left w:val="nil"/>
              <w:bottom w:val="nil"/>
              <w:right w:val="nil"/>
            </w:tcBorders>
          </w:tcPr>
          <w:p w14:paraId="6C2D0E04" w14:textId="77777777" w:rsidR="005D49AE" w:rsidRPr="001A7FC6" w:rsidRDefault="005D49AE" w:rsidP="005D49AE">
            <w:pPr>
              <w:spacing w:line="276" w:lineRule="auto"/>
              <w:jc w:val="center"/>
            </w:pPr>
            <w:r w:rsidRPr="001A7FC6">
              <w:t>-</w:t>
            </w:r>
          </w:p>
        </w:tc>
      </w:tr>
      <w:tr w:rsidR="005D49AE" w:rsidRPr="001A7FC6" w14:paraId="7CF53737" w14:textId="77777777" w:rsidTr="005D49AE">
        <w:trPr>
          <w:trHeight w:val="60"/>
        </w:trPr>
        <w:tc>
          <w:tcPr>
            <w:tcW w:w="880" w:type="pct"/>
            <w:tcBorders>
              <w:top w:val="nil"/>
              <w:left w:val="nil"/>
              <w:bottom w:val="single" w:sz="4" w:space="0" w:color="auto"/>
              <w:right w:val="nil"/>
            </w:tcBorders>
          </w:tcPr>
          <w:p w14:paraId="1518B919" w14:textId="77777777" w:rsidR="005D49AE" w:rsidRPr="001A7FC6" w:rsidRDefault="005D49AE" w:rsidP="005D49AE">
            <w:pPr>
              <w:spacing w:line="276" w:lineRule="auto"/>
            </w:pPr>
            <w:r w:rsidRPr="001A7FC6">
              <w:t>Hemicellulose</w:t>
            </w:r>
          </w:p>
        </w:tc>
        <w:tc>
          <w:tcPr>
            <w:tcW w:w="1328" w:type="pct"/>
            <w:tcBorders>
              <w:top w:val="nil"/>
              <w:left w:val="nil"/>
              <w:bottom w:val="single" w:sz="4" w:space="0" w:color="auto"/>
              <w:right w:val="nil"/>
            </w:tcBorders>
          </w:tcPr>
          <w:p w14:paraId="7081A0E3" w14:textId="77777777" w:rsidR="005D49AE" w:rsidRPr="001A7FC6" w:rsidRDefault="005D49AE" w:rsidP="005D49AE">
            <w:pPr>
              <w:spacing w:line="276" w:lineRule="auto"/>
              <w:jc w:val="center"/>
            </w:pPr>
            <w:r w:rsidRPr="001A7FC6">
              <w:t>-</w:t>
            </w:r>
          </w:p>
        </w:tc>
        <w:tc>
          <w:tcPr>
            <w:tcW w:w="1396" w:type="pct"/>
            <w:tcBorders>
              <w:top w:val="nil"/>
              <w:left w:val="nil"/>
              <w:bottom w:val="single" w:sz="4" w:space="0" w:color="auto"/>
              <w:right w:val="nil"/>
            </w:tcBorders>
          </w:tcPr>
          <w:p w14:paraId="38061622" w14:textId="77777777" w:rsidR="005D49AE" w:rsidRPr="001A7FC6" w:rsidRDefault="005D49AE" w:rsidP="005D49AE">
            <w:pPr>
              <w:spacing w:line="276" w:lineRule="auto"/>
              <w:jc w:val="center"/>
            </w:pPr>
            <w:r w:rsidRPr="001A7FC6">
              <w:t>26.24</w:t>
            </w:r>
          </w:p>
        </w:tc>
        <w:tc>
          <w:tcPr>
            <w:tcW w:w="1396" w:type="pct"/>
            <w:tcBorders>
              <w:top w:val="nil"/>
              <w:left w:val="nil"/>
              <w:bottom w:val="single" w:sz="4" w:space="0" w:color="auto"/>
              <w:right w:val="nil"/>
            </w:tcBorders>
          </w:tcPr>
          <w:p w14:paraId="5C8BDEF5" w14:textId="77777777" w:rsidR="005D49AE" w:rsidRPr="001A7FC6" w:rsidRDefault="005D49AE" w:rsidP="005D49AE">
            <w:pPr>
              <w:spacing w:line="276" w:lineRule="auto"/>
              <w:jc w:val="center"/>
            </w:pPr>
            <w:r w:rsidRPr="001A7FC6">
              <w:t>-</w:t>
            </w:r>
          </w:p>
        </w:tc>
      </w:tr>
      <w:tr w:rsidR="005D49AE" w:rsidRPr="001A7FC6" w14:paraId="3E587EB4" w14:textId="77777777" w:rsidTr="005D49AE">
        <w:tc>
          <w:tcPr>
            <w:tcW w:w="5000" w:type="pct"/>
            <w:gridSpan w:val="4"/>
            <w:tcBorders>
              <w:top w:val="single" w:sz="4" w:space="0" w:color="auto"/>
              <w:left w:val="nil"/>
              <w:bottom w:val="nil"/>
              <w:right w:val="nil"/>
            </w:tcBorders>
          </w:tcPr>
          <w:p w14:paraId="66542D7E" w14:textId="05623D74" w:rsidR="005D49AE" w:rsidRPr="001A7FC6" w:rsidRDefault="005D49AE" w:rsidP="005D49AE">
            <w:pPr>
              <w:rPr>
                <w:i/>
                <w:sz w:val="18"/>
                <w:lang w:val="fr-FR"/>
              </w:rPr>
            </w:pPr>
            <w:r w:rsidRPr="001A7FC6">
              <w:rPr>
                <w:i/>
                <w:sz w:val="18"/>
                <w:vertAlign w:val="superscript"/>
              </w:rPr>
              <w:t>1</w:t>
            </w:r>
            <w:r w:rsidRPr="001A7FC6">
              <w:rPr>
                <w:i/>
                <w:sz w:val="18"/>
              </w:rPr>
              <w:t xml:space="preserve"> </w:t>
            </w:r>
            <w:r w:rsidRPr="001A7FC6">
              <w:rPr>
                <w:i/>
                <w:sz w:val="18"/>
              </w:rPr>
              <w:fldChar w:fldCharType="begin" w:fldLock="1"/>
            </w:r>
            <w:r w:rsidR="00031370" w:rsidRPr="001A7FC6">
              <w:rPr>
                <w:i/>
                <w:sz w:val="18"/>
              </w:rPr>
              <w:instrText>ADDIN CSL_CITATION {"citationItems":[{"id":"ITEM-1","itemData":{"abstract":"Anaerobic digestion has been defined by the Welsh Assembly Government as the preferred technology for treating food wastes due to the valuable renewable energy produced as well as the valuable and low carbon fertiliser and soil conditioner that can be generated. A number of local authorities are currently at the procurement stage for their food waste treatment plants and anaerobic digestion may be the technology employed for the treatment. Even if treatment of the food wastes will be conducted using other technologies, the results from the chemical analysis will also help support the design and operation of those processes. With any waste treatment technology, feedstock characteristics are extremely important when defining design and operational parameters. Even more so when treatment efforts are conducted by living microorganisms, which interact actively within a food chain and are affected by environmental conditions such as in anaerobic digestion treatment processes.","author":[{"dropping-particle":"","family":"Esteves","given":"Sandra","non-dropping-particle":"","parse-names":false,"suffix":""},{"dropping-particle":"","family":"Devlin","given":"Desmond","non-dropping-particle":"","parse-names":false,"suffix":""}],"container-title":"wrap Material change for a better environment","id":"ITEM-1","issue":"March","issued":{"date-parts":[["2010"]]},"title":"Food Waste Chemical Analysis Chemical","type":"article-journal"},"uris":["http://www.mendeley.com/documents/?uuid=0fd92227-db32-40c4-ad6c-292db6ca6d87"]}],"mendeley":{"formattedCitation":"(Esteves and Devlin, 2010)","plainTextFormattedCitation":"(Esteves and Devlin, 2010)","previouslyFormattedCitation":"(Esteves and Devlin, 2010)"},"properties":{"noteIndex":0},"schema":"https://github.com/citation-style-language/schema/raw/master/csl-citation.json"}</w:instrText>
            </w:r>
            <w:r w:rsidRPr="001A7FC6">
              <w:rPr>
                <w:i/>
                <w:sz w:val="18"/>
              </w:rPr>
              <w:fldChar w:fldCharType="separate"/>
            </w:r>
            <w:r w:rsidRPr="001A7FC6">
              <w:rPr>
                <w:noProof/>
                <w:sz w:val="18"/>
              </w:rPr>
              <w:t>(Esteves and Devlin, 2010)</w:t>
            </w:r>
            <w:r w:rsidRPr="001A7FC6">
              <w:rPr>
                <w:i/>
                <w:sz w:val="18"/>
              </w:rPr>
              <w:fldChar w:fldCharType="end"/>
            </w:r>
            <w:r w:rsidRPr="001A7FC6">
              <w:rPr>
                <w:i/>
                <w:sz w:val="18"/>
              </w:rPr>
              <w:t xml:space="preserve">, </w:t>
            </w:r>
            <w:r w:rsidRPr="001A7FC6">
              <w:rPr>
                <w:i/>
                <w:sz w:val="18"/>
                <w:vertAlign w:val="superscript"/>
              </w:rPr>
              <w:t>2</w:t>
            </w:r>
            <w:r w:rsidRPr="001A7FC6">
              <w:rPr>
                <w:i/>
                <w:sz w:val="18"/>
              </w:rPr>
              <w:t xml:space="preserve"> </w:t>
            </w:r>
            <w:r w:rsidRPr="001A7FC6">
              <w:rPr>
                <w:i/>
                <w:sz w:val="18"/>
              </w:rPr>
              <w:fldChar w:fldCharType="begin" w:fldLock="1"/>
            </w:r>
            <w:r w:rsidR="00031370" w:rsidRPr="001A7FC6">
              <w:rPr>
                <w:i/>
                <w:sz w:val="18"/>
              </w:rPr>
              <w:instrText>ADDIN CSL_CITATION {"citationItems":[{"id":"ITEM-1","itemData":{"DOI":"10.1186/s40201-015-0167-1","ISSN":"2052336X","abstract":"Garden biomass (GB) is defined as low density and heterogeneous waste fraction of garden rubbish like grass clippings, pruning, flowers, branches, weeds; roots. GB is generally different from other types of biomass. GB is mostly generated through maintenance of green areas. GB can be processed for bio energy production as it contains considerably good amount of cellulose and hemicellulose. However, pretreatment is necessary to delignify and facilitate disruption of cellulosic moiety. The aim of the present investigation was to pretreat GB using Fenton’s reagent and to study the influence of Fe2+ and H2O2 concentrations on degradation of lignin and cellulose. The data were statistically analyzed using ANOVA and numerical point prediction tool of MINITAB RELEASE 14 to optimize different process variables such as temperature, concentration of Fe2+ and H2O2. The results of the present investigation showed that Fenton’s reagent was effective on GB, however, concentration of Fe2+ and H2O2 play crucial role in determining the efficiency of pretreatment. An increase in H2O2 concentration in Fenton’s reagent significantly increased the rate of cellulose and lignin degradation in contrast to increasing concentration of Fe2+ ion which led to a decrease in lignocellulosic degradation.","author":[{"dropping-particle":"","family":"Bhange","given":"Vivek P.","non-dropping-particle":"","parse-names":false,"suffix":""},{"dropping-particle":"","family":"William","given":"Spm Prince","non-dropping-particle":"","parse-names":false,"suffix":""},{"dropping-particle":"","family":"Sharma","given":"Abhinav","non-dropping-particle":"","parse-names":false,"suffix":""},{"dropping-particle":"","family":"Gabhane","given":"Jagdish","non-dropping-particle":"","parse-names":false,"suffix":""},{"dropping-particle":"","family":"Vaidya","given":"Atul N.","non-dropping-particle":"","parse-names":false,"suffix":""},{"dropping-particle":"","family":"Wate","given":"Satish R.","non-dropping-particle":"","parse-names":false,"suffix":""}],"container-title":"Journal of Environmental Health Science and Engineering","id":"ITEM-1","issue":"1","issued":{"date-parts":[["2015"]]},"title":"Pretreatment of garden biomass using Fenton's reagent: Influence of Fe2+ and H2O2 concentrations on lignocellulose degradation","type":"article-journal","volume":"13"},"uris":["http://www.mendeley.com/documents/?uuid=fc3f66ae-d29c-4114-979e-02013b2683e4"]}],"mendeley":{"formattedCitation":"(Bhange et al., 2015)","plainTextFormattedCitation":"(Bhange et al., 2015)","previouslyFormattedCitation":"(Bhange et al., 2015)"},"properties":{"noteIndex":0},"schema":"https://github.com/citation-style-language/schema/raw/master/csl-citation.json"}</w:instrText>
            </w:r>
            <w:r w:rsidRPr="001A7FC6">
              <w:rPr>
                <w:i/>
                <w:sz w:val="18"/>
              </w:rPr>
              <w:fldChar w:fldCharType="separate"/>
            </w:r>
            <w:r w:rsidRPr="001A7FC6">
              <w:rPr>
                <w:noProof/>
                <w:sz w:val="18"/>
                <w:lang w:val="fr-FR"/>
              </w:rPr>
              <w:t>(Bhange et al., 2015)</w:t>
            </w:r>
            <w:r w:rsidRPr="001A7FC6">
              <w:rPr>
                <w:i/>
                <w:sz w:val="18"/>
              </w:rPr>
              <w:fldChar w:fldCharType="end"/>
            </w:r>
            <w:r w:rsidRPr="001A7FC6">
              <w:rPr>
                <w:i/>
                <w:sz w:val="18"/>
                <w:lang w:val="fr-FR"/>
              </w:rPr>
              <w:t xml:space="preserve">, </w:t>
            </w:r>
            <w:r w:rsidRPr="001A7FC6">
              <w:rPr>
                <w:i/>
                <w:sz w:val="18"/>
                <w:vertAlign w:val="superscript"/>
                <w:lang w:val="fr-FR"/>
              </w:rPr>
              <w:t>3</w:t>
            </w:r>
            <w:r w:rsidRPr="001A7FC6">
              <w:rPr>
                <w:i/>
                <w:sz w:val="18"/>
                <w:lang w:val="fr-FR"/>
              </w:rPr>
              <w:t xml:space="preserve"> </w:t>
            </w:r>
            <w:r w:rsidRPr="001A7FC6">
              <w:rPr>
                <w:i/>
                <w:sz w:val="18"/>
              </w:rPr>
              <w:fldChar w:fldCharType="begin" w:fldLock="1"/>
            </w:r>
            <w:r w:rsidR="00031370" w:rsidRPr="001A7FC6">
              <w:rPr>
                <w:i/>
                <w:sz w:val="18"/>
                <w:lang w:val="fr-FR"/>
              </w:rPr>
              <w:instrText>ADDIN CSL_CITATION {"citationItems":[{"id":"ITEM-1","itemData":{"DOI":"10.1016/j.jenvman.2012.03.043","ISSN":"03014797","abstract":"Landfill avoidance for organic wastes is now a high priority worldwide. Two fractions of the municipal waste stream were considered with respect to their potential for diversion through controlled anaerobic digestion. The physical and chemical properties of source segregated domestic food waste (ss-FW) and of the mechanically-recovered organic fraction of municipal solid waste (mr-OFMSW) were analysed, and their methane yields determined in both batch and semi-continuous digestion. Methane potentials were compared with predicted values based on biochemical composition, elemental analysis and carbon mass balance, and the differences explained by compositional analysis of feedstocks and digestates. The ss-FW had a higher percentage biodegradability and higher energy potential on a dry weight basis due to the high proportion of proteins and fats in this waste, although the energy potential of the mr-OFMSW was slightly higher on a wet weight (WW) basis. The mr-OFMSW showed very stable digestion characteristics, whereas the ss-FW had a high digestate ammoniacal-N concentration and volatile fatty acid accumulation leading to some process instability. Digestates from semi-continuous trials with mr-OFMSW had high concentrations of potentially toxic elements (PTE) and a lower nutrient content than ss-FW digestate, making the former unsuitable for application to land used in food production. © 2012 Elsevier Ltd.","author":[{"dropping-particle":"","family":"Zhang","given":"Yue","non-dropping-particle":"","parse-names":false,"suffix":""},{"dropping-particle":"","family":"Banks","given":"Charles J.","non-dropping-particle":"","parse-names":false,"suffix":""},{"dropping-particle":"","family":"Heaven","given":"Sonia","non-dropping-particle":"","parse-names":false,"suffix":""}],"container-title":"Journal of Environmental Management","id":"ITEM-1","issued":{"date-parts":[["2012"]]},"page":"166-174","publisher":"Elsevier Ltd","title":"Anaerobic digestion of two biodegradable municipal waste streams","type":"article-journal","volume":"104"},"uris":["http://www.mendeley.com/documents/?uuid=dbd72978-ad21-4506-945d-32c9e5b0f7a0"]}],"mendeley":{"formattedCitation":"(Zhang et al., 2012)","plainTextFormattedCitation":"(Zhang et al., 2012)","previouslyFormattedCitation":"(Zhang et al., 2012)"},"properties":{"noteIndex":0},"schema":"https://github.com/citation-style-language/schema/raw/master/csl-citation.json"}</w:instrText>
            </w:r>
            <w:r w:rsidRPr="001A7FC6">
              <w:rPr>
                <w:i/>
                <w:sz w:val="18"/>
              </w:rPr>
              <w:fldChar w:fldCharType="separate"/>
            </w:r>
            <w:r w:rsidR="0014186D" w:rsidRPr="001A7FC6">
              <w:rPr>
                <w:noProof/>
                <w:sz w:val="18"/>
                <w:lang w:val="fr-FR"/>
              </w:rPr>
              <w:t>(Zhang et al., 2012)</w:t>
            </w:r>
            <w:r w:rsidRPr="001A7FC6">
              <w:rPr>
                <w:i/>
                <w:sz w:val="18"/>
              </w:rPr>
              <w:fldChar w:fldCharType="end"/>
            </w:r>
          </w:p>
          <w:p w14:paraId="466225FF" w14:textId="77777777" w:rsidR="005D49AE" w:rsidRPr="001A7FC6" w:rsidRDefault="005D49AE" w:rsidP="005D49AE">
            <w:pPr>
              <w:rPr>
                <w:i/>
                <w:sz w:val="18"/>
                <w:lang w:val="fr-FR"/>
              </w:rPr>
            </w:pPr>
            <w:r w:rsidRPr="001A7FC6">
              <w:rPr>
                <w:i/>
                <w:sz w:val="18"/>
                <w:lang w:val="fr-FR"/>
              </w:rPr>
              <w:t>*</w:t>
            </w:r>
            <w:proofErr w:type="spellStart"/>
            <w:r w:rsidRPr="001A7FC6">
              <w:rPr>
                <w:i/>
                <w:sz w:val="18"/>
                <w:lang w:val="fr-FR"/>
              </w:rPr>
              <w:t>Considers</w:t>
            </w:r>
            <w:proofErr w:type="spellEnd"/>
            <w:r w:rsidRPr="001A7FC6">
              <w:rPr>
                <w:i/>
                <w:sz w:val="18"/>
                <w:lang w:val="fr-FR"/>
              </w:rPr>
              <w:t xml:space="preserve"> the </w:t>
            </w:r>
            <w:proofErr w:type="spellStart"/>
            <w:r w:rsidRPr="001A7FC6">
              <w:rPr>
                <w:i/>
                <w:sz w:val="18"/>
                <w:lang w:val="fr-FR"/>
              </w:rPr>
              <w:t>digestable</w:t>
            </w:r>
            <w:proofErr w:type="spellEnd"/>
            <w:r w:rsidRPr="001A7FC6">
              <w:rPr>
                <w:i/>
                <w:sz w:val="18"/>
                <w:lang w:val="fr-FR"/>
              </w:rPr>
              <w:t xml:space="preserve"> components, i.e. </w:t>
            </w:r>
            <w:proofErr w:type="spellStart"/>
            <w:r w:rsidRPr="001A7FC6">
              <w:rPr>
                <w:i/>
                <w:sz w:val="18"/>
                <w:lang w:val="fr-FR"/>
              </w:rPr>
              <w:t>lignin</w:t>
            </w:r>
            <w:proofErr w:type="spellEnd"/>
            <w:r w:rsidRPr="001A7FC6">
              <w:rPr>
                <w:i/>
                <w:sz w:val="18"/>
                <w:lang w:val="fr-FR"/>
              </w:rPr>
              <w:t xml:space="preserve"> </w:t>
            </w:r>
            <w:proofErr w:type="spellStart"/>
            <w:r w:rsidRPr="001A7FC6">
              <w:rPr>
                <w:i/>
                <w:sz w:val="18"/>
                <w:lang w:val="fr-FR"/>
              </w:rPr>
              <w:t>is</w:t>
            </w:r>
            <w:proofErr w:type="spellEnd"/>
            <w:r w:rsidRPr="001A7FC6">
              <w:rPr>
                <w:i/>
                <w:sz w:val="18"/>
                <w:lang w:val="fr-FR"/>
              </w:rPr>
              <w:t xml:space="preserve"> not </w:t>
            </w:r>
            <w:proofErr w:type="spellStart"/>
            <w:r w:rsidRPr="001A7FC6">
              <w:rPr>
                <w:i/>
                <w:sz w:val="18"/>
                <w:lang w:val="fr-FR"/>
              </w:rPr>
              <w:t>included</w:t>
            </w:r>
            <w:proofErr w:type="spellEnd"/>
          </w:p>
        </w:tc>
      </w:tr>
    </w:tbl>
    <w:p w14:paraId="64019BC6" w14:textId="6C27F886" w:rsidR="005D49AE" w:rsidRPr="001A7FC6" w:rsidRDefault="005D49AE" w:rsidP="005D49AE">
      <w:pPr>
        <w:spacing w:before="240"/>
        <w:rPr>
          <w:rFonts w:eastAsiaTheme="minorEastAsia"/>
        </w:rPr>
      </w:pPr>
      <w:r w:rsidRPr="001A7FC6">
        <w:t>The theoretical biogas production (with an assumed composition of 65% CH</w:t>
      </w:r>
      <w:r w:rsidRPr="001A7FC6">
        <w:rPr>
          <w:vertAlign w:val="subscript"/>
        </w:rPr>
        <w:t>4</w:t>
      </w:r>
      <w:r w:rsidRPr="001A7FC6">
        <w:rPr>
          <w:vertAlign w:val="superscript"/>
        </w:rPr>
        <w:t xml:space="preserve"> </w:t>
      </w:r>
      <w:r w:rsidRPr="001A7FC6">
        <w:t>and 35% CO</w:t>
      </w:r>
      <w:r w:rsidRPr="001A7FC6">
        <w:rPr>
          <w:vertAlign w:val="subscript"/>
        </w:rPr>
        <w:t>2</w:t>
      </w:r>
      <w:r w:rsidRPr="001A7FC6">
        <w:t xml:space="preserve"> (v/v)) was estimated from the chemical oxygen demand (COD), calculated from Eq.</w:t>
      </w:r>
      <w:r w:rsidR="00387CDE" w:rsidRPr="001A7FC6">
        <w:t xml:space="preserve"> </w:t>
      </w:r>
      <w:r w:rsidRPr="001A7FC6">
        <w:fldChar w:fldCharType="begin"/>
      </w:r>
      <w:r w:rsidRPr="001A7FC6">
        <w:instrText xml:space="preserve"> REF _Ref15298255 \h  \* MERGEFORMAT </w:instrText>
      </w:r>
      <w:r w:rsidRPr="001A7FC6">
        <w:fldChar w:fldCharType="separate"/>
      </w:r>
      <w:r w:rsidR="00890150" w:rsidRPr="001A7FC6">
        <w:t>(</w:t>
      </w:r>
      <w:r w:rsidR="00890150" w:rsidRPr="001A7FC6">
        <w:rPr>
          <w:noProof/>
        </w:rPr>
        <w:t>S14</w:t>
      </w:r>
      <w:r w:rsidR="00890150" w:rsidRPr="001A7FC6">
        <w:t>)</w:t>
      </w:r>
      <w:r w:rsidRPr="001A7FC6">
        <w:fldChar w:fldCharType="end"/>
      </w:r>
      <w:r w:rsidRPr="001A7FC6">
        <w:t xml:space="preserve"> </w:t>
      </w:r>
      <w:r w:rsidRPr="001A7FC6">
        <w:fldChar w:fldCharType="begin" w:fldLock="1"/>
      </w:r>
      <w:r w:rsidR="00031370" w:rsidRPr="001A7FC6">
        <w:instrText>ADDIN CSL_CITATION {"citationItems":[{"id":"ITEM-1","itemData":{"DOI":"10.1016/j.algal.2015.12.017","ISSN":"22119264","abstract":"Microalgae are known to be an important feedstock not just for biofuel but also for biochemical production. In this investigation we utilise a cradle-to-biorefinery-gate attributional LCA (aLCA) methodology to evaluate the environmental impacts of Nannochloropsis sp. derived algal biocrude production. A database of primary experimental data for continuous fast Hydrothermal Liquefaction (HTL) and Hydrotreating (HDT) is combined with secondary data from literature to investigate the overall environmental profiles of cultivation, dewatering, HTL and HDT for various scenarios based on the energy generation mix of 5 countries (Brazil, UK, Spain, China and Australia) as well as a comparison with fossil crude. The investigation found that Brazil delivers best environmental profiles for all scenarios, primarily due to its significant contribution from hydropower. Furthermore, the cultivation and HTL processes account for nearly 90% of environmental burdens whereas dewatering and HDT only contribute less than 8%. The research findings highlight the importance of the several factors on the resulting 3G biofuel profiling e.g. energy resource, processing technology choice and the co-product(s) and emissions profiling methodology. Algal biocrude is still undergoing research and development compared to the well-developed fossil crude industry. Via integration and optimisation at process and value chain levels, algae-derived biocrude has the potential to deliver an environmentally sustainable alternative to the fossil crude, provided that the energy input for processing is from a renewable source.","author":[{"dropping-particle":"","family":"Patel","given":"Bhavish","non-dropping-particle":"","parse-names":false,"suffix":""},{"dropping-particle":"","family":"Guo","given":"Miao","non-dropping-particle":"","parse-names":false,"suffix":""},{"dropping-particle":"","family":"Shah","given":"Nilay","non-dropping-particle":"","parse-names":false,"suffix":""},{"dropping-particle":"","family":"Hellgardt","given":"Klaus","non-dropping-particle":"","parse-names":false,"suffix":""}],"container-title":"Algal Research","id":"ITEM-1","issued":{"date-parts":[["2016"]]},"page":"127-140","title":"Environmental profile of algal Hydrothermal Liquefaction - A country specific case study","type":"article-journal","volume":"16"},"uris":["http://www.mendeley.com/documents/?uuid=43591b81-8384-4d8c-9754-75f9e75ed914"]}],"mendeley":{"formattedCitation":"(Patel et al., 2016)","plainTextFormattedCitation":"(Patel et al., 2016)","previouslyFormattedCitation":"(Patel et al., 2016)"},"properties":{"noteIndex":0},"schema":"https://github.com/citation-style-language/schema/raw/master/csl-citation.json"}</w:instrText>
      </w:r>
      <w:r w:rsidRPr="001A7FC6">
        <w:fldChar w:fldCharType="separate"/>
      </w:r>
      <w:r w:rsidRPr="001A7FC6">
        <w:rPr>
          <w:noProof/>
        </w:rPr>
        <w:t>(Patel et al., 2016)</w:t>
      </w:r>
      <w:r w:rsidRPr="001A7FC6">
        <w:fldChar w:fldCharType="end"/>
      </w:r>
      <w:r w:rsidRPr="001A7FC6">
        <w:t xml:space="preserve">. For a given chemical species with elemental composition of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n</m:t>
            </m:r>
          </m:sub>
        </m:sSub>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a</m:t>
            </m:r>
          </m:sub>
        </m:sSub>
        <m:sSub>
          <m:sSubPr>
            <m:ctrlPr>
              <w:rPr>
                <w:rFonts w:ascii="Cambria Math" w:eastAsiaTheme="minorEastAsia" w:hAnsi="Cambria Math"/>
                <w:i/>
              </w:rPr>
            </m:ctrlPr>
          </m:sSubPr>
          <m:e>
            <m:r>
              <w:rPr>
                <w:rFonts w:ascii="Cambria Math" w:eastAsiaTheme="minorEastAsia" w:hAnsi="Cambria Math"/>
              </w:rPr>
              <m:t>O</m:t>
            </m:r>
          </m:e>
          <m:sub>
            <m:r>
              <w:rPr>
                <w:rFonts w:ascii="Cambria Math" w:eastAsiaTheme="minorEastAsia" w:hAnsi="Cambria Math"/>
              </w:rPr>
              <m:t>b</m:t>
            </m:r>
          </m:sub>
        </m:sSub>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c</m:t>
            </m:r>
          </m:sub>
        </m:sSub>
        <m:r>
          <w:rPr>
            <w:rFonts w:ascii="Cambria Math" w:eastAsiaTheme="minorEastAsia" w:hAnsi="Cambria Math"/>
          </w:rPr>
          <m:t xml:space="preserve"> </m:t>
        </m:r>
      </m:oMath>
      <w:r w:rsidRPr="001A7FC6">
        <w:rPr>
          <w:rFonts w:eastAsiaTheme="minorEastAsia"/>
        </w:rPr>
        <w:t>(1 mol).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799"/>
      </w:tblGrid>
      <w:tr w:rsidR="005D49AE" w:rsidRPr="001A7FC6" w14:paraId="1885BF6A" w14:textId="77777777" w:rsidTr="005D49AE">
        <w:tc>
          <w:tcPr>
            <w:tcW w:w="8217" w:type="dxa"/>
          </w:tcPr>
          <w:p w14:paraId="2CC1F9B6" w14:textId="77777777" w:rsidR="005D49AE" w:rsidRPr="001A7FC6" w:rsidRDefault="005D49AE" w:rsidP="005D49AE">
            <w:pPr>
              <w:rPr>
                <w:rFonts w:eastAsiaTheme="minorEastAsia"/>
              </w:rPr>
            </w:pPr>
            <m:oMathPara>
              <m:oMath>
                <m:r>
                  <w:rPr>
                    <w:rFonts w:ascii="Cambria Math" w:hAnsi="Cambria Math"/>
                  </w:rPr>
                  <m:t>COD=</m:t>
                </m:r>
                <m:f>
                  <m:fPr>
                    <m:ctrlPr>
                      <w:rPr>
                        <w:rFonts w:ascii="Cambria Math" w:hAnsi="Cambria Math"/>
                        <w:i/>
                      </w:rPr>
                    </m:ctrlPr>
                  </m:fPr>
                  <m:num>
                    <m:r>
                      <w:rPr>
                        <w:rFonts w:ascii="Cambria Math" w:hAnsi="Cambria Math"/>
                      </w:rPr>
                      <m:t>2n+(a-3×c)/2-b</m:t>
                    </m:r>
                  </m:num>
                  <m:den>
                    <m:r>
                      <w:rPr>
                        <w:rFonts w:ascii="Cambria Math" w:hAnsi="Cambria Math"/>
                      </w:rPr>
                      <m:t>2</m:t>
                    </m:r>
                  </m:den>
                </m:f>
                <m:r>
                  <w:rPr>
                    <w:rFonts w:ascii="Cambria Math" w:hAnsi="Cambria Math"/>
                  </w:rPr>
                  <m:t xml:space="preserve">32g </m:t>
                </m:r>
                <m:sSub>
                  <m:sSubPr>
                    <m:ctrlPr>
                      <w:rPr>
                        <w:rFonts w:ascii="Cambria Math" w:hAnsi="Cambria Math"/>
                        <w:i/>
                      </w:rPr>
                    </m:ctrlPr>
                  </m:sSubPr>
                  <m:e>
                    <m:r>
                      <w:rPr>
                        <w:rFonts w:ascii="Cambria Math" w:hAnsi="Cambria Math"/>
                      </w:rPr>
                      <m:t>O</m:t>
                    </m:r>
                  </m:e>
                  <m:sub>
                    <m:r>
                      <w:rPr>
                        <w:rFonts w:ascii="Cambria Math" w:hAnsi="Cambria Math"/>
                      </w:rPr>
                      <m:t>2</m:t>
                    </m:r>
                  </m:sub>
                </m:sSub>
              </m:oMath>
            </m:oMathPara>
          </w:p>
          <w:p w14:paraId="28957B7B" w14:textId="77777777" w:rsidR="005D49AE" w:rsidRPr="001A7FC6" w:rsidRDefault="005D49AE" w:rsidP="005D49AE"/>
        </w:tc>
        <w:tc>
          <w:tcPr>
            <w:tcW w:w="799" w:type="dxa"/>
          </w:tcPr>
          <w:p w14:paraId="09AEF8A6" w14:textId="2BF5995D" w:rsidR="005D49AE" w:rsidRPr="001A7FC6" w:rsidRDefault="005D49AE" w:rsidP="005D49AE">
            <w:bookmarkStart w:id="33" w:name="_Ref15396403"/>
            <w:bookmarkStart w:id="34" w:name="_Ref15298255"/>
            <w:r w:rsidRPr="001A7FC6">
              <w:t>(</w:t>
            </w:r>
            <w:r w:rsidR="00872DA0" w:rsidRPr="001A7FC6">
              <w:t>S</w:t>
            </w:r>
            <w:r w:rsidRPr="001A7FC6">
              <w:rPr>
                <w:noProof/>
              </w:rPr>
              <w:fldChar w:fldCharType="begin"/>
            </w:r>
            <w:r w:rsidRPr="001A7FC6">
              <w:rPr>
                <w:noProof/>
              </w:rPr>
              <w:instrText xml:space="preserve"> SEQ Equation \* ARABIC </w:instrText>
            </w:r>
            <w:r w:rsidRPr="001A7FC6">
              <w:rPr>
                <w:noProof/>
              </w:rPr>
              <w:fldChar w:fldCharType="separate"/>
            </w:r>
            <w:r w:rsidR="00890150" w:rsidRPr="001A7FC6">
              <w:rPr>
                <w:noProof/>
              </w:rPr>
              <w:t>14</w:t>
            </w:r>
            <w:r w:rsidRPr="001A7FC6">
              <w:rPr>
                <w:noProof/>
              </w:rPr>
              <w:fldChar w:fldCharType="end"/>
            </w:r>
            <w:bookmarkEnd w:id="33"/>
            <w:r w:rsidRPr="001A7FC6">
              <w:t>)</w:t>
            </w:r>
            <w:bookmarkEnd w:id="34"/>
          </w:p>
        </w:tc>
      </w:tr>
    </w:tbl>
    <w:p w14:paraId="5E0D0771" w14:textId="09798739" w:rsidR="005D49AE" w:rsidRPr="001A7FC6" w:rsidRDefault="005D49AE" w:rsidP="005D49AE">
      <w:r w:rsidRPr="001A7FC6">
        <w:t>Each  mole of CH</w:t>
      </w:r>
      <w:r w:rsidRPr="001A7FC6">
        <w:rPr>
          <w:sz w:val="20"/>
        </w:rPr>
        <w:t>4</w:t>
      </w:r>
      <w:r w:rsidRPr="001A7FC6">
        <w:t xml:space="preserve"> consumes two moles of oxygen, implying that 1g COD destruction is equivalent to 0.35L CH4 at 0°C and 760mm Hg pressure (STP) or 0.395L CH4 at 35°C and one atmosphere </w:t>
      </w:r>
      <w:r w:rsidRPr="001A7FC6">
        <w:fldChar w:fldCharType="begin" w:fldLock="1"/>
      </w:r>
      <w:r w:rsidR="00031370" w:rsidRPr="001A7FC6">
        <w:instrText>ADDIN CSL_CITATION {"citationItems":[{"id":"ITEM-1","itemData":{"author":[{"dropping-particle":"","family":"Speece","given":"Richard E.","non-dropping-particle":"","parse-names":false,"suffix":""}],"container-title":"Anaerobic Biotechnology for Industrial Wastewaters,","id":"ITEM-1","issued":{"date-parts":[["1996"]]},"page":"53","publisher":"Archae Press","publisher-place":"Nashville,Tennessee","title":"Anaerobic Biotechnology for Industrial Wastewaters","type":"chapter"},"uris":["http://www.mendeley.com/documents/?uuid=89c69b7d-b868-421b-8ec8-b72eb2684a24"]}],"mendeley":{"formattedCitation":"(Speece, 1996)","plainTextFormattedCitation":"(Speece, 1996)","previouslyFormattedCitation":"(Speece, 1996)"},"properties":{"noteIndex":0},"schema":"https://github.com/citation-style-language/schema/raw/master/csl-citation.json"}</w:instrText>
      </w:r>
      <w:r w:rsidRPr="001A7FC6">
        <w:fldChar w:fldCharType="separate"/>
      </w:r>
      <w:r w:rsidRPr="001A7FC6">
        <w:rPr>
          <w:noProof/>
        </w:rPr>
        <w:t>(Speece, 1996)</w:t>
      </w:r>
      <w:r w:rsidRPr="001A7FC6">
        <w:fldChar w:fldCharType="end"/>
      </w:r>
      <w:r w:rsidRPr="001A7FC6">
        <w:t xml:space="preserve">. The results for COD present in the waste influents and the biogas produced from these are presented in </w:t>
      </w:r>
      <w:r w:rsidRPr="001A7FC6">
        <w:fldChar w:fldCharType="begin"/>
      </w:r>
      <w:r w:rsidRPr="001A7FC6">
        <w:instrText xml:space="preserve"> REF _Ref15411391 \h </w:instrText>
      </w:r>
      <w:r w:rsidR="001A7FC6">
        <w:instrText xml:space="preserve"> \* MERGEFORMAT </w:instrText>
      </w:r>
      <w:r w:rsidRPr="001A7FC6">
        <w:fldChar w:fldCharType="separate"/>
      </w:r>
      <w:r w:rsidR="00890150" w:rsidRPr="001A7FC6">
        <w:rPr>
          <w:color w:val="000000" w:themeColor="text1"/>
        </w:rPr>
        <w:t>Table S</w:t>
      </w:r>
      <w:r w:rsidR="00890150" w:rsidRPr="001A7FC6">
        <w:rPr>
          <w:noProof/>
          <w:color w:val="000000" w:themeColor="text1"/>
        </w:rPr>
        <w:t>5</w:t>
      </w:r>
      <w:r w:rsidRPr="001A7FC6">
        <w:fldChar w:fldCharType="end"/>
      </w:r>
      <w:r w:rsidR="009E6A3D" w:rsidRPr="001A7FC6">
        <w:t>.</w:t>
      </w:r>
    </w:p>
    <w:p w14:paraId="34E37443" w14:textId="77777777" w:rsidR="005D49AE" w:rsidRPr="001A7FC6" w:rsidRDefault="005D49AE" w:rsidP="005D49AE">
      <w:pPr>
        <w:pStyle w:val="Caption"/>
        <w:keepNext/>
        <w:spacing w:after="0" w:line="360" w:lineRule="auto"/>
        <w:rPr>
          <w:color w:val="000000" w:themeColor="text1"/>
        </w:rPr>
      </w:pPr>
    </w:p>
    <w:p w14:paraId="14EFEBA2" w14:textId="74348552" w:rsidR="005D49AE" w:rsidRPr="001A7FC6" w:rsidRDefault="005D49AE" w:rsidP="005D49AE">
      <w:pPr>
        <w:pStyle w:val="Caption"/>
        <w:keepNext/>
        <w:spacing w:after="0"/>
        <w:rPr>
          <w:color w:val="000000" w:themeColor="text1"/>
        </w:rPr>
      </w:pPr>
      <w:bookmarkStart w:id="35" w:name="_Ref15411391"/>
      <w:r w:rsidRPr="001A7FC6">
        <w:rPr>
          <w:color w:val="000000" w:themeColor="text1"/>
        </w:rPr>
        <w:t xml:space="preserve">Table </w:t>
      </w:r>
      <w:r w:rsidR="00FF2AAF" w:rsidRPr="001A7FC6">
        <w:rPr>
          <w:color w:val="000000" w:themeColor="text1"/>
        </w:rPr>
        <w:t>S</w:t>
      </w:r>
      <w:r w:rsidRPr="001A7FC6">
        <w:rPr>
          <w:color w:val="000000" w:themeColor="text1"/>
        </w:rPr>
        <w:fldChar w:fldCharType="begin"/>
      </w:r>
      <w:r w:rsidRPr="001A7FC6">
        <w:rPr>
          <w:color w:val="000000" w:themeColor="text1"/>
        </w:rPr>
        <w:instrText xml:space="preserve"> SEQ Table \* ARABIC </w:instrText>
      </w:r>
      <w:r w:rsidRPr="001A7FC6">
        <w:rPr>
          <w:color w:val="000000" w:themeColor="text1"/>
        </w:rPr>
        <w:fldChar w:fldCharType="separate"/>
      </w:r>
      <w:r w:rsidR="00890150" w:rsidRPr="001A7FC6">
        <w:rPr>
          <w:noProof/>
          <w:color w:val="000000" w:themeColor="text1"/>
        </w:rPr>
        <w:t>5</w:t>
      </w:r>
      <w:r w:rsidRPr="001A7FC6">
        <w:rPr>
          <w:color w:val="000000" w:themeColor="text1"/>
        </w:rPr>
        <w:fldChar w:fldCharType="end"/>
      </w:r>
      <w:bookmarkEnd w:id="35"/>
      <w:r w:rsidRPr="001A7FC6">
        <w:rPr>
          <w:color w:val="000000" w:themeColor="text1"/>
        </w:rPr>
        <w:t>: Density, TS% and calculated COD and biogas production for the pertinent inflows</w:t>
      </w:r>
    </w:p>
    <w:tbl>
      <w:tblPr>
        <w:tblStyle w:val="TableGrid"/>
        <w:tblW w:w="0" w:type="auto"/>
        <w:tblLook w:val="04A0" w:firstRow="1" w:lastRow="0" w:firstColumn="1" w:lastColumn="0" w:noHBand="0" w:noVBand="1"/>
      </w:tblPr>
      <w:tblGrid>
        <w:gridCol w:w="1715"/>
        <w:gridCol w:w="1682"/>
        <w:gridCol w:w="1446"/>
        <w:gridCol w:w="1256"/>
        <w:gridCol w:w="1352"/>
        <w:gridCol w:w="1575"/>
      </w:tblGrid>
      <w:tr w:rsidR="005D49AE" w:rsidRPr="001A7FC6" w14:paraId="62D2AF7A" w14:textId="77777777" w:rsidTr="005D49AE">
        <w:tc>
          <w:tcPr>
            <w:tcW w:w="0" w:type="auto"/>
            <w:tcBorders>
              <w:top w:val="single" w:sz="4" w:space="0" w:color="auto"/>
              <w:left w:val="nil"/>
              <w:bottom w:val="single" w:sz="4" w:space="0" w:color="auto"/>
              <w:right w:val="nil"/>
            </w:tcBorders>
          </w:tcPr>
          <w:p w14:paraId="532F6FA8" w14:textId="77777777" w:rsidR="005D49AE" w:rsidRPr="001A7FC6" w:rsidRDefault="005D49AE" w:rsidP="005D49AE">
            <w:pPr>
              <w:spacing w:line="276" w:lineRule="auto"/>
              <w:rPr>
                <w:b/>
                <w:sz w:val="18"/>
              </w:rPr>
            </w:pPr>
            <w:r w:rsidRPr="001A7FC6">
              <w:rPr>
                <w:b/>
                <w:sz w:val="18"/>
              </w:rPr>
              <w:t>Waste</w:t>
            </w:r>
          </w:p>
        </w:tc>
        <w:tc>
          <w:tcPr>
            <w:tcW w:w="0" w:type="auto"/>
            <w:tcBorders>
              <w:top w:val="single" w:sz="4" w:space="0" w:color="auto"/>
              <w:left w:val="nil"/>
              <w:bottom w:val="single" w:sz="4" w:space="0" w:color="auto"/>
              <w:right w:val="nil"/>
            </w:tcBorders>
          </w:tcPr>
          <w:p w14:paraId="5DDB56A6" w14:textId="77777777" w:rsidR="005D49AE" w:rsidRPr="001A7FC6" w:rsidRDefault="005D49AE" w:rsidP="005D49AE">
            <w:pPr>
              <w:spacing w:line="276" w:lineRule="auto"/>
              <w:jc w:val="center"/>
              <w:rPr>
                <w:b/>
                <w:sz w:val="18"/>
              </w:rPr>
            </w:pPr>
            <w:r w:rsidRPr="001A7FC6">
              <w:rPr>
                <w:b/>
                <w:sz w:val="18"/>
              </w:rPr>
              <w:t>Density (kg m</w:t>
            </w:r>
            <w:r w:rsidRPr="001A7FC6">
              <w:rPr>
                <w:b/>
                <w:sz w:val="18"/>
                <w:vertAlign w:val="superscript"/>
              </w:rPr>
              <w:t>-3</w:t>
            </w:r>
            <w:r w:rsidRPr="001A7FC6">
              <w:rPr>
                <w:b/>
                <w:sz w:val="18"/>
              </w:rPr>
              <w:t>)</w:t>
            </w:r>
          </w:p>
        </w:tc>
        <w:tc>
          <w:tcPr>
            <w:tcW w:w="0" w:type="auto"/>
            <w:tcBorders>
              <w:top w:val="single" w:sz="4" w:space="0" w:color="auto"/>
              <w:left w:val="nil"/>
              <w:bottom w:val="single" w:sz="4" w:space="0" w:color="auto"/>
              <w:right w:val="nil"/>
            </w:tcBorders>
          </w:tcPr>
          <w:p w14:paraId="4297F73F" w14:textId="77777777" w:rsidR="005D49AE" w:rsidRPr="001A7FC6" w:rsidRDefault="005D49AE" w:rsidP="005D49AE">
            <w:pPr>
              <w:spacing w:line="276" w:lineRule="auto"/>
              <w:jc w:val="center"/>
              <w:rPr>
                <w:b/>
                <w:sz w:val="18"/>
              </w:rPr>
            </w:pPr>
            <w:r w:rsidRPr="001A7FC6">
              <w:rPr>
                <w:b/>
                <w:sz w:val="18"/>
              </w:rPr>
              <w:t>TS/TDS (%)</w:t>
            </w:r>
          </w:p>
        </w:tc>
        <w:tc>
          <w:tcPr>
            <w:tcW w:w="0" w:type="auto"/>
            <w:tcBorders>
              <w:top w:val="single" w:sz="4" w:space="0" w:color="auto"/>
              <w:left w:val="nil"/>
              <w:bottom w:val="single" w:sz="4" w:space="0" w:color="auto"/>
              <w:right w:val="nil"/>
            </w:tcBorders>
          </w:tcPr>
          <w:p w14:paraId="5AF4F6AA" w14:textId="77777777" w:rsidR="005D49AE" w:rsidRPr="001A7FC6" w:rsidRDefault="005D49AE" w:rsidP="005D49AE">
            <w:pPr>
              <w:spacing w:line="276" w:lineRule="auto"/>
              <w:jc w:val="center"/>
              <w:rPr>
                <w:b/>
                <w:sz w:val="18"/>
              </w:rPr>
            </w:pPr>
            <w:r w:rsidRPr="001A7FC6">
              <w:rPr>
                <w:b/>
                <w:sz w:val="18"/>
              </w:rPr>
              <w:t>COD (g L</w:t>
            </w:r>
            <w:r w:rsidRPr="001A7FC6">
              <w:rPr>
                <w:b/>
                <w:sz w:val="18"/>
                <w:vertAlign w:val="superscript"/>
              </w:rPr>
              <w:t>-1</w:t>
            </w:r>
            <w:r w:rsidRPr="001A7FC6">
              <w:rPr>
                <w:b/>
                <w:sz w:val="18"/>
              </w:rPr>
              <w:t>)</w:t>
            </w:r>
          </w:p>
        </w:tc>
        <w:tc>
          <w:tcPr>
            <w:tcW w:w="0" w:type="auto"/>
            <w:tcBorders>
              <w:top w:val="single" w:sz="4" w:space="0" w:color="auto"/>
              <w:left w:val="nil"/>
              <w:bottom w:val="single" w:sz="4" w:space="0" w:color="auto"/>
              <w:right w:val="nil"/>
            </w:tcBorders>
          </w:tcPr>
          <w:p w14:paraId="02A7BC3E" w14:textId="77777777" w:rsidR="005D49AE" w:rsidRPr="001A7FC6" w:rsidRDefault="005D49AE" w:rsidP="005D49AE">
            <w:pPr>
              <w:spacing w:line="276" w:lineRule="auto"/>
              <w:jc w:val="center"/>
              <w:rPr>
                <w:b/>
                <w:sz w:val="18"/>
              </w:rPr>
            </w:pPr>
            <w:r w:rsidRPr="001A7FC6">
              <w:rPr>
                <w:b/>
                <w:sz w:val="18"/>
              </w:rPr>
              <w:t xml:space="preserve">COD (g </w:t>
            </w:r>
            <w:proofErr w:type="gramStart"/>
            <w:r w:rsidRPr="001A7FC6">
              <w:rPr>
                <w:b/>
                <w:sz w:val="18"/>
              </w:rPr>
              <w:t>kg</w:t>
            </w:r>
            <w:r w:rsidRPr="001A7FC6">
              <w:rPr>
                <w:b/>
                <w:sz w:val="18"/>
                <w:vertAlign w:val="superscript"/>
              </w:rPr>
              <w:t>-1</w:t>
            </w:r>
            <w:proofErr w:type="gramEnd"/>
            <w:r w:rsidRPr="001A7FC6">
              <w:rPr>
                <w:b/>
                <w:sz w:val="18"/>
              </w:rPr>
              <w:t>)</w:t>
            </w:r>
          </w:p>
        </w:tc>
        <w:tc>
          <w:tcPr>
            <w:tcW w:w="0" w:type="auto"/>
            <w:tcBorders>
              <w:top w:val="single" w:sz="4" w:space="0" w:color="auto"/>
              <w:left w:val="nil"/>
              <w:bottom w:val="single" w:sz="4" w:space="0" w:color="auto"/>
              <w:right w:val="nil"/>
            </w:tcBorders>
          </w:tcPr>
          <w:p w14:paraId="77ED39E3" w14:textId="77777777" w:rsidR="005D49AE" w:rsidRPr="001A7FC6" w:rsidRDefault="005D49AE" w:rsidP="005D49AE">
            <w:pPr>
              <w:spacing w:line="276" w:lineRule="auto"/>
              <w:jc w:val="center"/>
              <w:rPr>
                <w:b/>
                <w:sz w:val="18"/>
              </w:rPr>
            </w:pPr>
            <w:r w:rsidRPr="001A7FC6">
              <w:rPr>
                <w:b/>
                <w:sz w:val="18"/>
              </w:rPr>
              <w:t xml:space="preserve">Biogas (L </w:t>
            </w:r>
            <w:proofErr w:type="gramStart"/>
            <w:r w:rsidRPr="001A7FC6">
              <w:rPr>
                <w:b/>
                <w:sz w:val="18"/>
              </w:rPr>
              <w:t>kg</w:t>
            </w:r>
            <w:r w:rsidRPr="001A7FC6">
              <w:rPr>
                <w:b/>
                <w:sz w:val="18"/>
                <w:vertAlign w:val="superscript"/>
              </w:rPr>
              <w:t>-1</w:t>
            </w:r>
            <w:proofErr w:type="gramEnd"/>
            <w:r w:rsidRPr="001A7FC6">
              <w:rPr>
                <w:b/>
                <w:sz w:val="18"/>
              </w:rPr>
              <w:t>)</w:t>
            </w:r>
          </w:p>
        </w:tc>
      </w:tr>
      <w:tr w:rsidR="005D49AE" w:rsidRPr="001A7FC6" w14:paraId="4B209317" w14:textId="77777777" w:rsidTr="005D49AE">
        <w:tc>
          <w:tcPr>
            <w:tcW w:w="0" w:type="auto"/>
            <w:tcBorders>
              <w:top w:val="single" w:sz="4" w:space="0" w:color="auto"/>
              <w:left w:val="nil"/>
              <w:bottom w:val="nil"/>
              <w:right w:val="nil"/>
            </w:tcBorders>
          </w:tcPr>
          <w:p w14:paraId="47A2CF62" w14:textId="77777777" w:rsidR="005D49AE" w:rsidRPr="001A7FC6" w:rsidRDefault="005D49AE" w:rsidP="005D49AE">
            <w:pPr>
              <w:spacing w:line="276" w:lineRule="auto"/>
              <w:rPr>
                <w:sz w:val="18"/>
              </w:rPr>
            </w:pPr>
            <w:r w:rsidRPr="001A7FC6">
              <w:rPr>
                <w:sz w:val="18"/>
              </w:rPr>
              <w:t>Food</w:t>
            </w:r>
          </w:p>
        </w:tc>
        <w:tc>
          <w:tcPr>
            <w:tcW w:w="0" w:type="auto"/>
            <w:tcBorders>
              <w:top w:val="single" w:sz="4" w:space="0" w:color="auto"/>
              <w:left w:val="nil"/>
              <w:bottom w:val="nil"/>
              <w:right w:val="nil"/>
            </w:tcBorders>
          </w:tcPr>
          <w:p w14:paraId="4BFACA4D" w14:textId="77777777" w:rsidR="005D49AE" w:rsidRPr="001A7FC6" w:rsidRDefault="005D49AE" w:rsidP="005D49AE">
            <w:pPr>
              <w:spacing w:line="276" w:lineRule="auto"/>
              <w:jc w:val="center"/>
              <w:rPr>
                <w:sz w:val="18"/>
                <w:vertAlign w:val="superscript"/>
              </w:rPr>
            </w:pPr>
            <w:r w:rsidRPr="001A7FC6">
              <w:rPr>
                <w:sz w:val="18"/>
              </w:rPr>
              <w:t>811.60</w:t>
            </w:r>
            <w:r w:rsidRPr="001A7FC6">
              <w:rPr>
                <w:sz w:val="18"/>
                <w:vertAlign w:val="superscript"/>
              </w:rPr>
              <w:t>1</w:t>
            </w:r>
          </w:p>
        </w:tc>
        <w:tc>
          <w:tcPr>
            <w:tcW w:w="0" w:type="auto"/>
            <w:tcBorders>
              <w:top w:val="single" w:sz="4" w:space="0" w:color="auto"/>
              <w:left w:val="nil"/>
              <w:bottom w:val="nil"/>
              <w:right w:val="nil"/>
            </w:tcBorders>
          </w:tcPr>
          <w:p w14:paraId="6F2FD4CB" w14:textId="77777777" w:rsidR="005D49AE" w:rsidRPr="001A7FC6" w:rsidRDefault="005D49AE" w:rsidP="005D49AE">
            <w:pPr>
              <w:spacing w:line="276" w:lineRule="auto"/>
              <w:jc w:val="center"/>
              <w:rPr>
                <w:sz w:val="18"/>
                <w:vertAlign w:val="superscript"/>
              </w:rPr>
            </w:pPr>
            <w:r w:rsidRPr="001A7FC6">
              <w:rPr>
                <w:sz w:val="18"/>
              </w:rPr>
              <w:t xml:space="preserve">25.7 </w:t>
            </w:r>
            <w:r w:rsidRPr="001A7FC6">
              <w:rPr>
                <w:sz w:val="18"/>
                <w:vertAlign w:val="superscript"/>
              </w:rPr>
              <w:t>3</w:t>
            </w:r>
          </w:p>
        </w:tc>
        <w:tc>
          <w:tcPr>
            <w:tcW w:w="0" w:type="auto"/>
            <w:tcBorders>
              <w:top w:val="single" w:sz="4" w:space="0" w:color="auto"/>
              <w:left w:val="nil"/>
              <w:bottom w:val="nil"/>
              <w:right w:val="nil"/>
            </w:tcBorders>
          </w:tcPr>
          <w:p w14:paraId="1903745F" w14:textId="77777777" w:rsidR="005D49AE" w:rsidRPr="001A7FC6" w:rsidRDefault="005D49AE" w:rsidP="005D49AE">
            <w:pPr>
              <w:spacing w:line="276" w:lineRule="auto"/>
              <w:jc w:val="center"/>
              <w:rPr>
                <w:sz w:val="18"/>
              </w:rPr>
            </w:pPr>
            <w:r w:rsidRPr="001A7FC6">
              <w:rPr>
                <w:sz w:val="18"/>
              </w:rPr>
              <w:t>267.0</w:t>
            </w:r>
          </w:p>
        </w:tc>
        <w:tc>
          <w:tcPr>
            <w:tcW w:w="0" w:type="auto"/>
            <w:tcBorders>
              <w:top w:val="single" w:sz="4" w:space="0" w:color="auto"/>
              <w:left w:val="nil"/>
              <w:bottom w:val="nil"/>
              <w:right w:val="nil"/>
            </w:tcBorders>
          </w:tcPr>
          <w:p w14:paraId="34942778" w14:textId="77777777" w:rsidR="005D49AE" w:rsidRPr="001A7FC6" w:rsidRDefault="005D49AE" w:rsidP="005D49AE">
            <w:pPr>
              <w:spacing w:line="276" w:lineRule="auto"/>
              <w:jc w:val="center"/>
              <w:rPr>
                <w:sz w:val="18"/>
              </w:rPr>
            </w:pPr>
            <w:r w:rsidRPr="001A7FC6">
              <w:rPr>
                <w:sz w:val="18"/>
              </w:rPr>
              <w:t>329.2</w:t>
            </w:r>
          </w:p>
        </w:tc>
        <w:tc>
          <w:tcPr>
            <w:tcW w:w="0" w:type="auto"/>
            <w:tcBorders>
              <w:top w:val="single" w:sz="4" w:space="0" w:color="auto"/>
              <w:left w:val="nil"/>
              <w:bottom w:val="nil"/>
              <w:right w:val="nil"/>
            </w:tcBorders>
          </w:tcPr>
          <w:p w14:paraId="32BB00F5" w14:textId="77777777" w:rsidR="005D49AE" w:rsidRPr="001A7FC6" w:rsidRDefault="005D49AE" w:rsidP="005D49AE">
            <w:pPr>
              <w:spacing w:line="276" w:lineRule="auto"/>
              <w:jc w:val="center"/>
              <w:rPr>
                <w:sz w:val="18"/>
              </w:rPr>
            </w:pPr>
            <w:r w:rsidRPr="001A7FC6">
              <w:rPr>
                <w:sz w:val="18"/>
              </w:rPr>
              <w:t>170.1</w:t>
            </w:r>
          </w:p>
        </w:tc>
      </w:tr>
      <w:tr w:rsidR="005D49AE" w:rsidRPr="001A7FC6" w14:paraId="6024FAD1" w14:textId="77777777" w:rsidTr="005D49AE">
        <w:tc>
          <w:tcPr>
            <w:tcW w:w="0" w:type="auto"/>
            <w:tcBorders>
              <w:top w:val="nil"/>
              <w:left w:val="nil"/>
              <w:bottom w:val="nil"/>
              <w:right w:val="nil"/>
            </w:tcBorders>
          </w:tcPr>
          <w:p w14:paraId="3BB7BC43" w14:textId="77777777" w:rsidR="005D49AE" w:rsidRPr="001A7FC6" w:rsidRDefault="005D49AE" w:rsidP="005D49AE">
            <w:pPr>
              <w:spacing w:line="276" w:lineRule="auto"/>
              <w:rPr>
                <w:sz w:val="18"/>
              </w:rPr>
            </w:pPr>
            <w:r w:rsidRPr="001A7FC6">
              <w:rPr>
                <w:sz w:val="18"/>
              </w:rPr>
              <w:t>Garden</w:t>
            </w:r>
          </w:p>
        </w:tc>
        <w:tc>
          <w:tcPr>
            <w:tcW w:w="0" w:type="auto"/>
            <w:tcBorders>
              <w:top w:val="nil"/>
              <w:left w:val="nil"/>
              <w:bottom w:val="nil"/>
              <w:right w:val="nil"/>
            </w:tcBorders>
          </w:tcPr>
          <w:p w14:paraId="12BE2731" w14:textId="77777777" w:rsidR="005D49AE" w:rsidRPr="001A7FC6" w:rsidRDefault="005D49AE" w:rsidP="005D49AE">
            <w:pPr>
              <w:spacing w:line="276" w:lineRule="auto"/>
              <w:jc w:val="center"/>
              <w:rPr>
                <w:sz w:val="18"/>
                <w:vertAlign w:val="superscript"/>
              </w:rPr>
            </w:pPr>
            <w:r w:rsidRPr="001A7FC6">
              <w:rPr>
                <w:sz w:val="18"/>
              </w:rPr>
              <w:t xml:space="preserve">379.70 </w:t>
            </w:r>
            <w:r w:rsidRPr="001A7FC6">
              <w:rPr>
                <w:sz w:val="18"/>
                <w:vertAlign w:val="superscript"/>
              </w:rPr>
              <w:t>1</w:t>
            </w:r>
          </w:p>
        </w:tc>
        <w:tc>
          <w:tcPr>
            <w:tcW w:w="0" w:type="auto"/>
            <w:tcBorders>
              <w:top w:val="nil"/>
              <w:left w:val="nil"/>
              <w:bottom w:val="nil"/>
              <w:right w:val="nil"/>
            </w:tcBorders>
          </w:tcPr>
          <w:p w14:paraId="23F235E7" w14:textId="77777777" w:rsidR="005D49AE" w:rsidRPr="001A7FC6" w:rsidRDefault="005D49AE" w:rsidP="005D49AE">
            <w:pPr>
              <w:spacing w:line="276" w:lineRule="auto"/>
              <w:jc w:val="center"/>
              <w:rPr>
                <w:sz w:val="18"/>
              </w:rPr>
            </w:pPr>
            <w:r w:rsidRPr="001A7FC6">
              <w:rPr>
                <w:sz w:val="18"/>
              </w:rPr>
              <w:t>44.84</w:t>
            </w:r>
            <w:r w:rsidRPr="001A7FC6">
              <w:rPr>
                <w:sz w:val="18"/>
                <w:vertAlign w:val="superscript"/>
              </w:rPr>
              <w:t>4</w:t>
            </w:r>
            <w:r w:rsidRPr="001A7FC6">
              <w:rPr>
                <w:sz w:val="18"/>
              </w:rPr>
              <w:t>/29.05</w:t>
            </w:r>
          </w:p>
        </w:tc>
        <w:tc>
          <w:tcPr>
            <w:tcW w:w="0" w:type="auto"/>
            <w:tcBorders>
              <w:top w:val="nil"/>
              <w:left w:val="nil"/>
              <w:bottom w:val="nil"/>
              <w:right w:val="nil"/>
            </w:tcBorders>
          </w:tcPr>
          <w:p w14:paraId="1E0AB41D" w14:textId="77777777" w:rsidR="005D49AE" w:rsidRPr="001A7FC6" w:rsidRDefault="005D49AE" w:rsidP="005D49AE">
            <w:pPr>
              <w:spacing w:line="276" w:lineRule="auto"/>
              <w:jc w:val="center"/>
              <w:rPr>
                <w:sz w:val="18"/>
              </w:rPr>
            </w:pPr>
            <w:r w:rsidRPr="001A7FC6">
              <w:rPr>
                <w:sz w:val="18"/>
              </w:rPr>
              <w:t>73.62</w:t>
            </w:r>
          </w:p>
        </w:tc>
        <w:tc>
          <w:tcPr>
            <w:tcW w:w="0" w:type="auto"/>
            <w:tcBorders>
              <w:top w:val="nil"/>
              <w:left w:val="nil"/>
              <w:bottom w:val="nil"/>
              <w:right w:val="nil"/>
            </w:tcBorders>
          </w:tcPr>
          <w:p w14:paraId="1BAC842B" w14:textId="77777777" w:rsidR="005D49AE" w:rsidRPr="001A7FC6" w:rsidRDefault="005D49AE" w:rsidP="005D49AE">
            <w:pPr>
              <w:spacing w:line="276" w:lineRule="auto"/>
              <w:jc w:val="center"/>
              <w:rPr>
                <w:sz w:val="18"/>
              </w:rPr>
            </w:pPr>
            <w:r w:rsidRPr="001A7FC6">
              <w:rPr>
                <w:sz w:val="18"/>
              </w:rPr>
              <w:t>194.3</w:t>
            </w:r>
          </w:p>
        </w:tc>
        <w:tc>
          <w:tcPr>
            <w:tcW w:w="0" w:type="auto"/>
            <w:tcBorders>
              <w:top w:val="nil"/>
              <w:left w:val="nil"/>
              <w:bottom w:val="nil"/>
              <w:right w:val="nil"/>
            </w:tcBorders>
          </w:tcPr>
          <w:p w14:paraId="445731F9" w14:textId="77777777" w:rsidR="005D49AE" w:rsidRPr="001A7FC6" w:rsidRDefault="005D49AE" w:rsidP="005D49AE">
            <w:pPr>
              <w:spacing w:line="276" w:lineRule="auto"/>
              <w:jc w:val="center"/>
              <w:rPr>
                <w:sz w:val="18"/>
              </w:rPr>
            </w:pPr>
            <w:r w:rsidRPr="001A7FC6">
              <w:rPr>
                <w:sz w:val="18"/>
              </w:rPr>
              <w:t>100.3</w:t>
            </w:r>
          </w:p>
        </w:tc>
      </w:tr>
      <w:tr w:rsidR="005D49AE" w:rsidRPr="001A7FC6" w14:paraId="3F29AA07" w14:textId="77777777" w:rsidTr="005D49AE">
        <w:trPr>
          <w:trHeight w:val="75"/>
        </w:trPr>
        <w:tc>
          <w:tcPr>
            <w:tcW w:w="0" w:type="auto"/>
            <w:tcBorders>
              <w:top w:val="nil"/>
              <w:left w:val="nil"/>
              <w:bottom w:val="nil"/>
              <w:right w:val="nil"/>
            </w:tcBorders>
          </w:tcPr>
          <w:p w14:paraId="05B70A35" w14:textId="77777777" w:rsidR="005D49AE" w:rsidRPr="001A7FC6" w:rsidRDefault="005D49AE" w:rsidP="005D49AE">
            <w:pPr>
              <w:spacing w:line="276" w:lineRule="auto"/>
              <w:rPr>
                <w:sz w:val="18"/>
              </w:rPr>
            </w:pPr>
            <w:r w:rsidRPr="001A7FC6">
              <w:rPr>
                <w:sz w:val="18"/>
              </w:rPr>
              <w:t>Food and garden</w:t>
            </w:r>
          </w:p>
        </w:tc>
        <w:tc>
          <w:tcPr>
            <w:tcW w:w="0" w:type="auto"/>
            <w:tcBorders>
              <w:top w:val="nil"/>
              <w:left w:val="nil"/>
              <w:bottom w:val="nil"/>
              <w:right w:val="nil"/>
            </w:tcBorders>
          </w:tcPr>
          <w:p w14:paraId="5A0F4468" w14:textId="77777777" w:rsidR="005D49AE" w:rsidRPr="001A7FC6" w:rsidRDefault="005D49AE" w:rsidP="005D49AE">
            <w:pPr>
              <w:spacing w:line="276" w:lineRule="auto"/>
              <w:jc w:val="center"/>
              <w:rPr>
                <w:sz w:val="18"/>
              </w:rPr>
            </w:pPr>
            <w:r w:rsidRPr="001A7FC6">
              <w:rPr>
                <w:sz w:val="18"/>
              </w:rPr>
              <w:t>480.90</w:t>
            </w:r>
          </w:p>
        </w:tc>
        <w:tc>
          <w:tcPr>
            <w:tcW w:w="0" w:type="auto"/>
            <w:tcBorders>
              <w:top w:val="nil"/>
              <w:left w:val="nil"/>
              <w:bottom w:val="nil"/>
              <w:right w:val="nil"/>
            </w:tcBorders>
          </w:tcPr>
          <w:p w14:paraId="16C0299E" w14:textId="77777777" w:rsidR="005D49AE" w:rsidRPr="001A7FC6" w:rsidRDefault="005D49AE" w:rsidP="005D49AE">
            <w:pPr>
              <w:spacing w:line="276" w:lineRule="auto"/>
              <w:jc w:val="center"/>
              <w:rPr>
                <w:sz w:val="18"/>
              </w:rPr>
            </w:pPr>
            <w:r w:rsidRPr="001A7FC6">
              <w:rPr>
                <w:sz w:val="18"/>
              </w:rPr>
              <w:t>28.73/26.23</w:t>
            </w:r>
          </w:p>
        </w:tc>
        <w:tc>
          <w:tcPr>
            <w:tcW w:w="0" w:type="auto"/>
            <w:tcBorders>
              <w:top w:val="nil"/>
              <w:left w:val="nil"/>
              <w:bottom w:val="nil"/>
              <w:right w:val="nil"/>
            </w:tcBorders>
          </w:tcPr>
          <w:p w14:paraId="65095216" w14:textId="77777777" w:rsidR="005D49AE" w:rsidRPr="001A7FC6" w:rsidRDefault="005D49AE" w:rsidP="005D49AE">
            <w:pPr>
              <w:spacing w:line="276" w:lineRule="auto"/>
              <w:jc w:val="center"/>
              <w:rPr>
                <w:sz w:val="18"/>
              </w:rPr>
            </w:pPr>
            <w:r w:rsidRPr="001A7FC6">
              <w:rPr>
                <w:sz w:val="18"/>
              </w:rPr>
              <w:t>230.6</w:t>
            </w:r>
          </w:p>
        </w:tc>
        <w:tc>
          <w:tcPr>
            <w:tcW w:w="0" w:type="auto"/>
            <w:tcBorders>
              <w:top w:val="nil"/>
              <w:left w:val="nil"/>
              <w:bottom w:val="nil"/>
              <w:right w:val="nil"/>
            </w:tcBorders>
          </w:tcPr>
          <w:p w14:paraId="319EFEF8" w14:textId="77777777" w:rsidR="005D49AE" w:rsidRPr="001A7FC6" w:rsidRDefault="005D49AE" w:rsidP="005D49AE">
            <w:pPr>
              <w:spacing w:line="276" w:lineRule="auto"/>
              <w:jc w:val="center"/>
              <w:rPr>
                <w:sz w:val="18"/>
              </w:rPr>
            </w:pPr>
            <w:r w:rsidRPr="001A7FC6">
              <w:rPr>
                <w:sz w:val="18"/>
              </w:rPr>
              <w:t>310.5</w:t>
            </w:r>
          </w:p>
        </w:tc>
        <w:tc>
          <w:tcPr>
            <w:tcW w:w="0" w:type="auto"/>
            <w:tcBorders>
              <w:top w:val="nil"/>
              <w:left w:val="nil"/>
              <w:bottom w:val="nil"/>
              <w:right w:val="nil"/>
            </w:tcBorders>
          </w:tcPr>
          <w:p w14:paraId="3BA835ED" w14:textId="77777777" w:rsidR="005D49AE" w:rsidRPr="001A7FC6" w:rsidRDefault="005D49AE" w:rsidP="005D49AE">
            <w:pPr>
              <w:spacing w:line="276" w:lineRule="auto"/>
              <w:jc w:val="center"/>
              <w:rPr>
                <w:sz w:val="18"/>
              </w:rPr>
            </w:pPr>
            <w:r w:rsidRPr="001A7FC6">
              <w:rPr>
                <w:sz w:val="18"/>
              </w:rPr>
              <w:t>160.4</w:t>
            </w:r>
          </w:p>
        </w:tc>
      </w:tr>
      <w:tr w:rsidR="005D49AE" w:rsidRPr="001A7FC6" w14:paraId="2D763FB7" w14:textId="77777777" w:rsidTr="005D49AE">
        <w:tc>
          <w:tcPr>
            <w:tcW w:w="0" w:type="auto"/>
            <w:tcBorders>
              <w:top w:val="nil"/>
              <w:left w:val="nil"/>
              <w:bottom w:val="single" w:sz="4" w:space="0" w:color="auto"/>
              <w:right w:val="nil"/>
            </w:tcBorders>
          </w:tcPr>
          <w:p w14:paraId="3C6C9BB8" w14:textId="77777777" w:rsidR="005D49AE" w:rsidRPr="001A7FC6" w:rsidRDefault="005D49AE" w:rsidP="005D49AE">
            <w:pPr>
              <w:spacing w:line="276" w:lineRule="auto"/>
              <w:rPr>
                <w:sz w:val="18"/>
              </w:rPr>
            </w:pPr>
            <w:r w:rsidRPr="001A7FC6">
              <w:rPr>
                <w:sz w:val="18"/>
              </w:rPr>
              <w:t>Mr-OFMSW</w:t>
            </w:r>
          </w:p>
        </w:tc>
        <w:tc>
          <w:tcPr>
            <w:tcW w:w="0" w:type="auto"/>
            <w:tcBorders>
              <w:top w:val="nil"/>
              <w:left w:val="nil"/>
              <w:bottom w:val="single" w:sz="4" w:space="0" w:color="auto"/>
              <w:right w:val="nil"/>
            </w:tcBorders>
          </w:tcPr>
          <w:p w14:paraId="2D9EBF22" w14:textId="77777777" w:rsidR="005D49AE" w:rsidRPr="001A7FC6" w:rsidRDefault="005D49AE" w:rsidP="005D49AE">
            <w:pPr>
              <w:spacing w:line="276" w:lineRule="auto"/>
              <w:jc w:val="center"/>
              <w:rPr>
                <w:sz w:val="18"/>
                <w:vertAlign w:val="superscript"/>
              </w:rPr>
            </w:pPr>
            <w:r w:rsidRPr="001A7FC6">
              <w:rPr>
                <w:sz w:val="18"/>
              </w:rPr>
              <w:t xml:space="preserve">722 </w:t>
            </w:r>
            <w:r w:rsidRPr="001A7FC6">
              <w:rPr>
                <w:sz w:val="18"/>
                <w:vertAlign w:val="superscript"/>
              </w:rPr>
              <w:t>2</w:t>
            </w:r>
          </w:p>
        </w:tc>
        <w:tc>
          <w:tcPr>
            <w:tcW w:w="0" w:type="auto"/>
            <w:tcBorders>
              <w:top w:val="nil"/>
              <w:left w:val="nil"/>
              <w:bottom w:val="single" w:sz="4" w:space="0" w:color="auto"/>
              <w:right w:val="nil"/>
            </w:tcBorders>
          </w:tcPr>
          <w:p w14:paraId="3E17344C" w14:textId="77777777" w:rsidR="005D49AE" w:rsidRPr="001A7FC6" w:rsidRDefault="005D49AE" w:rsidP="005D49AE">
            <w:pPr>
              <w:spacing w:line="276" w:lineRule="auto"/>
              <w:jc w:val="center"/>
              <w:rPr>
                <w:sz w:val="18"/>
                <w:vertAlign w:val="superscript"/>
              </w:rPr>
            </w:pPr>
            <w:r w:rsidRPr="001A7FC6">
              <w:rPr>
                <w:sz w:val="18"/>
              </w:rPr>
              <w:t>52.83</w:t>
            </w:r>
            <w:r w:rsidRPr="001A7FC6">
              <w:rPr>
                <w:sz w:val="18"/>
                <w:vertAlign w:val="superscript"/>
              </w:rPr>
              <w:t>5</w:t>
            </w:r>
          </w:p>
        </w:tc>
        <w:tc>
          <w:tcPr>
            <w:tcW w:w="0" w:type="auto"/>
            <w:tcBorders>
              <w:top w:val="nil"/>
              <w:left w:val="nil"/>
              <w:bottom w:val="single" w:sz="4" w:space="0" w:color="auto"/>
              <w:right w:val="nil"/>
            </w:tcBorders>
          </w:tcPr>
          <w:p w14:paraId="1B3E2340" w14:textId="77777777" w:rsidR="005D49AE" w:rsidRPr="001A7FC6" w:rsidRDefault="005D49AE" w:rsidP="005D49AE">
            <w:pPr>
              <w:spacing w:line="276" w:lineRule="auto"/>
              <w:jc w:val="center"/>
              <w:rPr>
                <w:sz w:val="18"/>
              </w:rPr>
            </w:pPr>
            <w:r w:rsidRPr="001A7FC6">
              <w:rPr>
                <w:sz w:val="18"/>
              </w:rPr>
              <w:t>315.0</w:t>
            </w:r>
          </w:p>
        </w:tc>
        <w:tc>
          <w:tcPr>
            <w:tcW w:w="0" w:type="auto"/>
            <w:tcBorders>
              <w:top w:val="nil"/>
              <w:left w:val="nil"/>
              <w:bottom w:val="single" w:sz="4" w:space="0" w:color="auto"/>
              <w:right w:val="nil"/>
            </w:tcBorders>
          </w:tcPr>
          <w:p w14:paraId="39DB0759" w14:textId="77777777" w:rsidR="005D49AE" w:rsidRPr="001A7FC6" w:rsidRDefault="005D49AE" w:rsidP="005D49AE">
            <w:pPr>
              <w:spacing w:line="276" w:lineRule="auto"/>
              <w:jc w:val="center"/>
              <w:rPr>
                <w:sz w:val="18"/>
              </w:rPr>
            </w:pPr>
            <w:r w:rsidRPr="001A7FC6">
              <w:rPr>
                <w:sz w:val="18"/>
              </w:rPr>
              <w:t>436.3</w:t>
            </w:r>
          </w:p>
        </w:tc>
        <w:tc>
          <w:tcPr>
            <w:tcW w:w="0" w:type="auto"/>
            <w:tcBorders>
              <w:top w:val="nil"/>
              <w:left w:val="nil"/>
              <w:bottom w:val="single" w:sz="4" w:space="0" w:color="auto"/>
              <w:right w:val="nil"/>
            </w:tcBorders>
          </w:tcPr>
          <w:p w14:paraId="22B5A48B" w14:textId="77777777" w:rsidR="005D49AE" w:rsidRPr="001A7FC6" w:rsidRDefault="005D49AE" w:rsidP="005D49AE">
            <w:pPr>
              <w:spacing w:line="276" w:lineRule="auto"/>
              <w:jc w:val="center"/>
              <w:rPr>
                <w:sz w:val="18"/>
              </w:rPr>
            </w:pPr>
            <w:r w:rsidRPr="001A7FC6">
              <w:rPr>
                <w:sz w:val="18"/>
              </w:rPr>
              <w:t>225.4</w:t>
            </w:r>
          </w:p>
        </w:tc>
      </w:tr>
      <w:tr w:rsidR="005D49AE" w:rsidRPr="001A7FC6" w14:paraId="5EC2C02E" w14:textId="77777777" w:rsidTr="005D49AE">
        <w:tc>
          <w:tcPr>
            <w:tcW w:w="0" w:type="auto"/>
            <w:gridSpan w:val="6"/>
            <w:tcBorders>
              <w:top w:val="single" w:sz="4" w:space="0" w:color="auto"/>
              <w:left w:val="nil"/>
              <w:bottom w:val="nil"/>
              <w:right w:val="nil"/>
            </w:tcBorders>
          </w:tcPr>
          <w:p w14:paraId="2C771371" w14:textId="3905004D" w:rsidR="005D49AE" w:rsidRPr="001A7FC6" w:rsidRDefault="005D49AE" w:rsidP="005D49AE">
            <w:pPr>
              <w:rPr>
                <w:sz w:val="18"/>
              </w:rPr>
            </w:pPr>
            <w:r w:rsidRPr="001A7FC6">
              <w:rPr>
                <w:i/>
                <w:sz w:val="18"/>
                <w:vertAlign w:val="superscript"/>
                <w:lang w:val="fr-FR"/>
              </w:rPr>
              <w:t>1</w:t>
            </w:r>
            <w:r w:rsidRPr="001A7FC6">
              <w:rPr>
                <w:i/>
                <w:sz w:val="18"/>
                <w:lang w:val="fr-FR"/>
              </w:rPr>
              <w:t xml:space="preserve"> </w:t>
            </w:r>
            <w:r w:rsidRPr="001A7FC6">
              <w:rPr>
                <w:i/>
                <w:sz w:val="18"/>
              </w:rPr>
              <w:fldChar w:fldCharType="begin" w:fldLock="1"/>
            </w:r>
            <w:r w:rsidR="00031370" w:rsidRPr="001A7FC6">
              <w:rPr>
                <w:i/>
                <w:sz w:val="18"/>
                <w:lang w:val="fr-FR"/>
              </w:rPr>
              <w:instrText>ADDIN CSL_CITATION {"citationItems":[{"id":"ITEM-1","itemData":{"author":[{"dropping-particle":"","family":"US EPA","given":"","non-dropping-particle":"","parse-names":false,"suffix":""}],"id":"ITEM-1","issue":"April","issued":{"date-parts":[["2014"]]},"number-of-pages":"1-7","title":"Volume-to-Weight Conversion Factors","type":"report"},"uris":["http://www.mendeley.com/documents/?uuid=b0e9d756-f593-4c3f-b380-8ca63eabe7e1"]}],"mendeley":{"formattedCitation":"(US EPA, 2014)","plainTextFormattedCitation":"(US EPA, 2014)","previouslyFormattedCitation":"(US EPA, 2014)"},"properties":{"noteIndex":0},"schema":"https://github.com/citation-style-language/schema/raw/master/csl-citation.json"}</w:instrText>
            </w:r>
            <w:r w:rsidRPr="001A7FC6">
              <w:rPr>
                <w:i/>
                <w:sz w:val="18"/>
              </w:rPr>
              <w:fldChar w:fldCharType="separate"/>
            </w:r>
            <w:r w:rsidRPr="001A7FC6">
              <w:rPr>
                <w:noProof/>
                <w:sz w:val="18"/>
                <w:lang w:val="fr-FR"/>
              </w:rPr>
              <w:t>(US EPA, 2014)</w:t>
            </w:r>
            <w:r w:rsidRPr="001A7FC6">
              <w:rPr>
                <w:i/>
                <w:sz w:val="18"/>
              </w:rPr>
              <w:fldChar w:fldCharType="end"/>
            </w:r>
            <w:r w:rsidRPr="001A7FC6">
              <w:rPr>
                <w:i/>
                <w:sz w:val="18"/>
                <w:lang w:val="fr-FR"/>
              </w:rPr>
              <w:t xml:space="preserve">, </w:t>
            </w:r>
            <w:r w:rsidRPr="001A7FC6">
              <w:rPr>
                <w:i/>
                <w:sz w:val="18"/>
                <w:vertAlign w:val="superscript"/>
                <w:lang w:val="fr-FR"/>
              </w:rPr>
              <w:t>2</w:t>
            </w:r>
            <w:r w:rsidRPr="001A7FC6">
              <w:rPr>
                <w:i/>
                <w:sz w:val="18"/>
                <w:lang w:val="fr-FR"/>
              </w:rPr>
              <w:t xml:space="preserve"> </w:t>
            </w:r>
            <w:r w:rsidRPr="001A7FC6">
              <w:rPr>
                <w:i/>
                <w:sz w:val="18"/>
              </w:rPr>
              <w:fldChar w:fldCharType="begin" w:fldLock="1"/>
            </w:r>
            <w:r w:rsidR="00031370" w:rsidRPr="001A7FC6">
              <w:rPr>
                <w:i/>
                <w:sz w:val="18"/>
                <w:lang w:val="fr-FR"/>
              </w:rPr>
              <w:instrText>ADDIN CSL_CITATION {"citationItems":[{"id":"ITEM-1","itemData":{"DOI":"10.1016/S0960-8524(00)00023-7","ISBN":"0960-8524","ISSN":"09608524","PMID":"1759","abstract":"The technology of anaerobic digestion of organic solid wastes is, in many aspects, mature. Topics such as fundamentals (kinetics, modelling, etc.), process aspects (performance, two- and single-phase systems, wet and dry technologies), digestion enhancement (several pre-treatments), co-digestion with other substrates and its relation to composting technology are examined in this review. Special attention is paid to the advantages of anaerobic digestion in limiting the emission of greenhouse gases. An overview of industrial achievements and future developments is given. Copyright (C) 2000 Elsevier Science Ltd.","author":[{"dropping-particle":"","family":"Mata-Alvarez","given":"J.","non-dropping-particle":"","parse-names":false,"suffix":""},{"dropping-particle":"","family":"Macé","given":"S.","non-dropping-particle":"","parse-names":false,"suffix":""},{"dropping-particle":"","family":"Llabrés","given":"P.","non-dropping-particle":"","parse-names":false,"suffix":""}],"container-title":"Bioresource Technology","id":"ITEM-1","issue":"1","issued":{"date-parts":[["2000"]]},"note":"Technology AD:\n1. Comparison of different waste management systems and their effect on CO2 emissions (experiments carried out)\n\n2. Use two phase configuration when source sorted waste is used.\n\n3. thermophylic vs mesophilic Conflict \n1.1-thermo vs meso performance\n\n4. codigestion synergistic\n\n5. interest in pre-treatment close to end of 90s\n\n6. composting\n\nPretreatment:\n[5] reference from Enhanced Anaerobic Digestion of Organic Waste","page":"3-16","title":"Anaerobic digestion of organic solid wastes. An overview of research achievements and perspectives","type":"article-journal","volume":"74"},"uris":["http://www.mendeley.com/documents/?uuid=2167dfed-f818-423e-bc86-a659e7b074b2"]}],"mendeley":{"formattedCitation":"(Mata-Alvarez et al., 2000)","plainTextFormattedCitation":"(Mata-Alvarez et al., 2000)","previouslyFormattedCitation":"(Mata-Alvarez et al., 2000)"},"properties":{"noteIndex":0},"schema":"https://github.com/citation-style-language/schema/raw/master/csl-citation.json"}</w:instrText>
            </w:r>
            <w:r w:rsidRPr="001A7FC6">
              <w:rPr>
                <w:i/>
                <w:sz w:val="18"/>
              </w:rPr>
              <w:fldChar w:fldCharType="separate"/>
            </w:r>
            <w:r w:rsidR="0014186D" w:rsidRPr="001A7FC6">
              <w:rPr>
                <w:noProof/>
                <w:sz w:val="18"/>
                <w:lang w:val="fr-FR"/>
              </w:rPr>
              <w:t>(Mata-Alvarez et al., 2000)</w:t>
            </w:r>
            <w:r w:rsidRPr="001A7FC6">
              <w:rPr>
                <w:i/>
                <w:sz w:val="18"/>
              </w:rPr>
              <w:fldChar w:fldCharType="end"/>
            </w:r>
            <w:r w:rsidRPr="001A7FC6">
              <w:rPr>
                <w:i/>
                <w:sz w:val="18"/>
                <w:lang w:val="fr-FR"/>
              </w:rPr>
              <w:t xml:space="preserve">, </w:t>
            </w:r>
            <w:r w:rsidRPr="001A7FC6">
              <w:rPr>
                <w:i/>
                <w:sz w:val="18"/>
                <w:vertAlign w:val="superscript"/>
                <w:lang w:val="fr-FR"/>
              </w:rPr>
              <w:t>3</w:t>
            </w:r>
            <w:r w:rsidRPr="001A7FC6">
              <w:rPr>
                <w:i/>
                <w:sz w:val="18"/>
                <w:lang w:val="fr-FR"/>
              </w:rPr>
              <w:t xml:space="preserve"> </w:t>
            </w:r>
            <w:r w:rsidRPr="001A7FC6">
              <w:rPr>
                <w:i/>
                <w:sz w:val="18"/>
              </w:rPr>
              <w:fldChar w:fldCharType="begin" w:fldLock="1"/>
            </w:r>
            <w:r w:rsidR="00031370" w:rsidRPr="001A7FC6">
              <w:rPr>
                <w:i/>
                <w:sz w:val="18"/>
                <w:lang w:val="fr-FR"/>
              </w:rPr>
              <w:instrText>ADDIN CSL_CITATION {"citationItems":[{"id":"ITEM-1","itemData":{"abstract":"Anaerobic digestion has been defined by the Welsh Assembly Government as the preferred technology for treating food wastes due to the valuable renewable energy produced as well as the valuable and low carbon fertiliser and soil conditioner that can be generated. A number of local authorities are currently at the procurement stage for their food waste treatment plants and anaerobic digestion may be the technology employed for the treatment. Even if treatment of the food wastes will be conducted using other technologies, the results from the chemical analysis will also help support the design and operation of those processes. With any waste treatment technology, feedstock characteristics are extremely important when defining design and operational parameters. Even more so when treatment efforts are conducted by living microorganisms, which interact actively within a food chain and are affected by environmental conditions such as in anaerobic digestion treatment processes.","author":[{"dropping-particle":"","family":"Esteves","given":"Sandra","non-dropping-particle":"","parse-names":false,"suffix":""},{"dropping-particle":"","family":"Devlin","given":"Desmond","non-dropping-particle":"","parse-names":false,"suffix":""}],"container-title":"wrap Material change for a better environment","id":"ITEM-1","issue":"March","issued":{"date-parts":[["2010"]]},"title":"Food Waste Chemical Analysis Chemical","type":"article-journal"},"uris":["http://www.mendeley.com/documents/?uuid=0fd92227-db32-40c4-ad6c-292db6ca6d87"]}],"mendeley":{"formattedCitation":"(Esteves and Devlin, 2010)","plainTextFormattedCitation":"(Esteves and Devlin, 2010)","previouslyFormattedCitation":"(Esteves and Devlin, 2010)"},"properties":{"noteIndex":0},"schema":"https://github.com/citation-style-language/schema/raw/master/csl-citation.json"}</w:instrText>
            </w:r>
            <w:r w:rsidRPr="001A7FC6">
              <w:rPr>
                <w:i/>
                <w:sz w:val="18"/>
              </w:rPr>
              <w:fldChar w:fldCharType="separate"/>
            </w:r>
            <w:r w:rsidRPr="001A7FC6">
              <w:rPr>
                <w:noProof/>
                <w:sz w:val="18"/>
                <w:lang w:val="es-ES"/>
              </w:rPr>
              <w:t>(Esteves and Devlin, 2010)</w:t>
            </w:r>
            <w:r w:rsidRPr="001A7FC6">
              <w:rPr>
                <w:i/>
                <w:sz w:val="18"/>
              </w:rPr>
              <w:fldChar w:fldCharType="end"/>
            </w:r>
            <w:r w:rsidRPr="001A7FC6">
              <w:rPr>
                <w:i/>
                <w:sz w:val="18"/>
                <w:lang w:val="es-ES"/>
              </w:rPr>
              <w:t xml:space="preserve">, </w:t>
            </w:r>
            <w:r w:rsidRPr="001A7FC6">
              <w:rPr>
                <w:i/>
                <w:sz w:val="18"/>
                <w:vertAlign w:val="superscript"/>
                <w:lang w:val="es-ES"/>
              </w:rPr>
              <w:t>4</w:t>
            </w:r>
            <w:r w:rsidRPr="001A7FC6">
              <w:rPr>
                <w:i/>
                <w:sz w:val="18"/>
                <w:lang w:val="es-ES"/>
              </w:rPr>
              <w:t xml:space="preserve"> </w:t>
            </w:r>
            <w:r w:rsidRPr="001A7FC6">
              <w:rPr>
                <w:i/>
                <w:sz w:val="18"/>
              </w:rPr>
              <w:fldChar w:fldCharType="begin" w:fldLock="1"/>
            </w:r>
            <w:r w:rsidR="00031370" w:rsidRPr="001A7FC6">
              <w:rPr>
                <w:i/>
                <w:sz w:val="18"/>
                <w:lang w:val="es-ES"/>
              </w:rPr>
              <w:instrText>ADDIN CSL_CITATION {"citationItems":[{"id":"ITEM-1","itemData":{"DOI":"10.1186/1742-7622-5-2","ISBN":"9783540793960","ISSN":"1357-633X","PMID":"18394806","abstract":"Composite structure incorporating steel beams and precast hollowcore slabs is a recently developed composite floor system for building structures. This form of composite construction is so far limited to simple beam-column connections. Although the concept of semi-rigid composite joints has been widely research in the past, most of the researches have been carried out on composite joints with metal deck flooring and solid concrete slabs. Research on composite joints with precast hollowcore slabs is rather limited. As the construction industry demands for rapid construction with reduction in cost and environmental impacts, this form of composite floor system, which does not require major onsite concreting, has become very popular among the designers and engineers in the UK. In this paper, full-scale tests of beam-to-column semi-rigid composite joints with steel beam and precast hollowcore slabs are reported. Based on the tests data; the structural behaviour of these semi-rigid composite joints is discussed together with numerical and finite element modelling. Through parametric studies, an analytical model for the semirigid composite joints is proposed and is verified by both the experimental data and finite element model; and good agreement is obtained.","author":[{"dropping-particle":"","family":"Chester","given":"Matthew","non-dropping-particle":"","parse-names":false,"suffix":""},{"dropping-particle":"","family":"Stupples","given":"David","non-dropping-particle":"","parse-names":false,"suffix":""},{"dropping-particle":"","family":"Lees","given":"Mike","non-dropping-particle":"","parse-names":false,"suffix":""}],"container-title":"13th European Biosolids and Organic Resources Conferencee, 10- 12 November","id":"ITEM-1","issued":{"date-parts":[["2008"]]},"page":"17","title":"A Comparison of the Physical and Chemical Composition of Uk Waste Streams Based on Hypothetical Compound Structure","type":"article-journal"},"uris":["http://www.mendeley.com/documents/?uuid=b4bd09e0-434e-4f54-a539-dd2bd46ce0b8"]}],"mendeley":{"formattedCitation":"(Chester et al., 2008)","plainTextFormattedCitation":"(Chester et al., 2008)","previouslyFormattedCitation":"(Chester et al., 2008)"},"properties":{"noteIndex":0},"schema":"https://github.com/citation-style-language/schema/raw/master/csl-citation.json"}</w:instrText>
            </w:r>
            <w:r w:rsidRPr="001A7FC6">
              <w:rPr>
                <w:i/>
                <w:sz w:val="18"/>
              </w:rPr>
              <w:fldChar w:fldCharType="separate"/>
            </w:r>
            <w:r w:rsidR="0014186D" w:rsidRPr="001A7FC6">
              <w:rPr>
                <w:noProof/>
                <w:sz w:val="18"/>
                <w:lang w:val="es-ES"/>
              </w:rPr>
              <w:t>(Chester et al., 2008)</w:t>
            </w:r>
            <w:r w:rsidRPr="001A7FC6">
              <w:rPr>
                <w:i/>
                <w:sz w:val="18"/>
              </w:rPr>
              <w:fldChar w:fldCharType="end"/>
            </w:r>
            <w:r w:rsidRPr="001A7FC6">
              <w:rPr>
                <w:i/>
                <w:sz w:val="18"/>
                <w:lang w:val="es-ES"/>
              </w:rPr>
              <w:t xml:space="preserve">, </w:t>
            </w:r>
            <w:r w:rsidRPr="001A7FC6">
              <w:rPr>
                <w:i/>
                <w:sz w:val="18"/>
                <w:vertAlign w:val="superscript"/>
                <w:lang w:val="es-ES"/>
              </w:rPr>
              <w:t>5</w:t>
            </w:r>
            <w:r w:rsidRPr="001A7FC6">
              <w:rPr>
                <w:i/>
                <w:sz w:val="18"/>
                <w:lang w:val="es-ES"/>
              </w:rPr>
              <w:t xml:space="preserve"> </w:t>
            </w:r>
            <w:r w:rsidRPr="001A7FC6">
              <w:rPr>
                <w:i/>
                <w:sz w:val="18"/>
              </w:rPr>
              <w:fldChar w:fldCharType="begin" w:fldLock="1"/>
            </w:r>
            <w:r w:rsidR="00031370" w:rsidRPr="001A7FC6">
              <w:rPr>
                <w:i/>
                <w:sz w:val="18"/>
                <w:lang w:val="es-ES"/>
              </w:rPr>
              <w:instrText xml:space="preserve">ADDIN CSL_CITATION {"citationItems":[{"id":"ITEM-1","itemData":{"DOI":"10.1016/j.jenvman.2012.03.043","ISSN":"03014797","abstract":"Landfill avoidance for organic wastes is now a high priority worldwide. Two fractions of the municipal waste stream were considered with respect to their potential for diversion through controlled anaerobic digestion. The physical and chemical properties of source segregated domestic food waste (ss-FW) and of the mechanically-recovered organic fraction of municipal solid waste (mr-OFMSW) were analysed, and their methane yields determined in both batch and semi-continuous digestion. Methane potentials were compared with predicted values based on biochemical composition, elemental analysis and carbon mass balance, and the differences explained by compositional analysis of feedstocks and digestates. The ss-FW had a higher percentage biodegradability and higher energy potential on a dry weight basis due to the high proportion of proteins and fats in this waste, although the energy potential of the mr-OFMSW was slightly </w:instrText>
            </w:r>
            <w:r w:rsidR="00031370" w:rsidRPr="001A7FC6">
              <w:rPr>
                <w:i/>
                <w:sz w:val="18"/>
              </w:rPr>
              <w:instrText>higher on a wet weight (WW) basis. The mr-OFMSW showed very stable digestion characteristics, whereas the ss-FW had a high digestate ammoniacal-N concentration and volatile fatty acid accumulation leading to some process instability. Digestates from semi-continuous trials with mr-OFMSW had high concentrations of potentially toxic elements (PTE) and a lower nutrient content than ss-FW digestate, making the former unsuitable for application to land used in food production. © 2012 Elsevier Ltd.","author":[{"dropping-particle":"","family":"Zhang","given":"Yue","non-dropping-particle":"","parse-names":false,"suffix":""},{"dropping-particle":"","family":"Banks","given":"Charles J.","non-dropping-particle":"","parse-names":false,"suffix":""},{"dropping-particle":"","family":"Heaven","given":"Sonia","non-dropping-particle":"","parse-names":false,"suffix":""}],"container-title":"Journal of Environmental Management","id":"ITEM-1","issued":{"date-parts":[["2012"]]},"page":"166-174","publisher":"Elsevier Ltd","title":"Anaerobic digestion of two biodegradable municipal waste streams","type":"article-journal","volume":"104"},"uris":["http://www.mendeley.com/documents/?uuid=dbd72978-ad21-4506-945d-32c9e5b0f7a0"]}],"mendeley":{"formattedCitation":"(Zhang et al., 2012)","plainTextFormattedCitation":"(Zhang et al., 2012)","previouslyFormattedCitation":"(Zhang et al., 2012)"},"properties":{"noteIndex":0},"schema":"https://github.com/citation-style-language/schema/raw/master/csl-citation.json"}</w:instrText>
            </w:r>
            <w:r w:rsidRPr="001A7FC6">
              <w:rPr>
                <w:i/>
                <w:sz w:val="18"/>
              </w:rPr>
              <w:fldChar w:fldCharType="separate"/>
            </w:r>
            <w:r w:rsidR="0014186D" w:rsidRPr="001A7FC6">
              <w:rPr>
                <w:noProof/>
                <w:sz w:val="18"/>
              </w:rPr>
              <w:t>(Zhang et al., 2012)</w:t>
            </w:r>
            <w:r w:rsidRPr="001A7FC6">
              <w:rPr>
                <w:i/>
                <w:sz w:val="18"/>
              </w:rPr>
              <w:fldChar w:fldCharType="end"/>
            </w:r>
            <w:r w:rsidRPr="001A7FC6">
              <w:rPr>
                <w:i/>
                <w:sz w:val="18"/>
              </w:rPr>
              <w:t>,</w:t>
            </w:r>
            <w:r w:rsidRPr="001A7FC6">
              <w:rPr>
                <w:sz w:val="18"/>
              </w:rPr>
              <w:t xml:space="preserve"> </w:t>
            </w:r>
          </w:p>
          <w:p w14:paraId="6F31A639" w14:textId="2B0209F9" w:rsidR="005D49AE" w:rsidRPr="001A7FC6" w:rsidRDefault="005D49AE" w:rsidP="005D49AE">
            <w:pPr>
              <w:rPr>
                <w:i/>
                <w:sz w:val="18"/>
              </w:rPr>
            </w:pPr>
            <w:r w:rsidRPr="001A7FC6">
              <w:rPr>
                <w:i/>
                <w:sz w:val="18"/>
              </w:rPr>
              <w:t>TS: total solids; TDS: total digestible solids</w:t>
            </w:r>
          </w:p>
        </w:tc>
      </w:tr>
    </w:tbl>
    <w:p w14:paraId="70539F11" w14:textId="77777777" w:rsidR="005D49AE" w:rsidRPr="001A7FC6" w:rsidRDefault="005D49AE" w:rsidP="005D49AE">
      <w:pPr>
        <w:pStyle w:val="Heading2"/>
        <w:numPr>
          <w:ilvl w:val="1"/>
          <w:numId w:val="1"/>
        </w:numPr>
      </w:pPr>
      <w:bookmarkStart w:id="36" w:name="_Toc14891691"/>
      <w:bookmarkStart w:id="37" w:name="_Ref15400637"/>
      <w:bookmarkStart w:id="38" w:name="_Ref15410341"/>
      <w:bookmarkStart w:id="39" w:name="_Ref15410527"/>
      <w:r w:rsidRPr="001A7FC6">
        <w:t>Digestate product chemical characterisation</w:t>
      </w:r>
      <w:bookmarkEnd w:id="36"/>
      <w:bookmarkEnd w:id="37"/>
      <w:bookmarkEnd w:id="38"/>
      <w:bookmarkEnd w:id="39"/>
    </w:p>
    <w:p w14:paraId="530A40C4" w14:textId="0E5BF979" w:rsidR="005D49AE" w:rsidRPr="001A7FC6" w:rsidRDefault="005D49AE" w:rsidP="005D49AE">
      <w:r w:rsidRPr="001A7FC6">
        <w:t xml:space="preserve">To characterise the digestate, a mass balance is made in terms of the elemental analysis. Following the conversion of COD into biogas, the mass </w:t>
      </w:r>
      <m:oMath>
        <m:r>
          <w:rPr>
            <w:rFonts w:ascii="Cambria Math" w:hAnsi="Cambria Math"/>
          </w:rPr>
          <m:t>(M</m:t>
        </m:r>
        <m:r>
          <w:rPr>
            <w:rFonts w:ascii="Cambria Math" w:eastAsiaTheme="minorEastAsia" w:hAnsi="Cambria Math"/>
          </w:rPr>
          <m:t>)</m:t>
        </m:r>
      </m:oMath>
      <w:r w:rsidRPr="001A7FC6">
        <w:t xml:space="preserve"> of elements required to produce this species are removed from the influent to produce the gas phase. The remaining species are balanced as digestate. In this manner Eq.</w:t>
      </w:r>
      <w:r w:rsidR="00387CDE" w:rsidRPr="001A7FC6">
        <w:t xml:space="preserve"> </w:t>
      </w:r>
      <w:r w:rsidRPr="001A7FC6">
        <w:fldChar w:fldCharType="begin"/>
      </w:r>
      <w:r w:rsidRPr="001A7FC6">
        <w:instrText xml:space="preserve"> REF _Ref15298311 \h  \* MERGEFORMAT </w:instrText>
      </w:r>
      <w:r w:rsidRPr="001A7FC6">
        <w:fldChar w:fldCharType="separate"/>
      </w:r>
      <w:r w:rsidR="00890150" w:rsidRPr="001A7FC6">
        <w:t>(</w:t>
      </w:r>
      <w:r w:rsidR="00890150" w:rsidRPr="001A7FC6">
        <w:rPr>
          <w:noProof/>
        </w:rPr>
        <w:t>S15</w:t>
      </w:r>
      <w:r w:rsidR="00890150" w:rsidRPr="001A7FC6">
        <w:t>)</w:t>
      </w:r>
      <w:r w:rsidRPr="001A7FC6">
        <w:fldChar w:fldCharType="end"/>
      </w:r>
      <w:r w:rsidRPr="001A7FC6">
        <w:t xml:space="preserve"> and </w:t>
      </w:r>
      <w:r w:rsidRPr="001A7FC6">
        <w:fldChar w:fldCharType="begin"/>
      </w:r>
      <w:r w:rsidRPr="001A7FC6">
        <w:instrText xml:space="preserve"> REF _Ref15298323 \h  \* MERGEFORMAT </w:instrText>
      </w:r>
      <w:r w:rsidRPr="001A7FC6">
        <w:fldChar w:fldCharType="separate"/>
      </w:r>
      <w:r w:rsidR="00890150" w:rsidRPr="001A7FC6">
        <w:t>(</w:t>
      </w:r>
      <w:r w:rsidR="00890150" w:rsidRPr="001A7FC6">
        <w:rPr>
          <w:noProof/>
        </w:rPr>
        <w:t>S16</w:t>
      </w:r>
      <w:r w:rsidR="00890150" w:rsidRPr="001A7FC6">
        <w:t>)</w:t>
      </w:r>
      <w:r w:rsidRPr="001A7FC6">
        <w:fldChar w:fldCharType="end"/>
      </w:r>
      <w:r w:rsidRPr="001A7FC6">
        <w:t xml:space="preserve"> are used to model the remaining elemental constituents </w:t>
      </w:r>
      <m:oMath>
        <m:r>
          <w:rPr>
            <w:rFonts w:ascii="Cambria Math" w:hAnsi="Cambria Math"/>
          </w:rPr>
          <m:t>(x)</m:t>
        </m:r>
      </m:oMath>
      <w:r w:rsidRPr="001A7FC6">
        <w:t xml:space="preserve"> in each stream.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799"/>
      </w:tblGrid>
      <w:tr w:rsidR="005D49AE" w:rsidRPr="001A7FC6" w14:paraId="3F3BB70D" w14:textId="77777777" w:rsidTr="005D49AE">
        <w:tc>
          <w:tcPr>
            <w:tcW w:w="8217" w:type="dxa"/>
          </w:tcPr>
          <w:p w14:paraId="4B638721" w14:textId="77777777" w:rsidR="005D49AE" w:rsidRPr="001A7FC6" w:rsidRDefault="00547887" w:rsidP="005D49AE">
            <w:pPr>
              <w:rPr>
                <w:rFonts w:eastAsiaTheme="minorEastAsia"/>
              </w:rPr>
            </w:pPr>
            <m:oMathPara>
              <m:oMath>
                <m:sSub>
                  <m:sSubPr>
                    <m:ctrlPr>
                      <w:rPr>
                        <w:rFonts w:ascii="Cambria Math" w:hAnsi="Cambria Math"/>
                        <w:i/>
                      </w:rPr>
                    </m:ctrlPr>
                  </m:sSubPr>
                  <m:e>
                    <m:r>
                      <w:rPr>
                        <w:rFonts w:ascii="Cambria Math" w:hAnsi="Cambria Math"/>
                      </w:rPr>
                      <m:t>M</m:t>
                    </m:r>
                  </m:e>
                  <m:sub>
                    <m:r>
                      <w:rPr>
                        <w:rFonts w:ascii="Cambria Math" w:hAnsi="Cambria Math"/>
                      </w:rPr>
                      <m:t>biogas,x</m:t>
                    </m:r>
                  </m:sub>
                </m:sSub>
                <m:r>
                  <w:rPr>
                    <w:rFonts w:ascii="Cambria Math" w:eastAsiaTheme="minorEastAsia" w:hAnsi="Cambria Math"/>
                  </w:rPr>
                  <m:t>=CO</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consumed</m:t>
                    </m:r>
                  </m:sub>
                </m:sSub>
                <m:sSubSup>
                  <m:sSubSupPr>
                    <m:ctrlPr>
                      <w:rPr>
                        <w:rFonts w:ascii="Cambria Math" w:eastAsiaTheme="minorEastAsia" w:hAnsi="Cambria Math"/>
                        <w:i/>
                      </w:rPr>
                    </m:ctrlPr>
                  </m:sSubSupPr>
                  <m:e>
                    <m:r>
                      <w:rPr>
                        <w:rFonts w:ascii="Cambria Math" w:eastAsiaTheme="minorEastAsia" w:hAnsi="Cambria Math"/>
                      </w:rPr>
                      <m:t>yld</m:t>
                    </m:r>
                  </m:e>
                  <m:sub>
                    <m:r>
                      <w:rPr>
                        <w:rFonts w:ascii="Cambria Math" w:eastAsiaTheme="minorEastAsia" w:hAnsi="Cambria Math"/>
                      </w:rPr>
                      <m:t>x</m:t>
                    </m:r>
                  </m:sub>
                  <m:sup>
                    <m:r>
                      <w:rPr>
                        <w:rFonts w:ascii="Cambria Math" w:eastAsiaTheme="minorEastAsia" w:hAnsi="Cambria Math"/>
                      </w:rPr>
                      <m:t>bp</m:t>
                    </m:r>
                  </m:sup>
                </m:sSubSup>
              </m:oMath>
            </m:oMathPara>
          </w:p>
          <w:p w14:paraId="4443D45B" w14:textId="77777777" w:rsidR="005D49AE" w:rsidRPr="001A7FC6" w:rsidRDefault="005D49AE" w:rsidP="005D49AE"/>
        </w:tc>
        <w:tc>
          <w:tcPr>
            <w:tcW w:w="799" w:type="dxa"/>
          </w:tcPr>
          <w:p w14:paraId="793678F4" w14:textId="3118B6EA" w:rsidR="005D49AE" w:rsidRPr="001A7FC6" w:rsidRDefault="005D49AE" w:rsidP="005D49AE">
            <w:pPr>
              <w:jc w:val="right"/>
            </w:pPr>
            <w:bookmarkStart w:id="40" w:name="_Ref15298311"/>
            <w:r w:rsidRPr="001A7FC6">
              <w:t>(</w:t>
            </w:r>
            <w:r w:rsidR="00872DA0" w:rsidRPr="001A7FC6">
              <w:t>S</w:t>
            </w:r>
            <w:r w:rsidRPr="001A7FC6">
              <w:rPr>
                <w:noProof/>
              </w:rPr>
              <w:fldChar w:fldCharType="begin"/>
            </w:r>
            <w:r w:rsidRPr="001A7FC6">
              <w:rPr>
                <w:noProof/>
              </w:rPr>
              <w:instrText xml:space="preserve"> SEQ Equation \* ARABIC </w:instrText>
            </w:r>
            <w:r w:rsidRPr="001A7FC6">
              <w:rPr>
                <w:noProof/>
              </w:rPr>
              <w:fldChar w:fldCharType="separate"/>
            </w:r>
            <w:r w:rsidR="00890150" w:rsidRPr="001A7FC6">
              <w:rPr>
                <w:noProof/>
              </w:rPr>
              <w:t>15</w:t>
            </w:r>
            <w:r w:rsidRPr="001A7FC6">
              <w:rPr>
                <w:noProof/>
              </w:rPr>
              <w:fldChar w:fldCharType="end"/>
            </w:r>
            <w:r w:rsidRPr="001A7FC6">
              <w:t>)</w:t>
            </w:r>
            <w:bookmarkEnd w:id="40"/>
          </w:p>
          <w:p w14:paraId="39CB16F0" w14:textId="77777777" w:rsidR="005D49AE" w:rsidRPr="001A7FC6" w:rsidRDefault="005D49AE" w:rsidP="005D49AE">
            <w:pPr>
              <w:jc w:val="right"/>
            </w:pPr>
          </w:p>
        </w:tc>
      </w:tr>
      <w:tr w:rsidR="005D49AE" w:rsidRPr="001A7FC6" w14:paraId="3FF88A51" w14:textId="77777777" w:rsidTr="005D49AE">
        <w:tc>
          <w:tcPr>
            <w:tcW w:w="8217" w:type="dxa"/>
          </w:tcPr>
          <w:p w14:paraId="70EA3A99" w14:textId="77777777" w:rsidR="005D49AE" w:rsidRPr="001A7FC6" w:rsidRDefault="00547887" w:rsidP="005D49AE">
            <w:pPr>
              <w:rPr>
                <w:rFonts w:eastAsiaTheme="minorEastAsia"/>
              </w:rPr>
            </w:pPr>
            <m:oMathPara>
              <m:oMath>
                <m:sSubSup>
                  <m:sSubSupPr>
                    <m:ctrlPr>
                      <w:rPr>
                        <w:rFonts w:ascii="Cambria Math" w:hAnsi="Cambria Math"/>
                        <w:i/>
                      </w:rPr>
                    </m:ctrlPr>
                  </m:sSubSupPr>
                  <m:e>
                    <m:r>
                      <w:rPr>
                        <w:rFonts w:ascii="Cambria Math" w:hAnsi="Cambria Math"/>
                      </w:rPr>
                      <m:t>M</m:t>
                    </m:r>
                  </m:e>
                  <m:sub>
                    <m:r>
                      <w:rPr>
                        <w:rFonts w:ascii="Cambria Math" w:hAnsi="Cambria Math"/>
                      </w:rPr>
                      <m:t>digestate,x</m:t>
                    </m:r>
                  </m:sub>
                  <m:sup>
                    <m:r>
                      <w:rPr>
                        <w:rFonts w:ascii="Cambria Math" w:hAnsi="Cambria Math"/>
                      </w:rPr>
                      <m:t>WD</m:t>
                    </m:r>
                  </m:sup>
                </m:sSub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waste,x</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biogas,x</m:t>
                    </m:r>
                  </m:sub>
                </m:sSub>
              </m:oMath>
            </m:oMathPara>
          </w:p>
          <w:p w14:paraId="64D6E75B" w14:textId="77777777" w:rsidR="005D49AE" w:rsidRPr="001A7FC6" w:rsidRDefault="005D49AE" w:rsidP="005D49AE"/>
        </w:tc>
        <w:tc>
          <w:tcPr>
            <w:tcW w:w="799" w:type="dxa"/>
          </w:tcPr>
          <w:p w14:paraId="23767DEE" w14:textId="023D1C4E" w:rsidR="005D49AE" w:rsidRPr="001A7FC6" w:rsidRDefault="005D49AE" w:rsidP="005D49AE">
            <w:pPr>
              <w:jc w:val="right"/>
            </w:pPr>
            <w:bookmarkStart w:id="41" w:name="_Ref15298323"/>
            <w:r w:rsidRPr="001A7FC6">
              <w:t>(</w:t>
            </w:r>
            <w:r w:rsidR="00872DA0" w:rsidRPr="001A7FC6">
              <w:t>S</w:t>
            </w:r>
            <w:r w:rsidRPr="001A7FC6">
              <w:rPr>
                <w:noProof/>
              </w:rPr>
              <w:fldChar w:fldCharType="begin"/>
            </w:r>
            <w:r w:rsidRPr="001A7FC6">
              <w:rPr>
                <w:noProof/>
              </w:rPr>
              <w:instrText xml:space="preserve"> SEQ Equation \* ARABIC </w:instrText>
            </w:r>
            <w:r w:rsidRPr="001A7FC6">
              <w:rPr>
                <w:noProof/>
              </w:rPr>
              <w:fldChar w:fldCharType="separate"/>
            </w:r>
            <w:r w:rsidR="00890150" w:rsidRPr="001A7FC6">
              <w:rPr>
                <w:noProof/>
              </w:rPr>
              <w:t>16</w:t>
            </w:r>
            <w:r w:rsidRPr="001A7FC6">
              <w:rPr>
                <w:noProof/>
              </w:rPr>
              <w:fldChar w:fldCharType="end"/>
            </w:r>
            <w:r w:rsidRPr="001A7FC6">
              <w:t>)</w:t>
            </w:r>
            <w:bookmarkEnd w:id="41"/>
          </w:p>
          <w:p w14:paraId="13C9CE35" w14:textId="77777777" w:rsidR="005D49AE" w:rsidRPr="001A7FC6" w:rsidRDefault="005D49AE" w:rsidP="005D49AE">
            <w:pPr>
              <w:jc w:val="right"/>
            </w:pPr>
          </w:p>
        </w:tc>
      </w:tr>
    </w:tbl>
    <w:p w14:paraId="3CDF0EB5" w14:textId="16455D44" w:rsidR="005D49AE" w:rsidRPr="001A7FC6" w:rsidRDefault="005D49AE" w:rsidP="005D49AE">
      <w:pPr>
        <w:rPr>
          <w:rFonts w:eastAsiaTheme="minorEastAsia"/>
        </w:rPr>
      </w:pPr>
      <w:r w:rsidRPr="001A7FC6">
        <w:t xml:space="preserve">The ratios for methane production per gram of COD and biogas composition are used to determine the yields </w:t>
      </w:r>
      <m:oMath>
        <m:r>
          <w:rPr>
            <w:rFonts w:ascii="Cambria Math" w:hAnsi="Cambria Math"/>
          </w:rPr>
          <m:t>(</m:t>
        </m:r>
        <m:r>
          <w:rPr>
            <w:rFonts w:ascii="Cambria Math" w:eastAsiaTheme="minorEastAsia" w:hAnsi="Cambria Math"/>
          </w:rPr>
          <m:t>yl</m:t>
        </m:r>
        <m:sSubSup>
          <m:sSubSupPr>
            <m:ctrlPr>
              <w:rPr>
                <w:rFonts w:ascii="Cambria Math" w:eastAsiaTheme="minorEastAsia" w:hAnsi="Cambria Math"/>
                <w:i/>
              </w:rPr>
            </m:ctrlPr>
          </m:sSubSupPr>
          <m:e>
            <m:r>
              <w:rPr>
                <w:rFonts w:ascii="Cambria Math" w:eastAsiaTheme="minorEastAsia" w:hAnsi="Cambria Math"/>
              </w:rPr>
              <m:t>d</m:t>
            </m:r>
          </m:e>
          <m:sub>
            <m:r>
              <w:rPr>
                <w:rFonts w:ascii="Cambria Math" w:eastAsiaTheme="minorEastAsia" w:hAnsi="Cambria Math"/>
              </w:rPr>
              <m:t>x</m:t>
            </m:r>
          </m:sub>
          <m:sup>
            <m:r>
              <w:rPr>
                <w:rFonts w:ascii="Cambria Math" w:eastAsiaTheme="minorEastAsia" w:hAnsi="Cambria Math"/>
              </w:rPr>
              <m:t>bp</m:t>
            </m:r>
          </m:sup>
        </m:sSubSup>
        <m:r>
          <w:rPr>
            <w:rFonts w:ascii="Cambria Math" w:eastAsiaTheme="minorEastAsia" w:hAnsi="Cambria Math"/>
          </w:rPr>
          <m:t>)</m:t>
        </m:r>
      </m:oMath>
      <w:r w:rsidRPr="001A7FC6">
        <w:rPr>
          <w:rFonts w:eastAsiaTheme="minorEastAsia"/>
        </w:rPr>
        <w:t xml:space="preserve"> of these elemental species in the biogas phase, </w:t>
      </w:r>
      <w:r w:rsidRPr="001A7FC6">
        <w:t>assuming that both CO</w:t>
      </w:r>
      <w:r w:rsidRPr="001A7FC6">
        <w:rPr>
          <w:vertAlign w:val="subscript"/>
        </w:rPr>
        <w:t>2</w:t>
      </w:r>
      <w:r w:rsidRPr="001A7FC6">
        <w:t xml:space="preserve"> and CH</w:t>
      </w:r>
      <w:r w:rsidRPr="001A7FC6">
        <w:rPr>
          <w:vertAlign w:val="subscript"/>
        </w:rPr>
        <w:t>4</w:t>
      </w:r>
      <w:r w:rsidRPr="001A7FC6">
        <w:t xml:space="preserve"> behave as ideal gases</w:t>
      </w:r>
      <w:r w:rsidRPr="001A7FC6">
        <w:rPr>
          <w:rFonts w:eastAsiaTheme="minorEastAsia"/>
        </w:rPr>
        <w:t xml:space="preserve">. The resulting values are summarised in </w:t>
      </w:r>
      <w:r w:rsidRPr="001A7FC6">
        <w:rPr>
          <w:rFonts w:eastAsiaTheme="minorEastAsia"/>
        </w:rPr>
        <w:fldChar w:fldCharType="begin"/>
      </w:r>
      <w:r w:rsidRPr="001A7FC6">
        <w:rPr>
          <w:rFonts w:eastAsiaTheme="minorEastAsia"/>
        </w:rPr>
        <w:instrText xml:space="preserve"> REF _Ref15411429 \h </w:instrText>
      </w:r>
      <w:r w:rsidR="001A7FC6">
        <w:rPr>
          <w:rFonts w:eastAsiaTheme="minorEastAsia"/>
        </w:rPr>
        <w:instrText xml:space="preserve"> \* MERGEFORMAT </w:instrText>
      </w:r>
      <w:r w:rsidRPr="001A7FC6">
        <w:rPr>
          <w:rFonts w:eastAsiaTheme="minorEastAsia"/>
        </w:rPr>
      </w:r>
      <w:r w:rsidRPr="001A7FC6">
        <w:rPr>
          <w:rFonts w:eastAsiaTheme="minorEastAsia"/>
        </w:rPr>
        <w:fldChar w:fldCharType="separate"/>
      </w:r>
      <w:r w:rsidR="00890150" w:rsidRPr="001A7FC6">
        <w:rPr>
          <w:color w:val="000000" w:themeColor="text1"/>
        </w:rPr>
        <w:t>Table S</w:t>
      </w:r>
      <w:r w:rsidR="00890150" w:rsidRPr="001A7FC6">
        <w:rPr>
          <w:noProof/>
          <w:color w:val="000000" w:themeColor="text1"/>
        </w:rPr>
        <w:t>6</w:t>
      </w:r>
      <w:r w:rsidRPr="001A7FC6">
        <w:rPr>
          <w:rFonts w:eastAsiaTheme="minorEastAsia"/>
        </w:rPr>
        <w:fldChar w:fldCharType="end"/>
      </w:r>
      <w:r w:rsidRPr="001A7FC6">
        <w:rPr>
          <w:rFonts w:eastAsiaTheme="minorEastAsia"/>
        </w:rPr>
        <w:t>.</w:t>
      </w:r>
    </w:p>
    <w:p w14:paraId="544401F4" w14:textId="5213DC2F" w:rsidR="005D49AE" w:rsidRPr="001A7FC6" w:rsidRDefault="005D49AE" w:rsidP="005D49AE">
      <w:pPr>
        <w:pStyle w:val="Caption"/>
        <w:keepNext/>
        <w:spacing w:after="0"/>
        <w:rPr>
          <w:color w:val="000000" w:themeColor="text1"/>
        </w:rPr>
      </w:pPr>
      <w:bookmarkStart w:id="42" w:name="_Ref15411429"/>
      <w:r w:rsidRPr="001A7FC6">
        <w:rPr>
          <w:color w:val="000000" w:themeColor="text1"/>
        </w:rPr>
        <w:t xml:space="preserve">Table </w:t>
      </w:r>
      <w:r w:rsidR="00FF2AAF" w:rsidRPr="001A7FC6">
        <w:rPr>
          <w:color w:val="000000" w:themeColor="text1"/>
        </w:rPr>
        <w:t>S</w:t>
      </w:r>
      <w:r w:rsidRPr="001A7FC6">
        <w:rPr>
          <w:color w:val="000000" w:themeColor="text1"/>
        </w:rPr>
        <w:fldChar w:fldCharType="begin"/>
      </w:r>
      <w:r w:rsidRPr="001A7FC6">
        <w:rPr>
          <w:color w:val="000000" w:themeColor="text1"/>
        </w:rPr>
        <w:instrText xml:space="preserve"> SEQ Table \* ARABIC </w:instrText>
      </w:r>
      <w:r w:rsidRPr="001A7FC6">
        <w:rPr>
          <w:color w:val="000000" w:themeColor="text1"/>
        </w:rPr>
        <w:fldChar w:fldCharType="separate"/>
      </w:r>
      <w:r w:rsidR="00890150" w:rsidRPr="001A7FC6">
        <w:rPr>
          <w:noProof/>
          <w:color w:val="000000" w:themeColor="text1"/>
        </w:rPr>
        <w:t>6</w:t>
      </w:r>
      <w:r w:rsidRPr="001A7FC6">
        <w:rPr>
          <w:color w:val="000000" w:themeColor="text1"/>
        </w:rPr>
        <w:fldChar w:fldCharType="end"/>
      </w:r>
      <w:bookmarkEnd w:id="42"/>
      <w:r w:rsidRPr="001A7FC6">
        <w:rPr>
          <w:color w:val="000000" w:themeColor="text1"/>
        </w:rPr>
        <w:t>: Elemental yield of species in the biogas phase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5D49AE" w:rsidRPr="001A7FC6" w14:paraId="1474337F" w14:textId="77777777" w:rsidTr="005D49AE">
        <w:tc>
          <w:tcPr>
            <w:tcW w:w="2254" w:type="dxa"/>
            <w:tcBorders>
              <w:top w:val="single" w:sz="4" w:space="0" w:color="auto"/>
              <w:bottom w:val="single" w:sz="4" w:space="0" w:color="auto"/>
            </w:tcBorders>
          </w:tcPr>
          <w:p w14:paraId="500BE36D" w14:textId="77777777" w:rsidR="005D49AE" w:rsidRPr="001A7FC6" w:rsidRDefault="005D49AE" w:rsidP="005D49AE">
            <w:pPr>
              <w:spacing w:line="276" w:lineRule="auto"/>
              <w:rPr>
                <w:b/>
              </w:rPr>
            </w:pPr>
            <w:r w:rsidRPr="001A7FC6">
              <w:rPr>
                <w:b/>
              </w:rPr>
              <w:t>Component</w:t>
            </w:r>
          </w:p>
        </w:tc>
        <w:tc>
          <w:tcPr>
            <w:tcW w:w="2254" w:type="dxa"/>
            <w:tcBorders>
              <w:top w:val="single" w:sz="4" w:space="0" w:color="auto"/>
              <w:bottom w:val="single" w:sz="4" w:space="0" w:color="auto"/>
            </w:tcBorders>
          </w:tcPr>
          <w:p w14:paraId="7320BB1D" w14:textId="77777777" w:rsidR="005D49AE" w:rsidRPr="001A7FC6" w:rsidRDefault="005D49AE" w:rsidP="005D49AE">
            <w:pPr>
              <w:spacing w:line="276" w:lineRule="auto"/>
              <w:jc w:val="center"/>
              <w:rPr>
                <w:b/>
              </w:rPr>
            </w:pPr>
            <w:r w:rsidRPr="001A7FC6">
              <w:rPr>
                <w:b/>
              </w:rPr>
              <w:t>Carbon</w:t>
            </w:r>
          </w:p>
        </w:tc>
        <w:tc>
          <w:tcPr>
            <w:tcW w:w="2254" w:type="dxa"/>
            <w:tcBorders>
              <w:top w:val="single" w:sz="4" w:space="0" w:color="auto"/>
              <w:bottom w:val="single" w:sz="4" w:space="0" w:color="auto"/>
            </w:tcBorders>
          </w:tcPr>
          <w:p w14:paraId="49B744AA" w14:textId="77777777" w:rsidR="005D49AE" w:rsidRPr="001A7FC6" w:rsidRDefault="005D49AE" w:rsidP="005D49AE">
            <w:pPr>
              <w:spacing w:line="276" w:lineRule="auto"/>
              <w:jc w:val="center"/>
              <w:rPr>
                <w:b/>
              </w:rPr>
            </w:pPr>
            <w:r w:rsidRPr="001A7FC6">
              <w:rPr>
                <w:b/>
              </w:rPr>
              <w:t>Hydrogen</w:t>
            </w:r>
          </w:p>
        </w:tc>
        <w:tc>
          <w:tcPr>
            <w:tcW w:w="2254" w:type="dxa"/>
            <w:tcBorders>
              <w:top w:val="single" w:sz="4" w:space="0" w:color="auto"/>
              <w:bottom w:val="single" w:sz="4" w:space="0" w:color="auto"/>
            </w:tcBorders>
          </w:tcPr>
          <w:p w14:paraId="16D214C9" w14:textId="77777777" w:rsidR="005D49AE" w:rsidRPr="001A7FC6" w:rsidRDefault="005D49AE" w:rsidP="005D49AE">
            <w:pPr>
              <w:spacing w:line="276" w:lineRule="auto"/>
              <w:jc w:val="center"/>
              <w:rPr>
                <w:b/>
              </w:rPr>
            </w:pPr>
            <w:r w:rsidRPr="001A7FC6">
              <w:rPr>
                <w:b/>
              </w:rPr>
              <w:t>Oxygen</w:t>
            </w:r>
          </w:p>
        </w:tc>
      </w:tr>
      <w:tr w:rsidR="005D49AE" w:rsidRPr="001A7FC6" w14:paraId="09433160" w14:textId="77777777" w:rsidTr="005D49AE">
        <w:tc>
          <w:tcPr>
            <w:tcW w:w="2254" w:type="dxa"/>
            <w:tcBorders>
              <w:top w:val="single" w:sz="4" w:space="0" w:color="auto"/>
            </w:tcBorders>
          </w:tcPr>
          <w:p w14:paraId="48E845C2" w14:textId="77777777" w:rsidR="005D49AE" w:rsidRPr="001A7FC6" w:rsidRDefault="00547887" w:rsidP="005D49AE">
            <w:pPr>
              <w:spacing w:line="276" w:lineRule="auto"/>
            </w:pPr>
            <m:oMath>
              <m:sSubSup>
                <m:sSubSupPr>
                  <m:ctrlPr>
                    <w:rPr>
                      <w:rFonts w:ascii="Cambria Math" w:eastAsiaTheme="minorEastAsia" w:hAnsi="Cambria Math"/>
                      <w:i/>
                    </w:rPr>
                  </m:ctrlPr>
                </m:sSubSupPr>
                <m:e>
                  <m:r>
                    <w:rPr>
                      <w:rFonts w:ascii="Cambria Math" w:eastAsiaTheme="minorEastAsia" w:hAnsi="Cambria Math"/>
                    </w:rPr>
                    <m:t>yld</m:t>
                  </m:r>
                </m:e>
                <m:sub>
                  <m:r>
                    <w:rPr>
                      <w:rFonts w:ascii="Cambria Math" w:eastAsiaTheme="minorEastAsia" w:hAnsi="Cambria Math"/>
                    </w:rPr>
                    <m:t>x</m:t>
                  </m:r>
                </m:sub>
                <m:sup>
                  <m:r>
                    <w:rPr>
                      <w:rFonts w:ascii="Cambria Math" w:eastAsiaTheme="minorEastAsia" w:hAnsi="Cambria Math"/>
                    </w:rPr>
                    <m:t>bp</m:t>
                  </m:r>
                </m:sup>
              </m:sSubSup>
            </m:oMath>
            <w:r w:rsidR="005D49AE" w:rsidRPr="001A7FC6">
              <w:t xml:space="preserve"> (g/g COD)</w:t>
            </w:r>
          </w:p>
        </w:tc>
        <w:tc>
          <w:tcPr>
            <w:tcW w:w="2254" w:type="dxa"/>
            <w:tcBorders>
              <w:top w:val="single" w:sz="4" w:space="0" w:color="auto"/>
            </w:tcBorders>
          </w:tcPr>
          <w:p w14:paraId="11C90D47" w14:textId="77777777" w:rsidR="005D49AE" w:rsidRPr="001A7FC6" w:rsidRDefault="005D49AE" w:rsidP="005D49AE">
            <w:pPr>
              <w:spacing w:line="276" w:lineRule="auto"/>
              <w:jc w:val="center"/>
            </w:pPr>
            <w:r w:rsidRPr="001A7FC6">
              <w:t>0.2451</w:t>
            </w:r>
          </w:p>
        </w:tc>
        <w:tc>
          <w:tcPr>
            <w:tcW w:w="2254" w:type="dxa"/>
            <w:tcBorders>
              <w:top w:val="single" w:sz="4" w:space="0" w:color="auto"/>
            </w:tcBorders>
          </w:tcPr>
          <w:p w14:paraId="690F228D" w14:textId="77777777" w:rsidR="005D49AE" w:rsidRPr="001A7FC6" w:rsidRDefault="005D49AE" w:rsidP="005D49AE">
            <w:pPr>
              <w:spacing w:line="276" w:lineRule="auto"/>
              <w:jc w:val="center"/>
            </w:pPr>
            <w:r w:rsidRPr="001A7FC6">
              <w:t>0.0531</w:t>
            </w:r>
          </w:p>
        </w:tc>
        <w:tc>
          <w:tcPr>
            <w:tcW w:w="2254" w:type="dxa"/>
            <w:tcBorders>
              <w:top w:val="single" w:sz="4" w:space="0" w:color="auto"/>
            </w:tcBorders>
          </w:tcPr>
          <w:p w14:paraId="04AD5930" w14:textId="77777777" w:rsidR="005D49AE" w:rsidRPr="001A7FC6" w:rsidRDefault="005D49AE" w:rsidP="005D49AE">
            <w:pPr>
              <w:spacing w:line="276" w:lineRule="auto"/>
              <w:jc w:val="center"/>
            </w:pPr>
            <w:r w:rsidRPr="001A7FC6">
              <w:t>0.2288</w:t>
            </w:r>
          </w:p>
        </w:tc>
      </w:tr>
    </w:tbl>
    <w:p w14:paraId="71C9E66C" w14:textId="7E17BF15" w:rsidR="005D49AE" w:rsidRPr="001A7FC6" w:rsidRDefault="005D49AE" w:rsidP="005D49AE">
      <w:pPr>
        <w:spacing w:before="240"/>
      </w:pPr>
      <w:r w:rsidRPr="001A7FC6">
        <w:t xml:space="preserve">Furthermore, the digestate is divided into two separate fractions, the solid fraction and the liquid fraction. The amount of nitrogen that goes to each is 87% and 13%  LF and SF respectively </w:t>
      </w:r>
      <w:r w:rsidRPr="001A7FC6">
        <w:fldChar w:fldCharType="begin" w:fldLock="1"/>
      </w:r>
      <w:r w:rsidR="00031370" w:rsidRPr="001A7FC6">
        <w:instrText>ADDIN CSL_CITATION {"citationItems":[{"id":"ITEM-1","itemData":{"DOI":"10.1016/j.biortech.2017.07.130","ISSN":"18732976","abstract":"Solid-liquid (S/L) separation of digestate (D) represents a simple technology able to produce two fractions having different composition. The aim of this work was to study the effect of S/L separation on dry matter (DM), nitrogen (TKN), phosphorus (P2O5) and heavy metals (HM) repartition into these two fractions and to characterize them. Therefore, thirteen full-scale digestion plants were studied and D, LF and SF were collected during three seasons of the year. Results obtained indicated that unexpectedly, on a mass balance, the liquid fraction still contains the majority of DM, i.e. 67% of the total of D. LF also contained 87% and 71% of TKN and P2O5 respectively. HM contents were in line with typical NP-organic fertilizers. Chemical characterization suggested that the LF can be used as a substitute for mineral N fertilizers because of its high N content, while SF can be proposed as an NP-organic fertilizer.","author":[{"dropping-particle":"","family":"Tambone","given":"Fulvia","non-dropping-particle":"","parse-names":false,"suffix":""},{"dropping-particle":"","family":"Orzi","given":"Valentina","non-dropping-particle":"","parse-names":false,"suffix":""},{"dropping-particle":"","family":"D'Imporzano","given":"Giuliana","non-dropping-particle":"","parse-names":false,"suffix":""},{"dropping-particle":"","family":"Adani","given":"Fabrizio","non-dropping-particle":"","parse-names":false,"suffix":""}],"container-title":"Bioresource Technology","id":"ITEM-1","issued":{"date-parts":[["2017"]]},"page":"1251-1256","publisher":"Elsevier Ltd","title":"Solid and liquid fractionation of digestate: Mass balance, chemical characterization, and agronomic and environmental value","type":"article-journal","volume":"243"},"uris":["http://www.mendeley.com/documents/?uuid=9f6f3bdd-2677-4123-8526-80aec3babbe4"]}],"mendeley":{"formattedCitation":"(Tambone et al., 2017)","plainTextFormattedCitation":"(Tambone et al., 2017)","previouslyFormattedCitation":"(Tambone et al., 2017)"},"properties":{"noteIndex":0},"schema":"https://github.com/citation-style-language/schema/raw/master/csl-citation.json"}</w:instrText>
      </w:r>
      <w:r w:rsidRPr="001A7FC6">
        <w:fldChar w:fldCharType="separate"/>
      </w:r>
      <w:r w:rsidRPr="001A7FC6">
        <w:rPr>
          <w:noProof/>
        </w:rPr>
        <w:t>(Tambone et al., 2017)</w:t>
      </w:r>
      <w:r w:rsidRPr="001A7FC6">
        <w:fldChar w:fldCharType="end"/>
      </w:r>
      <w:r w:rsidRPr="001A7FC6">
        <w:t>.  The ratio of separation</w:t>
      </w:r>
      <w:r w:rsidRPr="001A7FC6">
        <w:rPr>
          <w:rFonts w:eastAsiaTheme="minorEastAsia"/>
        </w:rPr>
        <w:t xml:space="preserve"> </w:t>
      </w:r>
      <w:r w:rsidRPr="001A7FC6">
        <w:t xml:space="preserve"> for the rest of the solid species is 1:12 for SF and LF respectively  </w:t>
      </w:r>
      <w:r w:rsidRPr="001A7FC6">
        <w:fldChar w:fldCharType="begin" w:fldLock="1"/>
      </w:r>
      <w:r w:rsidR="00031370" w:rsidRPr="001A7FC6">
        <w:instrText>ADDIN CSL_CITATION {"citationItems":[{"id":"ITEM-1","itemData":{"ISBN":"ISBn9781910154168","abstract":"This report reviews various approaches for processing of biogas plant digestate for the purpose of nutrient recovery. It covers both established and emerging technologies and assesses technical performance and where possible economics. Techniques for nutrient recovery from digestate are developing rapidly and aim to improve nutrient management in agriculture and in waste treatment systems. The report is aimed at biogas plant developers and operators as well as agriculture policy makers and was produced by IEA Bioenergy Task 37. IEA Bioenergy Task 37 addresses challenges related to the economic and environmental sustainability of biogas production and utilisation.","author":[{"dropping-particle":"","family":"Drosg","given":"Bernhard","non-dropping-particle":"","parse-names":false,"suffix":""},{"dropping-particle":"","family":"Fuchs","given":"Werner","non-dropping-particle":"","parse-names":false,"suffix":""},{"dropping-particle":"","family":"Al","given":"Teodorita","non-dropping-particle":"","parse-names":false,"suffix":""},{"dropping-particle":"","family":"Madsen","given":"Seadi Michael","non-dropping-particle":"","parse-names":false,"suffix":""},{"dropping-particle":"","family":"Linke","given":"Bernd","non-dropping-particle":"","parse-names":false,"suffix":""}],"container-title":"IEA Bioenergy","id":"ITEM-1","issued":{"date-parts":[["2015"]]},"number-of-pages":"4-35","title":"Nutrient Recovery by Biogas Digestate Processing Bernhard","type":"report"},"uris":["http://www.mendeley.com/documents/?uuid=bc29c9b5-31da-4bb3-a73b-6c50890e45d4"]}],"mendeley":{"formattedCitation":"(Drosg et al., 2015)","plainTextFormattedCitation":"(Drosg et al., 2015)","previouslyFormattedCitation":"(Drosg et al., 2015)"},"properties":{"noteIndex":0},"schema":"https://github.com/citation-style-language/schema/raw/master/csl-citation.json"}</w:instrText>
      </w:r>
      <w:r w:rsidRPr="001A7FC6">
        <w:fldChar w:fldCharType="separate"/>
      </w:r>
      <w:r w:rsidRPr="001A7FC6">
        <w:rPr>
          <w:noProof/>
        </w:rPr>
        <w:t>(Drosg et al., 2015)</w:t>
      </w:r>
      <w:r w:rsidRPr="001A7FC6">
        <w:fldChar w:fldCharType="end"/>
      </w:r>
      <w:r w:rsidRPr="001A7FC6">
        <w:t xml:space="preserve">.  These separation factors </w:t>
      </w:r>
      <m:oMath>
        <m:r>
          <w:rPr>
            <w:rFonts w:ascii="Cambria Math" w:hAnsi="Cambria Math"/>
          </w:rPr>
          <m:t>(</m:t>
        </m:r>
        <m:r>
          <w:rPr>
            <w:rFonts w:ascii="Cambria Math" w:eastAsiaTheme="minorEastAsia" w:hAnsi="Cambria Math"/>
          </w:rPr>
          <m:t>se</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x</m:t>
            </m:r>
          </m:sub>
        </m:sSub>
        <m:r>
          <w:rPr>
            <w:rFonts w:ascii="Cambria Math" w:eastAsiaTheme="minorEastAsia" w:hAnsi="Cambria Math"/>
          </w:rPr>
          <m:t>)</m:t>
        </m:r>
      </m:oMath>
      <w:r w:rsidRPr="001A7FC6">
        <w:rPr>
          <w:rFonts w:eastAsiaTheme="minorEastAsia"/>
        </w:rPr>
        <w:t xml:space="preserve"> are summarised in </w:t>
      </w:r>
      <w:r w:rsidRPr="001A7FC6">
        <w:rPr>
          <w:rFonts w:eastAsiaTheme="minorEastAsia"/>
        </w:rPr>
        <w:fldChar w:fldCharType="begin"/>
      </w:r>
      <w:r w:rsidRPr="001A7FC6">
        <w:rPr>
          <w:rFonts w:eastAsiaTheme="minorEastAsia"/>
        </w:rPr>
        <w:instrText xml:space="preserve"> REF _Ref15411480 \h </w:instrText>
      </w:r>
      <w:r w:rsidR="001A7FC6">
        <w:rPr>
          <w:rFonts w:eastAsiaTheme="minorEastAsia"/>
        </w:rPr>
        <w:instrText xml:space="preserve"> \* MERGEFORMAT </w:instrText>
      </w:r>
      <w:r w:rsidRPr="001A7FC6">
        <w:rPr>
          <w:rFonts w:eastAsiaTheme="minorEastAsia"/>
        </w:rPr>
      </w:r>
      <w:r w:rsidRPr="001A7FC6">
        <w:rPr>
          <w:rFonts w:eastAsiaTheme="minorEastAsia"/>
        </w:rPr>
        <w:fldChar w:fldCharType="separate"/>
      </w:r>
      <w:r w:rsidR="00890150" w:rsidRPr="001A7FC6">
        <w:rPr>
          <w:color w:val="000000" w:themeColor="text1"/>
        </w:rPr>
        <w:t>Table S</w:t>
      </w:r>
      <w:r w:rsidR="00890150" w:rsidRPr="001A7FC6">
        <w:rPr>
          <w:noProof/>
          <w:color w:val="000000" w:themeColor="text1"/>
        </w:rPr>
        <w:t>7</w:t>
      </w:r>
      <w:r w:rsidRPr="001A7FC6">
        <w:rPr>
          <w:rFonts w:eastAsiaTheme="minorEastAsia"/>
        </w:rPr>
        <w:fldChar w:fldCharType="end"/>
      </w:r>
      <w:r w:rsidRPr="001A7FC6">
        <w:rPr>
          <w:rFonts w:eastAsiaTheme="minorEastAsia"/>
        </w:rPr>
        <w:t>.</w:t>
      </w:r>
    </w:p>
    <w:p w14:paraId="6999A010" w14:textId="700A9079" w:rsidR="005D49AE" w:rsidRPr="001A7FC6" w:rsidRDefault="005D49AE" w:rsidP="005D49AE">
      <w:r w:rsidRPr="001A7FC6">
        <w:lastRenderedPageBreak/>
        <w:t xml:space="preserve">Typical TS contents of the SF of digestate of OFMSW ranges at about 17% </w:t>
      </w:r>
      <w:r w:rsidRPr="001A7FC6">
        <w:fldChar w:fldCharType="begin" w:fldLock="1"/>
      </w:r>
      <w:r w:rsidR="00031370" w:rsidRPr="001A7FC6">
        <w:instrText>ADDIN CSL_CITATION {"citationItems":[{"id":"ITEM-1","itemData":{"DOI":"10.1007/s12649-017-0071-2","ISBN":"0123456789","ISSN":"1877265X","abstract":"The anaerobic digestion (AD) of the organic fraction of municipal solid waste (OFMSW) and food waste achieves both environmental and economic benefits. This bio-process, well-known for producing biogas, is used extensively for industrial applications all over the world. Despite the use of AD across the world, the overall sustainability of this process as a source of an alternate fuel (i.e., biomethane) is intrinsically linked to the successful management of one of its major byproducts, the digestate. In order for the digestate to be classified as a ``product'' rather than a ``waste'' and to achieve regulatory compliance, this liquid stream needs to undergo biological or physicochemical treatments. The most common treatment for digestate is the use as a soil amendment. Nutrients surplus, variable agricultural seasonal requirements, escalating transportation cost, and market acceptance (e.g., risk for food safety) represents the major obstacle for the use of digestate for agricultural applications. Therefore, it is necessary to study alternative approaches for digestate management and utilization options. One alternative concept is the Back to Earth Alternative (BEA) whose aim is to bring appropriately treated residues back to their non-mobile state, as they were extracted from the earth to be used as raw materials, which would achieve actual closing of the materials cycles. Similarly, the same concept can be introduced into the digestate management process, with the goal of reducing resource costs and mitigate potential impacts on climate change, by employing a more holistic circular economy model instead of linear economy model commonly referred to as ``take-make-dispose''. The overarching aim of this study is to introduce the BEA and circular economy concepts into the digestate management process taking into consideration the initial quality of the digestate and the techniques and processes necessary to meet the specific regulatory and quality requirements for the utilization of this waste stream for different applications. Cost benefit analysis and environmental impact were also evaluated for each BEA.","author":[{"dropping-particle":"","family":"Peng","given":"Wei","non-dropping-particle":"","parse-names":false,"suffix":""},{"dropping-particle":"","family":"Pivato","given":"Alberto","non-dropping-particle":"","parse-names":false,"suffix":""}],"container-title":"Waste and Biomass Valorization","id":"ITEM-1","issue":"2","issued":{"date-parts":[["2019"]]},"page":"465-481","publisher":"Springer Netherlands","title":"Sustainable Management of Digestate from the Organic Fraction of Municipal Solid Waste and Food Waste Under the Concepts of Back to Earth Alternatives and Circular Economy","type":"article-journal","volume":"10"},"uris":["http://www.mendeley.com/documents/?uuid=3eac263b-ec69-46e2-a26d-528e33771cbd"]}],"mendeley":{"formattedCitation":"(Peng and Pivato, 2019)","plainTextFormattedCitation":"(Peng and Pivato, 2019)","previouslyFormattedCitation":"(Peng and Pivato, 2019)"},"properties":{"noteIndex":0},"schema":"https://github.com/citation-style-language/schema/raw/master/csl-citation.json"}</w:instrText>
      </w:r>
      <w:r w:rsidRPr="001A7FC6">
        <w:fldChar w:fldCharType="separate"/>
      </w:r>
      <w:r w:rsidRPr="001A7FC6">
        <w:rPr>
          <w:noProof/>
        </w:rPr>
        <w:t>(Peng and Pivato, 2019)</w:t>
      </w:r>
      <w:r w:rsidRPr="001A7FC6">
        <w:fldChar w:fldCharType="end"/>
      </w:r>
      <w:r w:rsidRPr="001A7FC6">
        <w:t xml:space="preserve"> but to make further processing of digestate by incineration feasible it must be dried, while for pyrolysis, TS content must be increased to 80% and pelletised </w:t>
      </w:r>
      <w:r w:rsidRPr="001A7FC6">
        <w:fldChar w:fldCharType="begin" w:fldLock="1"/>
      </w:r>
      <w:r w:rsidR="00031370" w:rsidRPr="001A7FC6">
        <w:instrText>ADDIN CSL_CITATION {"citationItems":[{"id":"ITEM-1","itemData":{"DOI":"10.1007/s11666-009-9304-7","ISSN":"10599630","abstract":"Desk top study on digestate enhancement and treatment. \\r\\nA review of enhancement techniques, processing options and novel digestate products.","author":[{"dropping-particle":"","family":"WRAP","given":"","non-dropping-particle":"","parse-names":false,"suffix":""}],"container-title":"Waste and Resources Action Programme","id":"ITEM-1","issue":"May","issued":{"date-parts":[["2012"]]},"page":"1-38","title":"Enhancement and treatment of digestates from anaerobic digestion","type":"article-journal"},"uris":["http://www.mendeley.com/documents/?uuid=ad14309b-264e-4ff3-a68f-29bb01b3a255"]},{"id":"ITEM-2","itemData":{"DOI":"10.1007/s12649-017-0071-2","ISBN":"0123456789","ISSN":"1877265X","abstract":"The anaerobic digestion (AD) of the organic fraction of municipal solid waste (OFMSW) and food waste achieves both environmental and economic benefits. This bio-process, well-known for producing biogas, is used extensively for industrial applications all over the world. Despite the use of AD across the world, the overall sustainability of this process as a source of an alternate fuel (i.e., biomethane) is intrinsically linked to the successful management of one of its major byproducts, the digestate. In order for the digestate to be classified as a ``product'' rather than a ``waste'' and to achieve regulatory compliance, this liquid stream needs to undergo biological or physicochemical treatments. The most common treatment for digestate is the use as a soil amendment. Nutrients surplus, variable agricultural seasonal requirements, escalating transportation cost, and market acceptance (e.g., risk for food safety) represents the major obstacle for the use of digestate for agricultural applications. Therefore, it is necessary to study alternative approaches for digestate management and utilization options. One alternative concept is the Back to Earth Alternative (BEA) whose aim is to bring appropriately treated residues back to their non-mobile state, as they were extracted from the earth to be used as raw materials, which would achieve actual closing of the materials cycles. Similarly, the same concept can be introduced into the digestate management process, with the goal of reducing resource costs and mitigate potential impacts on climate change, by employing a more holistic circular economy model instead of linear economy model commonly referred to as ``take-make-dispose''. The overarching aim of this study is to introduce the BEA and circular economy concepts into the digestate management process taking into consideration the initial quality of the digestate and the techniques and processes necessary to meet the specific regulatory and quality requirements for the utilization of this waste stream for different applications. Cost benefit analysis and environmental impact were also evaluated for each BEA.","author":[{"dropping-particle":"","family":"Peng","given":"Wei","non-dropping-particle":"","parse-names":false,"suffix":""},{"dropping-particle":"","family":"Pivato","given":"Alberto","non-dropping-particle":"","parse-names":false,"suffix":""}],"container-title":"Waste and Biomass Valorization","id":"ITEM-2","issue":"2","issued":{"date-parts":[["2019"]]},"page":"465-481","publisher":"Springer Netherlands","title":"Sustainable Management of Digestate from the Organic Fraction of Municipal Solid Waste and Food Waste Under the Concepts of Back to Earth Alternatives and Circular Economy","type":"article-journal","volume":"10"},"uris":["http://www.mendeley.com/documents/?uuid=3eac263b-ec69-46e2-a26d-528e33771cbd"]}],"mendeley":{"formattedCitation":"(Peng and Pivato, 2019; WRAP, 2012)","plainTextFormattedCitation":"(Peng and Pivato, 2019; WRAP, 2012)","previouslyFormattedCitation":"(Peng and Pivato, 2019; WRAP, 2012)"},"properties":{"noteIndex":0},"schema":"https://github.com/citation-style-language/schema/raw/master/csl-citation.json"}</w:instrText>
      </w:r>
      <w:r w:rsidRPr="001A7FC6">
        <w:fldChar w:fldCharType="separate"/>
      </w:r>
      <w:r w:rsidR="0014186D" w:rsidRPr="001A7FC6">
        <w:rPr>
          <w:noProof/>
        </w:rPr>
        <w:t>(Peng and Pivato, 2019; WRAP, 2012)</w:t>
      </w:r>
      <w:r w:rsidRPr="001A7FC6">
        <w:fldChar w:fldCharType="end"/>
      </w:r>
      <w:r w:rsidRPr="001A7FC6">
        <w:t xml:space="preserve">. Therefore, the fraction of water in the dry SF of the digestate </w:t>
      </w:r>
      <m:oMath>
        <m:r>
          <w:rPr>
            <w:rFonts w:ascii="Cambria Math" w:hAnsi="Cambria Math"/>
          </w:rPr>
          <m:t>(</m:t>
        </m:r>
        <m:r>
          <w:rPr>
            <w:rFonts w:ascii="Cambria Math" w:eastAsia="Calibri" w:hAnsi="Cambria Math" w:cs="Times New Roman"/>
          </w:rPr>
          <m:t>f</m:t>
        </m:r>
        <m:sSup>
          <m:sSupPr>
            <m:ctrlPr>
              <w:rPr>
                <w:rFonts w:ascii="Cambria Math" w:eastAsia="Calibri" w:hAnsi="Cambria Math" w:cs="Times New Roman"/>
                <w:i/>
              </w:rPr>
            </m:ctrlPr>
          </m:sSupPr>
          <m:e>
            <m:r>
              <w:rPr>
                <w:rFonts w:ascii="Cambria Math" w:eastAsia="Calibri" w:hAnsi="Cambria Math" w:cs="Times New Roman"/>
              </w:rPr>
              <m:t>r</m:t>
            </m:r>
          </m:e>
          <m:sup>
            <m:sSub>
              <m:sSubPr>
                <m:ctrlPr>
                  <w:rPr>
                    <w:rFonts w:ascii="Cambria Math" w:eastAsia="Calibri" w:hAnsi="Cambria Math" w:cs="Times New Roman"/>
                    <w:i/>
                  </w:rPr>
                </m:ctrlPr>
              </m:sSubPr>
              <m:e>
                <m:r>
                  <w:rPr>
                    <w:rFonts w:ascii="Cambria Math" w:eastAsia="Calibri" w:hAnsi="Cambria Math" w:cs="Times New Roman"/>
                  </w:rPr>
                  <m:t>H</m:t>
                </m:r>
              </m:e>
              <m:sub>
                <m:r>
                  <w:rPr>
                    <w:rFonts w:ascii="Cambria Math" w:eastAsia="Calibri" w:hAnsi="Cambria Math" w:cs="Times New Roman"/>
                  </w:rPr>
                  <m:t>2</m:t>
                </m:r>
              </m:sub>
            </m:sSub>
            <m:r>
              <w:rPr>
                <w:rFonts w:ascii="Cambria Math" w:eastAsia="Calibri" w:hAnsi="Cambria Math" w:cs="Times New Roman"/>
              </w:rPr>
              <m:t>O dry SF</m:t>
            </m:r>
          </m:sup>
        </m:sSup>
        <m:r>
          <w:rPr>
            <w:rFonts w:ascii="Cambria Math" w:eastAsia="Calibri" w:hAnsi="Cambria Math" w:cs="Times New Roman"/>
          </w:rPr>
          <m:t>)</m:t>
        </m:r>
      </m:oMath>
      <w:r w:rsidRPr="001A7FC6">
        <w:t xml:space="preserve">will be that required to maintain the </w:t>
      </w:r>
      <w:proofErr w:type="gramStart"/>
      <w:r w:rsidRPr="001A7FC6">
        <w:t>aforementioned percentages</w:t>
      </w:r>
      <w:proofErr w:type="gramEnd"/>
      <w:r w:rsidRPr="001A7FC6">
        <w:t>. The amount of water assigned to the LF will be that not assigned to the SF before its water content is decreased</w:t>
      </w:r>
      <w:r w:rsidRPr="001A7FC6">
        <w:rPr>
          <w:rFonts w:eastAsiaTheme="minorEastAsia"/>
        </w:rPr>
        <w:t>, where</w:t>
      </w:r>
      <m:oMath>
        <m:r>
          <w:rPr>
            <w:rFonts w:ascii="Cambria Math" w:hAnsi="Cambria Math"/>
          </w:rPr>
          <m:t xml:space="preserve"> (</m:t>
        </m:r>
        <m:r>
          <w:rPr>
            <w:rFonts w:ascii="Cambria Math" w:eastAsia="Calibri" w:hAnsi="Cambria Math" w:cs="Times New Roman"/>
          </w:rPr>
          <m:t>f</m:t>
        </m:r>
        <m:sSup>
          <m:sSupPr>
            <m:ctrlPr>
              <w:rPr>
                <w:rFonts w:ascii="Cambria Math" w:eastAsia="Calibri" w:hAnsi="Cambria Math" w:cs="Times New Roman"/>
                <w:i/>
              </w:rPr>
            </m:ctrlPr>
          </m:sSupPr>
          <m:e>
            <m:r>
              <w:rPr>
                <w:rFonts w:ascii="Cambria Math" w:eastAsia="Calibri" w:hAnsi="Cambria Math" w:cs="Times New Roman"/>
              </w:rPr>
              <m:t>r</m:t>
            </m:r>
          </m:e>
          <m:sup>
            <m:sSub>
              <m:sSubPr>
                <m:ctrlPr>
                  <w:rPr>
                    <w:rFonts w:ascii="Cambria Math" w:eastAsia="Calibri" w:hAnsi="Cambria Math" w:cs="Times New Roman"/>
                    <w:i/>
                  </w:rPr>
                </m:ctrlPr>
              </m:sSubPr>
              <m:e>
                <m:r>
                  <w:rPr>
                    <w:rFonts w:ascii="Cambria Math" w:eastAsia="Calibri" w:hAnsi="Cambria Math" w:cs="Times New Roman"/>
                  </w:rPr>
                  <m:t>H</m:t>
                </m:r>
              </m:e>
              <m:sub>
                <m:r>
                  <w:rPr>
                    <w:rFonts w:ascii="Cambria Math" w:eastAsia="Calibri" w:hAnsi="Cambria Math" w:cs="Times New Roman"/>
                  </w:rPr>
                  <m:t>2</m:t>
                </m:r>
              </m:sub>
            </m:sSub>
            <m:r>
              <w:rPr>
                <w:rFonts w:ascii="Cambria Math" w:eastAsia="Calibri" w:hAnsi="Cambria Math" w:cs="Times New Roman"/>
              </w:rPr>
              <m:t>O SF</m:t>
            </m:r>
          </m:sup>
        </m:sSup>
        <m:r>
          <w:rPr>
            <w:rFonts w:ascii="Cambria Math" w:eastAsia="Calibri" w:hAnsi="Cambria Math" w:cs="Times New Roman"/>
          </w:rPr>
          <m:t>)</m:t>
        </m:r>
      </m:oMath>
      <w:r w:rsidRPr="001A7FC6">
        <w:rPr>
          <w:rFonts w:eastAsiaTheme="minorEastAsia"/>
        </w:rPr>
        <w:t xml:space="preserve"> is the fraction of water in SF digestate prior to drying</w:t>
      </w:r>
      <w:r w:rsidRPr="001A7FC6">
        <w:t>. Eq.</w:t>
      </w:r>
      <w:r w:rsidR="00387CDE" w:rsidRPr="001A7FC6">
        <w:t xml:space="preserve"> </w:t>
      </w:r>
      <w:r w:rsidRPr="001A7FC6">
        <w:fldChar w:fldCharType="begin"/>
      </w:r>
      <w:r w:rsidRPr="001A7FC6">
        <w:instrText xml:space="preserve"> REF _Ref15298359 \h  \* MERGEFORMAT </w:instrText>
      </w:r>
      <w:r w:rsidRPr="001A7FC6">
        <w:fldChar w:fldCharType="separate"/>
      </w:r>
      <w:r w:rsidR="00890150" w:rsidRPr="001A7FC6">
        <w:t>(</w:t>
      </w:r>
      <w:r w:rsidR="00890150" w:rsidRPr="001A7FC6">
        <w:rPr>
          <w:noProof/>
        </w:rPr>
        <w:t>S17</w:t>
      </w:r>
      <w:r w:rsidR="00890150" w:rsidRPr="001A7FC6">
        <w:t>)</w:t>
      </w:r>
      <w:r w:rsidRPr="001A7FC6">
        <w:fldChar w:fldCharType="end"/>
      </w:r>
      <w:r w:rsidRPr="001A7FC6">
        <w:t>-</w:t>
      </w:r>
      <w:r w:rsidRPr="001A7FC6">
        <w:fldChar w:fldCharType="begin"/>
      </w:r>
      <w:r w:rsidRPr="001A7FC6">
        <w:instrText xml:space="preserve"> REF _Ref15298361 \h  \* MERGEFORMAT </w:instrText>
      </w:r>
      <w:r w:rsidRPr="001A7FC6">
        <w:fldChar w:fldCharType="separate"/>
      </w:r>
      <w:r w:rsidR="00890150" w:rsidRPr="001A7FC6">
        <w:t>(</w:t>
      </w:r>
      <w:r w:rsidR="00890150" w:rsidRPr="001A7FC6">
        <w:rPr>
          <w:noProof/>
        </w:rPr>
        <w:t>S21</w:t>
      </w:r>
      <w:r w:rsidR="00890150" w:rsidRPr="001A7FC6">
        <w:t>)</w:t>
      </w:r>
      <w:r w:rsidRPr="001A7FC6">
        <w:fldChar w:fldCharType="end"/>
      </w:r>
      <w:r w:rsidRPr="001A7FC6">
        <w:t xml:space="preserve"> show the mass balances, with the water fractions summarised in </w:t>
      </w:r>
      <w:r w:rsidRPr="001A7FC6">
        <w:rPr>
          <w:rFonts w:eastAsiaTheme="minorEastAsia"/>
        </w:rPr>
        <w:fldChar w:fldCharType="begin"/>
      </w:r>
      <w:r w:rsidRPr="001A7FC6">
        <w:rPr>
          <w:rFonts w:eastAsiaTheme="minorEastAsia"/>
        </w:rPr>
        <w:instrText xml:space="preserve"> REF _Ref15411480 \h </w:instrText>
      </w:r>
      <w:r w:rsidR="001A7FC6">
        <w:rPr>
          <w:rFonts w:eastAsiaTheme="minorEastAsia"/>
        </w:rPr>
        <w:instrText xml:space="preserve"> \* MERGEFORMAT </w:instrText>
      </w:r>
      <w:r w:rsidRPr="001A7FC6">
        <w:rPr>
          <w:rFonts w:eastAsiaTheme="minorEastAsia"/>
        </w:rPr>
      </w:r>
      <w:r w:rsidRPr="001A7FC6">
        <w:rPr>
          <w:rFonts w:eastAsiaTheme="minorEastAsia"/>
        </w:rPr>
        <w:fldChar w:fldCharType="separate"/>
      </w:r>
      <w:r w:rsidR="00890150" w:rsidRPr="001A7FC6">
        <w:rPr>
          <w:color w:val="000000" w:themeColor="text1"/>
        </w:rPr>
        <w:t>Table S</w:t>
      </w:r>
      <w:r w:rsidR="00890150" w:rsidRPr="001A7FC6">
        <w:rPr>
          <w:noProof/>
          <w:color w:val="000000" w:themeColor="text1"/>
        </w:rPr>
        <w:t>7</w:t>
      </w:r>
      <w:r w:rsidRPr="001A7FC6">
        <w:rPr>
          <w:rFonts w:eastAsiaTheme="minorEastAsia"/>
        </w:rPr>
        <w:fldChar w:fldCharType="end"/>
      </w:r>
      <w:r w:rsidRPr="001A7FC6">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2"/>
        <w:gridCol w:w="754"/>
      </w:tblGrid>
      <w:tr w:rsidR="005D49AE" w:rsidRPr="001A7FC6" w14:paraId="75128EC4" w14:textId="77777777" w:rsidTr="005D49AE">
        <w:tc>
          <w:tcPr>
            <w:tcW w:w="4790" w:type="pct"/>
          </w:tcPr>
          <w:p w14:paraId="459E7621" w14:textId="77777777" w:rsidR="005D49AE" w:rsidRPr="001A7FC6" w:rsidRDefault="00547887" w:rsidP="005D49AE">
            <w:pPr>
              <w:rPr>
                <w:rFonts w:eastAsiaTheme="minorEastAsia"/>
              </w:rPr>
            </w:pPr>
            <m:oMathPara>
              <m:oMath>
                <m:sSubSup>
                  <m:sSubSupPr>
                    <m:ctrlPr>
                      <w:rPr>
                        <w:rFonts w:ascii="Cambria Math" w:hAnsi="Cambria Math"/>
                        <w:i/>
                      </w:rPr>
                    </m:ctrlPr>
                  </m:sSubSupPr>
                  <m:e>
                    <m:r>
                      <w:rPr>
                        <w:rFonts w:ascii="Cambria Math" w:hAnsi="Cambria Math"/>
                      </w:rPr>
                      <m:t>M</m:t>
                    </m:r>
                  </m:e>
                  <m:sub>
                    <m:r>
                      <w:rPr>
                        <w:rFonts w:ascii="Cambria Math" w:hAnsi="Cambria Math"/>
                      </w:rPr>
                      <m:t>x</m:t>
                    </m:r>
                  </m:sub>
                  <m:sup>
                    <m:r>
                      <w:rPr>
                        <w:rFonts w:ascii="Cambria Math" w:hAnsi="Cambria Math"/>
                      </w:rPr>
                      <m:t>SF</m:t>
                    </m:r>
                  </m:sup>
                </m:sSub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digestate,sp</m:t>
                    </m:r>
                  </m:sub>
                </m:sSub>
                <m:sSub>
                  <m:sSubPr>
                    <m:ctrlPr>
                      <w:rPr>
                        <w:rFonts w:ascii="Cambria Math" w:eastAsiaTheme="minorEastAsia" w:hAnsi="Cambria Math"/>
                        <w:i/>
                      </w:rPr>
                    </m:ctrlPr>
                  </m:sSubPr>
                  <m:e>
                    <m:r>
                      <w:rPr>
                        <w:rFonts w:ascii="Cambria Math" w:eastAsiaTheme="minorEastAsia" w:hAnsi="Cambria Math"/>
                      </w:rPr>
                      <m:t>sep</m:t>
                    </m:r>
                  </m:e>
                  <m:sub>
                    <m:r>
                      <w:rPr>
                        <w:rFonts w:ascii="Cambria Math" w:eastAsiaTheme="minorEastAsia" w:hAnsi="Cambria Math"/>
                      </w:rPr>
                      <m:t>x</m:t>
                    </m:r>
                  </m:sub>
                </m:sSub>
                <m:r>
                  <w:rPr>
                    <w:rFonts w:ascii="Cambria Math" w:eastAsiaTheme="minorEastAsia" w:hAnsi="Cambria Math"/>
                  </w:rPr>
                  <m:t xml:space="preserve"> ,  </m:t>
                </m:r>
                <m:r>
                  <w:rPr>
                    <w:rFonts w:ascii="Cambria Math" w:hAnsi="Cambria Math"/>
                  </w:rPr>
                  <m:t>x∈{N,C,H,O,lignin}</m:t>
                </m:r>
              </m:oMath>
            </m:oMathPara>
          </w:p>
        </w:tc>
        <w:tc>
          <w:tcPr>
            <w:tcW w:w="210" w:type="pct"/>
          </w:tcPr>
          <w:p w14:paraId="6B26B48A" w14:textId="7409C23A" w:rsidR="005D49AE" w:rsidRPr="001A7FC6" w:rsidRDefault="005D49AE" w:rsidP="005D49AE">
            <w:pPr>
              <w:jc w:val="right"/>
            </w:pPr>
            <w:bookmarkStart w:id="43" w:name="_Ref15298359"/>
            <w:r w:rsidRPr="001A7FC6">
              <w:t>(</w:t>
            </w:r>
            <w:r w:rsidR="00872DA0" w:rsidRPr="001A7FC6">
              <w:t>S</w:t>
            </w:r>
            <w:r w:rsidRPr="001A7FC6">
              <w:rPr>
                <w:noProof/>
              </w:rPr>
              <w:fldChar w:fldCharType="begin"/>
            </w:r>
            <w:r w:rsidRPr="001A7FC6">
              <w:rPr>
                <w:noProof/>
              </w:rPr>
              <w:instrText xml:space="preserve"> SEQ Equation \* ARABIC </w:instrText>
            </w:r>
            <w:r w:rsidRPr="001A7FC6">
              <w:rPr>
                <w:noProof/>
              </w:rPr>
              <w:fldChar w:fldCharType="separate"/>
            </w:r>
            <w:r w:rsidR="00890150" w:rsidRPr="001A7FC6">
              <w:rPr>
                <w:noProof/>
              </w:rPr>
              <w:t>17</w:t>
            </w:r>
            <w:r w:rsidRPr="001A7FC6">
              <w:rPr>
                <w:noProof/>
              </w:rPr>
              <w:fldChar w:fldCharType="end"/>
            </w:r>
            <w:r w:rsidRPr="001A7FC6">
              <w:t>)</w:t>
            </w:r>
            <w:bookmarkEnd w:id="43"/>
          </w:p>
          <w:p w14:paraId="46E90932" w14:textId="77777777" w:rsidR="005D49AE" w:rsidRPr="001A7FC6" w:rsidRDefault="005D49AE" w:rsidP="005D49AE">
            <w:pPr>
              <w:jc w:val="right"/>
            </w:pPr>
          </w:p>
        </w:tc>
      </w:tr>
      <w:tr w:rsidR="005D49AE" w:rsidRPr="001A7FC6" w14:paraId="26AC62B5" w14:textId="77777777" w:rsidTr="005D49AE">
        <w:tc>
          <w:tcPr>
            <w:tcW w:w="4790" w:type="pct"/>
          </w:tcPr>
          <w:p w14:paraId="63FBD99B" w14:textId="77777777" w:rsidR="005D49AE" w:rsidRPr="001A7FC6" w:rsidRDefault="00547887" w:rsidP="005D49AE">
            <w:pPr>
              <w:rPr>
                <w:rFonts w:eastAsiaTheme="minorEastAsia"/>
              </w:rPr>
            </w:pPr>
            <m:oMathPara>
              <m:oMath>
                <m:sSubSup>
                  <m:sSubSupPr>
                    <m:ctrlPr>
                      <w:rPr>
                        <w:rFonts w:ascii="Cambria Math" w:hAnsi="Cambria Math"/>
                        <w:i/>
                      </w:rPr>
                    </m:ctrlPr>
                  </m:sSubSupPr>
                  <m:e>
                    <m:r>
                      <w:rPr>
                        <w:rFonts w:ascii="Cambria Math" w:hAnsi="Cambria Math"/>
                      </w:rPr>
                      <m:t>M</m:t>
                    </m:r>
                  </m:e>
                  <m:sub>
                    <m:r>
                      <w:rPr>
                        <w:rFonts w:ascii="Cambria Math" w:hAnsi="Cambria Math"/>
                      </w:rPr>
                      <m:t>x</m:t>
                    </m:r>
                  </m:sub>
                  <m:sup>
                    <m:r>
                      <w:rPr>
                        <w:rFonts w:ascii="Cambria Math" w:hAnsi="Cambria Math"/>
                      </w:rPr>
                      <m:t>LF</m:t>
                    </m:r>
                  </m:sup>
                </m:sSub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digestate,sp</m:t>
                    </m:r>
                  </m:sub>
                </m:sSub>
                <m:d>
                  <m:dPr>
                    <m:ctrlPr>
                      <w:rPr>
                        <w:rFonts w:ascii="Cambria Math" w:eastAsia="Calibri" w:hAnsi="Cambria Math" w:cs="Times New Roman"/>
                        <w:i/>
                      </w:rPr>
                    </m:ctrlPr>
                  </m:dPr>
                  <m:e>
                    <m:r>
                      <w:rPr>
                        <w:rFonts w:ascii="Cambria Math" w:eastAsia="Calibri" w:hAnsi="Cambria Math" w:cs="Times New Roman"/>
                      </w:rPr>
                      <m:t>1-</m:t>
                    </m:r>
                    <m:sSub>
                      <m:sSubPr>
                        <m:ctrlPr>
                          <w:rPr>
                            <w:rFonts w:ascii="Cambria Math" w:eastAsiaTheme="minorEastAsia" w:hAnsi="Cambria Math"/>
                            <w:i/>
                          </w:rPr>
                        </m:ctrlPr>
                      </m:sSubPr>
                      <m:e>
                        <m:r>
                          <w:rPr>
                            <w:rFonts w:ascii="Cambria Math" w:eastAsiaTheme="minorEastAsia" w:hAnsi="Cambria Math"/>
                          </w:rPr>
                          <m:t>sep</m:t>
                        </m:r>
                      </m:e>
                      <m:sub>
                        <m:r>
                          <w:rPr>
                            <w:rFonts w:ascii="Cambria Math" w:eastAsiaTheme="minorEastAsia" w:hAnsi="Cambria Math"/>
                          </w:rPr>
                          <m:t>x</m:t>
                        </m:r>
                      </m:sub>
                    </m:sSub>
                    <m:ctrlPr>
                      <w:rPr>
                        <w:rFonts w:ascii="Cambria Math" w:eastAsiaTheme="minorEastAsia" w:hAnsi="Cambria Math"/>
                        <w:i/>
                      </w:rPr>
                    </m:ctrlPr>
                  </m:e>
                </m:d>
                <m:r>
                  <w:rPr>
                    <w:rFonts w:ascii="Cambria Math" w:eastAsiaTheme="minorEastAsia" w:hAnsi="Cambria Math"/>
                  </w:rPr>
                  <m:t xml:space="preserve">,  </m:t>
                </m:r>
                <m:r>
                  <w:rPr>
                    <w:rFonts w:ascii="Cambria Math" w:hAnsi="Cambria Math"/>
                  </w:rPr>
                  <m:t>x∈{N,C,H,O,lignin}</m:t>
                </m:r>
              </m:oMath>
            </m:oMathPara>
          </w:p>
          <w:p w14:paraId="4FD7F86F" w14:textId="77777777" w:rsidR="005D49AE" w:rsidRPr="001A7FC6" w:rsidRDefault="005D49AE" w:rsidP="005D49AE">
            <w:pPr>
              <w:rPr>
                <w:rFonts w:eastAsiaTheme="minorEastAsia"/>
              </w:rPr>
            </w:pPr>
          </w:p>
        </w:tc>
        <w:tc>
          <w:tcPr>
            <w:tcW w:w="210" w:type="pct"/>
          </w:tcPr>
          <w:p w14:paraId="2B628E18" w14:textId="2C6BCC19" w:rsidR="005D49AE" w:rsidRPr="001A7FC6" w:rsidRDefault="005D49AE" w:rsidP="005D49AE">
            <w:pPr>
              <w:jc w:val="right"/>
            </w:pPr>
            <w:r w:rsidRPr="001A7FC6">
              <w:t>(</w:t>
            </w:r>
            <w:r w:rsidR="00872DA0" w:rsidRPr="001A7FC6">
              <w:t>S</w:t>
            </w:r>
            <w:r w:rsidRPr="001A7FC6">
              <w:rPr>
                <w:noProof/>
              </w:rPr>
              <w:fldChar w:fldCharType="begin"/>
            </w:r>
            <w:r w:rsidRPr="001A7FC6">
              <w:rPr>
                <w:noProof/>
              </w:rPr>
              <w:instrText xml:space="preserve"> SEQ Equation \* ARABIC </w:instrText>
            </w:r>
            <w:r w:rsidRPr="001A7FC6">
              <w:rPr>
                <w:noProof/>
              </w:rPr>
              <w:fldChar w:fldCharType="separate"/>
            </w:r>
            <w:r w:rsidR="00890150" w:rsidRPr="001A7FC6">
              <w:rPr>
                <w:noProof/>
              </w:rPr>
              <w:t>18</w:t>
            </w:r>
            <w:r w:rsidRPr="001A7FC6">
              <w:rPr>
                <w:noProof/>
              </w:rPr>
              <w:fldChar w:fldCharType="end"/>
            </w:r>
            <w:r w:rsidRPr="001A7FC6">
              <w:t>)</w:t>
            </w:r>
          </w:p>
          <w:p w14:paraId="7EF20B67" w14:textId="77777777" w:rsidR="005D49AE" w:rsidRPr="001A7FC6" w:rsidRDefault="005D49AE" w:rsidP="005D49AE">
            <w:pPr>
              <w:jc w:val="right"/>
            </w:pPr>
          </w:p>
        </w:tc>
      </w:tr>
      <w:tr w:rsidR="005D49AE" w:rsidRPr="001A7FC6" w14:paraId="629ECC77" w14:textId="77777777" w:rsidTr="005D49AE">
        <w:tc>
          <w:tcPr>
            <w:tcW w:w="4790" w:type="pct"/>
          </w:tcPr>
          <w:p w14:paraId="3E538FFF" w14:textId="77777777" w:rsidR="005D49AE" w:rsidRPr="001A7FC6" w:rsidRDefault="00547887" w:rsidP="005D49AE">
            <w:pPr>
              <w:rPr>
                <w:rFonts w:eastAsiaTheme="minorEastAsia"/>
              </w:rPr>
            </w:pPr>
            <m:oMathPara>
              <m:oMath>
                <m:sSubSup>
                  <m:sSubSupPr>
                    <m:ctrlPr>
                      <w:rPr>
                        <w:rFonts w:ascii="Cambria Math" w:hAnsi="Cambria Math"/>
                        <w:i/>
                      </w:rPr>
                    </m:ctrlPr>
                  </m:sSubSupPr>
                  <m:e>
                    <m:r>
                      <w:rPr>
                        <w:rFonts w:ascii="Cambria Math" w:hAnsi="Cambria Math"/>
                      </w:rPr>
                      <m:t>M</m:t>
                    </m:r>
                  </m:e>
                  <m:sub>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O</m:t>
                    </m:r>
                  </m:sub>
                  <m:sup>
                    <m:r>
                      <w:rPr>
                        <w:rFonts w:ascii="Cambria Math" w:hAnsi="Cambria Math"/>
                      </w:rPr>
                      <m:t>SF</m:t>
                    </m:r>
                  </m:sup>
                </m:sSub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SF digestate</m:t>
                    </m:r>
                  </m:sub>
                </m:sSub>
                <m:r>
                  <w:rPr>
                    <w:rFonts w:ascii="Cambria Math" w:eastAsia="Calibri" w:hAnsi="Cambria Math" w:cs="Times New Roman"/>
                  </w:rPr>
                  <m:t>f</m:t>
                </m:r>
                <m:sSup>
                  <m:sSupPr>
                    <m:ctrlPr>
                      <w:rPr>
                        <w:rFonts w:ascii="Cambria Math" w:eastAsia="Calibri" w:hAnsi="Cambria Math" w:cs="Times New Roman"/>
                        <w:i/>
                      </w:rPr>
                    </m:ctrlPr>
                  </m:sSupPr>
                  <m:e>
                    <m:r>
                      <w:rPr>
                        <w:rFonts w:ascii="Cambria Math" w:eastAsia="Calibri" w:hAnsi="Cambria Math" w:cs="Times New Roman"/>
                      </w:rPr>
                      <m:t>r</m:t>
                    </m:r>
                  </m:e>
                  <m:sup>
                    <m:sSub>
                      <m:sSubPr>
                        <m:ctrlPr>
                          <w:rPr>
                            <w:rFonts w:ascii="Cambria Math" w:eastAsia="Calibri" w:hAnsi="Cambria Math" w:cs="Times New Roman"/>
                            <w:i/>
                          </w:rPr>
                        </m:ctrlPr>
                      </m:sSubPr>
                      <m:e>
                        <m:r>
                          <w:rPr>
                            <w:rFonts w:ascii="Cambria Math" w:eastAsia="Calibri" w:hAnsi="Cambria Math" w:cs="Times New Roman"/>
                          </w:rPr>
                          <m:t>H</m:t>
                        </m:r>
                      </m:e>
                      <m:sub>
                        <m:r>
                          <w:rPr>
                            <w:rFonts w:ascii="Cambria Math" w:eastAsia="Calibri" w:hAnsi="Cambria Math" w:cs="Times New Roman"/>
                          </w:rPr>
                          <m:t>2</m:t>
                        </m:r>
                      </m:sub>
                    </m:sSub>
                    <m:r>
                      <w:rPr>
                        <w:rFonts w:ascii="Cambria Math" w:eastAsia="Calibri" w:hAnsi="Cambria Math" w:cs="Times New Roman"/>
                      </w:rPr>
                      <m:t>O dry SF</m:t>
                    </m:r>
                  </m:sup>
                </m:sSup>
              </m:oMath>
            </m:oMathPara>
          </w:p>
        </w:tc>
        <w:tc>
          <w:tcPr>
            <w:tcW w:w="210" w:type="pct"/>
          </w:tcPr>
          <w:p w14:paraId="26C8061A" w14:textId="2366268D" w:rsidR="005D49AE" w:rsidRPr="001A7FC6" w:rsidRDefault="005D49AE" w:rsidP="005D49AE">
            <w:pPr>
              <w:jc w:val="right"/>
            </w:pPr>
            <w:r w:rsidRPr="001A7FC6">
              <w:t>(</w:t>
            </w:r>
            <w:r w:rsidR="00872DA0" w:rsidRPr="001A7FC6">
              <w:t>S</w:t>
            </w:r>
            <w:r w:rsidRPr="001A7FC6">
              <w:rPr>
                <w:noProof/>
              </w:rPr>
              <w:fldChar w:fldCharType="begin"/>
            </w:r>
            <w:r w:rsidRPr="001A7FC6">
              <w:rPr>
                <w:noProof/>
              </w:rPr>
              <w:instrText xml:space="preserve"> SEQ Equation \* ARABIC </w:instrText>
            </w:r>
            <w:r w:rsidRPr="001A7FC6">
              <w:rPr>
                <w:noProof/>
              </w:rPr>
              <w:fldChar w:fldCharType="separate"/>
            </w:r>
            <w:r w:rsidR="00890150" w:rsidRPr="001A7FC6">
              <w:rPr>
                <w:noProof/>
              </w:rPr>
              <w:t>19</w:t>
            </w:r>
            <w:r w:rsidRPr="001A7FC6">
              <w:rPr>
                <w:noProof/>
              </w:rPr>
              <w:fldChar w:fldCharType="end"/>
            </w:r>
            <w:r w:rsidRPr="001A7FC6">
              <w:t>)</w:t>
            </w:r>
          </w:p>
        </w:tc>
      </w:tr>
      <w:tr w:rsidR="005D49AE" w:rsidRPr="001A7FC6" w14:paraId="4742AD37" w14:textId="77777777" w:rsidTr="005D49AE">
        <w:tc>
          <w:tcPr>
            <w:tcW w:w="4790" w:type="pct"/>
          </w:tcPr>
          <w:p w14:paraId="0116D3D7" w14:textId="77777777" w:rsidR="005D49AE" w:rsidRPr="001A7FC6" w:rsidRDefault="00547887" w:rsidP="005D49AE">
            <w:pPr>
              <w:rPr>
                <w:rFonts w:ascii="Calibri" w:eastAsia="Calibri" w:hAnsi="Calibri" w:cs="Times New Roman"/>
              </w:rPr>
            </w:pPr>
            <m:oMathPara>
              <m:oMath>
                <m:sSubSup>
                  <m:sSubSupPr>
                    <m:ctrlPr>
                      <w:rPr>
                        <w:rFonts w:ascii="Cambria Math" w:hAnsi="Cambria Math"/>
                        <w:i/>
                      </w:rPr>
                    </m:ctrlPr>
                  </m:sSubSupPr>
                  <m:e>
                    <m:r>
                      <w:rPr>
                        <w:rFonts w:ascii="Cambria Math" w:hAnsi="Cambria Math"/>
                      </w:rPr>
                      <m:t>M</m:t>
                    </m:r>
                  </m:e>
                  <m:sub>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O</m:t>
                    </m:r>
                  </m:sub>
                  <m:sup>
                    <m:r>
                      <w:rPr>
                        <w:rFonts w:ascii="Cambria Math" w:hAnsi="Cambria Math"/>
                      </w:rPr>
                      <m:t>LF</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M</m:t>
                    </m:r>
                  </m:e>
                  <m:sub>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2</m:t>
                        </m:r>
                      </m:sub>
                    </m:sSub>
                    <m:r>
                      <w:rPr>
                        <w:rFonts w:ascii="Cambria Math" w:eastAsiaTheme="minorEastAsia" w:hAnsi="Cambria Math"/>
                      </w:rPr>
                      <m:t>O</m:t>
                    </m:r>
                  </m:sub>
                  <m:sup>
                    <m:r>
                      <w:rPr>
                        <w:rFonts w:ascii="Cambria Math" w:eastAsiaTheme="minorEastAsia" w:hAnsi="Cambria Math"/>
                      </w:rPr>
                      <m:t>WF</m:t>
                    </m:r>
                  </m:sup>
                </m:sSubSup>
                <m:r>
                  <w:rPr>
                    <w:rFonts w:ascii="Cambria Math" w:eastAsia="Calibri" w:hAnsi="Cambria Math" w:cs="Times New Roman"/>
                  </w:rPr>
                  <m:t>-</m:t>
                </m:r>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SF digestate</m:t>
                    </m:r>
                  </m:sub>
                </m:sSub>
                <m:r>
                  <w:rPr>
                    <w:rFonts w:ascii="Cambria Math" w:eastAsia="Calibri" w:hAnsi="Cambria Math" w:cs="Times New Roman"/>
                  </w:rPr>
                  <m:t>f</m:t>
                </m:r>
                <m:sSup>
                  <m:sSupPr>
                    <m:ctrlPr>
                      <w:rPr>
                        <w:rFonts w:ascii="Cambria Math" w:eastAsia="Calibri" w:hAnsi="Cambria Math" w:cs="Times New Roman"/>
                        <w:i/>
                      </w:rPr>
                    </m:ctrlPr>
                  </m:sSupPr>
                  <m:e>
                    <m:r>
                      <w:rPr>
                        <w:rFonts w:ascii="Cambria Math" w:eastAsia="Calibri" w:hAnsi="Cambria Math" w:cs="Times New Roman"/>
                      </w:rPr>
                      <m:t>r</m:t>
                    </m:r>
                  </m:e>
                  <m:sup>
                    <m:sSub>
                      <m:sSubPr>
                        <m:ctrlPr>
                          <w:rPr>
                            <w:rFonts w:ascii="Cambria Math" w:eastAsia="Calibri" w:hAnsi="Cambria Math" w:cs="Times New Roman"/>
                            <w:i/>
                          </w:rPr>
                        </m:ctrlPr>
                      </m:sSubPr>
                      <m:e>
                        <m:r>
                          <w:rPr>
                            <w:rFonts w:ascii="Cambria Math" w:eastAsia="Calibri" w:hAnsi="Cambria Math" w:cs="Times New Roman"/>
                          </w:rPr>
                          <m:t>H</m:t>
                        </m:r>
                      </m:e>
                      <m:sub>
                        <m:r>
                          <w:rPr>
                            <w:rFonts w:ascii="Cambria Math" w:eastAsia="Calibri" w:hAnsi="Cambria Math" w:cs="Times New Roman"/>
                          </w:rPr>
                          <m:t>2</m:t>
                        </m:r>
                      </m:sub>
                    </m:sSub>
                    <m:r>
                      <w:rPr>
                        <w:rFonts w:ascii="Cambria Math" w:eastAsia="Calibri" w:hAnsi="Cambria Math" w:cs="Times New Roman"/>
                      </w:rPr>
                      <m:t>O SF</m:t>
                    </m:r>
                  </m:sup>
                </m:sSup>
                <m:r>
                  <w:rPr>
                    <w:rFonts w:ascii="Cambria Math" w:eastAsiaTheme="minorEastAsia" w:hAnsi="Cambria Math"/>
                  </w:rPr>
                  <m:t>)</m:t>
                </m:r>
              </m:oMath>
            </m:oMathPara>
          </w:p>
        </w:tc>
        <w:tc>
          <w:tcPr>
            <w:tcW w:w="210" w:type="pct"/>
          </w:tcPr>
          <w:p w14:paraId="63C99414" w14:textId="76F52337" w:rsidR="005D49AE" w:rsidRPr="001A7FC6" w:rsidRDefault="005D49AE" w:rsidP="005D49AE">
            <w:pPr>
              <w:jc w:val="right"/>
            </w:pPr>
            <w:r w:rsidRPr="001A7FC6">
              <w:t>(</w:t>
            </w:r>
            <w:r w:rsidR="00872DA0" w:rsidRPr="001A7FC6">
              <w:t>S</w:t>
            </w:r>
            <w:r w:rsidRPr="001A7FC6">
              <w:rPr>
                <w:noProof/>
              </w:rPr>
              <w:fldChar w:fldCharType="begin"/>
            </w:r>
            <w:r w:rsidRPr="001A7FC6">
              <w:rPr>
                <w:noProof/>
              </w:rPr>
              <w:instrText xml:space="preserve"> SEQ Equation \* ARABIC </w:instrText>
            </w:r>
            <w:r w:rsidRPr="001A7FC6">
              <w:rPr>
                <w:noProof/>
              </w:rPr>
              <w:fldChar w:fldCharType="separate"/>
            </w:r>
            <w:r w:rsidR="00890150" w:rsidRPr="001A7FC6">
              <w:rPr>
                <w:noProof/>
              </w:rPr>
              <w:t>20</w:t>
            </w:r>
            <w:r w:rsidRPr="001A7FC6">
              <w:rPr>
                <w:noProof/>
              </w:rPr>
              <w:fldChar w:fldCharType="end"/>
            </w:r>
            <w:r w:rsidRPr="001A7FC6">
              <w:t>)</w:t>
            </w:r>
          </w:p>
        </w:tc>
      </w:tr>
      <w:tr w:rsidR="005D49AE" w:rsidRPr="001A7FC6" w14:paraId="33A509FF" w14:textId="77777777" w:rsidTr="005D49AE">
        <w:tc>
          <w:tcPr>
            <w:tcW w:w="4790" w:type="pct"/>
          </w:tcPr>
          <w:p w14:paraId="63FBF623" w14:textId="77777777" w:rsidR="005D49AE" w:rsidRPr="001A7FC6" w:rsidRDefault="00547887" w:rsidP="005D49AE">
            <w:pPr>
              <w:rPr>
                <w:rFonts w:ascii="Calibri" w:eastAsia="Calibri" w:hAnsi="Calibri" w:cs="Times New Roman"/>
              </w:rPr>
            </w:pPr>
            <m:oMathPara>
              <m:oMath>
                <m:sSubSup>
                  <m:sSubSupPr>
                    <m:ctrlPr>
                      <w:rPr>
                        <w:rFonts w:ascii="Cambria Math" w:hAnsi="Cambria Math"/>
                        <w:i/>
                      </w:rPr>
                    </m:ctrlPr>
                  </m:sSubSupPr>
                  <m:e>
                    <m:r>
                      <w:rPr>
                        <w:rFonts w:ascii="Cambria Math" w:hAnsi="Cambria Math"/>
                      </w:rPr>
                      <m:t>M</m:t>
                    </m:r>
                  </m:e>
                  <m:sub>
                    <m:r>
                      <w:rPr>
                        <w:rFonts w:ascii="Cambria Math" w:hAnsi="Cambria Math"/>
                      </w:rPr>
                      <m:t>digestate</m:t>
                    </m:r>
                  </m:sub>
                  <m:sup>
                    <m:r>
                      <w:rPr>
                        <w:rFonts w:ascii="Cambria Math" w:hAnsi="Cambria Math"/>
                      </w:rPr>
                      <m:t>F</m:t>
                    </m:r>
                  </m:sup>
                </m:sSubSup>
                <m:r>
                  <w:rPr>
                    <w:rFonts w:ascii="Cambria Math" w:hAnsi="Cambria Math"/>
                  </w:rPr>
                  <m:t>=</m:t>
                </m:r>
                <m:nary>
                  <m:naryPr>
                    <m:chr m:val="∑"/>
                    <m:limLoc m:val="undOvr"/>
                    <m:supHide m:val="1"/>
                    <m:ctrlPr>
                      <w:rPr>
                        <w:rFonts w:ascii="Cambria Math" w:hAnsi="Cambria Math"/>
                        <w:i/>
                      </w:rPr>
                    </m:ctrlPr>
                  </m:naryPr>
                  <m:sub>
                    <m:r>
                      <w:rPr>
                        <w:rFonts w:ascii="Cambria Math" w:hAnsi="Cambria Math"/>
                      </w:rPr>
                      <m:t>x∈X</m:t>
                    </m:r>
                  </m:sub>
                  <m:sup/>
                  <m:e>
                    <m:sSubSup>
                      <m:sSubSupPr>
                        <m:ctrlPr>
                          <w:rPr>
                            <w:rFonts w:ascii="Cambria Math" w:hAnsi="Cambria Math"/>
                            <w:i/>
                          </w:rPr>
                        </m:ctrlPr>
                      </m:sSubSupPr>
                      <m:e>
                        <m:r>
                          <w:rPr>
                            <w:rFonts w:ascii="Cambria Math" w:hAnsi="Cambria Math"/>
                          </w:rPr>
                          <m:t>M</m:t>
                        </m:r>
                      </m:e>
                      <m:sub>
                        <m:r>
                          <w:rPr>
                            <w:rFonts w:ascii="Cambria Math" w:hAnsi="Cambria Math"/>
                          </w:rPr>
                          <m:t>x</m:t>
                        </m:r>
                      </m:sub>
                      <m:sup>
                        <m:r>
                          <w:rPr>
                            <w:rFonts w:ascii="Cambria Math" w:hAnsi="Cambria Math"/>
                          </w:rPr>
                          <m:t>F</m:t>
                        </m:r>
                      </m:sup>
                    </m:sSubSup>
                  </m:e>
                </m:nary>
                <m:r>
                  <w:rPr>
                    <w:rFonts w:ascii="Cambria Math" w:eastAsia="Calibri" w:hAnsi="Cambria Math" w:cs="Times New Roman"/>
                  </w:rPr>
                  <m:t xml:space="preserve"> ,  F∈{SF,LF}</m:t>
                </m:r>
              </m:oMath>
            </m:oMathPara>
          </w:p>
        </w:tc>
        <w:tc>
          <w:tcPr>
            <w:tcW w:w="210" w:type="pct"/>
          </w:tcPr>
          <w:p w14:paraId="541E90C7" w14:textId="75FF49C8" w:rsidR="005D49AE" w:rsidRPr="001A7FC6" w:rsidRDefault="005D49AE" w:rsidP="005D49AE">
            <w:pPr>
              <w:jc w:val="right"/>
            </w:pPr>
            <w:bookmarkStart w:id="44" w:name="_Ref15298361"/>
            <w:r w:rsidRPr="001A7FC6">
              <w:t>(</w:t>
            </w:r>
            <w:r w:rsidR="00872DA0" w:rsidRPr="001A7FC6">
              <w:t>S</w:t>
            </w:r>
            <w:r w:rsidRPr="001A7FC6">
              <w:rPr>
                <w:noProof/>
              </w:rPr>
              <w:fldChar w:fldCharType="begin"/>
            </w:r>
            <w:r w:rsidRPr="001A7FC6">
              <w:rPr>
                <w:noProof/>
              </w:rPr>
              <w:instrText xml:space="preserve"> SEQ Equation \* ARABIC </w:instrText>
            </w:r>
            <w:r w:rsidRPr="001A7FC6">
              <w:rPr>
                <w:noProof/>
              </w:rPr>
              <w:fldChar w:fldCharType="separate"/>
            </w:r>
            <w:r w:rsidR="00890150" w:rsidRPr="001A7FC6">
              <w:rPr>
                <w:noProof/>
              </w:rPr>
              <w:t>21</w:t>
            </w:r>
            <w:r w:rsidRPr="001A7FC6">
              <w:rPr>
                <w:noProof/>
              </w:rPr>
              <w:fldChar w:fldCharType="end"/>
            </w:r>
            <w:r w:rsidRPr="001A7FC6">
              <w:t>)</w:t>
            </w:r>
            <w:bookmarkEnd w:id="44"/>
          </w:p>
        </w:tc>
      </w:tr>
    </w:tbl>
    <w:p w14:paraId="5D7D3E19" w14:textId="77777777" w:rsidR="005D49AE" w:rsidRPr="001A7FC6" w:rsidRDefault="005D49AE" w:rsidP="005D49AE">
      <w:pPr>
        <w:pStyle w:val="Caption"/>
        <w:keepNext/>
        <w:spacing w:after="0" w:line="360" w:lineRule="auto"/>
        <w:rPr>
          <w:color w:val="000000" w:themeColor="text1"/>
        </w:rPr>
      </w:pPr>
    </w:p>
    <w:p w14:paraId="28C42358" w14:textId="0EC0D5AA" w:rsidR="005D49AE" w:rsidRPr="001A7FC6" w:rsidRDefault="005D49AE" w:rsidP="005D49AE">
      <w:pPr>
        <w:pStyle w:val="Caption"/>
        <w:keepNext/>
        <w:spacing w:after="0"/>
        <w:rPr>
          <w:color w:val="000000" w:themeColor="text1"/>
        </w:rPr>
      </w:pPr>
      <w:bookmarkStart w:id="45" w:name="_Ref15411480"/>
      <w:r w:rsidRPr="001A7FC6">
        <w:rPr>
          <w:color w:val="000000" w:themeColor="text1"/>
        </w:rPr>
        <w:t xml:space="preserve">Table </w:t>
      </w:r>
      <w:r w:rsidR="00FF2AAF" w:rsidRPr="001A7FC6">
        <w:rPr>
          <w:color w:val="000000" w:themeColor="text1"/>
        </w:rPr>
        <w:t>S</w:t>
      </w:r>
      <w:r w:rsidRPr="001A7FC6">
        <w:rPr>
          <w:color w:val="000000" w:themeColor="text1"/>
        </w:rPr>
        <w:fldChar w:fldCharType="begin"/>
      </w:r>
      <w:r w:rsidRPr="001A7FC6">
        <w:rPr>
          <w:color w:val="000000" w:themeColor="text1"/>
        </w:rPr>
        <w:instrText xml:space="preserve"> SEQ Table \* ARABIC </w:instrText>
      </w:r>
      <w:r w:rsidRPr="001A7FC6">
        <w:rPr>
          <w:color w:val="000000" w:themeColor="text1"/>
        </w:rPr>
        <w:fldChar w:fldCharType="separate"/>
      </w:r>
      <w:r w:rsidR="00890150" w:rsidRPr="001A7FC6">
        <w:rPr>
          <w:noProof/>
          <w:color w:val="000000" w:themeColor="text1"/>
        </w:rPr>
        <w:t>7</w:t>
      </w:r>
      <w:r w:rsidRPr="001A7FC6">
        <w:rPr>
          <w:color w:val="000000" w:themeColor="text1"/>
        </w:rPr>
        <w:fldChar w:fldCharType="end"/>
      </w:r>
      <w:bookmarkEnd w:id="45"/>
      <w:r w:rsidRPr="001A7FC6">
        <w:rPr>
          <w:color w:val="000000" w:themeColor="text1"/>
        </w:rPr>
        <w:t>: Composition parameters for solid and liquid digestate fractions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5D49AE" w:rsidRPr="001A7FC6" w14:paraId="419B50F8" w14:textId="77777777" w:rsidTr="005D49AE">
        <w:tc>
          <w:tcPr>
            <w:tcW w:w="2254" w:type="dxa"/>
            <w:tcBorders>
              <w:top w:val="single" w:sz="4" w:space="0" w:color="auto"/>
              <w:bottom w:val="single" w:sz="4" w:space="0" w:color="auto"/>
            </w:tcBorders>
          </w:tcPr>
          <w:p w14:paraId="078CADC8" w14:textId="77777777" w:rsidR="005D49AE" w:rsidRPr="001A7FC6" w:rsidRDefault="005D49AE" w:rsidP="005D49AE">
            <w:pPr>
              <w:spacing w:line="276" w:lineRule="auto"/>
              <w:jc w:val="center"/>
              <w:rPr>
                <w:b/>
              </w:rPr>
            </w:pPr>
            <w:r w:rsidRPr="001A7FC6">
              <w:rPr>
                <w:b/>
              </w:rPr>
              <w:t>Parameter (g/g)</w:t>
            </w:r>
          </w:p>
        </w:tc>
        <w:tc>
          <w:tcPr>
            <w:tcW w:w="2254" w:type="dxa"/>
            <w:tcBorders>
              <w:top w:val="single" w:sz="4" w:space="0" w:color="auto"/>
              <w:bottom w:val="single" w:sz="4" w:space="0" w:color="auto"/>
            </w:tcBorders>
          </w:tcPr>
          <w:p w14:paraId="3AF377B8" w14:textId="77777777" w:rsidR="005D49AE" w:rsidRPr="001A7FC6" w:rsidRDefault="005D49AE" w:rsidP="005D49AE">
            <w:pPr>
              <w:spacing w:line="276" w:lineRule="auto"/>
              <w:jc w:val="center"/>
              <w:rPr>
                <w:b/>
              </w:rPr>
            </w:pPr>
            <w:r w:rsidRPr="001A7FC6">
              <w:rPr>
                <w:b/>
              </w:rPr>
              <w:t>C/H/O/lignin</w:t>
            </w:r>
          </w:p>
        </w:tc>
        <w:tc>
          <w:tcPr>
            <w:tcW w:w="2254" w:type="dxa"/>
            <w:tcBorders>
              <w:top w:val="single" w:sz="4" w:space="0" w:color="auto"/>
              <w:bottom w:val="single" w:sz="4" w:space="0" w:color="auto"/>
            </w:tcBorders>
          </w:tcPr>
          <w:p w14:paraId="2944B22D" w14:textId="77777777" w:rsidR="005D49AE" w:rsidRPr="001A7FC6" w:rsidRDefault="005D49AE" w:rsidP="005D49AE">
            <w:pPr>
              <w:spacing w:line="276" w:lineRule="auto"/>
              <w:jc w:val="center"/>
              <w:rPr>
                <w:b/>
              </w:rPr>
            </w:pPr>
            <w:r w:rsidRPr="001A7FC6">
              <w:rPr>
                <w:b/>
              </w:rPr>
              <w:t>Nitrogen</w:t>
            </w:r>
          </w:p>
        </w:tc>
        <w:tc>
          <w:tcPr>
            <w:tcW w:w="2254" w:type="dxa"/>
            <w:tcBorders>
              <w:top w:val="single" w:sz="4" w:space="0" w:color="auto"/>
              <w:bottom w:val="single" w:sz="4" w:space="0" w:color="auto"/>
            </w:tcBorders>
          </w:tcPr>
          <w:p w14:paraId="4B742424" w14:textId="77777777" w:rsidR="005D49AE" w:rsidRPr="001A7FC6" w:rsidRDefault="005D49AE" w:rsidP="005D49AE">
            <w:pPr>
              <w:spacing w:line="276" w:lineRule="auto"/>
              <w:jc w:val="center"/>
              <w:rPr>
                <w:b/>
              </w:rPr>
            </w:pPr>
            <w:r w:rsidRPr="001A7FC6">
              <w:rPr>
                <w:b/>
              </w:rPr>
              <w:t>H</w:t>
            </w:r>
            <w:r w:rsidRPr="001A7FC6">
              <w:rPr>
                <w:b/>
                <w:vertAlign w:val="subscript"/>
              </w:rPr>
              <w:t>2</w:t>
            </w:r>
            <w:r w:rsidRPr="001A7FC6">
              <w:rPr>
                <w:b/>
              </w:rPr>
              <w:t>O</w:t>
            </w:r>
          </w:p>
        </w:tc>
      </w:tr>
      <w:tr w:rsidR="005D49AE" w:rsidRPr="001A7FC6" w14:paraId="45A9EB09" w14:textId="77777777" w:rsidTr="005D49AE">
        <w:tc>
          <w:tcPr>
            <w:tcW w:w="2254" w:type="dxa"/>
            <w:tcBorders>
              <w:top w:val="single" w:sz="4" w:space="0" w:color="auto"/>
              <w:bottom w:val="nil"/>
            </w:tcBorders>
          </w:tcPr>
          <w:p w14:paraId="7E7E1667" w14:textId="77777777" w:rsidR="005D49AE" w:rsidRPr="001A7FC6" w:rsidRDefault="00547887" w:rsidP="005D49AE">
            <w:pPr>
              <w:spacing w:line="276" w:lineRule="auto"/>
            </w:pPr>
            <m:oMathPara>
              <m:oMath>
                <m:sSub>
                  <m:sSubPr>
                    <m:ctrlPr>
                      <w:rPr>
                        <w:rFonts w:ascii="Cambria Math" w:eastAsiaTheme="minorEastAsia" w:hAnsi="Cambria Math"/>
                        <w:i/>
                      </w:rPr>
                    </m:ctrlPr>
                  </m:sSubPr>
                  <m:e>
                    <m:r>
                      <w:rPr>
                        <w:rFonts w:ascii="Cambria Math" w:eastAsiaTheme="minorEastAsia" w:hAnsi="Cambria Math"/>
                      </w:rPr>
                      <m:t>dist</m:t>
                    </m:r>
                  </m:e>
                  <m:sub>
                    <m:r>
                      <w:rPr>
                        <w:rFonts w:ascii="Cambria Math" w:eastAsiaTheme="minorEastAsia" w:hAnsi="Cambria Math"/>
                      </w:rPr>
                      <m:t>x</m:t>
                    </m:r>
                  </m:sub>
                </m:sSub>
              </m:oMath>
            </m:oMathPara>
          </w:p>
        </w:tc>
        <w:tc>
          <w:tcPr>
            <w:tcW w:w="2254" w:type="dxa"/>
            <w:tcBorders>
              <w:top w:val="single" w:sz="4" w:space="0" w:color="auto"/>
              <w:bottom w:val="nil"/>
            </w:tcBorders>
          </w:tcPr>
          <w:p w14:paraId="462E653A" w14:textId="77777777" w:rsidR="005D49AE" w:rsidRPr="001A7FC6" w:rsidRDefault="005D49AE" w:rsidP="005D49AE">
            <w:pPr>
              <w:spacing w:line="276" w:lineRule="auto"/>
              <w:jc w:val="center"/>
            </w:pPr>
            <w:r w:rsidRPr="001A7FC6">
              <w:t>0.923</w:t>
            </w:r>
          </w:p>
        </w:tc>
        <w:tc>
          <w:tcPr>
            <w:tcW w:w="2254" w:type="dxa"/>
            <w:tcBorders>
              <w:top w:val="single" w:sz="4" w:space="0" w:color="auto"/>
              <w:bottom w:val="nil"/>
            </w:tcBorders>
          </w:tcPr>
          <w:p w14:paraId="7CEE4CFD" w14:textId="77777777" w:rsidR="005D49AE" w:rsidRPr="001A7FC6" w:rsidRDefault="005D49AE" w:rsidP="005D49AE">
            <w:pPr>
              <w:spacing w:line="276" w:lineRule="auto"/>
              <w:jc w:val="center"/>
            </w:pPr>
            <w:r w:rsidRPr="001A7FC6">
              <w:t>0.130</w:t>
            </w:r>
          </w:p>
        </w:tc>
        <w:tc>
          <w:tcPr>
            <w:tcW w:w="2254" w:type="dxa"/>
            <w:tcBorders>
              <w:top w:val="single" w:sz="4" w:space="0" w:color="auto"/>
              <w:bottom w:val="nil"/>
            </w:tcBorders>
          </w:tcPr>
          <w:p w14:paraId="5D0C8DD4" w14:textId="77777777" w:rsidR="005D49AE" w:rsidRPr="001A7FC6" w:rsidRDefault="005D49AE" w:rsidP="005D49AE">
            <w:pPr>
              <w:spacing w:line="276" w:lineRule="auto"/>
              <w:jc w:val="center"/>
            </w:pPr>
            <w:r w:rsidRPr="001A7FC6">
              <w:t>-</w:t>
            </w:r>
          </w:p>
        </w:tc>
      </w:tr>
      <w:tr w:rsidR="005D49AE" w:rsidRPr="001A7FC6" w14:paraId="4E3A86CD" w14:textId="77777777" w:rsidTr="005D49AE">
        <w:tblPrEx>
          <w:tblBorders>
            <w:left w:val="single" w:sz="4" w:space="0" w:color="auto"/>
            <w:right w:val="single" w:sz="4" w:space="0" w:color="auto"/>
            <w:insideH w:val="single" w:sz="4" w:space="0" w:color="auto"/>
            <w:insideV w:val="single" w:sz="4" w:space="0" w:color="auto"/>
          </w:tblBorders>
        </w:tblPrEx>
        <w:tc>
          <w:tcPr>
            <w:tcW w:w="2254" w:type="dxa"/>
            <w:tcBorders>
              <w:top w:val="nil"/>
              <w:left w:val="nil"/>
              <w:bottom w:val="nil"/>
              <w:right w:val="nil"/>
            </w:tcBorders>
          </w:tcPr>
          <w:p w14:paraId="22AA9D20" w14:textId="77777777" w:rsidR="005D49AE" w:rsidRPr="001A7FC6" w:rsidRDefault="005D49AE" w:rsidP="005D49AE">
            <w:pPr>
              <w:spacing w:line="276" w:lineRule="auto"/>
            </w:pPr>
            <m:oMathPara>
              <m:oMath>
                <m:r>
                  <w:rPr>
                    <w:rFonts w:ascii="Cambria Math" w:eastAsia="Calibri" w:hAnsi="Cambria Math" w:cs="Times New Roman"/>
                  </w:rPr>
                  <m:t>f</m:t>
                </m:r>
                <m:sSup>
                  <m:sSupPr>
                    <m:ctrlPr>
                      <w:rPr>
                        <w:rFonts w:ascii="Cambria Math" w:eastAsia="Calibri" w:hAnsi="Cambria Math" w:cs="Times New Roman"/>
                        <w:i/>
                      </w:rPr>
                    </m:ctrlPr>
                  </m:sSupPr>
                  <m:e>
                    <m:r>
                      <w:rPr>
                        <w:rFonts w:ascii="Cambria Math" w:eastAsia="Calibri" w:hAnsi="Cambria Math" w:cs="Times New Roman"/>
                      </w:rPr>
                      <m:t>r</m:t>
                    </m:r>
                  </m:e>
                  <m:sup>
                    <m:sSub>
                      <m:sSubPr>
                        <m:ctrlPr>
                          <w:rPr>
                            <w:rFonts w:ascii="Cambria Math" w:eastAsia="Calibri" w:hAnsi="Cambria Math" w:cs="Times New Roman"/>
                            <w:i/>
                          </w:rPr>
                        </m:ctrlPr>
                      </m:sSubPr>
                      <m:e>
                        <m:r>
                          <w:rPr>
                            <w:rFonts w:ascii="Cambria Math" w:eastAsia="Calibri" w:hAnsi="Cambria Math" w:cs="Times New Roman"/>
                          </w:rPr>
                          <m:t>H</m:t>
                        </m:r>
                      </m:e>
                      <m:sub>
                        <m:r>
                          <w:rPr>
                            <w:rFonts w:ascii="Cambria Math" w:eastAsia="Calibri" w:hAnsi="Cambria Math" w:cs="Times New Roman"/>
                          </w:rPr>
                          <m:t>2</m:t>
                        </m:r>
                      </m:sub>
                    </m:sSub>
                    <m:r>
                      <w:rPr>
                        <w:rFonts w:ascii="Cambria Math" w:eastAsia="Calibri" w:hAnsi="Cambria Math" w:cs="Times New Roman"/>
                      </w:rPr>
                      <m:t>O SF</m:t>
                    </m:r>
                  </m:sup>
                </m:sSup>
              </m:oMath>
            </m:oMathPara>
          </w:p>
        </w:tc>
        <w:tc>
          <w:tcPr>
            <w:tcW w:w="2254" w:type="dxa"/>
            <w:tcBorders>
              <w:top w:val="nil"/>
              <w:left w:val="nil"/>
              <w:bottom w:val="nil"/>
              <w:right w:val="nil"/>
            </w:tcBorders>
          </w:tcPr>
          <w:p w14:paraId="065A9AD6" w14:textId="77777777" w:rsidR="005D49AE" w:rsidRPr="001A7FC6" w:rsidRDefault="005D49AE" w:rsidP="005D49AE">
            <w:pPr>
              <w:spacing w:line="276" w:lineRule="auto"/>
              <w:jc w:val="center"/>
            </w:pPr>
            <w:r w:rsidRPr="001A7FC6">
              <w:t>-</w:t>
            </w:r>
          </w:p>
        </w:tc>
        <w:tc>
          <w:tcPr>
            <w:tcW w:w="2254" w:type="dxa"/>
            <w:tcBorders>
              <w:top w:val="nil"/>
              <w:left w:val="nil"/>
              <w:bottom w:val="nil"/>
              <w:right w:val="nil"/>
            </w:tcBorders>
          </w:tcPr>
          <w:p w14:paraId="5CF2BEC9" w14:textId="77777777" w:rsidR="005D49AE" w:rsidRPr="001A7FC6" w:rsidRDefault="005D49AE" w:rsidP="005D49AE">
            <w:pPr>
              <w:spacing w:line="276" w:lineRule="auto"/>
              <w:jc w:val="center"/>
            </w:pPr>
            <w:r w:rsidRPr="001A7FC6">
              <w:t>-</w:t>
            </w:r>
          </w:p>
        </w:tc>
        <w:tc>
          <w:tcPr>
            <w:tcW w:w="2254" w:type="dxa"/>
            <w:tcBorders>
              <w:top w:val="nil"/>
              <w:left w:val="nil"/>
              <w:bottom w:val="nil"/>
              <w:right w:val="nil"/>
            </w:tcBorders>
          </w:tcPr>
          <w:p w14:paraId="678E03F4" w14:textId="77777777" w:rsidR="005D49AE" w:rsidRPr="001A7FC6" w:rsidRDefault="005D49AE" w:rsidP="005D49AE">
            <w:pPr>
              <w:spacing w:line="276" w:lineRule="auto"/>
              <w:jc w:val="center"/>
            </w:pPr>
            <w:r w:rsidRPr="001A7FC6">
              <w:t>0.83</w:t>
            </w:r>
          </w:p>
        </w:tc>
      </w:tr>
      <w:tr w:rsidR="005D49AE" w:rsidRPr="001A7FC6" w14:paraId="1192B663" w14:textId="77777777" w:rsidTr="005D49AE">
        <w:tblPrEx>
          <w:tblBorders>
            <w:left w:val="single" w:sz="4" w:space="0" w:color="auto"/>
            <w:right w:val="single" w:sz="4" w:space="0" w:color="auto"/>
            <w:insideH w:val="single" w:sz="4" w:space="0" w:color="auto"/>
            <w:insideV w:val="single" w:sz="4" w:space="0" w:color="auto"/>
          </w:tblBorders>
        </w:tblPrEx>
        <w:trPr>
          <w:trHeight w:val="70"/>
        </w:trPr>
        <w:tc>
          <w:tcPr>
            <w:tcW w:w="2254" w:type="dxa"/>
            <w:tcBorders>
              <w:top w:val="nil"/>
              <w:left w:val="nil"/>
              <w:bottom w:val="single" w:sz="4" w:space="0" w:color="auto"/>
              <w:right w:val="nil"/>
            </w:tcBorders>
          </w:tcPr>
          <w:p w14:paraId="3652342D" w14:textId="77777777" w:rsidR="005D49AE" w:rsidRPr="001A7FC6" w:rsidRDefault="005D49AE" w:rsidP="005D49AE">
            <w:pPr>
              <w:spacing w:line="276" w:lineRule="auto"/>
            </w:pPr>
            <m:oMathPara>
              <m:oMath>
                <m:r>
                  <w:rPr>
                    <w:rFonts w:ascii="Cambria Math" w:eastAsia="Calibri" w:hAnsi="Cambria Math" w:cs="Times New Roman"/>
                  </w:rPr>
                  <m:t>f</m:t>
                </m:r>
                <m:sSup>
                  <m:sSupPr>
                    <m:ctrlPr>
                      <w:rPr>
                        <w:rFonts w:ascii="Cambria Math" w:eastAsia="Calibri" w:hAnsi="Cambria Math" w:cs="Times New Roman"/>
                        <w:i/>
                      </w:rPr>
                    </m:ctrlPr>
                  </m:sSupPr>
                  <m:e>
                    <m:r>
                      <w:rPr>
                        <w:rFonts w:ascii="Cambria Math" w:eastAsia="Calibri" w:hAnsi="Cambria Math" w:cs="Times New Roman"/>
                      </w:rPr>
                      <m:t>r</m:t>
                    </m:r>
                  </m:e>
                  <m:sup>
                    <m:sSub>
                      <m:sSubPr>
                        <m:ctrlPr>
                          <w:rPr>
                            <w:rFonts w:ascii="Cambria Math" w:eastAsia="Calibri" w:hAnsi="Cambria Math" w:cs="Times New Roman"/>
                            <w:i/>
                          </w:rPr>
                        </m:ctrlPr>
                      </m:sSubPr>
                      <m:e>
                        <m:r>
                          <w:rPr>
                            <w:rFonts w:ascii="Cambria Math" w:eastAsia="Calibri" w:hAnsi="Cambria Math" w:cs="Times New Roman"/>
                          </w:rPr>
                          <m:t>H</m:t>
                        </m:r>
                      </m:e>
                      <m:sub>
                        <m:r>
                          <w:rPr>
                            <w:rFonts w:ascii="Cambria Math" w:eastAsia="Calibri" w:hAnsi="Cambria Math" w:cs="Times New Roman"/>
                          </w:rPr>
                          <m:t>2</m:t>
                        </m:r>
                      </m:sub>
                    </m:sSub>
                    <m:r>
                      <w:rPr>
                        <w:rFonts w:ascii="Cambria Math" w:eastAsia="Calibri" w:hAnsi="Cambria Math" w:cs="Times New Roman"/>
                      </w:rPr>
                      <m:t>O dry SF</m:t>
                    </m:r>
                  </m:sup>
                </m:sSup>
              </m:oMath>
            </m:oMathPara>
          </w:p>
        </w:tc>
        <w:tc>
          <w:tcPr>
            <w:tcW w:w="2254" w:type="dxa"/>
            <w:tcBorders>
              <w:top w:val="nil"/>
              <w:left w:val="nil"/>
              <w:bottom w:val="single" w:sz="4" w:space="0" w:color="auto"/>
              <w:right w:val="nil"/>
            </w:tcBorders>
          </w:tcPr>
          <w:p w14:paraId="0AA863B0" w14:textId="77777777" w:rsidR="005D49AE" w:rsidRPr="001A7FC6" w:rsidRDefault="005D49AE" w:rsidP="005D49AE">
            <w:pPr>
              <w:spacing w:line="276" w:lineRule="auto"/>
              <w:jc w:val="center"/>
            </w:pPr>
            <w:r w:rsidRPr="001A7FC6">
              <w:t>-</w:t>
            </w:r>
          </w:p>
        </w:tc>
        <w:tc>
          <w:tcPr>
            <w:tcW w:w="2254" w:type="dxa"/>
            <w:tcBorders>
              <w:top w:val="nil"/>
              <w:left w:val="nil"/>
              <w:bottom w:val="single" w:sz="4" w:space="0" w:color="auto"/>
              <w:right w:val="nil"/>
            </w:tcBorders>
          </w:tcPr>
          <w:p w14:paraId="79051965" w14:textId="77777777" w:rsidR="005D49AE" w:rsidRPr="001A7FC6" w:rsidRDefault="005D49AE" w:rsidP="005D49AE">
            <w:pPr>
              <w:spacing w:line="276" w:lineRule="auto"/>
              <w:jc w:val="center"/>
            </w:pPr>
            <w:r w:rsidRPr="001A7FC6">
              <w:t>-</w:t>
            </w:r>
          </w:p>
        </w:tc>
        <w:tc>
          <w:tcPr>
            <w:tcW w:w="2254" w:type="dxa"/>
            <w:tcBorders>
              <w:top w:val="nil"/>
              <w:left w:val="nil"/>
              <w:bottom w:val="single" w:sz="4" w:space="0" w:color="auto"/>
              <w:right w:val="nil"/>
            </w:tcBorders>
          </w:tcPr>
          <w:p w14:paraId="53AC3C50" w14:textId="77777777" w:rsidR="005D49AE" w:rsidRPr="001A7FC6" w:rsidRDefault="005D49AE" w:rsidP="005D49AE">
            <w:pPr>
              <w:spacing w:line="276" w:lineRule="auto"/>
              <w:jc w:val="center"/>
            </w:pPr>
            <w:r w:rsidRPr="001A7FC6">
              <w:t>0.20</w:t>
            </w:r>
          </w:p>
        </w:tc>
      </w:tr>
    </w:tbl>
    <w:p w14:paraId="446BA7F7" w14:textId="1B625FA7" w:rsidR="005D49AE" w:rsidRPr="001A7FC6" w:rsidRDefault="005D49AE" w:rsidP="005D49AE">
      <w:bookmarkStart w:id="46" w:name="_Toc14891692"/>
    </w:p>
    <w:p w14:paraId="67509276" w14:textId="77777777" w:rsidR="00215049" w:rsidRPr="001A7FC6" w:rsidRDefault="00215049" w:rsidP="00876F87">
      <w:pPr>
        <w:pStyle w:val="Heading2"/>
        <w:numPr>
          <w:ilvl w:val="1"/>
          <w:numId w:val="1"/>
        </w:numPr>
      </w:pPr>
      <w:r w:rsidRPr="001A7FC6">
        <w:t>Technology parameterisation</w:t>
      </w:r>
    </w:p>
    <w:p w14:paraId="190FB447" w14:textId="41546152" w:rsidR="00215049" w:rsidRPr="001A7FC6" w:rsidRDefault="00215049" w:rsidP="00215049">
      <w:r w:rsidRPr="001A7FC6">
        <w:t xml:space="preserve">The selection of a suitable national-level approach requires the characterisation of the various technologies, processes, and waste and product streams considered. To represent these system components, an extensive parameterisation is carried out and summarised in the SI. Some of the most relevant capital (CAPEX) and operational (OPEX) expenditure data emerging from this are presented in </w:t>
      </w:r>
      <w:r w:rsidRPr="001A7FC6">
        <w:fldChar w:fldCharType="begin"/>
      </w:r>
      <w:r w:rsidRPr="001A7FC6">
        <w:instrText xml:space="preserve"> REF _Ref15480146 \h </w:instrText>
      </w:r>
      <w:r w:rsidRPr="001A7FC6">
        <w:fldChar w:fldCharType="separate"/>
      </w:r>
      <w:r w:rsidR="00031370" w:rsidRPr="001A7FC6">
        <w:t>Table S</w:t>
      </w:r>
      <w:r w:rsidR="00031370" w:rsidRPr="001A7FC6">
        <w:rPr>
          <w:noProof/>
        </w:rPr>
        <w:t>8</w:t>
      </w:r>
      <w:r w:rsidRPr="001A7FC6">
        <w:fldChar w:fldCharType="end"/>
      </w:r>
      <w:r w:rsidRPr="001A7FC6">
        <w:t>.</w:t>
      </w:r>
    </w:p>
    <w:p w14:paraId="0A83C17E" w14:textId="3FFCA046" w:rsidR="00215049" w:rsidRPr="001A7FC6" w:rsidRDefault="00215049" w:rsidP="00215049">
      <w:pPr>
        <w:pStyle w:val="Caption"/>
        <w:keepNext/>
      </w:pPr>
      <w:bookmarkStart w:id="47" w:name="_Ref15480146"/>
      <w:r w:rsidRPr="001A7FC6">
        <w:lastRenderedPageBreak/>
        <w:t xml:space="preserve">Table </w:t>
      </w:r>
      <w:r w:rsidR="00876F87" w:rsidRPr="001A7FC6">
        <w:t>S</w:t>
      </w:r>
      <w:r w:rsidRPr="001A7FC6">
        <w:fldChar w:fldCharType="begin"/>
      </w:r>
      <w:r w:rsidRPr="001A7FC6">
        <w:rPr>
          <w:noProof/>
        </w:rPr>
        <w:instrText xml:space="preserve"> SEQ Table \* ARABIC </w:instrText>
      </w:r>
      <w:r w:rsidRPr="001A7FC6">
        <w:fldChar w:fldCharType="separate"/>
      </w:r>
      <w:r w:rsidR="00031370" w:rsidRPr="001A7FC6">
        <w:rPr>
          <w:noProof/>
        </w:rPr>
        <w:t>8</w:t>
      </w:r>
      <w:r w:rsidRPr="001A7FC6">
        <w:fldChar w:fldCharType="end"/>
      </w:r>
      <w:bookmarkEnd w:id="47"/>
      <w:r w:rsidRPr="001A7FC6">
        <w:t>: Parameters for cost evaluation of the relevant technologies</w:t>
      </w:r>
    </w:p>
    <w:tbl>
      <w:tblPr>
        <w:tblStyle w:val="TableGrid"/>
        <w:tblW w:w="9122" w:type="dxa"/>
        <w:tblInd w:w="-142" w:type="dxa"/>
        <w:tblLook w:val="04A0" w:firstRow="1" w:lastRow="0" w:firstColumn="1" w:lastColumn="0" w:noHBand="0" w:noVBand="1"/>
      </w:tblPr>
      <w:tblGrid>
        <w:gridCol w:w="2828"/>
        <w:gridCol w:w="1256"/>
        <w:gridCol w:w="777"/>
        <w:gridCol w:w="1329"/>
        <w:gridCol w:w="787"/>
        <w:gridCol w:w="857"/>
        <w:gridCol w:w="1277"/>
        <w:gridCol w:w="11"/>
      </w:tblGrid>
      <w:tr w:rsidR="00215049" w:rsidRPr="001A7FC6" w14:paraId="0D01440B" w14:textId="77777777" w:rsidTr="00215049">
        <w:trPr>
          <w:gridAfter w:val="1"/>
          <w:wAfter w:w="11" w:type="dxa"/>
        </w:trPr>
        <w:tc>
          <w:tcPr>
            <w:tcW w:w="2828" w:type="dxa"/>
            <w:tcBorders>
              <w:top w:val="single" w:sz="4" w:space="0" w:color="auto"/>
              <w:left w:val="nil"/>
              <w:bottom w:val="single" w:sz="4" w:space="0" w:color="auto"/>
              <w:right w:val="nil"/>
            </w:tcBorders>
            <w:hideMark/>
          </w:tcPr>
          <w:p w14:paraId="7BA2AD00" w14:textId="77777777" w:rsidR="00215049" w:rsidRPr="001A7FC6" w:rsidRDefault="00215049">
            <w:pPr>
              <w:spacing w:line="276" w:lineRule="auto"/>
              <w:rPr>
                <w:b/>
                <w:sz w:val="18"/>
                <w:szCs w:val="18"/>
              </w:rPr>
            </w:pPr>
            <w:r w:rsidRPr="001A7FC6">
              <w:rPr>
                <w:b/>
                <w:sz w:val="18"/>
                <w:szCs w:val="18"/>
              </w:rPr>
              <w:t>Technology</w:t>
            </w:r>
          </w:p>
        </w:tc>
        <w:tc>
          <w:tcPr>
            <w:tcW w:w="0" w:type="auto"/>
            <w:tcBorders>
              <w:top w:val="single" w:sz="4" w:space="0" w:color="auto"/>
              <w:left w:val="nil"/>
              <w:bottom w:val="single" w:sz="4" w:space="0" w:color="auto"/>
              <w:right w:val="nil"/>
            </w:tcBorders>
            <w:hideMark/>
          </w:tcPr>
          <w:p w14:paraId="2AD3DBFA" w14:textId="77777777" w:rsidR="00215049" w:rsidRPr="001A7FC6" w:rsidRDefault="00215049">
            <w:pPr>
              <w:spacing w:line="276" w:lineRule="auto"/>
              <w:jc w:val="center"/>
              <w:rPr>
                <w:b/>
                <w:sz w:val="18"/>
                <w:szCs w:val="18"/>
              </w:rPr>
            </w:pPr>
            <w:r w:rsidRPr="001A7FC6">
              <w:rPr>
                <w:b/>
                <w:sz w:val="18"/>
                <w:szCs w:val="18"/>
              </w:rPr>
              <w:t>Capital investment</w:t>
            </w:r>
          </w:p>
        </w:tc>
        <w:tc>
          <w:tcPr>
            <w:tcW w:w="0" w:type="auto"/>
            <w:tcBorders>
              <w:top w:val="single" w:sz="4" w:space="0" w:color="auto"/>
              <w:left w:val="nil"/>
              <w:bottom w:val="single" w:sz="4" w:space="0" w:color="auto"/>
              <w:right w:val="nil"/>
            </w:tcBorders>
          </w:tcPr>
          <w:p w14:paraId="1CAACCC8" w14:textId="77777777" w:rsidR="00215049" w:rsidRPr="001A7FC6" w:rsidRDefault="00215049">
            <w:pPr>
              <w:spacing w:line="276" w:lineRule="auto"/>
              <w:jc w:val="center"/>
              <w:rPr>
                <w:b/>
                <w:sz w:val="18"/>
                <w:szCs w:val="18"/>
              </w:rPr>
            </w:pPr>
            <w:r w:rsidRPr="001A7FC6">
              <w:rPr>
                <w:b/>
                <w:sz w:val="18"/>
                <w:szCs w:val="18"/>
              </w:rPr>
              <w:t>Life</w:t>
            </w:r>
          </w:p>
          <w:p w14:paraId="5F7EC8A8" w14:textId="77777777" w:rsidR="00215049" w:rsidRPr="001A7FC6" w:rsidRDefault="00215049">
            <w:pPr>
              <w:spacing w:line="276" w:lineRule="auto"/>
              <w:jc w:val="center"/>
              <w:rPr>
                <w:b/>
                <w:sz w:val="18"/>
                <w:szCs w:val="18"/>
              </w:rPr>
            </w:pPr>
          </w:p>
        </w:tc>
        <w:tc>
          <w:tcPr>
            <w:tcW w:w="0" w:type="auto"/>
            <w:tcBorders>
              <w:top w:val="single" w:sz="4" w:space="0" w:color="auto"/>
              <w:left w:val="nil"/>
              <w:bottom w:val="single" w:sz="4" w:space="0" w:color="auto"/>
              <w:right w:val="nil"/>
            </w:tcBorders>
            <w:hideMark/>
          </w:tcPr>
          <w:p w14:paraId="1DE4B11F" w14:textId="77777777" w:rsidR="00215049" w:rsidRPr="001A7FC6" w:rsidRDefault="00215049">
            <w:pPr>
              <w:spacing w:line="276" w:lineRule="auto"/>
              <w:jc w:val="center"/>
              <w:rPr>
                <w:b/>
                <w:sz w:val="18"/>
                <w:szCs w:val="18"/>
              </w:rPr>
            </w:pPr>
            <w:r w:rsidRPr="001A7FC6">
              <w:rPr>
                <w:b/>
                <w:sz w:val="18"/>
                <w:szCs w:val="18"/>
              </w:rPr>
              <w:t>Annualised capital cost</w:t>
            </w:r>
          </w:p>
        </w:tc>
        <w:tc>
          <w:tcPr>
            <w:tcW w:w="0" w:type="auto"/>
            <w:gridSpan w:val="2"/>
            <w:tcBorders>
              <w:top w:val="single" w:sz="4" w:space="0" w:color="auto"/>
              <w:left w:val="nil"/>
              <w:bottom w:val="single" w:sz="4" w:space="0" w:color="auto"/>
              <w:right w:val="nil"/>
            </w:tcBorders>
            <w:hideMark/>
          </w:tcPr>
          <w:p w14:paraId="696BAECD" w14:textId="77777777" w:rsidR="00215049" w:rsidRPr="001A7FC6" w:rsidRDefault="00215049">
            <w:pPr>
              <w:spacing w:line="276" w:lineRule="auto"/>
              <w:jc w:val="center"/>
              <w:rPr>
                <w:b/>
                <w:sz w:val="18"/>
                <w:szCs w:val="18"/>
              </w:rPr>
            </w:pPr>
            <w:r w:rsidRPr="001A7FC6">
              <w:rPr>
                <w:b/>
                <w:sz w:val="18"/>
                <w:szCs w:val="18"/>
              </w:rPr>
              <w:t>Operational cost</w:t>
            </w:r>
          </w:p>
        </w:tc>
        <w:tc>
          <w:tcPr>
            <w:tcW w:w="0" w:type="auto"/>
            <w:tcBorders>
              <w:top w:val="single" w:sz="4" w:space="0" w:color="auto"/>
              <w:left w:val="nil"/>
              <w:bottom w:val="single" w:sz="4" w:space="0" w:color="auto"/>
              <w:right w:val="nil"/>
            </w:tcBorders>
            <w:hideMark/>
          </w:tcPr>
          <w:p w14:paraId="631DE5AF" w14:textId="77777777" w:rsidR="00215049" w:rsidRPr="001A7FC6" w:rsidRDefault="00215049">
            <w:pPr>
              <w:spacing w:line="276" w:lineRule="auto"/>
              <w:jc w:val="center"/>
              <w:rPr>
                <w:b/>
                <w:sz w:val="18"/>
                <w:szCs w:val="18"/>
              </w:rPr>
            </w:pPr>
            <w:r w:rsidRPr="001A7FC6">
              <w:rPr>
                <w:b/>
                <w:sz w:val="18"/>
                <w:szCs w:val="18"/>
              </w:rPr>
              <w:t>Capacity</w:t>
            </w:r>
          </w:p>
        </w:tc>
      </w:tr>
      <w:tr w:rsidR="00215049" w:rsidRPr="001A7FC6" w14:paraId="0A256FB1" w14:textId="77777777" w:rsidTr="00215049">
        <w:trPr>
          <w:gridAfter w:val="1"/>
          <w:wAfter w:w="11" w:type="dxa"/>
        </w:trPr>
        <w:tc>
          <w:tcPr>
            <w:tcW w:w="2828" w:type="dxa"/>
            <w:tcBorders>
              <w:top w:val="single" w:sz="4" w:space="0" w:color="auto"/>
              <w:left w:val="nil"/>
              <w:bottom w:val="single" w:sz="4" w:space="0" w:color="auto"/>
              <w:right w:val="nil"/>
            </w:tcBorders>
            <w:vAlign w:val="center"/>
          </w:tcPr>
          <w:p w14:paraId="049C08D5" w14:textId="77777777" w:rsidR="00215049" w:rsidRPr="001A7FC6" w:rsidRDefault="00215049">
            <w:pPr>
              <w:spacing w:line="276" w:lineRule="auto"/>
              <w:rPr>
                <w:b/>
                <w:sz w:val="18"/>
                <w:szCs w:val="18"/>
              </w:rPr>
            </w:pPr>
          </w:p>
        </w:tc>
        <w:tc>
          <w:tcPr>
            <w:tcW w:w="0" w:type="auto"/>
            <w:tcBorders>
              <w:top w:val="single" w:sz="4" w:space="0" w:color="auto"/>
              <w:left w:val="nil"/>
              <w:bottom w:val="single" w:sz="4" w:space="0" w:color="auto"/>
              <w:right w:val="nil"/>
            </w:tcBorders>
            <w:vAlign w:val="center"/>
            <w:hideMark/>
          </w:tcPr>
          <w:p w14:paraId="710B74A5" w14:textId="77777777" w:rsidR="00215049" w:rsidRPr="001A7FC6" w:rsidRDefault="00215049">
            <w:pPr>
              <w:spacing w:line="276" w:lineRule="auto"/>
              <w:jc w:val="center"/>
              <w:rPr>
                <w:b/>
                <w:sz w:val="18"/>
                <w:szCs w:val="18"/>
              </w:rPr>
            </w:pPr>
            <w:r w:rsidRPr="001A7FC6">
              <w:rPr>
                <w:i/>
                <w:sz w:val="18"/>
                <w:szCs w:val="18"/>
              </w:rPr>
              <w:t>(£)</w:t>
            </w:r>
          </w:p>
        </w:tc>
        <w:tc>
          <w:tcPr>
            <w:tcW w:w="0" w:type="auto"/>
            <w:tcBorders>
              <w:top w:val="single" w:sz="4" w:space="0" w:color="auto"/>
              <w:left w:val="nil"/>
              <w:bottom w:val="single" w:sz="4" w:space="0" w:color="auto"/>
              <w:right w:val="nil"/>
            </w:tcBorders>
            <w:vAlign w:val="center"/>
            <w:hideMark/>
          </w:tcPr>
          <w:p w14:paraId="5F86D0A8" w14:textId="77777777" w:rsidR="00215049" w:rsidRPr="001A7FC6" w:rsidRDefault="00215049">
            <w:pPr>
              <w:spacing w:line="276" w:lineRule="auto"/>
              <w:jc w:val="center"/>
              <w:rPr>
                <w:b/>
                <w:sz w:val="18"/>
                <w:szCs w:val="18"/>
              </w:rPr>
            </w:pPr>
            <w:r w:rsidRPr="001A7FC6">
              <w:rPr>
                <w:i/>
                <w:sz w:val="18"/>
                <w:szCs w:val="18"/>
              </w:rPr>
              <w:t>(years)</w:t>
            </w:r>
          </w:p>
        </w:tc>
        <w:tc>
          <w:tcPr>
            <w:tcW w:w="0" w:type="auto"/>
            <w:tcBorders>
              <w:top w:val="single" w:sz="4" w:space="0" w:color="auto"/>
              <w:left w:val="nil"/>
              <w:bottom w:val="single" w:sz="4" w:space="0" w:color="auto"/>
              <w:right w:val="nil"/>
            </w:tcBorders>
            <w:vAlign w:val="center"/>
            <w:hideMark/>
          </w:tcPr>
          <w:p w14:paraId="51FF9A77" w14:textId="77777777" w:rsidR="00215049" w:rsidRPr="001A7FC6" w:rsidRDefault="00215049">
            <w:pPr>
              <w:spacing w:line="276" w:lineRule="auto"/>
              <w:jc w:val="center"/>
              <w:rPr>
                <w:b/>
                <w:sz w:val="18"/>
                <w:szCs w:val="18"/>
              </w:rPr>
            </w:pPr>
            <w:r w:rsidRPr="001A7FC6">
              <w:rPr>
                <w:i/>
                <w:sz w:val="18"/>
                <w:szCs w:val="18"/>
              </w:rPr>
              <w:t>(£/years)</w:t>
            </w:r>
          </w:p>
        </w:tc>
        <w:tc>
          <w:tcPr>
            <w:tcW w:w="0" w:type="auto"/>
            <w:gridSpan w:val="2"/>
            <w:tcBorders>
              <w:top w:val="single" w:sz="4" w:space="0" w:color="auto"/>
              <w:left w:val="nil"/>
              <w:bottom w:val="single" w:sz="4" w:space="0" w:color="auto"/>
              <w:right w:val="nil"/>
            </w:tcBorders>
            <w:vAlign w:val="center"/>
            <w:hideMark/>
          </w:tcPr>
          <w:p w14:paraId="55D5B47A" w14:textId="77777777" w:rsidR="00215049" w:rsidRPr="001A7FC6" w:rsidRDefault="00215049">
            <w:pPr>
              <w:spacing w:line="276" w:lineRule="auto"/>
              <w:jc w:val="center"/>
              <w:rPr>
                <w:i/>
                <w:sz w:val="18"/>
                <w:szCs w:val="18"/>
              </w:rPr>
            </w:pPr>
            <w:r w:rsidRPr="001A7FC6">
              <w:rPr>
                <w:i/>
                <w:sz w:val="18"/>
                <w:szCs w:val="18"/>
              </w:rPr>
              <w:t>(£/GJ)</w:t>
            </w:r>
          </w:p>
        </w:tc>
        <w:tc>
          <w:tcPr>
            <w:tcW w:w="0" w:type="auto"/>
            <w:tcBorders>
              <w:top w:val="single" w:sz="4" w:space="0" w:color="auto"/>
              <w:left w:val="nil"/>
              <w:bottom w:val="single" w:sz="4" w:space="0" w:color="auto"/>
              <w:right w:val="nil"/>
            </w:tcBorders>
            <w:vAlign w:val="center"/>
            <w:hideMark/>
          </w:tcPr>
          <w:p w14:paraId="02797FB8" w14:textId="77777777" w:rsidR="00215049" w:rsidRPr="001A7FC6" w:rsidRDefault="00215049">
            <w:pPr>
              <w:spacing w:line="276" w:lineRule="auto"/>
              <w:jc w:val="center"/>
              <w:rPr>
                <w:i/>
                <w:sz w:val="18"/>
                <w:szCs w:val="18"/>
              </w:rPr>
            </w:pPr>
            <w:r w:rsidRPr="001A7FC6">
              <w:rPr>
                <w:i/>
                <w:sz w:val="18"/>
                <w:szCs w:val="18"/>
              </w:rPr>
              <w:t>(kW)</w:t>
            </w:r>
          </w:p>
        </w:tc>
      </w:tr>
      <w:tr w:rsidR="00215049" w:rsidRPr="001A7FC6" w14:paraId="78CFACBE" w14:textId="77777777" w:rsidTr="00215049">
        <w:trPr>
          <w:gridAfter w:val="1"/>
          <w:wAfter w:w="11" w:type="dxa"/>
        </w:trPr>
        <w:tc>
          <w:tcPr>
            <w:tcW w:w="2828" w:type="dxa"/>
            <w:tcBorders>
              <w:top w:val="single" w:sz="4" w:space="0" w:color="auto"/>
              <w:left w:val="nil"/>
              <w:bottom w:val="nil"/>
              <w:right w:val="nil"/>
            </w:tcBorders>
            <w:vAlign w:val="center"/>
            <w:hideMark/>
          </w:tcPr>
          <w:p w14:paraId="593A9578" w14:textId="77777777" w:rsidR="00215049" w:rsidRPr="001A7FC6" w:rsidRDefault="00215049">
            <w:pPr>
              <w:spacing w:line="276" w:lineRule="auto"/>
              <w:rPr>
                <w:sz w:val="18"/>
                <w:szCs w:val="18"/>
              </w:rPr>
            </w:pPr>
            <w:r w:rsidRPr="001A7FC6">
              <w:rPr>
                <w:sz w:val="18"/>
                <w:szCs w:val="18"/>
              </w:rPr>
              <w:t xml:space="preserve">AD CHP (small) </w:t>
            </w:r>
            <w:r w:rsidRPr="001A7FC6">
              <w:rPr>
                <w:sz w:val="18"/>
                <w:szCs w:val="18"/>
                <w:vertAlign w:val="superscript"/>
              </w:rPr>
              <w:t>1,2</w:t>
            </w:r>
          </w:p>
        </w:tc>
        <w:tc>
          <w:tcPr>
            <w:tcW w:w="0" w:type="auto"/>
            <w:tcBorders>
              <w:top w:val="single" w:sz="4" w:space="0" w:color="auto"/>
              <w:left w:val="nil"/>
              <w:bottom w:val="nil"/>
              <w:right w:val="nil"/>
            </w:tcBorders>
            <w:vAlign w:val="center"/>
            <w:hideMark/>
          </w:tcPr>
          <w:p w14:paraId="378507F5"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1593631</w:t>
            </w:r>
          </w:p>
        </w:tc>
        <w:tc>
          <w:tcPr>
            <w:tcW w:w="0" w:type="auto"/>
            <w:tcBorders>
              <w:top w:val="single" w:sz="4" w:space="0" w:color="auto"/>
              <w:left w:val="nil"/>
              <w:bottom w:val="nil"/>
              <w:right w:val="nil"/>
            </w:tcBorders>
            <w:vAlign w:val="center"/>
            <w:hideMark/>
          </w:tcPr>
          <w:p w14:paraId="058F17BA"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15</w:t>
            </w:r>
          </w:p>
        </w:tc>
        <w:tc>
          <w:tcPr>
            <w:tcW w:w="0" w:type="auto"/>
            <w:tcBorders>
              <w:top w:val="single" w:sz="4" w:space="0" w:color="auto"/>
              <w:left w:val="nil"/>
              <w:bottom w:val="nil"/>
              <w:right w:val="nil"/>
            </w:tcBorders>
            <w:vAlign w:val="center"/>
            <w:hideMark/>
          </w:tcPr>
          <w:p w14:paraId="5D8DE641"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106242</w:t>
            </w:r>
          </w:p>
        </w:tc>
        <w:tc>
          <w:tcPr>
            <w:tcW w:w="0" w:type="auto"/>
            <w:gridSpan w:val="2"/>
            <w:tcBorders>
              <w:top w:val="single" w:sz="4" w:space="0" w:color="auto"/>
              <w:left w:val="nil"/>
              <w:bottom w:val="nil"/>
              <w:right w:val="nil"/>
            </w:tcBorders>
            <w:vAlign w:val="center"/>
            <w:hideMark/>
          </w:tcPr>
          <w:p w14:paraId="27C7217C"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13.89</w:t>
            </w:r>
          </w:p>
        </w:tc>
        <w:tc>
          <w:tcPr>
            <w:tcW w:w="0" w:type="auto"/>
            <w:tcBorders>
              <w:top w:val="single" w:sz="4" w:space="0" w:color="auto"/>
              <w:left w:val="nil"/>
              <w:bottom w:val="nil"/>
              <w:right w:val="nil"/>
            </w:tcBorders>
            <w:vAlign w:val="center"/>
            <w:hideMark/>
          </w:tcPr>
          <w:p w14:paraId="1D5C4BAB"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250</w:t>
            </w:r>
          </w:p>
        </w:tc>
      </w:tr>
      <w:tr w:rsidR="00215049" w:rsidRPr="001A7FC6" w14:paraId="3B796C07" w14:textId="77777777" w:rsidTr="00215049">
        <w:trPr>
          <w:gridAfter w:val="1"/>
          <w:wAfter w:w="11" w:type="dxa"/>
        </w:trPr>
        <w:tc>
          <w:tcPr>
            <w:tcW w:w="2828" w:type="dxa"/>
            <w:tcBorders>
              <w:top w:val="nil"/>
              <w:left w:val="nil"/>
              <w:bottom w:val="nil"/>
              <w:right w:val="nil"/>
            </w:tcBorders>
            <w:vAlign w:val="center"/>
            <w:hideMark/>
          </w:tcPr>
          <w:p w14:paraId="5222FC1E" w14:textId="77777777" w:rsidR="00215049" w:rsidRPr="001A7FC6" w:rsidRDefault="00215049">
            <w:pPr>
              <w:spacing w:line="276" w:lineRule="auto"/>
              <w:rPr>
                <w:sz w:val="18"/>
                <w:szCs w:val="18"/>
              </w:rPr>
            </w:pPr>
            <w:r w:rsidRPr="001A7FC6">
              <w:rPr>
                <w:sz w:val="18"/>
                <w:szCs w:val="18"/>
              </w:rPr>
              <w:t>AD CHP (medium)</w:t>
            </w:r>
            <w:r w:rsidRPr="001A7FC6">
              <w:rPr>
                <w:sz w:val="18"/>
                <w:szCs w:val="18"/>
                <w:vertAlign w:val="superscript"/>
              </w:rPr>
              <w:t xml:space="preserve"> 1,2</w:t>
            </w:r>
          </w:p>
        </w:tc>
        <w:tc>
          <w:tcPr>
            <w:tcW w:w="0" w:type="auto"/>
            <w:tcBorders>
              <w:top w:val="nil"/>
              <w:left w:val="nil"/>
              <w:bottom w:val="nil"/>
              <w:right w:val="nil"/>
            </w:tcBorders>
            <w:vAlign w:val="center"/>
            <w:hideMark/>
          </w:tcPr>
          <w:p w14:paraId="232EF7EC"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11544834</w:t>
            </w:r>
          </w:p>
        </w:tc>
        <w:tc>
          <w:tcPr>
            <w:tcW w:w="0" w:type="auto"/>
            <w:tcBorders>
              <w:top w:val="nil"/>
              <w:left w:val="nil"/>
              <w:bottom w:val="nil"/>
              <w:right w:val="nil"/>
            </w:tcBorders>
            <w:vAlign w:val="center"/>
            <w:hideMark/>
          </w:tcPr>
          <w:p w14:paraId="5BE9D739"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20</w:t>
            </w:r>
          </w:p>
        </w:tc>
        <w:tc>
          <w:tcPr>
            <w:tcW w:w="0" w:type="auto"/>
            <w:tcBorders>
              <w:top w:val="nil"/>
              <w:left w:val="nil"/>
              <w:bottom w:val="nil"/>
              <w:right w:val="nil"/>
            </w:tcBorders>
            <w:vAlign w:val="center"/>
            <w:hideMark/>
          </w:tcPr>
          <w:p w14:paraId="34F29247"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769656</w:t>
            </w:r>
          </w:p>
        </w:tc>
        <w:tc>
          <w:tcPr>
            <w:tcW w:w="0" w:type="auto"/>
            <w:gridSpan w:val="2"/>
            <w:tcBorders>
              <w:top w:val="nil"/>
              <w:left w:val="nil"/>
              <w:bottom w:val="nil"/>
              <w:right w:val="nil"/>
            </w:tcBorders>
            <w:vAlign w:val="center"/>
            <w:hideMark/>
          </w:tcPr>
          <w:p w14:paraId="58E28F33"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8.37</w:t>
            </w:r>
          </w:p>
        </w:tc>
        <w:tc>
          <w:tcPr>
            <w:tcW w:w="0" w:type="auto"/>
            <w:tcBorders>
              <w:top w:val="nil"/>
              <w:left w:val="nil"/>
              <w:bottom w:val="nil"/>
              <w:right w:val="nil"/>
            </w:tcBorders>
            <w:vAlign w:val="center"/>
            <w:hideMark/>
          </w:tcPr>
          <w:p w14:paraId="069C7677"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2500</w:t>
            </w:r>
          </w:p>
        </w:tc>
      </w:tr>
      <w:tr w:rsidR="00215049" w:rsidRPr="001A7FC6" w14:paraId="5A706ACB" w14:textId="77777777" w:rsidTr="00215049">
        <w:trPr>
          <w:gridAfter w:val="1"/>
          <w:wAfter w:w="11" w:type="dxa"/>
        </w:trPr>
        <w:tc>
          <w:tcPr>
            <w:tcW w:w="2828" w:type="dxa"/>
            <w:tcBorders>
              <w:top w:val="nil"/>
              <w:left w:val="nil"/>
              <w:bottom w:val="single" w:sz="4" w:space="0" w:color="auto"/>
              <w:right w:val="nil"/>
            </w:tcBorders>
            <w:vAlign w:val="center"/>
            <w:hideMark/>
          </w:tcPr>
          <w:p w14:paraId="3C32163F" w14:textId="77777777" w:rsidR="00215049" w:rsidRPr="001A7FC6" w:rsidRDefault="00215049">
            <w:pPr>
              <w:spacing w:line="276" w:lineRule="auto"/>
              <w:rPr>
                <w:sz w:val="18"/>
                <w:szCs w:val="18"/>
              </w:rPr>
            </w:pPr>
            <w:r w:rsidRPr="001A7FC6">
              <w:rPr>
                <w:sz w:val="18"/>
                <w:szCs w:val="18"/>
              </w:rPr>
              <w:t>AD CHP (large)</w:t>
            </w:r>
            <w:r w:rsidRPr="001A7FC6">
              <w:rPr>
                <w:sz w:val="18"/>
                <w:szCs w:val="18"/>
                <w:vertAlign w:val="superscript"/>
              </w:rPr>
              <w:t xml:space="preserve"> 1,2</w:t>
            </w:r>
          </w:p>
        </w:tc>
        <w:tc>
          <w:tcPr>
            <w:tcW w:w="0" w:type="auto"/>
            <w:tcBorders>
              <w:top w:val="nil"/>
              <w:left w:val="nil"/>
              <w:bottom w:val="single" w:sz="4" w:space="0" w:color="auto"/>
              <w:right w:val="nil"/>
            </w:tcBorders>
            <w:vAlign w:val="center"/>
            <w:hideMark/>
          </w:tcPr>
          <w:p w14:paraId="688C3039"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31391834</w:t>
            </w:r>
          </w:p>
        </w:tc>
        <w:tc>
          <w:tcPr>
            <w:tcW w:w="0" w:type="auto"/>
            <w:tcBorders>
              <w:top w:val="nil"/>
              <w:left w:val="nil"/>
              <w:bottom w:val="single" w:sz="4" w:space="0" w:color="auto"/>
              <w:right w:val="nil"/>
            </w:tcBorders>
            <w:vAlign w:val="center"/>
            <w:hideMark/>
          </w:tcPr>
          <w:p w14:paraId="6522E388"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20</w:t>
            </w:r>
          </w:p>
        </w:tc>
        <w:tc>
          <w:tcPr>
            <w:tcW w:w="0" w:type="auto"/>
            <w:tcBorders>
              <w:top w:val="nil"/>
              <w:left w:val="nil"/>
              <w:bottom w:val="single" w:sz="4" w:space="0" w:color="auto"/>
              <w:right w:val="nil"/>
            </w:tcBorders>
            <w:vAlign w:val="center"/>
            <w:hideMark/>
          </w:tcPr>
          <w:p w14:paraId="067FB6AB"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1569592</w:t>
            </w:r>
          </w:p>
        </w:tc>
        <w:tc>
          <w:tcPr>
            <w:tcW w:w="0" w:type="auto"/>
            <w:gridSpan w:val="2"/>
            <w:tcBorders>
              <w:top w:val="nil"/>
              <w:left w:val="nil"/>
              <w:bottom w:val="single" w:sz="4" w:space="0" w:color="auto"/>
              <w:right w:val="nil"/>
            </w:tcBorders>
            <w:vAlign w:val="center"/>
            <w:hideMark/>
          </w:tcPr>
          <w:p w14:paraId="6C8F84ED"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6.48</w:t>
            </w:r>
          </w:p>
        </w:tc>
        <w:tc>
          <w:tcPr>
            <w:tcW w:w="0" w:type="auto"/>
            <w:tcBorders>
              <w:top w:val="nil"/>
              <w:left w:val="nil"/>
              <w:bottom w:val="single" w:sz="4" w:space="0" w:color="auto"/>
              <w:right w:val="nil"/>
            </w:tcBorders>
            <w:vAlign w:val="center"/>
            <w:hideMark/>
          </w:tcPr>
          <w:p w14:paraId="58EB6AE3"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8000</w:t>
            </w:r>
          </w:p>
        </w:tc>
      </w:tr>
      <w:tr w:rsidR="00215049" w:rsidRPr="001A7FC6" w14:paraId="5FE7B10B" w14:textId="77777777" w:rsidTr="00215049">
        <w:trPr>
          <w:gridAfter w:val="1"/>
          <w:wAfter w:w="11" w:type="dxa"/>
        </w:trPr>
        <w:tc>
          <w:tcPr>
            <w:tcW w:w="2828" w:type="dxa"/>
            <w:tcBorders>
              <w:top w:val="single" w:sz="4" w:space="0" w:color="auto"/>
              <w:left w:val="nil"/>
              <w:bottom w:val="single" w:sz="4" w:space="0" w:color="auto"/>
              <w:right w:val="nil"/>
            </w:tcBorders>
            <w:vAlign w:val="center"/>
          </w:tcPr>
          <w:p w14:paraId="25BDCFE7" w14:textId="77777777" w:rsidR="00215049" w:rsidRPr="001A7FC6" w:rsidRDefault="00215049">
            <w:pPr>
              <w:spacing w:line="276" w:lineRule="auto"/>
              <w:rPr>
                <w:sz w:val="18"/>
                <w:szCs w:val="18"/>
              </w:rPr>
            </w:pPr>
          </w:p>
        </w:tc>
        <w:tc>
          <w:tcPr>
            <w:tcW w:w="0" w:type="auto"/>
            <w:tcBorders>
              <w:top w:val="single" w:sz="4" w:space="0" w:color="auto"/>
              <w:left w:val="nil"/>
              <w:bottom w:val="single" w:sz="4" w:space="0" w:color="auto"/>
              <w:right w:val="nil"/>
            </w:tcBorders>
            <w:vAlign w:val="center"/>
            <w:hideMark/>
          </w:tcPr>
          <w:p w14:paraId="7DDDA8CE"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w:t>
            </w:r>
          </w:p>
        </w:tc>
        <w:tc>
          <w:tcPr>
            <w:tcW w:w="0" w:type="auto"/>
            <w:tcBorders>
              <w:top w:val="single" w:sz="4" w:space="0" w:color="auto"/>
              <w:left w:val="nil"/>
              <w:bottom w:val="single" w:sz="4" w:space="0" w:color="auto"/>
              <w:right w:val="nil"/>
            </w:tcBorders>
            <w:vAlign w:val="center"/>
            <w:hideMark/>
          </w:tcPr>
          <w:p w14:paraId="3BA1E983"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(years)</w:t>
            </w:r>
          </w:p>
        </w:tc>
        <w:tc>
          <w:tcPr>
            <w:tcW w:w="0" w:type="auto"/>
            <w:tcBorders>
              <w:top w:val="single" w:sz="4" w:space="0" w:color="auto"/>
              <w:left w:val="nil"/>
              <w:bottom w:val="single" w:sz="4" w:space="0" w:color="auto"/>
              <w:right w:val="nil"/>
            </w:tcBorders>
            <w:vAlign w:val="center"/>
            <w:hideMark/>
          </w:tcPr>
          <w:p w14:paraId="4D881809"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(£/years)</w:t>
            </w:r>
          </w:p>
        </w:tc>
        <w:tc>
          <w:tcPr>
            <w:tcW w:w="0" w:type="auto"/>
            <w:tcBorders>
              <w:top w:val="single" w:sz="4" w:space="0" w:color="auto"/>
              <w:left w:val="nil"/>
              <w:bottom w:val="single" w:sz="4" w:space="0" w:color="auto"/>
              <w:right w:val="nil"/>
            </w:tcBorders>
            <w:vAlign w:val="center"/>
            <w:hideMark/>
          </w:tcPr>
          <w:p w14:paraId="790EFC1D" w14:textId="77777777" w:rsidR="00215049" w:rsidRPr="001A7FC6" w:rsidRDefault="00215049">
            <w:pPr>
              <w:spacing w:line="276" w:lineRule="auto"/>
              <w:jc w:val="center"/>
              <w:rPr>
                <w:rFonts w:cs="Arial"/>
                <w:color w:val="000000"/>
                <w:sz w:val="18"/>
                <w:szCs w:val="18"/>
                <w:vertAlign w:val="superscript"/>
              </w:rPr>
            </w:pPr>
            <w:r w:rsidRPr="001A7FC6">
              <w:rPr>
                <w:rFonts w:cs="Arial"/>
                <w:color w:val="000000"/>
                <w:sz w:val="18"/>
                <w:szCs w:val="18"/>
              </w:rPr>
              <w:t>(£/</w:t>
            </w:r>
            <w:proofErr w:type="gramStart"/>
            <w:r w:rsidRPr="001A7FC6">
              <w:rPr>
                <w:rFonts w:cs="Arial"/>
                <w:color w:val="000000"/>
                <w:sz w:val="18"/>
                <w:szCs w:val="18"/>
              </w:rPr>
              <w:t>GJ)</w:t>
            </w:r>
            <w:r w:rsidRPr="001A7FC6">
              <w:rPr>
                <w:rFonts w:cs="Arial"/>
                <w:color w:val="000000"/>
                <w:sz w:val="18"/>
                <w:szCs w:val="18"/>
                <w:vertAlign w:val="superscript"/>
              </w:rPr>
              <w:t>+</w:t>
            </w:r>
            <w:proofErr w:type="gramEnd"/>
          </w:p>
        </w:tc>
        <w:tc>
          <w:tcPr>
            <w:tcW w:w="0" w:type="auto"/>
            <w:tcBorders>
              <w:top w:val="single" w:sz="4" w:space="0" w:color="auto"/>
              <w:left w:val="nil"/>
              <w:bottom w:val="single" w:sz="4" w:space="0" w:color="auto"/>
              <w:right w:val="nil"/>
            </w:tcBorders>
            <w:vAlign w:val="center"/>
            <w:hideMark/>
          </w:tcPr>
          <w:p w14:paraId="4EEAE57C" w14:textId="77777777" w:rsidR="00215049" w:rsidRPr="001A7FC6" w:rsidRDefault="00215049">
            <w:pPr>
              <w:spacing w:line="276" w:lineRule="auto"/>
              <w:rPr>
                <w:rFonts w:cs="Arial"/>
                <w:color w:val="000000"/>
                <w:sz w:val="18"/>
                <w:szCs w:val="18"/>
                <w:vertAlign w:val="superscript"/>
              </w:rPr>
            </w:pPr>
            <w:r w:rsidRPr="001A7FC6">
              <w:rPr>
                <w:rFonts w:cs="Arial"/>
                <w:color w:val="000000"/>
                <w:sz w:val="18"/>
                <w:szCs w:val="18"/>
              </w:rPr>
              <w:t>(£/</w:t>
            </w:r>
            <w:proofErr w:type="gramStart"/>
            <w:r w:rsidRPr="001A7FC6">
              <w:rPr>
                <w:rFonts w:cs="Arial"/>
                <w:color w:val="000000"/>
                <w:sz w:val="18"/>
                <w:szCs w:val="18"/>
              </w:rPr>
              <w:t>GJ)</w:t>
            </w:r>
            <w:r w:rsidRPr="001A7FC6">
              <w:rPr>
                <w:rFonts w:cs="Arial"/>
                <w:color w:val="000000"/>
                <w:sz w:val="18"/>
                <w:szCs w:val="18"/>
                <w:vertAlign w:val="superscript"/>
              </w:rPr>
              <w:t>+</w:t>
            </w:r>
            <w:proofErr w:type="gramEnd"/>
            <w:r w:rsidRPr="001A7FC6">
              <w:rPr>
                <w:rFonts w:cs="Arial"/>
                <w:color w:val="000000"/>
                <w:sz w:val="18"/>
                <w:szCs w:val="18"/>
                <w:vertAlign w:val="superscript"/>
              </w:rPr>
              <w:t>+</w:t>
            </w:r>
          </w:p>
        </w:tc>
        <w:tc>
          <w:tcPr>
            <w:tcW w:w="0" w:type="auto"/>
            <w:tcBorders>
              <w:top w:val="single" w:sz="4" w:space="0" w:color="auto"/>
              <w:left w:val="nil"/>
              <w:bottom w:val="single" w:sz="4" w:space="0" w:color="auto"/>
              <w:right w:val="nil"/>
            </w:tcBorders>
            <w:vAlign w:val="center"/>
            <w:hideMark/>
          </w:tcPr>
          <w:p w14:paraId="2472B71E" w14:textId="77777777" w:rsidR="00215049" w:rsidRPr="001A7FC6" w:rsidRDefault="00215049">
            <w:pPr>
              <w:spacing w:line="276" w:lineRule="auto"/>
              <w:jc w:val="center"/>
              <w:rPr>
                <w:rFonts w:cs="Arial"/>
                <w:color w:val="000000"/>
                <w:sz w:val="18"/>
                <w:szCs w:val="18"/>
              </w:rPr>
            </w:pPr>
            <w:r w:rsidRPr="001A7FC6">
              <w:rPr>
                <w:i/>
                <w:sz w:val="18"/>
                <w:szCs w:val="18"/>
              </w:rPr>
              <w:t>(kW)</w:t>
            </w:r>
          </w:p>
        </w:tc>
      </w:tr>
      <w:tr w:rsidR="00215049" w:rsidRPr="001A7FC6" w14:paraId="492FC9E5" w14:textId="77777777" w:rsidTr="00215049">
        <w:trPr>
          <w:gridAfter w:val="1"/>
          <w:wAfter w:w="11" w:type="dxa"/>
        </w:trPr>
        <w:tc>
          <w:tcPr>
            <w:tcW w:w="2828" w:type="dxa"/>
            <w:tcBorders>
              <w:top w:val="single" w:sz="4" w:space="0" w:color="auto"/>
              <w:left w:val="nil"/>
              <w:bottom w:val="nil"/>
              <w:right w:val="nil"/>
            </w:tcBorders>
            <w:vAlign w:val="center"/>
            <w:hideMark/>
          </w:tcPr>
          <w:p w14:paraId="567FE735" w14:textId="77777777" w:rsidR="00215049" w:rsidRPr="001A7FC6" w:rsidRDefault="00215049">
            <w:pPr>
              <w:spacing w:line="276" w:lineRule="auto"/>
              <w:rPr>
                <w:sz w:val="18"/>
                <w:szCs w:val="18"/>
              </w:rPr>
            </w:pPr>
            <w:r w:rsidRPr="001A7FC6">
              <w:rPr>
                <w:sz w:val="18"/>
                <w:szCs w:val="18"/>
              </w:rPr>
              <w:t xml:space="preserve">AD CHP &amp; </w:t>
            </w:r>
            <w:proofErr w:type="spellStart"/>
            <w:r w:rsidRPr="001A7FC6">
              <w:rPr>
                <w:sz w:val="18"/>
                <w:szCs w:val="18"/>
              </w:rPr>
              <w:t>BtG</w:t>
            </w:r>
            <w:proofErr w:type="spellEnd"/>
            <w:r w:rsidRPr="001A7FC6">
              <w:rPr>
                <w:sz w:val="18"/>
                <w:szCs w:val="18"/>
              </w:rPr>
              <w:t xml:space="preserve"> (small)</w:t>
            </w:r>
            <w:r w:rsidRPr="001A7FC6">
              <w:rPr>
                <w:sz w:val="18"/>
                <w:szCs w:val="18"/>
                <w:vertAlign w:val="superscript"/>
              </w:rPr>
              <w:t xml:space="preserve"> 1,2,3</w:t>
            </w:r>
          </w:p>
        </w:tc>
        <w:tc>
          <w:tcPr>
            <w:tcW w:w="0" w:type="auto"/>
            <w:tcBorders>
              <w:top w:val="single" w:sz="4" w:space="0" w:color="auto"/>
              <w:left w:val="nil"/>
              <w:bottom w:val="nil"/>
              <w:right w:val="nil"/>
            </w:tcBorders>
            <w:vAlign w:val="center"/>
            <w:hideMark/>
          </w:tcPr>
          <w:p w14:paraId="03D5D1E5"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2761201</w:t>
            </w:r>
          </w:p>
        </w:tc>
        <w:tc>
          <w:tcPr>
            <w:tcW w:w="0" w:type="auto"/>
            <w:tcBorders>
              <w:top w:val="single" w:sz="4" w:space="0" w:color="auto"/>
              <w:left w:val="nil"/>
              <w:bottom w:val="nil"/>
              <w:right w:val="nil"/>
            </w:tcBorders>
            <w:vAlign w:val="center"/>
            <w:hideMark/>
          </w:tcPr>
          <w:p w14:paraId="3CE1F869"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15</w:t>
            </w:r>
          </w:p>
        </w:tc>
        <w:tc>
          <w:tcPr>
            <w:tcW w:w="0" w:type="auto"/>
            <w:tcBorders>
              <w:top w:val="single" w:sz="4" w:space="0" w:color="auto"/>
              <w:left w:val="nil"/>
              <w:bottom w:val="nil"/>
              <w:right w:val="nil"/>
            </w:tcBorders>
            <w:vAlign w:val="center"/>
            <w:hideMark/>
          </w:tcPr>
          <w:p w14:paraId="4403B327"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184080</w:t>
            </w:r>
          </w:p>
        </w:tc>
        <w:tc>
          <w:tcPr>
            <w:tcW w:w="0" w:type="auto"/>
            <w:tcBorders>
              <w:top w:val="single" w:sz="4" w:space="0" w:color="auto"/>
              <w:left w:val="nil"/>
              <w:bottom w:val="nil"/>
              <w:right w:val="nil"/>
            </w:tcBorders>
            <w:vAlign w:val="center"/>
            <w:hideMark/>
          </w:tcPr>
          <w:p w14:paraId="5CFCC54B"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14.72</w:t>
            </w:r>
          </w:p>
        </w:tc>
        <w:tc>
          <w:tcPr>
            <w:tcW w:w="0" w:type="auto"/>
            <w:tcBorders>
              <w:top w:val="single" w:sz="4" w:space="0" w:color="auto"/>
              <w:left w:val="nil"/>
              <w:bottom w:val="nil"/>
              <w:right w:val="nil"/>
            </w:tcBorders>
            <w:vAlign w:val="center"/>
            <w:hideMark/>
          </w:tcPr>
          <w:p w14:paraId="6829BE30"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25.1</w:t>
            </w:r>
          </w:p>
        </w:tc>
        <w:tc>
          <w:tcPr>
            <w:tcW w:w="0" w:type="auto"/>
            <w:tcBorders>
              <w:top w:val="single" w:sz="4" w:space="0" w:color="auto"/>
              <w:left w:val="nil"/>
              <w:bottom w:val="nil"/>
              <w:right w:val="nil"/>
            </w:tcBorders>
            <w:vAlign w:val="center"/>
            <w:hideMark/>
          </w:tcPr>
          <w:p w14:paraId="24721F84"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250</w:t>
            </w:r>
          </w:p>
        </w:tc>
      </w:tr>
      <w:tr w:rsidR="00215049" w:rsidRPr="001A7FC6" w14:paraId="5381AEAC" w14:textId="77777777" w:rsidTr="00215049">
        <w:trPr>
          <w:gridAfter w:val="1"/>
          <w:wAfter w:w="11" w:type="dxa"/>
        </w:trPr>
        <w:tc>
          <w:tcPr>
            <w:tcW w:w="2828" w:type="dxa"/>
            <w:tcBorders>
              <w:top w:val="nil"/>
              <w:left w:val="nil"/>
              <w:bottom w:val="nil"/>
              <w:right w:val="nil"/>
            </w:tcBorders>
            <w:vAlign w:val="center"/>
            <w:hideMark/>
          </w:tcPr>
          <w:p w14:paraId="49611FD8" w14:textId="77777777" w:rsidR="00215049" w:rsidRPr="001A7FC6" w:rsidRDefault="00215049">
            <w:pPr>
              <w:spacing w:line="276" w:lineRule="auto"/>
              <w:rPr>
                <w:sz w:val="18"/>
                <w:szCs w:val="18"/>
              </w:rPr>
            </w:pPr>
            <w:r w:rsidRPr="001A7FC6">
              <w:rPr>
                <w:sz w:val="18"/>
                <w:szCs w:val="18"/>
              </w:rPr>
              <w:t xml:space="preserve">AD CHP &amp; </w:t>
            </w:r>
            <w:proofErr w:type="spellStart"/>
            <w:r w:rsidRPr="001A7FC6">
              <w:rPr>
                <w:sz w:val="18"/>
                <w:szCs w:val="18"/>
              </w:rPr>
              <w:t>BtG</w:t>
            </w:r>
            <w:proofErr w:type="spellEnd"/>
            <w:r w:rsidRPr="001A7FC6">
              <w:rPr>
                <w:sz w:val="18"/>
                <w:szCs w:val="18"/>
              </w:rPr>
              <w:t xml:space="preserve"> (medium)</w:t>
            </w:r>
            <w:r w:rsidRPr="001A7FC6">
              <w:rPr>
                <w:sz w:val="18"/>
                <w:szCs w:val="18"/>
                <w:vertAlign w:val="superscript"/>
              </w:rPr>
              <w:t xml:space="preserve"> 1,2,3</w:t>
            </w:r>
          </w:p>
        </w:tc>
        <w:tc>
          <w:tcPr>
            <w:tcW w:w="0" w:type="auto"/>
            <w:tcBorders>
              <w:top w:val="nil"/>
              <w:left w:val="nil"/>
              <w:bottom w:val="nil"/>
              <w:right w:val="nil"/>
            </w:tcBorders>
            <w:vAlign w:val="center"/>
            <w:hideMark/>
          </w:tcPr>
          <w:p w14:paraId="2E0F9084"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16071236</w:t>
            </w:r>
          </w:p>
        </w:tc>
        <w:tc>
          <w:tcPr>
            <w:tcW w:w="0" w:type="auto"/>
            <w:tcBorders>
              <w:top w:val="nil"/>
              <w:left w:val="nil"/>
              <w:bottom w:val="nil"/>
              <w:right w:val="nil"/>
            </w:tcBorders>
            <w:vAlign w:val="center"/>
            <w:hideMark/>
          </w:tcPr>
          <w:p w14:paraId="2627D2C6"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20</w:t>
            </w:r>
          </w:p>
        </w:tc>
        <w:tc>
          <w:tcPr>
            <w:tcW w:w="0" w:type="auto"/>
            <w:tcBorders>
              <w:top w:val="nil"/>
              <w:left w:val="nil"/>
              <w:bottom w:val="nil"/>
              <w:right w:val="nil"/>
            </w:tcBorders>
            <w:vAlign w:val="center"/>
            <w:hideMark/>
          </w:tcPr>
          <w:p w14:paraId="60CDBFF5"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803562</w:t>
            </w:r>
          </w:p>
        </w:tc>
        <w:tc>
          <w:tcPr>
            <w:tcW w:w="0" w:type="auto"/>
            <w:tcBorders>
              <w:top w:val="nil"/>
              <w:left w:val="nil"/>
              <w:bottom w:val="nil"/>
              <w:right w:val="nil"/>
            </w:tcBorders>
            <w:vAlign w:val="center"/>
            <w:hideMark/>
          </w:tcPr>
          <w:p w14:paraId="504A0586"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8.87</w:t>
            </w:r>
          </w:p>
        </w:tc>
        <w:tc>
          <w:tcPr>
            <w:tcW w:w="0" w:type="auto"/>
            <w:tcBorders>
              <w:top w:val="nil"/>
              <w:left w:val="nil"/>
              <w:bottom w:val="nil"/>
              <w:right w:val="nil"/>
            </w:tcBorders>
            <w:vAlign w:val="center"/>
            <w:hideMark/>
          </w:tcPr>
          <w:p w14:paraId="42C2D89F"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6.07</w:t>
            </w:r>
          </w:p>
        </w:tc>
        <w:tc>
          <w:tcPr>
            <w:tcW w:w="0" w:type="auto"/>
            <w:tcBorders>
              <w:top w:val="nil"/>
              <w:left w:val="nil"/>
              <w:bottom w:val="nil"/>
              <w:right w:val="nil"/>
            </w:tcBorders>
            <w:vAlign w:val="center"/>
            <w:hideMark/>
          </w:tcPr>
          <w:p w14:paraId="47FD17AA"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2500</w:t>
            </w:r>
          </w:p>
        </w:tc>
      </w:tr>
      <w:tr w:rsidR="00215049" w:rsidRPr="001A7FC6" w14:paraId="1EBEFA56" w14:textId="77777777" w:rsidTr="00215049">
        <w:trPr>
          <w:gridAfter w:val="1"/>
          <w:wAfter w:w="11" w:type="dxa"/>
        </w:trPr>
        <w:tc>
          <w:tcPr>
            <w:tcW w:w="2828" w:type="dxa"/>
            <w:tcBorders>
              <w:top w:val="nil"/>
              <w:left w:val="nil"/>
              <w:bottom w:val="single" w:sz="4" w:space="0" w:color="auto"/>
              <w:right w:val="nil"/>
            </w:tcBorders>
            <w:vAlign w:val="center"/>
            <w:hideMark/>
          </w:tcPr>
          <w:p w14:paraId="3116D520" w14:textId="77777777" w:rsidR="00215049" w:rsidRPr="001A7FC6" w:rsidRDefault="00215049">
            <w:pPr>
              <w:spacing w:line="276" w:lineRule="auto"/>
              <w:rPr>
                <w:sz w:val="18"/>
                <w:szCs w:val="18"/>
              </w:rPr>
            </w:pPr>
            <w:r w:rsidRPr="001A7FC6">
              <w:rPr>
                <w:sz w:val="18"/>
                <w:szCs w:val="18"/>
              </w:rPr>
              <w:t xml:space="preserve">AD CHP &amp; </w:t>
            </w:r>
            <w:proofErr w:type="spellStart"/>
            <w:r w:rsidRPr="001A7FC6">
              <w:rPr>
                <w:sz w:val="18"/>
                <w:szCs w:val="18"/>
              </w:rPr>
              <w:t>BtG</w:t>
            </w:r>
            <w:proofErr w:type="spellEnd"/>
            <w:r w:rsidRPr="001A7FC6">
              <w:rPr>
                <w:sz w:val="18"/>
                <w:szCs w:val="18"/>
              </w:rPr>
              <w:t xml:space="preserve"> (large)</w:t>
            </w:r>
            <w:r w:rsidRPr="001A7FC6">
              <w:rPr>
                <w:sz w:val="18"/>
                <w:szCs w:val="18"/>
                <w:vertAlign w:val="superscript"/>
              </w:rPr>
              <w:t xml:space="preserve"> 1,2.3</w:t>
            </w:r>
          </w:p>
        </w:tc>
        <w:tc>
          <w:tcPr>
            <w:tcW w:w="0" w:type="auto"/>
            <w:tcBorders>
              <w:top w:val="nil"/>
              <w:left w:val="nil"/>
              <w:bottom w:val="single" w:sz="4" w:space="0" w:color="auto"/>
              <w:right w:val="nil"/>
            </w:tcBorders>
            <w:vAlign w:val="center"/>
            <w:hideMark/>
          </w:tcPr>
          <w:p w14:paraId="53FB01E4"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46686529</w:t>
            </w:r>
          </w:p>
        </w:tc>
        <w:tc>
          <w:tcPr>
            <w:tcW w:w="0" w:type="auto"/>
            <w:tcBorders>
              <w:top w:val="nil"/>
              <w:left w:val="nil"/>
              <w:bottom w:val="single" w:sz="4" w:space="0" w:color="auto"/>
              <w:right w:val="nil"/>
            </w:tcBorders>
            <w:vAlign w:val="center"/>
            <w:hideMark/>
          </w:tcPr>
          <w:p w14:paraId="5F847CCA"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20</w:t>
            </w:r>
          </w:p>
        </w:tc>
        <w:tc>
          <w:tcPr>
            <w:tcW w:w="0" w:type="auto"/>
            <w:tcBorders>
              <w:top w:val="nil"/>
              <w:left w:val="nil"/>
              <w:bottom w:val="single" w:sz="4" w:space="0" w:color="auto"/>
              <w:right w:val="nil"/>
            </w:tcBorders>
            <w:vAlign w:val="center"/>
            <w:hideMark/>
          </w:tcPr>
          <w:p w14:paraId="78B43FF9"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2334326</w:t>
            </w:r>
          </w:p>
        </w:tc>
        <w:tc>
          <w:tcPr>
            <w:tcW w:w="0" w:type="auto"/>
            <w:tcBorders>
              <w:top w:val="nil"/>
              <w:left w:val="nil"/>
              <w:bottom w:val="single" w:sz="4" w:space="0" w:color="auto"/>
              <w:right w:val="nil"/>
            </w:tcBorders>
            <w:vAlign w:val="center"/>
            <w:hideMark/>
          </w:tcPr>
          <w:p w14:paraId="3607378E"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6.86</w:t>
            </w:r>
          </w:p>
        </w:tc>
        <w:tc>
          <w:tcPr>
            <w:tcW w:w="0" w:type="auto"/>
            <w:tcBorders>
              <w:top w:val="nil"/>
              <w:left w:val="nil"/>
              <w:bottom w:val="single" w:sz="4" w:space="0" w:color="auto"/>
              <w:right w:val="nil"/>
            </w:tcBorders>
            <w:vAlign w:val="center"/>
            <w:hideMark/>
          </w:tcPr>
          <w:p w14:paraId="4DEB256A"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3.03</w:t>
            </w:r>
          </w:p>
        </w:tc>
        <w:tc>
          <w:tcPr>
            <w:tcW w:w="0" w:type="auto"/>
            <w:tcBorders>
              <w:top w:val="nil"/>
              <w:left w:val="nil"/>
              <w:bottom w:val="single" w:sz="4" w:space="0" w:color="auto"/>
              <w:right w:val="nil"/>
            </w:tcBorders>
            <w:vAlign w:val="center"/>
            <w:hideMark/>
          </w:tcPr>
          <w:p w14:paraId="510743C0"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8000</w:t>
            </w:r>
          </w:p>
        </w:tc>
      </w:tr>
      <w:tr w:rsidR="00215049" w:rsidRPr="001A7FC6" w14:paraId="77DB675A" w14:textId="77777777" w:rsidTr="00215049">
        <w:trPr>
          <w:gridAfter w:val="1"/>
          <w:wAfter w:w="11" w:type="dxa"/>
        </w:trPr>
        <w:tc>
          <w:tcPr>
            <w:tcW w:w="2828" w:type="dxa"/>
            <w:tcBorders>
              <w:top w:val="single" w:sz="4" w:space="0" w:color="auto"/>
              <w:left w:val="nil"/>
              <w:bottom w:val="single" w:sz="4" w:space="0" w:color="auto"/>
              <w:right w:val="nil"/>
            </w:tcBorders>
            <w:vAlign w:val="center"/>
          </w:tcPr>
          <w:p w14:paraId="1F968A10" w14:textId="77777777" w:rsidR="00215049" w:rsidRPr="001A7FC6" w:rsidRDefault="00215049">
            <w:pPr>
              <w:spacing w:line="276" w:lineRule="auto"/>
              <w:rPr>
                <w:sz w:val="18"/>
                <w:szCs w:val="18"/>
              </w:rPr>
            </w:pPr>
          </w:p>
        </w:tc>
        <w:tc>
          <w:tcPr>
            <w:tcW w:w="0" w:type="auto"/>
            <w:tcBorders>
              <w:top w:val="single" w:sz="4" w:space="0" w:color="auto"/>
              <w:left w:val="nil"/>
              <w:bottom w:val="single" w:sz="4" w:space="0" w:color="auto"/>
              <w:right w:val="nil"/>
            </w:tcBorders>
            <w:vAlign w:val="center"/>
            <w:hideMark/>
          </w:tcPr>
          <w:p w14:paraId="6D3B52F7"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w:t>
            </w:r>
          </w:p>
        </w:tc>
        <w:tc>
          <w:tcPr>
            <w:tcW w:w="0" w:type="auto"/>
            <w:tcBorders>
              <w:top w:val="single" w:sz="4" w:space="0" w:color="auto"/>
              <w:left w:val="nil"/>
              <w:bottom w:val="single" w:sz="4" w:space="0" w:color="auto"/>
              <w:right w:val="nil"/>
            </w:tcBorders>
            <w:vAlign w:val="center"/>
            <w:hideMark/>
          </w:tcPr>
          <w:p w14:paraId="17EAAEB1"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(years)</w:t>
            </w:r>
          </w:p>
        </w:tc>
        <w:tc>
          <w:tcPr>
            <w:tcW w:w="0" w:type="auto"/>
            <w:tcBorders>
              <w:top w:val="single" w:sz="4" w:space="0" w:color="auto"/>
              <w:left w:val="nil"/>
              <w:bottom w:val="single" w:sz="4" w:space="0" w:color="auto"/>
              <w:right w:val="nil"/>
            </w:tcBorders>
            <w:vAlign w:val="center"/>
            <w:hideMark/>
          </w:tcPr>
          <w:p w14:paraId="213C7194"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(£/years)</w:t>
            </w:r>
          </w:p>
        </w:tc>
        <w:tc>
          <w:tcPr>
            <w:tcW w:w="0" w:type="auto"/>
            <w:gridSpan w:val="2"/>
            <w:tcBorders>
              <w:top w:val="single" w:sz="4" w:space="0" w:color="auto"/>
              <w:left w:val="nil"/>
              <w:bottom w:val="single" w:sz="4" w:space="0" w:color="auto"/>
              <w:right w:val="nil"/>
            </w:tcBorders>
            <w:vAlign w:val="center"/>
            <w:hideMark/>
          </w:tcPr>
          <w:p w14:paraId="26DDF3DD"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(£/tonne)</w:t>
            </w:r>
          </w:p>
        </w:tc>
        <w:tc>
          <w:tcPr>
            <w:tcW w:w="0" w:type="auto"/>
            <w:tcBorders>
              <w:top w:val="single" w:sz="4" w:space="0" w:color="auto"/>
              <w:left w:val="nil"/>
              <w:bottom w:val="single" w:sz="4" w:space="0" w:color="auto"/>
              <w:right w:val="nil"/>
            </w:tcBorders>
            <w:vAlign w:val="center"/>
            <w:hideMark/>
          </w:tcPr>
          <w:p w14:paraId="2BE1287F"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(tonnes/year)</w:t>
            </w:r>
          </w:p>
        </w:tc>
      </w:tr>
      <w:tr w:rsidR="00215049" w:rsidRPr="001A7FC6" w14:paraId="70E5A382" w14:textId="77777777" w:rsidTr="00215049">
        <w:trPr>
          <w:gridAfter w:val="1"/>
          <w:wAfter w:w="11" w:type="dxa"/>
        </w:trPr>
        <w:tc>
          <w:tcPr>
            <w:tcW w:w="2828" w:type="dxa"/>
            <w:tcBorders>
              <w:top w:val="single" w:sz="4" w:space="0" w:color="auto"/>
              <w:left w:val="nil"/>
              <w:bottom w:val="nil"/>
              <w:right w:val="nil"/>
            </w:tcBorders>
            <w:vAlign w:val="center"/>
            <w:hideMark/>
          </w:tcPr>
          <w:p w14:paraId="3718D205" w14:textId="77777777" w:rsidR="00215049" w:rsidRPr="001A7FC6" w:rsidRDefault="00215049">
            <w:pPr>
              <w:spacing w:line="276" w:lineRule="auto"/>
              <w:rPr>
                <w:sz w:val="18"/>
                <w:szCs w:val="18"/>
              </w:rPr>
            </w:pPr>
            <w:r w:rsidRPr="001A7FC6">
              <w:rPr>
                <w:sz w:val="18"/>
                <w:szCs w:val="18"/>
              </w:rPr>
              <w:t>Incineration</w:t>
            </w:r>
            <w:r w:rsidRPr="001A7FC6">
              <w:rPr>
                <w:sz w:val="18"/>
                <w:szCs w:val="18"/>
                <w:vertAlign w:val="superscript"/>
              </w:rPr>
              <w:t>4</w:t>
            </w:r>
          </w:p>
        </w:tc>
        <w:tc>
          <w:tcPr>
            <w:tcW w:w="0" w:type="auto"/>
            <w:tcBorders>
              <w:top w:val="single" w:sz="4" w:space="0" w:color="auto"/>
              <w:left w:val="nil"/>
              <w:bottom w:val="nil"/>
              <w:right w:val="nil"/>
            </w:tcBorders>
            <w:vAlign w:val="center"/>
            <w:hideMark/>
          </w:tcPr>
          <w:p w14:paraId="4E3DDA10"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45000000</w:t>
            </w:r>
          </w:p>
        </w:tc>
        <w:tc>
          <w:tcPr>
            <w:tcW w:w="0" w:type="auto"/>
            <w:tcBorders>
              <w:top w:val="single" w:sz="4" w:space="0" w:color="auto"/>
              <w:left w:val="nil"/>
              <w:bottom w:val="nil"/>
              <w:right w:val="nil"/>
            </w:tcBorders>
            <w:vAlign w:val="center"/>
            <w:hideMark/>
          </w:tcPr>
          <w:p w14:paraId="35E38642"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25</w:t>
            </w:r>
          </w:p>
        </w:tc>
        <w:tc>
          <w:tcPr>
            <w:tcW w:w="0" w:type="auto"/>
            <w:tcBorders>
              <w:top w:val="single" w:sz="4" w:space="0" w:color="auto"/>
              <w:left w:val="nil"/>
              <w:bottom w:val="nil"/>
              <w:right w:val="nil"/>
            </w:tcBorders>
            <w:vAlign w:val="center"/>
            <w:hideMark/>
          </w:tcPr>
          <w:p w14:paraId="74A261C6"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1800000</w:t>
            </w:r>
          </w:p>
        </w:tc>
        <w:tc>
          <w:tcPr>
            <w:tcW w:w="0" w:type="auto"/>
            <w:gridSpan w:val="2"/>
            <w:tcBorders>
              <w:top w:val="single" w:sz="4" w:space="0" w:color="auto"/>
              <w:left w:val="nil"/>
              <w:bottom w:val="nil"/>
              <w:right w:val="nil"/>
            </w:tcBorders>
            <w:vAlign w:val="center"/>
            <w:hideMark/>
          </w:tcPr>
          <w:p w14:paraId="148DD3EE"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40.00*</w:t>
            </w:r>
          </w:p>
        </w:tc>
        <w:tc>
          <w:tcPr>
            <w:tcW w:w="0" w:type="auto"/>
            <w:tcBorders>
              <w:top w:val="single" w:sz="4" w:space="0" w:color="auto"/>
              <w:left w:val="nil"/>
              <w:bottom w:val="nil"/>
              <w:right w:val="nil"/>
            </w:tcBorders>
            <w:vAlign w:val="center"/>
            <w:hideMark/>
          </w:tcPr>
          <w:p w14:paraId="200813A0"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150000*</w:t>
            </w:r>
          </w:p>
        </w:tc>
      </w:tr>
      <w:tr w:rsidR="00215049" w:rsidRPr="001A7FC6" w14:paraId="0E3692A5" w14:textId="77777777" w:rsidTr="00215049">
        <w:trPr>
          <w:gridAfter w:val="1"/>
          <w:wAfter w:w="11" w:type="dxa"/>
        </w:trPr>
        <w:tc>
          <w:tcPr>
            <w:tcW w:w="2828" w:type="dxa"/>
            <w:tcBorders>
              <w:top w:val="nil"/>
              <w:left w:val="nil"/>
              <w:bottom w:val="nil"/>
              <w:right w:val="nil"/>
            </w:tcBorders>
            <w:vAlign w:val="center"/>
            <w:hideMark/>
          </w:tcPr>
          <w:p w14:paraId="34BEAFE2" w14:textId="77777777" w:rsidR="00215049" w:rsidRPr="001A7FC6" w:rsidRDefault="00215049">
            <w:pPr>
              <w:spacing w:line="276" w:lineRule="auto"/>
              <w:rPr>
                <w:sz w:val="18"/>
                <w:szCs w:val="18"/>
              </w:rPr>
            </w:pPr>
            <w:r w:rsidRPr="001A7FC6">
              <w:rPr>
                <w:sz w:val="18"/>
                <w:szCs w:val="18"/>
              </w:rPr>
              <w:t>Pyrolysis</w:t>
            </w:r>
            <w:r w:rsidRPr="001A7FC6">
              <w:rPr>
                <w:sz w:val="18"/>
                <w:szCs w:val="18"/>
                <w:vertAlign w:val="superscript"/>
              </w:rPr>
              <w:t>5,6</w:t>
            </w:r>
          </w:p>
        </w:tc>
        <w:tc>
          <w:tcPr>
            <w:tcW w:w="0" w:type="auto"/>
            <w:tcBorders>
              <w:top w:val="nil"/>
              <w:left w:val="nil"/>
              <w:bottom w:val="nil"/>
              <w:right w:val="nil"/>
            </w:tcBorders>
            <w:vAlign w:val="center"/>
            <w:hideMark/>
          </w:tcPr>
          <w:p w14:paraId="126E3C1C"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8661322</w:t>
            </w:r>
          </w:p>
        </w:tc>
        <w:tc>
          <w:tcPr>
            <w:tcW w:w="0" w:type="auto"/>
            <w:tcBorders>
              <w:top w:val="nil"/>
              <w:left w:val="nil"/>
              <w:bottom w:val="nil"/>
              <w:right w:val="nil"/>
            </w:tcBorders>
            <w:vAlign w:val="center"/>
            <w:hideMark/>
          </w:tcPr>
          <w:p w14:paraId="2A04AAD5"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25</w:t>
            </w:r>
          </w:p>
        </w:tc>
        <w:tc>
          <w:tcPr>
            <w:tcW w:w="0" w:type="auto"/>
            <w:tcBorders>
              <w:top w:val="nil"/>
              <w:left w:val="nil"/>
              <w:bottom w:val="nil"/>
              <w:right w:val="nil"/>
            </w:tcBorders>
            <w:vAlign w:val="center"/>
            <w:hideMark/>
          </w:tcPr>
          <w:p w14:paraId="101A6AC0"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346453</w:t>
            </w:r>
          </w:p>
        </w:tc>
        <w:tc>
          <w:tcPr>
            <w:tcW w:w="0" w:type="auto"/>
            <w:gridSpan w:val="2"/>
            <w:tcBorders>
              <w:top w:val="nil"/>
              <w:left w:val="nil"/>
              <w:bottom w:val="nil"/>
              <w:right w:val="nil"/>
            </w:tcBorders>
            <w:vAlign w:val="center"/>
            <w:hideMark/>
          </w:tcPr>
          <w:p w14:paraId="607DF228"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50.32*</w:t>
            </w:r>
          </w:p>
        </w:tc>
        <w:tc>
          <w:tcPr>
            <w:tcW w:w="0" w:type="auto"/>
            <w:tcBorders>
              <w:top w:val="nil"/>
              <w:left w:val="nil"/>
              <w:bottom w:val="nil"/>
              <w:right w:val="nil"/>
            </w:tcBorders>
            <w:vAlign w:val="center"/>
            <w:hideMark/>
          </w:tcPr>
          <w:p w14:paraId="5ABFE164"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35989*</w:t>
            </w:r>
          </w:p>
        </w:tc>
      </w:tr>
      <w:tr w:rsidR="00215049" w:rsidRPr="001A7FC6" w14:paraId="46E6CA79" w14:textId="77777777" w:rsidTr="00215049">
        <w:trPr>
          <w:gridAfter w:val="1"/>
          <w:wAfter w:w="11" w:type="dxa"/>
        </w:trPr>
        <w:tc>
          <w:tcPr>
            <w:tcW w:w="2828" w:type="dxa"/>
            <w:tcBorders>
              <w:top w:val="nil"/>
              <w:left w:val="nil"/>
              <w:bottom w:val="nil"/>
              <w:right w:val="nil"/>
            </w:tcBorders>
            <w:vAlign w:val="center"/>
            <w:hideMark/>
          </w:tcPr>
          <w:p w14:paraId="5EA48B32" w14:textId="77777777" w:rsidR="00215049" w:rsidRPr="001A7FC6" w:rsidRDefault="00215049">
            <w:pPr>
              <w:spacing w:line="276" w:lineRule="auto"/>
              <w:rPr>
                <w:sz w:val="18"/>
                <w:szCs w:val="18"/>
              </w:rPr>
            </w:pPr>
            <w:r w:rsidRPr="001A7FC6">
              <w:rPr>
                <w:sz w:val="18"/>
                <w:szCs w:val="18"/>
              </w:rPr>
              <w:t>Drying</w:t>
            </w:r>
            <w:r w:rsidRPr="001A7FC6">
              <w:rPr>
                <w:sz w:val="18"/>
                <w:szCs w:val="18"/>
                <w:vertAlign w:val="superscript"/>
              </w:rPr>
              <w:t>7</w:t>
            </w:r>
          </w:p>
        </w:tc>
        <w:tc>
          <w:tcPr>
            <w:tcW w:w="0" w:type="auto"/>
            <w:tcBorders>
              <w:top w:val="nil"/>
              <w:left w:val="nil"/>
              <w:bottom w:val="nil"/>
              <w:right w:val="nil"/>
            </w:tcBorders>
            <w:vAlign w:val="center"/>
            <w:hideMark/>
          </w:tcPr>
          <w:p w14:paraId="697CF366"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283000</w:t>
            </w:r>
          </w:p>
        </w:tc>
        <w:tc>
          <w:tcPr>
            <w:tcW w:w="0" w:type="auto"/>
            <w:tcBorders>
              <w:top w:val="nil"/>
              <w:left w:val="nil"/>
              <w:bottom w:val="nil"/>
              <w:right w:val="nil"/>
            </w:tcBorders>
            <w:vAlign w:val="center"/>
            <w:hideMark/>
          </w:tcPr>
          <w:p w14:paraId="79928204"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10</w:t>
            </w:r>
          </w:p>
        </w:tc>
        <w:tc>
          <w:tcPr>
            <w:tcW w:w="0" w:type="auto"/>
            <w:tcBorders>
              <w:top w:val="nil"/>
              <w:left w:val="nil"/>
              <w:bottom w:val="nil"/>
              <w:right w:val="nil"/>
            </w:tcBorders>
            <w:vAlign w:val="center"/>
            <w:hideMark/>
          </w:tcPr>
          <w:p w14:paraId="0492DE39"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28300</w:t>
            </w:r>
          </w:p>
        </w:tc>
        <w:tc>
          <w:tcPr>
            <w:tcW w:w="0" w:type="auto"/>
            <w:gridSpan w:val="2"/>
            <w:tcBorders>
              <w:top w:val="nil"/>
              <w:left w:val="nil"/>
              <w:bottom w:val="nil"/>
              <w:right w:val="nil"/>
            </w:tcBorders>
            <w:vAlign w:val="center"/>
            <w:hideMark/>
          </w:tcPr>
          <w:p w14:paraId="1163F379"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23.13**</w:t>
            </w:r>
          </w:p>
        </w:tc>
        <w:tc>
          <w:tcPr>
            <w:tcW w:w="0" w:type="auto"/>
            <w:tcBorders>
              <w:top w:val="nil"/>
              <w:left w:val="nil"/>
              <w:bottom w:val="nil"/>
              <w:right w:val="nil"/>
            </w:tcBorders>
            <w:vAlign w:val="center"/>
            <w:hideMark/>
          </w:tcPr>
          <w:p w14:paraId="4280165D"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3500**</w:t>
            </w:r>
          </w:p>
        </w:tc>
      </w:tr>
      <w:tr w:rsidR="00215049" w:rsidRPr="001A7FC6" w14:paraId="76CC989B" w14:textId="77777777" w:rsidTr="00215049">
        <w:trPr>
          <w:gridAfter w:val="1"/>
          <w:wAfter w:w="11" w:type="dxa"/>
        </w:trPr>
        <w:tc>
          <w:tcPr>
            <w:tcW w:w="2828" w:type="dxa"/>
            <w:tcBorders>
              <w:top w:val="nil"/>
              <w:left w:val="nil"/>
              <w:bottom w:val="single" w:sz="4" w:space="0" w:color="auto"/>
              <w:right w:val="nil"/>
            </w:tcBorders>
            <w:vAlign w:val="center"/>
            <w:hideMark/>
          </w:tcPr>
          <w:p w14:paraId="1EF251E3" w14:textId="77777777" w:rsidR="00215049" w:rsidRPr="001A7FC6" w:rsidRDefault="00215049">
            <w:pPr>
              <w:spacing w:line="276" w:lineRule="auto"/>
              <w:rPr>
                <w:sz w:val="18"/>
                <w:szCs w:val="18"/>
              </w:rPr>
            </w:pPr>
            <w:r w:rsidRPr="001A7FC6">
              <w:rPr>
                <w:sz w:val="18"/>
                <w:szCs w:val="18"/>
              </w:rPr>
              <w:t>Drying &amp; pelletisation</w:t>
            </w:r>
            <w:r w:rsidRPr="001A7FC6">
              <w:rPr>
                <w:sz w:val="18"/>
                <w:szCs w:val="18"/>
                <w:vertAlign w:val="superscript"/>
              </w:rPr>
              <w:t>7</w:t>
            </w:r>
          </w:p>
        </w:tc>
        <w:tc>
          <w:tcPr>
            <w:tcW w:w="0" w:type="auto"/>
            <w:tcBorders>
              <w:top w:val="nil"/>
              <w:left w:val="nil"/>
              <w:bottom w:val="single" w:sz="4" w:space="0" w:color="auto"/>
              <w:right w:val="nil"/>
            </w:tcBorders>
            <w:vAlign w:val="center"/>
            <w:hideMark/>
          </w:tcPr>
          <w:p w14:paraId="513C2158"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340518</w:t>
            </w:r>
          </w:p>
        </w:tc>
        <w:tc>
          <w:tcPr>
            <w:tcW w:w="0" w:type="auto"/>
            <w:tcBorders>
              <w:top w:val="nil"/>
              <w:left w:val="nil"/>
              <w:bottom w:val="single" w:sz="4" w:space="0" w:color="auto"/>
              <w:right w:val="nil"/>
            </w:tcBorders>
            <w:vAlign w:val="center"/>
            <w:hideMark/>
          </w:tcPr>
          <w:p w14:paraId="0AD8096F"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10</w:t>
            </w:r>
          </w:p>
        </w:tc>
        <w:tc>
          <w:tcPr>
            <w:tcW w:w="0" w:type="auto"/>
            <w:tcBorders>
              <w:top w:val="nil"/>
              <w:left w:val="nil"/>
              <w:bottom w:val="single" w:sz="4" w:space="0" w:color="auto"/>
              <w:right w:val="nil"/>
            </w:tcBorders>
            <w:vAlign w:val="center"/>
            <w:hideMark/>
          </w:tcPr>
          <w:p w14:paraId="1CEEA059"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34052</w:t>
            </w:r>
          </w:p>
        </w:tc>
        <w:tc>
          <w:tcPr>
            <w:tcW w:w="0" w:type="auto"/>
            <w:gridSpan w:val="2"/>
            <w:tcBorders>
              <w:top w:val="nil"/>
              <w:left w:val="nil"/>
              <w:bottom w:val="single" w:sz="4" w:space="0" w:color="auto"/>
              <w:right w:val="nil"/>
            </w:tcBorders>
            <w:vAlign w:val="center"/>
            <w:hideMark/>
          </w:tcPr>
          <w:p w14:paraId="098A3294"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74.77**</w:t>
            </w:r>
          </w:p>
        </w:tc>
        <w:tc>
          <w:tcPr>
            <w:tcW w:w="0" w:type="auto"/>
            <w:tcBorders>
              <w:top w:val="nil"/>
              <w:left w:val="nil"/>
              <w:bottom w:val="single" w:sz="4" w:space="0" w:color="auto"/>
              <w:right w:val="nil"/>
            </w:tcBorders>
            <w:vAlign w:val="center"/>
            <w:hideMark/>
          </w:tcPr>
          <w:p w14:paraId="15C30CBE" w14:textId="77777777" w:rsidR="00215049" w:rsidRPr="001A7FC6" w:rsidRDefault="00215049">
            <w:pPr>
              <w:spacing w:line="276" w:lineRule="auto"/>
              <w:jc w:val="center"/>
              <w:rPr>
                <w:rFonts w:cs="Arial"/>
                <w:color w:val="000000"/>
                <w:sz w:val="18"/>
                <w:szCs w:val="18"/>
              </w:rPr>
            </w:pPr>
            <w:r w:rsidRPr="001A7FC6">
              <w:rPr>
                <w:rFonts w:cs="Arial"/>
                <w:color w:val="000000"/>
                <w:sz w:val="18"/>
                <w:szCs w:val="18"/>
              </w:rPr>
              <w:t>3500**</w:t>
            </w:r>
          </w:p>
        </w:tc>
      </w:tr>
      <w:tr w:rsidR="00215049" w:rsidRPr="001A7FC6" w14:paraId="2522D498" w14:textId="77777777" w:rsidTr="000C0B25">
        <w:trPr>
          <w:trHeight w:val="50"/>
        </w:trPr>
        <w:tc>
          <w:tcPr>
            <w:tcW w:w="9122" w:type="dxa"/>
            <w:gridSpan w:val="8"/>
            <w:tcBorders>
              <w:top w:val="single" w:sz="4" w:space="0" w:color="auto"/>
              <w:left w:val="nil"/>
              <w:bottom w:val="nil"/>
              <w:right w:val="nil"/>
            </w:tcBorders>
            <w:hideMark/>
          </w:tcPr>
          <w:p w14:paraId="22076C5E" w14:textId="77777777" w:rsidR="00215049" w:rsidRPr="001A7FC6" w:rsidRDefault="00215049">
            <w:pPr>
              <w:spacing w:line="240" w:lineRule="auto"/>
              <w:rPr>
                <w:i/>
                <w:sz w:val="16"/>
                <w:szCs w:val="18"/>
                <w:vertAlign w:val="superscript"/>
              </w:rPr>
            </w:pPr>
            <w:r w:rsidRPr="001A7FC6">
              <w:rPr>
                <w:i/>
                <w:sz w:val="16"/>
                <w:szCs w:val="18"/>
              </w:rPr>
              <w:t>Note: an exchange ratio of 1.25 US$/£ and 1.12 €/£ are used to calculate the costs from the original sources</w:t>
            </w:r>
          </w:p>
          <w:p w14:paraId="11D527F2" w14:textId="77777777" w:rsidR="00215049" w:rsidRPr="001A7FC6" w:rsidRDefault="00215049">
            <w:pPr>
              <w:spacing w:line="240" w:lineRule="auto"/>
              <w:rPr>
                <w:i/>
                <w:sz w:val="16"/>
                <w:szCs w:val="18"/>
              </w:rPr>
            </w:pPr>
            <w:r w:rsidRPr="001A7FC6">
              <w:rPr>
                <w:i/>
                <w:sz w:val="16"/>
                <w:szCs w:val="18"/>
                <w:vertAlign w:val="superscript"/>
              </w:rPr>
              <w:t>*</w:t>
            </w:r>
            <w:r w:rsidRPr="001A7FC6">
              <w:rPr>
                <w:i/>
                <w:sz w:val="16"/>
                <w:szCs w:val="18"/>
              </w:rPr>
              <w:t xml:space="preserve"> Per tonne of feed, </w:t>
            </w:r>
            <w:r w:rsidRPr="001A7FC6">
              <w:rPr>
                <w:i/>
                <w:sz w:val="16"/>
                <w:szCs w:val="18"/>
                <w:vertAlign w:val="superscript"/>
              </w:rPr>
              <w:t>**</w:t>
            </w:r>
            <w:r w:rsidRPr="001A7FC6">
              <w:rPr>
                <w:i/>
                <w:sz w:val="16"/>
                <w:szCs w:val="18"/>
              </w:rPr>
              <w:t xml:space="preserve"> per dry tonne of product</w:t>
            </w:r>
          </w:p>
          <w:p w14:paraId="396A2191" w14:textId="77777777" w:rsidR="00215049" w:rsidRPr="001A7FC6" w:rsidRDefault="00215049">
            <w:pPr>
              <w:spacing w:line="240" w:lineRule="auto"/>
              <w:rPr>
                <w:i/>
                <w:sz w:val="16"/>
                <w:szCs w:val="18"/>
              </w:rPr>
            </w:pPr>
            <w:r w:rsidRPr="001A7FC6">
              <w:rPr>
                <w:i/>
                <w:sz w:val="16"/>
                <w:szCs w:val="18"/>
                <w:vertAlign w:val="superscript"/>
              </w:rPr>
              <w:t xml:space="preserve">+ </w:t>
            </w:r>
            <w:r w:rsidRPr="001A7FC6">
              <w:rPr>
                <w:i/>
                <w:sz w:val="16"/>
                <w:szCs w:val="18"/>
              </w:rPr>
              <w:t xml:space="preserve">produced in the CHP system of the plant, </w:t>
            </w:r>
            <w:r w:rsidRPr="001A7FC6">
              <w:rPr>
                <w:i/>
                <w:sz w:val="16"/>
                <w:szCs w:val="18"/>
                <w:vertAlign w:val="superscript"/>
              </w:rPr>
              <w:t>++</w:t>
            </w:r>
            <w:r w:rsidRPr="001A7FC6">
              <w:rPr>
                <w:i/>
                <w:sz w:val="16"/>
                <w:szCs w:val="18"/>
              </w:rPr>
              <w:t xml:space="preserve">Produced in the </w:t>
            </w:r>
            <w:proofErr w:type="spellStart"/>
            <w:r w:rsidRPr="001A7FC6">
              <w:rPr>
                <w:i/>
                <w:sz w:val="16"/>
                <w:szCs w:val="18"/>
              </w:rPr>
              <w:t>BtG</w:t>
            </w:r>
            <w:proofErr w:type="spellEnd"/>
            <w:r w:rsidRPr="001A7FC6">
              <w:rPr>
                <w:i/>
                <w:sz w:val="16"/>
                <w:szCs w:val="18"/>
              </w:rPr>
              <w:t xml:space="preserve"> system of the plant, CHP capacity for CHP &amp; </w:t>
            </w:r>
            <w:proofErr w:type="spellStart"/>
            <w:r w:rsidRPr="001A7FC6">
              <w:rPr>
                <w:i/>
                <w:sz w:val="16"/>
                <w:szCs w:val="18"/>
              </w:rPr>
              <w:t>BtG</w:t>
            </w:r>
            <w:proofErr w:type="spellEnd"/>
            <w:r w:rsidRPr="001A7FC6">
              <w:rPr>
                <w:i/>
                <w:sz w:val="16"/>
                <w:szCs w:val="18"/>
              </w:rPr>
              <w:t xml:space="preserve"> systems are the same as CHP systems only</w:t>
            </w:r>
          </w:p>
          <w:p w14:paraId="3796896C" w14:textId="77777777" w:rsidR="00215049" w:rsidRPr="001A7FC6" w:rsidRDefault="00215049">
            <w:pPr>
              <w:spacing w:line="240" w:lineRule="auto"/>
              <w:rPr>
                <w:i/>
                <w:sz w:val="18"/>
                <w:szCs w:val="18"/>
              </w:rPr>
            </w:pPr>
            <w:r w:rsidRPr="001A7FC6">
              <w:rPr>
                <w:i/>
                <w:sz w:val="16"/>
                <w:szCs w:val="18"/>
                <w:vertAlign w:val="superscript"/>
                <w:lang w:val="es-ES"/>
              </w:rPr>
              <w:t>1</w:t>
            </w:r>
            <w:r w:rsidRPr="001A7FC6">
              <w:rPr>
                <w:i/>
                <w:sz w:val="16"/>
                <w:szCs w:val="18"/>
                <w:lang w:val="es-ES"/>
              </w:rPr>
              <w:fldChar w:fldCharType="begin" w:fldLock="1"/>
            </w:r>
            <w:r w:rsidRPr="001A7FC6">
              <w:rPr>
                <w:i/>
                <w:sz w:val="16"/>
                <w:szCs w:val="18"/>
                <w:lang w:val="es-ES"/>
              </w:rPr>
              <w:instrText>ADDIN CSL_CITATION {"citationItems":[{"id":"ITEM-1","itemData":{"DOI":"10.3390/en10091396","author":[{"dropping-particle":"","family":"Oreggioni","given":"Gabriel D","non-dropping-particle":"","parse-names":false,"suffix":""},{"dropping-particle":"","family":"Gowreesunker","given":"Baboo Lesh","non-dropping-particle":"","parse-names":false,"suffix":""},{"dropping-particle":"","family":"Tassou","given":"Savvas A","non-dropping-particle":"","parse-names":false,"suffix":""},{"dropping-particle":"","family":"Bianchi","given":"Giuseppe","non-dropping-particle":"","parse-names":false,"suffix":""},{"dropping-particle":"","family":"Reilly","given":"Matthew","non-dropping-particle":"","parse-names":false,"suffix":""},{"dropping-particle":"","family":"Id","given":"Marie E Kirby","non-dropping-particle":"","parse-names":false,"suffix":""},{"dropping-particle":"","family":"Toop","given":"Trisha A","non-dropping-particle":"","parse-names":false,"suffix":""},{"dropping-particle":"","family":"Theodorou","given":"Mike K","non-dropping-particle":"","parse-names":false,"suffix":""}],"container-title":"Energies","id":"ITEM-1","issued":{"date-parts":[["2017"]]},"page":"1-16","title":"Potential for Energy Production from Farm Wastes Using Anaerobic Digestion in the UK : An Economic Comparison of Different Size Plants","type":"article-journal"},"uris":["http://www.mendeley.com/documents/?uuid=7b13cecf-7594-4e03-9318-e779bf7ab62b"]}],"mendeley":{"formattedCitation":"(Oreggioni et al., 2017)","plainTextFormattedCitation":"(Oreggioni et al., 2017)","previouslyFormattedCitation":"(Oreggioni et al., 2017)"},"properties":{"noteIndex":0},"schema":"https://github.com/citation-style-language/schema/raw/master/csl-citation.json"}</w:instrText>
            </w:r>
            <w:r w:rsidRPr="001A7FC6">
              <w:rPr>
                <w:i/>
                <w:sz w:val="16"/>
                <w:szCs w:val="18"/>
                <w:lang w:val="es-ES"/>
              </w:rPr>
              <w:fldChar w:fldCharType="separate"/>
            </w:r>
            <w:r w:rsidRPr="001A7FC6">
              <w:rPr>
                <w:noProof/>
                <w:sz w:val="16"/>
                <w:szCs w:val="18"/>
                <w:lang w:val="es-ES"/>
              </w:rPr>
              <w:t>(Oreggioni et al., 2017)</w:t>
            </w:r>
            <w:r w:rsidRPr="001A7FC6">
              <w:rPr>
                <w:i/>
                <w:sz w:val="16"/>
                <w:szCs w:val="18"/>
                <w:lang w:val="es-ES"/>
              </w:rPr>
              <w:fldChar w:fldCharType="end"/>
            </w:r>
            <w:r w:rsidRPr="001A7FC6">
              <w:rPr>
                <w:i/>
                <w:sz w:val="16"/>
                <w:szCs w:val="18"/>
                <w:lang w:val="es-ES"/>
              </w:rPr>
              <w:t>,</w:t>
            </w:r>
            <w:r w:rsidRPr="001A7FC6">
              <w:rPr>
                <w:i/>
                <w:sz w:val="16"/>
                <w:szCs w:val="18"/>
                <w:vertAlign w:val="superscript"/>
                <w:lang w:val="es-ES"/>
              </w:rPr>
              <w:t xml:space="preserve"> 2</w:t>
            </w:r>
            <w:r w:rsidRPr="001A7FC6">
              <w:rPr>
                <w:i/>
                <w:sz w:val="16"/>
                <w:szCs w:val="18"/>
                <w:vertAlign w:val="superscript"/>
              </w:rPr>
              <w:fldChar w:fldCharType="begin" w:fldLock="1"/>
            </w:r>
            <w:r w:rsidRPr="001A7FC6">
              <w:rPr>
                <w:i/>
                <w:sz w:val="16"/>
                <w:szCs w:val="18"/>
                <w:vertAlign w:val="superscript"/>
                <w:lang w:val="es-ES"/>
              </w:rPr>
              <w:instrText>ADDIN CSL_CITATION {"citationItems":[{"id":"ITEM-1","itemData":{"author":[{"dropping-particle":"","family":"Sbodova","given":"Ivo","non-dropping-particle":"","parse-names":false,"suffix":""}],"id":"ITEM-1","issued":{"date-parts":[["2003"]]},"number-of-pages":"1-110","title":"Anaerobic digestion , storage , oligolysis , lime , heat and aerobic treatment of livestock manures Final report","type":"report"},"uris":["http://www.mendeley.com/documents/?uuid=3581c639-4989-47d9-9ae5-dda38822eeab"]}],"mendeley":{"formattedCitation":"(Sbodova, 2003)","plainTextFormattedCitation":"(Sbodova, 2003)","previouslyFormattedCitation":"(Sbodova, 2003)"},"properties":{"noteIndex":0},"schema":"https://github.com/citation-style-language/schema/raw/master/csl-citation.json"}</w:instrText>
            </w:r>
            <w:r w:rsidRPr="001A7FC6">
              <w:rPr>
                <w:i/>
                <w:sz w:val="16"/>
                <w:szCs w:val="18"/>
                <w:vertAlign w:val="superscript"/>
              </w:rPr>
              <w:fldChar w:fldCharType="separate"/>
            </w:r>
            <w:r w:rsidRPr="001A7FC6">
              <w:rPr>
                <w:noProof/>
                <w:sz w:val="16"/>
                <w:szCs w:val="18"/>
                <w:lang w:val="es-ES"/>
              </w:rPr>
              <w:t>(Sbodova, 2003)</w:t>
            </w:r>
            <w:r w:rsidRPr="001A7FC6">
              <w:rPr>
                <w:i/>
                <w:sz w:val="16"/>
                <w:szCs w:val="18"/>
                <w:vertAlign w:val="superscript"/>
              </w:rPr>
              <w:fldChar w:fldCharType="end"/>
            </w:r>
            <w:r w:rsidRPr="001A7FC6">
              <w:rPr>
                <w:i/>
                <w:sz w:val="16"/>
                <w:szCs w:val="18"/>
                <w:lang w:val="es-ES"/>
              </w:rPr>
              <w:t>,</w:t>
            </w:r>
            <w:r w:rsidRPr="001A7FC6">
              <w:rPr>
                <w:i/>
                <w:sz w:val="16"/>
                <w:szCs w:val="18"/>
                <w:vertAlign w:val="superscript"/>
                <w:lang w:val="es-ES"/>
              </w:rPr>
              <w:t>3</w:t>
            </w:r>
            <w:r w:rsidRPr="001A7FC6">
              <w:rPr>
                <w:i/>
                <w:sz w:val="16"/>
                <w:szCs w:val="18"/>
                <w:vertAlign w:val="superscript"/>
                <w:lang w:val="es-ES"/>
              </w:rPr>
              <w:fldChar w:fldCharType="begin" w:fldLock="1"/>
            </w:r>
            <w:r w:rsidRPr="001A7FC6">
              <w:rPr>
                <w:i/>
                <w:sz w:val="16"/>
                <w:szCs w:val="18"/>
                <w:vertAlign w:val="superscript"/>
                <w:lang w:val="es-ES"/>
              </w:rPr>
              <w:instrText>ADDIN CSL_CITATION {"citationItems":[{"id":"ITEM-1","itemData":{"DOI":"10.1016/j.ijggc.2009.12.013","ISSN":"17505836","abstract":"The biogas upgrading by membrane separation process using a highly efficient CO 2 -selective polyvinylamine/polyvinylalcohol (PVAm/PVA) blend membrane was investigated by experimental study and simulation with respect to process design, operation optimization and economic evaluation. This blend membrane takes advantages of the unique CO 2 facilitated transport from PVAm and the robust mechanical properties from PVA, exhibits both high CO 2 /CH 4 separation efficiency and very good stability. CO 2 transports through the water swollen membrane matrix in the form of bicarbonate. CO 2 /CH 4 selectivity up to 40 and CO 2 permeance up to 0.55 m 3 (STP)/m 2 h bar at 2 bar were documented in lab with synthesized biogas (35% CO 2 and 65% CH 4 ). Membrane performances at varying feed pressures were recorded and used as the simulation basis in this work. The process simulation of an on-farm scale biogas upgrading plant (1000 Nm 3 /h) was conducted. Processes with four different membrane module configurations with or without recycle were evaluated technically and economically, and the 2-stage in cascade with recycle configuration was proven optimal among the four processes. The sensitivity of the process to various operation parameters was analyzed and the operation conditions were optimized. © 2010 Elsevier Ltd. All rights reserved.","author":[{"dropping-particle":"","family":"Deng","given":"Liyuan","non-dropping-particle":"","parse-names":false,"suffix":""},{"dropping-particle":"","family":"Hägg","given":"May Britt","non-dropping-particle":"","parse-names":false,"suffix":""}],"container-title":"International Journal of Greenhouse Gas Control","id":"ITEM-1","issue":"4","issued":{"date-parts":[["2010"]]},"page":"638-646","publisher":"Elsevier Ltd","title":"Techno-economic evaluation of biogas upgrading process using CO 2 facilitated transport membrane","type":"article-journal","volume":"4"},"uris":["http://www.mendeley.com/documents/?uuid=f088d276-cc30-4940-83d3-863fcaaff445"]}],"mendeley":{"formattedCitation":"(Deng and Hägg, 2010)","plainTextFormattedCitation":"(Deng and Hägg, 2010)","previouslyFormattedCitation":"(Deng and Hägg, 2010)"},"properties":{"noteIndex":0},"schema":"https://github.com/citation-style-language/schema/raw/master/csl-citation.json"}</w:instrText>
            </w:r>
            <w:r w:rsidRPr="001A7FC6">
              <w:rPr>
                <w:i/>
                <w:sz w:val="16"/>
                <w:szCs w:val="18"/>
                <w:vertAlign w:val="superscript"/>
                <w:lang w:val="es-ES"/>
              </w:rPr>
              <w:fldChar w:fldCharType="separate"/>
            </w:r>
            <w:r w:rsidRPr="001A7FC6">
              <w:rPr>
                <w:noProof/>
                <w:sz w:val="16"/>
                <w:szCs w:val="18"/>
                <w:lang w:val="es-ES"/>
              </w:rPr>
              <w:t>(Deng and Hägg, 2010)</w:t>
            </w:r>
            <w:r w:rsidRPr="001A7FC6">
              <w:rPr>
                <w:i/>
                <w:sz w:val="16"/>
                <w:szCs w:val="18"/>
                <w:vertAlign w:val="superscript"/>
                <w:lang w:val="es-ES"/>
              </w:rPr>
              <w:fldChar w:fldCharType="end"/>
            </w:r>
            <w:r w:rsidRPr="001A7FC6">
              <w:rPr>
                <w:i/>
                <w:sz w:val="16"/>
                <w:szCs w:val="18"/>
                <w:lang w:val="es-ES"/>
              </w:rPr>
              <w:t>,</w:t>
            </w:r>
            <w:r w:rsidRPr="001A7FC6">
              <w:rPr>
                <w:i/>
                <w:sz w:val="16"/>
                <w:szCs w:val="18"/>
                <w:vertAlign w:val="superscript"/>
                <w:lang w:val="es-ES"/>
              </w:rPr>
              <w:t>4</w:t>
            </w:r>
            <w:r w:rsidRPr="001A7FC6">
              <w:rPr>
                <w:i/>
                <w:sz w:val="16"/>
                <w:szCs w:val="18"/>
                <w:vertAlign w:val="superscript"/>
              </w:rPr>
              <w:fldChar w:fldCharType="begin" w:fldLock="1"/>
            </w:r>
            <w:r w:rsidRPr="001A7FC6">
              <w:rPr>
                <w:i/>
                <w:sz w:val="16"/>
                <w:szCs w:val="18"/>
                <w:vertAlign w:val="superscript"/>
                <w:lang w:val="es-ES"/>
              </w:rPr>
              <w:instrText>ADDIN CSL_CITATION {"citationItems":[{"id":"ITEM-1","itemData":{"DOI":"10.13140/RG.2.2.30993.12649","ISBN":"4021183000","author":[{"dropping-particle":"","family":"Mckendry","given":"Peter","non-dropping-particle":"","parse-names":false,"suffix":""}],"container-title":"Green Acre Consulting","id":"ITEM-1","issue":"January 2008","issued":{"date-parts":[["2018"]]},"publisher-place":"SLR, Greater London Authority","title":"Costs of Incineration and Non-Incineration Energy from Waste Technologies Energy from Waste Technologies","type":"report"},"uris":["http://www.mendeley.com/documents/?uuid=4a285b63-ba8c-405f-a8da-60be4d24b66d"]}],"mendeley":{"formattedCitation":"(Mckendry, 2018)","plainTextFormattedCitation":"(Mckendry, 2018)","previouslyFormattedCitation":"(Mckendry, 2018)"},"properties":{"noteIndex":0},"schema":"https://github.com/citation-style-language/schema/raw/master/csl-citation.json"}</w:instrText>
            </w:r>
            <w:r w:rsidRPr="001A7FC6">
              <w:rPr>
                <w:i/>
                <w:sz w:val="16"/>
                <w:szCs w:val="18"/>
                <w:vertAlign w:val="superscript"/>
              </w:rPr>
              <w:fldChar w:fldCharType="separate"/>
            </w:r>
            <w:r w:rsidRPr="001A7FC6">
              <w:rPr>
                <w:noProof/>
                <w:sz w:val="16"/>
                <w:szCs w:val="18"/>
                <w:lang w:val="es-ES"/>
              </w:rPr>
              <w:t>(Mckendry, 2018)</w:t>
            </w:r>
            <w:r w:rsidRPr="001A7FC6">
              <w:rPr>
                <w:i/>
                <w:sz w:val="16"/>
                <w:szCs w:val="18"/>
                <w:vertAlign w:val="superscript"/>
              </w:rPr>
              <w:fldChar w:fldCharType="end"/>
            </w:r>
            <w:r w:rsidRPr="001A7FC6">
              <w:rPr>
                <w:i/>
                <w:sz w:val="16"/>
                <w:szCs w:val="18"/>
                <w:lang w:val="es-ES"/>
              </w:rPr>
              <w:t>,</w:t>
            </w:r>
            <w:r w:rsidRPr="001A7FC6">
              <w:rPr>
                <w:i/>
                <w:sz w:val="16"/>
                <w:szCs w:val="18"/>
                <w:vertAlign w:val="superscript"/>
                <w:lang w:val="es-ES"/>
              </w:rPr>
              <w:t>5</w:t>
            </w:r>
            <w:r w:rsidRPr="001A7FC6">
              <w:rPr>
                <w:i/>
                <w:sz w:val="16"/>
                <w:szCs w:val="18"/>
                <w:vertAlign w:val="superscript"/>
                <w:lang w:val="es-ES"/>
              </w:rPr>
              <w:fldChar w:fldCharType="begin" w:fldLock="1"/>
            </w:r>
            <w:r w:rsidRPr="001A7FC6">
              <w:rPr>
                <w:i/>
                <w:sz w:val="16"/>
                <w:szCs w:val="18"/>
                <w:vertAlign w:val="superscript"/>
                <w:lang w:val="es-ES"/>
              </w:rPr>
              <w:instrText>ADDIN CSL_CITATION {"citationItems":[{"id":"ITEM-1","itemData":{"DOI":"10.1016/j.fuel.2012.11.029","ISSN":"0016-2361","author":[{"dropping-particle":"","family":"Brown","given":"Tristan R","non-dropping-particle":"","parse-names":false,"suffix":""},{"dropping-particle":"","family":"Thilakaratne","given":"Rajeeva","non-dropping-particle":"","parse-names":false,"suffix":""},{"dropping-particle":"","family":"Brown","given":"Robert C","non-dropping-particle":"","parse-names":false,"suffix":""},{"dropping-particle":"","family":"Hu","given":"Guiping","non-dropping-particle":"","parse-names":false,"suffix":""}],"container-title":"Fuel","id":"ITEM-1","issued":{"date-parts":[["2013"]]},"note":"Potential pyrolysis cost","page":"463-469","title":"Techno-economic analysis of biomass to transportation fuels and electricity via fast pyrolysis and hydroprocessing","type":"article-journal","volume":"106"},"uris":["http://www.mendeley.com/documents/?uuid=038ee764-36b4-4872-b410-398d20adc3ee"]}],"mendeley":{"formattedCitation":"(Brown et al., 2013)","plainTextFormattedCitation":"(Brown et al., 2013)","previouslyFormattedCitation":"(Brown et al., 2013)"},"properties":{"noteIndex":0},"schema":"https://github.com/citation-style-language/schema/raw/master/csl-citation.json"}</w:instrText>
            </w:r>
            <w:r w:rsidRPr="001A7FC6">
              <w:rPr>
                <w:i/>
                <w:sz w:val="16"/>
                <w:szCs w:val="18"/>
                <w:vertAlign w:val="superscript"/>
                <w:lang w:val="es-ES"/>
              </w:rPr>
              <w:fldChar w:fldCharType="separate"/>
            </w:r>
            <w:r w:rsidRPr="001A7FC6">
              <w:rPr>
                <w:noProof/>
                <w:sz w:val="16"/>
                <w:szCs w:val="18"/>
                <w:lang w:val="es-ES"/>
              </w:rPr>
              <w:t>(Brown et al., 2013)</w:t>
            </w:r>
            <w:r w:rsidRPr="001A7FC6">
              <w:rPr>
                <w:i/>
                <w:sz w:val="16"/>
                <w:szCs w:val="18"/>
                <w:vertAlign w:val="superscript"/>
                <w:lang w:val="es-ES"/>
              </w:rPr>
              <w:fldChar w:fldCharType="end"/>
            </w:r>
            <w:r w:rsidRPr="001A7FC6">
              <w:rPr>
                <w:i/>
                <w:sz w:val="16"/>
                <w:szCs w:val="18"/>
                <w:lang w:val="es-ES"/>
              </w:rPr>
              <w:t>,</w:t>
            </w:r>
            <w:r w:rsidRPr="001A7FC6">
              <w:rPr>
                <w:i/>
                <w:sz w:val="16"/>
                <w:szCs w:val="18"/>
                <w:vertAlign w:val="superscript"/>
                <w:lang w:val="es-ES"/>
              </w:rPr>
              <w:t>6</w:t>
            </w:r>
            <w:r w:rsidRPr="001A7FC6">
              <w:rPr>
                <w:i/>
                <w:sz w:val="16"/>
                <w:szCs w:val="18"/>
                <w:vertAlign w:val="superscript"/>
              </w:rPr>
              <w:fldChar w:fldCharType="begin" w:fldLock="1"/>
            </w:r>
            <w:r w:rsidRPr="001A7FC6">
              <w:rPr>
                <w:i/>
                <w:sz w:val="16"/>
                <w:szCs w:val="18"/>
                <w:vertAlign w:val="superscript"/>
                <w:lang w:val="es-ES"/>
              </w:rPr>
              <w:instrText>ADDIN CSL_CITATION {"citationItems":[{"id":"ITEM-1","itemData":{"DOI":"10.1021/acs.est.7b04659","ISBN":"1581228481","ISSN":"15205851","abstract":"© 2018 American Chemical Society. Energy, water, and waste systems analyzed at a nexus level are important to move toward more sustainable cities. In this paper, the \"resilience.io\" platform is developed and applied to emphasize on waste-to-energy pathways, along with the water and energy sectors, aiming to develop waste treatment capacity and energy recovery with the lowest economic and environmental cost. Three categories of waste including wastewater (WW), municipal solid waste (MSW), and agriculture waste are tested as the feedstock for thermochemical treatment via incineration, gasification, or pyrolysis for combined heat and power generation, or biological treatment such as anaerobic digestion (AD) and aerobic treatment. A case study is presented for Ghana in sub-Saharan Africa, considering a combination of waste treatment technologies and infrastructure, depending on local characteristics for supply and demand. The results indicate that the biogas generated from waste treatment turns out to be a promising renewable energy source in the analyzed region, while more distributed energy resources can be integrated. A series of scenarios including the business-as-usual, base case, naturally constrained, policy interventions, and environmental and climate change impacts demonstrate how simulation with optimization models can provide new insights in the design of sustainable value chains, with particular emphasis on whole-system analysis and integration.","author":[{"dropping-particle":"","family":"Wang","given":"Xiaonan","non-dropping-particle":"","parse-names":false,"suffix":""},{"dropping-particle":"","family":"Guo","given":"Miao","non-dropping-particle":"","parse-names":false,"suffix":""},{"dropping-particle":"","family":"Koppelaar","given":"Rembrandt H.E.M.","non-dropping-particle":"","parse-names":false,"suffix":""},{"dropping-particle":"","family":"Dam","given":"Koen H.","non-dropping-particle":"Van","parse-names":false,"suffix":""},{"dropping-particle":"","family":"Triantafyllidis","given":"Charalampos P.","non-dropping-particle":"","parse-names":false,"suffix":""},{"dropping-particle":"","family":"Shah","given":"Nilay","non-dropping-particle":"","parse-names":false,"suffix":""}],"container-title":"Environmental Science and Technology","id":"ITEM-1","issue":"5","issued":{"date-parts":[["2018"]]},"page":"3257-3266","title":"A Nexus Approach for Sustainable Urban Energy-Water-Waste Systems Planning and Operation","type":"article-journal","volume":"52"},"uris":["http://www.mendeley.com/documents/?uuid=94c1fdbf-e6e6-463e-b607-c7f9770121a5"]}],"mendeley":{"formattedCitation":"(Wang et al., 2018)","plainTextFormattedCitation":"(Wang et al., 2018)","previouslyFormattedCitation":"(Wang et al., 2018)"},"properties":{"noteIndex":0},"schema":"https://github.com/citation-style-language/schema/raw/master/csl-citation.json"}</w:instrText>
            </w:r>
            <w:r w:rsidRPr="001A7FC6">
              <w:rPr>
                <w:i/>
                <w:sz w:val="16"/>
                <w:szCs w:val="18"/>
                <w:vertAlign w:val="superscript"/>
              </w:rPr>
              <w:fldChar w:fldCharType="separate"/>
            </w:r>
            <w:r w:rsidRPr="001A7FC6">
              <w:rPr>
                <w:noProof/>
                <w:sz w:val="16"/>
                <w:szCs w:val="18"/>
              </w:rPr>
              <w:t>(Wang et al., 2018)</w:t>
            </w:r>
            <w:r w:rsidRPr="001A7FC6">
              <w:rPr>
                <w:i/>
                <w:sz w:val="16"/>
                <w:szCs w:val="18"/>
                <w:vertAlign w:val="superscript"/>
              </w:rPr>
              <w:fldChar w:fldCharType="end"/>
            </w:r>
            <w:r w:rsidRPr="001A7FC6">
              <w:rPr>
                <w:i/>
                <w:sz w:val="16"/>
                <w:szCs w:val="18"/>
                <w:lang w:val="es-ES"/>
              </w:rPr>
              <w:t xml:space="preserve"> ,</w:t>
            </w:r>
            <w:r w:rsidRPr="001A7FC6">
              <w:rPr>
                <w:i/>
                <w:sz w:val="16"/>
                <w:szCs w:val="18"/>
                <w:vertAlign w:val="superscript"/>
                <w:lang w:val="es-ES"/>
              </w:rPr>
              <w:t xml:space="preserve">7 </w:t>
            </w:r>
            <w:r w:rsidRPr="001A7FC6">
              <w:rPr>
                <w:i/>
                <w:sz w:val="16"/>
                <w:szCs w:val="18"/>
              </w:rPr>
              <w:fldChar w:fldCharType="begin" w:fldLock="1"/>
            </w:r>
            <w:r w:rsidRPr="001A7FC6">
              <w:rPr>
                <w:i/>
                <w:sz w:val="16"/>
                <w:szCs w:val="18"/>
                <w:lang w:val="es-ES"/>
              </w:rPr>
              <w:instrText>ADDIN CSL_CITATION {"citationItems":[{"id":"ITEM-1","itemData":{"DOI":"10.3390/en11051135","ISSN":"19961073","abstract":"© 2018 by the authors. Licensee MDPI, Basel, Switzerland. In our paper we examine the economics of a technological process which utilizes the separated biogas plant digestate as the primary material and, as auxiliary material, the waste heat produced by the cogeneration process, to produce a marketable pellet which can be used in two ways (to supply soil nutrients and heat energy). Using multivariate linear regression model we developed an equation for the biogas yield from the modelled production recipe and expected nutrient pellet prices, and sensitivity analysis were also performed for the substrate dry matter content. We found that pellets can be produced at a cost of 88-90 EUR/ton with a 6 to 10% dry matter substrate content and that, primarily, sales of pellets for heating justify  pelleting; producer's own use and use for nutrient purposes can only be justified in exceptional cases. In the case of dry solid content above 5%, the process does not require the total amount of waste heat; some of this can be used to cover other heat requirements.","author":[{"dropping-particle":"","family":"Nagy","given":"Dávid","non-dropping-particle":"","parse-names":false,"suffix":""},{"dropping-particle":"","family":"Balogh","given":"Péter","non-dropping-particle":"","parse-names":false,"suffix":""},{"dropping-particle":"","family":"Gabnai","given":"Zoltán","non-dropping-particle":"","parse-names":false,"suffix":""},{"dropping-particle":"","family":"Popp","given":"József","non-dropping-particle":"","parse-names":false,"suffix":""},{"dropping-particle":"","family":"Oláh","given":"Judit","non-dropping-particle":"","parse-names":false,"suffix":""},{"dropping-particle":"","family":"Bai","given":"Attila","non-dropping-particle":"","parse-names":false,"suffix":""}],"container-title":"Energies","id":"ITEM-1","issue":"5","issued":{"date-parts":[["2018"]]},"page":"1-21","title":"Economic analysis of pellet production in co-digestion biogas plants","type":"article-journal","volume":"11"},"uris":["http://www.mendeley.com/documents/?uuid=6db8025a-4af8-4f54-8857-09db93c53a5a"]}],"mendeley":{"formattedCitation":"(Nagy et al., 2018)","plainTextFormattedCitation":"(Nagy et al., 2018)","previouslyFormattedCitation":"(Nagy et al., 2018)"},"properties":{"noteIndex":0},"schema":"https://github.com/citation-style-language/schema/raw/master/csl-citation.json"}</w:instrText>
            </w:r>
            <w:r w:rsidRPr="001A7FC6">
              <w:rPr>
                <w:i/>
                <w:sz w:val="16"/>
                <w:szCs w:val="18"/>
              </w:rPr>
              <w:fldChar w:fldCharType="separate"/>
            </w:r>
            <w:r w:rsidRPr="001A7FC6">
              <w:rPr>
                <w:noProof/>
                <w:sz w:val="16"/>
                <w:szCs w:val="18"/>
                <w:lang w:val="es-ES"/>
              </w:rPr>
              <w:t>(Nagy et al., 2018)</w:t>
            </w:r>
            <w:r w:rsidRPr="001A7FC6">
              <w:rPr>
                <w:i/>
                <w:sz w:val="16"/>
                <w:szCs w:val="18"/>
              </w:rPr>
              <w:fldChar w:fldCharType="end"/>
            </w:r>
          </w:p>
        </w:tc>
      </w:tr>
    </w:tbl>
    <w:p w14:paraId="44429553" w14:textId="24A20E96" w:rsidR="00215049" w:rsidRDefault="00215049" w:rsidP="00215049"/>
    <w:p w14:paraId="71935E79" w14:textId="77777777" w:rsidR="00547887" w:rsidRDefault="00547887" w:rsidP="00215049">
      <w:pPr>
        <w:sectPr w:rsidR="00547887" w:rsidSect="00031370">
          <w:headerReference w:type="default" r:id="rId12"/>
          <w:type w:val="continuous"/>
          <w:pgSz w:w="11906" w:h="16838"/>
          <w:pgMar w:top="1440" w:right="1440" w:bottom="1440" w:left="1440" w:header="708" w:footer="708" w:gutter="0"/>
          <w:lnNumType w:countBy="1" w:restart="continuous"/>
          <w:cols w:space="708"/>
          <w:docGrid w:linePitch="360"/>
        </w:sectPr>
      </w:pPr>
      <w:bookmarkStart w:id="48" w:name="_GoBack"/>
    </w:p>
    <w:bookmarkEnd w:id="46"/>
    <w:bookmarkEnd w:id="48"/>
    <w:p w14:paraId="59CCA317" w14:textId="56DDF5B0" w:rsidR="000C0B25" w:rsidRPr="001A7FC6" w:rsidRDefault="000C0B25" w:rsidP="00547887">
      <w:pPr>
        <w:pStyle w:val="Heading1"/>
        <w:numPr>
          <w:ilvl w:val="0"/>
          <w:numId w:val="0"/>
        </w:numPr>
      </w:pPr>
      <w:r w:rsidRPr="001A7FC6">
        <w:lastRenderedPageBreak/>
        <w:t>References</w:t>
      </w:r>
    </w:p>
    <w:p w14:paraId="1A999C86" w14:textId="77777777" w:rsidR="000C0B25" w:rsidRPr="001A7FC6" w:rsidRDefault="000C0B25" w:rsidP="000C0B25">
      <w:pPr>
        <w:widowControl w:val="0"/>
        <w:autoSpaceDE w:val="0"/>
        <w:autoSpaceDN w:val="0"/>
        <w:adjustRightInd w:val="0"/>
        <w:ind w:left="480" w:hanging="480"/>
        <w:rPr>
          <w:rFonts w:cs="Arial"/>
          <w:noProof/>
          <w:szCs w:val="24"/>
        </w:rPr>
      </w:pPr>
      <w:r w:rsidRPr="001A7FC6">
        <w:fldChar w:fldCharType="begin" w:fldLock="1"/>
      </w:r>
      <w:r w:rsidRPr="001A7FC6">
        <w:rPr>
          <w:lang w:val="fr-FR"/>
        </w:rPr>
        <w:instrText xml:space="preserve">ADDIN Mendeley Bibliography CSL_BIBLIOGRAPHY </w:instrText>
      </w:r>
      <w:r w:rsidRPr="001A7FC6">
        <w:fldChar w:fldCharType="separate"/>
      </w:r>
      <w:r w:rsidRPr="001A7FC6">
        <w:rPr>
          <w:rFonts w:cs="Arial"/>
          <w:noProof/>
          <w:szCs w:val="24"/>
          <w:lang w:val="fr-FR"/>
        </w:rPr>
        <w:t xml:space="preserve">Acar, S., Ayanoglu, A., Demirbas, A., 2011. </w:t>
      </w:r>
      <w:r w:rsidRPr="001A7FC6">
        <w:rPr>
          <w:rFonts w:cs="Arial"/>
          <w:noProof/>
          <w:szCs w:val="24"/>
        </w:rPr>
        <w:t>DETERMINATION OF HIGHER HEATING VALUES (HHVS) OF BIOMASS FUELS. FUELS AND COMBUSTION IN ENGINEERING JOURNAL 119, 14–16.</w:t>
      </w:r>
    </w:p>
    <w:p w14:paraId="12167B20"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lang w:val="fr-FR"/>
        </w:rPr>
        <w:t xml:space="preserve">Antoniou, N., Monlau, F., Sambusiti, C., Ficara, E., Barakat, A., Zabaniotou, A., 2019. </w:t>
      </w:r>
      <w:r w:rsidRPr="001A7FC6">
        <w:rPr>
          <w:rFonts w:cs="Arial"/>
          <w:noProof/>
          <w:szCs w:val="24"/>
        </w:rPr>
        <w:t>Contribution to Circular Economy options of mixed agricultural wastes management: Coupling anaerobic digestion with gasification for enhanced energy and material recovery. Journal of Cleaner Production 209, 505–514. https://doi.org/10.1016/j.jclepro.2018.10.055</w:t>
      </w:r>
    </w:p>
    <w:p w14:paraId="037E482E"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Bhange, V.P., William, S.P., Sharma, A., Gabhane, J., Vaidya, A.N., Wate, S.R., 2015. Pretreatment of garden biomass using Fenton’s reagent: Influence of Fe2+ and H2O2 concentrations on lignocellulose degradation. Journal of Environmental Health Science and Engineering 13. https://doi.org/10.1186/s40201-015-0167-1</w:t>
      </w:r>
    </w:p>
    <w:p w14:paraId="1EA3C01D"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Brown, T.R., Thilakaratne, R., Brown, R.C., Hu, G., 2013. Techno-economic analysis of biomass to transportation fuels and electricity via fast pyrolysis and hydroprocessing. Fuel 106, 463–469. https://doi.org/10.1016/j.fuel.2012.11.029</w:t>
      </w:r>
    </w:p>
    <w:p w14:paraId="0B0DE33E"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Chemical Engineering, 2019. Economic Indicators. Chemical Engineering essentiaks for the CPI professional, Available at: https://www.chemengonline.com/pci (Accessed: 10 July 2019)</w:t>
      </w:r>
    </w:p>
    <w:p w14:paraId="2ED378AC"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Chester, M., Stupples, D., Lees, M., 2008. A Comparison of the Physical and Chemical Composition of Uk Waste Streams Based on Hypothetical Compound Structure. 13th European Biosolids and Organic Resources Conferencee, 10- 12 November 17. https://doi.org/10.1186/1742-7622-5-2</w:t>
      </w:r>
    </w:p>
    <w:p w14:paraId="01C92C57"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 xml:space="preserve">Datt, P., 2011. Latent Heat of Vaporization/Condensation, in: Singh, V.P., Singh, P., Haritashya, U.K. (Eds.), Encyclopedia of Snow, Ice and Glaciers. Springer Netherlands, </w:t>
      </w:r>
      <w:r w:rsidRPr="001A7FC6">
        <w:rPr>
          <w:rFonts w:cs="Arial"/>
          <w:noProof/>
          <w:szCs w:val="24"/>
        </w:rPr>
        <w:lastRenderedPageBreak/>
        <w:t>Dordrecht, p. 703. https://doi.org/10.1007/978-90-481-2642-2_327</w:t>
      </w:r>
    </w:p>
    <w:p w14:paraId="1DB6AE85"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Deng, L., Hägg, M.B., 2010. Techno-economic evaluation of biogas upgrading process using CO 2 facilitated transport membrane. International Journal of Greenhouse Gas Control 4, 638–646. https://doi.org/10.1016/j.ijggc.2009.12.013</w:t>
      </w:r>
    </w:p>
    <w:p w14:paraId="0451DE8B"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Drosg, B., Fuchs, W., Al, T., Madsen, S.M., Linke, B., 2015. Nutrient Recovery by Biogas Digestate Processing Bernhard, IEA Bioenergy.</w:t>
      </w:r>
    </w:p>
    <w:p w14:paraId="53D323C8"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Esteves, S., Devlin, D., 2010. Food Waste Chemical Analysis Chemical. wrap Material change for a better environment.</w:t>
      </w:r>
    </w:p>
    <w:p w14:paraId="66108CB7"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Guo, M., Stuckey, D.C., Murphy, R.J., 2013. Is it possible to develop biopolymer production systems independent of fossil fuels? Case study in energy profiling of polyhydroxybutyrate-valerate (PHBV). Green Chemistry 15, 706–717. https://doi.org/10.1039/c2gc36546d</w:t>
      </w:r>
    </w:p>
    <w:p w14:paraId="23F33940"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Haldor Topsøe, 2012. SOEC Electrochemical upgrading of biogas to pipeline quality by means of SOEC electrolysis.</w:t>
      </w:r>
    </w:p>
    <w:p w14:paraId="44E80DE3"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IRENA, 2018. Biogas for Road Vehicles: tehnology brief.</w:t>
      </w:r>
    </w:p>
    <w:p w14:paraId="15699BCD"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Li, H., Mehmood, D., Thorin, E., Yu, Z., 2017. Biomethane Production Via Anaerobic Digestion and Biomass Gasification. Energy Procedia 105, 1172–1177. https://doi.org/10.1016/j.egypro.2017.03.490</w:t>
      </w:r>
    </w:p>
    <w:p w14:paraId="0F8AD540"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Mata-Alvarez, J., Macé, S., Llabrés, P., 2000. Anaerobic digestion of organic solid wastes. An overview of research achievements and perspectives. Bioresource Technology 74, 3–16. https://doi.org/10.1016/S0960-8524(00)00023-7</w:t>
      </w:r>
    </w:p>
    <w:p w14:paraId="5C23C08E"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Mckendry, P., 2018. Costs of Incineration and Non-Incineration Energy from Waste Technologies Energy from Waste Technologies, Green Acre Consulting. SLR, Greater London Authority. https://doi.org/10.13140/RG.2.2.30993.12649</w:t>
      </w:r>
    </w:p>
    <w:p w14:paraId="629EEC4A"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lastRenderedPageBreak/>
        <w:t>Nagy, D., Balogh, P., Gabnai, Z., Popp, J., Oláh, J., Bai, A., 2018. Economic analysis of pellet production in co-digestion biogas plants. Energies 11, 1–21. https://doi.org/10.3390/en11051135</w:t>
      </w:r>
    </w:p>
    <w:p w14:paraId="05DBB185"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NNFCC, 2019. AD portal map site list external May 2019, NNFCC, Available at: http://www.biogas-info.co.uk/ad-portal-map_site-list_external_may-_2019/ (Accessed: 5 July 2019)</w:t>
      </w:r>
    </w:p>
    <w:p w14:paraId="5835FE9A"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OECD, 2019. Producer price indices (PPI). OECD Data, Available at: https://data.oecd.org/price/producer-price-indices-ppi.htm (Accessed: 11 July 2019)</w:t>
      </w:r>
    </w:p>
    <w:p w14:paraId="2A753822"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Ofgem, 2019. Monitoring the market: wholesale market indicators. Available at: https://www.ofgem.gov.uk/data-portal/wholesale-market-indicators (Accessed: 18 June 2019).</w:t>
      </w:r>
    </w:p>
    <w:p w14:paraId="6DF73030"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Oreggioni, G.D., Gowreesunker, B.L., Tassou, S.A., Bianchi, G., Reilly, M., Id, M.E.K., Toop, T.A., Theodorou, M.K., 2017. Potential for Energy Production from Farm Wastes Using Anaerobic Digestion in the UK : An Economic Comparison of Different Size Plants. Energies 1–16. https://doi.org/10.3390/en10091396</w:t>
      </w:r>
    </w:p>
    <w:p w14:paraId="3F009859"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Park, I., Jeong, S., Obokata, T., Okada, H., Wafers, G., Tanaka, T., Takamiya, S., 2015. Simulation of a process for the two-stage thermal conversion of biomass into the synthesis gas. Journal of Physics: Conference Series 653. https://doi.org/10.1088/1742-6596/653/1/012031</w:t>
      </w:r>
    </w:p>
    <w:p w14:paraId="14E1725D"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Patel, B., Guo, M., Shah, N., Hellgardt, K., 2016. Environmental profile of algal Hydrothermal Liquefaction - A country specific case study. Algal Research 16, 127–140. https://doi.org/10.1016/j.algal.2015.12.017</w:t>
      </w:r>
    </w:p>
    <w:p w14:paraId="27ED2012"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 xml:space="preserve">Peng, W., Pivato, A., 2019. Sustainable Management of Digestate from the Organic Fraction of Municipal Solid Waste and Food Waste Under the Concepts of Back to Earth Alternatives and Circular Economy. Waste and Biomass Valorization 10, 465–481. </w:t>
      </w:r>
      <w:r w:rsidRPr="001A7FC6">
        <w:rPr>
          <w:rFonts w:cs="Arial"/>
          <w:noProof/>
          <w:szCs w:val="24"/>
        </w:rPr>
        <w:lastRenderedPageBreak/>
        <w:t>https://doi.org/10.1007/s12649-017-0071-2</w:t>
      </w:r>
    </w:p>
    <w:p w14:paraId="4EF4148D"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Sbodova, I., 2003. Anaerobic digestion , storage , oligolysis , lime , heat and aerobic treatment of livestock manures Final report.</w:t>
      </w:r>
    </w:p>
    <w:p w14:paraId="04C5400A"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Speece, R.E., 1996. Anaerobic Biotechnology for Industrial Wastewaters, in: Anaerobic Biotechnology for Industrial Wastewaters,. Archae Press, Nashville, Tennessee, p. 53.</w:t>
      </w:r>
    </w:p>
    <w:p w14:paraId="1E3678CE"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Tambone, F., Orzi, V., D’Imporzano, G., Adani, F., 2017. Solid and liquid fractionation of digestate: Mass balance, chemical characterization, and agronomic and environmental value. Bioresource Technology 243, 1251–1256. https://doi.org/10.1016/j.biortech.2017.07.130</w:t>
      </w:r>
    </w:p>
    <w:p w14:paraId="2AC54104"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Tan, E.C.D., Marker, T.L., Roberts, M.J., 2014. Direct production of gasoline and diesel fuels from biomass via integrated hydropyrolysis and hydroconversion process—A techno-economic analysis. Environmental Progress &amp; Sustainable Energy 33, 609–617. https://doi.org/10.1002/ep.11791</w:t>
      </w:r>
    </w:p>
    <w:p w14:paraId="6C5C098C"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Tobiasen, L., Kahle, K., Hindsgaul, C., Kamuk, B., 2014. Waste to Energy – Energy Recovery of Green Bin Waste: Incineration/Biogas Comparison. Current Sustainable/Renewable Energy Reports 1, 136–149. https://doi.org/10.1007/s40518-014-0018-1</w:t>
      </w:r>
    </w:p>
    <w:p w14:paraId="21E72A8F"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US EPA, 2014. Volume-to-Weight Conversion Factors.</w:t>
      </w:r>
    </w:p>
    <w:p w14:paraId="3C587C9A"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Wang, X., Guo, M., Koppelaar, R.H.E.M., Van Dam, K.H., Triantafyllidis, C.P., Shah, N., 2018. A Nexus Approach for Sustainable Urban Energy-Water-Waste Systems Planning and Operation. Environmental Science and Technology 52, 3257–3266. https://doi.org/10.1021/acs.est.7b04659</w:t>
      </w:r>
    </w:p>
    <w:p w14:paraId="29B0F2D1"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WastesWork, AEA, 2010. The composition of municipal solid waste in Wales. Wrap 38–39.</w:t>
      </w:r>
    </w:p>
    <w:p w14:paraId="046011B9"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WDF, 2019. Data on organic fraction municipal solid waste. Waste Data Flow, Available at: http://www.wastedataflow.org/ (Accessed: 5 June 2019)</w:t>
      </w:r>
    </w:p>
    <w:p w14:paraId="749498DB"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lastRenderedPageBreak/>
        <w:t>Wei, Y., Tang, J., Xie, J., Shen, C., 2019. Molten alkali carbonates pyrolysis of digestate for phenolic productions. Journal of Cleaner Production 225, 143–151. https://doi.org/10.1016/j.jclepro.2019.03.234</w:t>
      </w:r>
    </w:p>
    <w:p w14:paraId="03B901AC" w14:textId="77777777" w:rsidR="000C0B25" w:rsidRPr="001A7FC6" w:rsidRDefault="000C0B25" w:rsidP="000C0B25">
      <w:pPr>
        <w:widowControl w:val="0"/>
        <w:autoSpaceDE w:val="0"/>
        <w:autoSpaceDN w:val="0"/>
        <w:adjustRightInd w:val="0"/>
        <w:ind w:left="480" w:hanging="480"/>
        <w:rPr>
          <w:rFonts w:cs="Arial"/>
          <w:noProof/>
          <w:szCs w:val="24"/>
        </w:rPr>
      </w:pPr>
      <w:r w:rsidRPr="001A7FC6">
        <w:rPr>
          <w:rFonts w:cs="Arial"/>
          <w:noProof/>
          <w:szCs w:val="24"/>
        </w:rPr>
        <w:t>WRAP, 2012. Enhancement and treatment of digestates from anaerobic digestion. Waste and Resources Action Programme 1–38. https://doi.org/10.1007/s11666-009-9304-7</w:t>
      </w:r>
    </w:p>
    <w:p w14:paraId="6B81DD8D" w14:textId="77777777" w:rsidR="000C0B25" w:rsidRPr="001A7FC6" w:rsidRDefault="000C0B25" w:rsidP="000C0B25">
      <w:pPr>
        <w:widowControl w:val="0"/>
        <w:autoSpaceDE w:val="0"/>
        <w:autoSpaceDN w:val="0"/>
        <w:adjustRightInd w:val="0"/>
        <w:ind w:left="480" w:hanging="480"/>
        <w:rPr>
          <w:rFonts w:cs="Arial"/>
          <w:noProof/>
        </w:rPr>
      </w:pPr>
      <w:r w:rsidRPr="001A7FC6">
        <w:rPr>
          <w:rFonts w:cs="Arial"/>
          <w:noProof/>
          <w:szCs w:val="24"/>
        </w:rPr>
        <w:t>Zhang, Y., Banks, C.J., Heaven, S., 2012. Anaerobic digestion of two biodegradable municipal waste streams. Journal of Environmental Management 104, 166–174. https://doi.org/10.1016/j.jenvman.2012.03.043</w:t>
      </w:r>
    </w:p>
    <w:p w14:paraId="3211143C" w14:textId="701D61A8" w:rsidR="0014186D" w:rsidRPr="0014186D" w:rsidRDefault="000C0B25" w:rsidP="000C0B25">
      <w:r w:rsidRPr="001A7FC6">
        <w:fldChar w:fldCharType="end"/>
      </w:r>
    </w:p>
    <w:sectPr w:rsidR="0014186D" w:rsidRPr="0014186D" w:rsidSect="00547887">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75F600" w14:textId="77777777" w:rsidR="006D3558" w:rsidRDefault="006D3558" w:rsidP="00BF6ABA">
      <w:pPr>
        <w:spacing w:after="0" w:line="240" w:lineRule="auto"/>
      </w:pPr>
      <w:r>
        <w:separator/>
      </w:r>
    </w:p>
  </w:endnote>
  <w:endnote w:type="continuationSeparator" w:id="0">
    <w:p w14:paraId="12CDE7D0" w14:textId="77777777" w:rsidR="006D3558" w:rsidRDefault="006D3558" w:rsidP="00BF6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LM Roman 12">
    <w:altName w:val="Calibri"/>
    <w:panose1 w:val="00000000000000000000"/>
    <w:charset w:val="00"/>
    <w:family w:val="modern"/>
    <w:notTrueType/>
    <w:pitch w:val="variable"/>
    <w:sig w:usb0="20000007" w:usb1="00000000" w:usb2="00000000" w:usb3="00000000" w:csb0="00000193"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160770" w14:textId="77777777" w:rsidR="006D3558" w:rsidRDefault="006D3558" w:rsidP="00BF6ABA">
      <w:pPr>
        <w:spacing w:after="0" w:line="240" w:lineRule="auto"/>
      </w:pPr>
      <w:r>
        <w:separator/>
      </w:r>
    </w:p>
  </w:footnote>
  <w:footnote w:type="continuationSeparator" w:id="0">
    <w:p w14:paraId="7F7310B4" w14:textId="77777777" w:rsidR="006D3558" w:rsidRDefault="006D3558" w:rsidP="00BF6A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D8D925" w14:textId="430F5E7E" w:rsidR="006D3558" w:rsidRPr="00EE4DA2" w:rsidRDefault="006D3558" w:rsidP="00031370">
    <w:pPr>
      <w:pStyle w:val="Header"/>
      <w:tabs>
        <w:tab w:val="clear" w:pos="4513"/>
        <w:tab w:val="clear" w:pos="9026"/>
      </w:tabs>
      <w:ind w:right="95"/>
      <w:rPr>
        <w:color w:val="767171" w:themeColor="background2" w:themeShade="80"/>
      </w:rPr>
    </w:pPr>
    <w:r>
      <w:ptab w:relativeTo="margin" w:alignment="right" w:leader="none"/>
    </w:r>
    <w:r>
      <w:rPr>
        <w:noProof/>
        <w:color w:val="767171" w:themeColor="background2" w:themeShade="80"/>
      </w:rPr>
      <w:t xml:space="preserve"> </w:t>
    </w:r>
    <w:r w:rsidRPr="00EE4DA2">
      <w:rPr>
        <w:noProof/>
        <w:color w:val="767171" w:themeColor="background2" w:themeShade="80"/>
      </w:rPr>
      <w:fldChar w:fldCharType="begin"/>
    </w:r>
    <w:r w:rsidRPr="00EE4DA2">
      <w:rPr>
        <w:noProof/>
        <w:color w:val="767171" w:themeColor="background2" w:themeShade="80"/>
      </w:rPr>
      <w:instrText xml:space="preserve"> STYLEREF  "Heading 1" \t  \* MERGEFORMAT </w:instrText>
    </w:r>
    <w:r w:rsidR="00547887">
      <w:rPr>
        <w:noProof/>
        <w:color w:val="767171" w:themeColor="background2" w:themeShade="80"/>
      </w:rPr>
      <w:fldChar w:fldCharType="separate"/>
    </w:r>
    <w:r w:rsidR="00547887">
      <w:rPr>
        <w:noProof/>
        <w:color w:val="767171" w:themeColor="background2" w:themeShade="80"/>
      </w:rPr>
      <w:t>References</w:t>
    </w:r>
    <w:r w:rsidRPr="00EE4DA2">
      <w:rPr>
        <w:noProof/>
        <w:color w:val="767171" w:themeColor="background2" w:themeShade="8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107F89"/>
    <w:multiLevelType w:val="multilevel"/>
    <w:tmpl w:val="8946D74E"/>
    <w:lvl w:ilvl="0">
      <w:start w:val="1"/>
      <w:numFmt w:val="decimal"/>
      <w:pStyle w:val="Heading1"/>
      <w:lvlText w:val="S%1."/>
      <w:lvlJc w:val="left"/>
      <w:pPr>
        <w:ind w:left="720" w:hanging="360"/>
      </w:pPr>
      <w:rPr>
        <w:rFonts w:hint="default"/>
      </w:rPr>
    </w:lvl>
    <w:lvl w:ilvl="1">
      <w:start w:val="1"/>
      <w:numFmt w:val="decimal"/>
      <w:isLgl/>
      <w:lvlText w:val="S%1.%2"/>
      <w:lvlJc w:val="left"/>
      <w:pPr>
        <w:ind w:left="958" w:hanging="390"/>
      </w:pPr>
      <w:rPr>
        <w:rFonts w:hint="default"/>
      </w:rPr>
    </w:lvl>
    <w:lvl w:ilvl="2">
      <w:start w:val="1"/>
      <w:numFmt w:val="decimal"/>
      <w:isLgl/>
      <w:lvlText w:val="S%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482D32A4"/>
    <w:multiLevelType w:val="multilevel"/>
    <w:tmpl w:val="C234CE30"/>
    <w:styleLink w:val="Style1"/>
    <w:lvl w:ilvl="0">
      <w:start w:val="1"/>
      <w:numFmt w:val="decimal"/>
      <w:lvlText w:val="A.%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58A91DE3"/>
    <w:multiLevelType w:val="hybridMultilevel"/>
    <w:tmpl w:val="7CF2E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345E5F"/>
    <w:multiLevelType w:val="hybridMultilevel"/>
    <w:tmpl w:val="BD3054E0"/>
    <w:lvl w:ilvl="0" w:tplc="08090017">
      <w:start w:val="1"/>
      <w:numFmt w:val="lowerLetter"/>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abstractNumId w:val="0"/>
  </w:num>
  <w:num w:numId="2">
    <w:abstractNumId w:val="1"/>
  </w:num>
  <w:num w:numId="3">
    <w:abstractNumId w:val="2"/>
  </w:num>
  <w:num w:numId="4">
    <w:abstractNumId w:val="0"/>
    <w:lvlOverride w:ilvl="0">
      <w:startOverride w:val="5"/>
    </w:lvlOverride>
    <w:lvlOverride w:ilvl="1">
      <w:startOverride w:val="2"/>
    </w:lvlOverride>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07B"/>
    <w:rsid w:val="00031370"/>
    <w:rsid w:val="0005519A"/>
    <w:rsid w:val="000A01BD"/>
    <w:rsid w:val="000C0B25"/>
    <w:rsid w:val="000D0D2E"/>
    <w:rsid w:val="000E27C3"/>
    <w:rsid w:val="00130759"/>
    <w:rsid w:val="0013334E"/>
    <w:rsid w:val="0014186D"/>
    <w:rsid w:val="00167733"/>
    <w:rsid w:val="0019415E"/>
    <w:rsid w:val="001A7FC6"/>
    <w:rsid w:val="00215049"/>
    <w:rsid w:val="002D3707"/>
    <w:rsid w:val="002F1AE1"/>
    <w:rsid w:val="00350AB5"/>
    <w:rsid w:val="003625D2"/>
    <w:rsid w:val="00387CDE"/>
    <w:rsid w:val="003F643A"/>
    <w:rsid w:val="004E4204"/>
    <w:rsid w:val="00547887"/>
    <w:rsid w:val="00564A62"/>
    <w:rsid w:val="005C41E6"/>
    <w:rsid w:val="005D49AE"/>
    <w:rsid w:val="005D5B77"/>
    <w:rsid w:val="00600B67"/>
    <w:rsid w:val="006958CF"/>
    <w:rsid w:val="006D3558"/>
    <w:rsid w:val="0071207B"/>
    <w:rsid w:val="007835A0"/>
    <w:rsid w:val="00872DA0"/>
    <w:rsid w:val="00876F87"/>
    <w:rsid w:val="00877232"/>
    <w:rsid w:val="00890150"/>
    <w:rsid w:val="008A6534"/>
    <w:rsid w:val="0096016C"/>
    <w:rsid w:val="00967830"/>
    <w:rsid w:val="0098728D"/>
    <w:rsid w:val="009E6A3D"/>
    <w:rsid w:val="00A06382"/>
    <w:rsid w:val="00A3379C"/>
    <w:rsid w:val="00A403D4"/>
    <w:rsid w:val="00A648AF"/>
    <w:rsid w:val="00AB0091"/>
    <w:rsid w:val="00B3687D"/>
    <w:rsid w:val="00B911CC"/>
    <w:rsid w:val="00BB6B9B"/>
    <w:rsid w:val="00BB744E"/>
    <w:rsid w:val="00BF6ABA"/>
    <w:rsid w:val="00C7508C"/>
    <w:rsid w:val="00CD6FD9"/>
    <w:rsid w:val="00D755A0"/>
    <w:rsid w:val="00DD2D19"/>
    <w:rsid w:val="00E3311A"/>
    <w:rsid w:val="00E37E58"/>
    <w:rsid w:val="00E6224E"/>
    <w:rsid w:val="00F73D66"/>
    <w:rsid w:val="00FF2A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62F02873"/>
  <w14:defaultImageDpi w14:val="32767"/>
  <w15:chartTrackingRefBased/>
  <w15:docId w15:val="{01389A50-D88A-4411-AE12-D3C79D3C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7C3"/>
    <w:pPr>
      <w:spacing w:line="480" w:lineRule="auto"/>
    </w:pPr>
    <w:rPr>
      <w:rFonts w:ascii="Arial" w:hAnsi="Arial"/>
    </w:rPr>
  </w:style>
  <w:style w:type="paragraph" w:styleId="Heading1">
    <w:name w:val="heading 1"/>
    <w:basedOn w:val="Normal"/>
    <w:next w:val="Normal"/>
    <w:link w:val="Heading1Char"/>
    <w:uiPriority w:val="9"/>
    <w:qFormat/>
    <w:rsid w:val="00031370"/>
    <w:pPr>
      <w:keepNext/>
      <w:keepLines/>
      <w:numPr>
        <w:numId w:val="1"/>
      </w:numPr>
      <w:spacing w:before="240" w:after="0"/>
      <w:outlineLvl w:val="0"/>
    </w:pPr>
    <w:rPr>
      <w:rFonts w:asciiTheme="majorHAnsi" w:eastAsiaTheme="majorEastAsia" w:hAnsiTheme="majorHAnsi" w:cstheme="majorBidi"/>
      <w:color w:val="2F5496" w:themeColor="accent1" w:themeShade="BF"/>
      <w:sz w:val="40"/>
      <w:szCs w:val="32"/>
    </w:rPr>
  </w:style>
  <w:style w:type="paragraph" w:styleId="Heading2">
    <w:name w:val="heading 2"/>
    <w:basedOn w:val="Normal"/>
    <w:next w:val="Normal"/>
    <w:link w:val="Heading2Char"/>
    <w:uiPriority w:val="9"/>
    <w:unhideWhenUsed/>
    <w:qFormat/>
    <w:rsid w:val="0071207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1207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1207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71207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370"/>
    <w:rPr>
      <w:rFonts w:asciiTheme="majorHAnsi" w:eastAsiaTheme="majorEastAsia" w:hAnsiTheme="majorHAnsi" w:cstheme="majorBidi"/>
      <w:color w:val="2F5496" w:themeColor="accent1" w:themeShade="BF"/>
      <w:sz w:val="40"/>
      <w:szCs w:val="32"/>
    </w:rPr>
  </w:style>
  <w:style w:type="character" w:customStyle="1" w:styleId="Heading2Char">
    <w:name w:val="Heading 2 Char"/>
    <w:basedOn w:val="DefaultParagraphFont"/>
    <w:link w:val="Heading2"/>
    <w:uiPriority w:val="9"/>
    <w:rsid w:val="0071207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1207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71207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71207B"/>
    <w:rPr>
      <w:rFonts w:asciiTheme="majorHAnsi" w:eastAsiaTheme="majorEastAsia" w:hAnsiTheme="majorHAnsi" w:cstheme="majorBidi"/>
      <w:color w:val="2F5496" w:themeColor="accent1" w:themeShade="BF"/>
    </w:rPr>
  </w:style>
  <w:style w:type="paragraph" w:styleId="Caption">
    <w:name w:val="caption"/>
    <w:basedOn w:val="Normal"/>
    <w:next w:val="Normal"/>
    <w:uiPriority w:val="35"/>
    <w:unhideWhenUsed/>
    <w:qFormat/>
    <w:rsid w:val="0071207B"/>
    <w:pPr>
      <w:spacing w:after="200" w:line="240" w:lineRule="auto"/>
    </w:pPr>
    <w:rPr>
      <w:i/>
      <w:iCs/>
      <w:color w:val="44546A" w:themeColor="text2"/>
      <w:sz w:val="18"/>
      <w:szCs w:val="18"/>
    </w:rPr>
  </w:style>
  <w:style w:type="table" w:styleId="TableGrid">
    <w:name w:val="Table Grid"/>
    <w:basedOn w:val="TableNormal"/>
    <w:uiPriority w:val="39"/>
    <w:rsid w:val="007120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1207B"/>
    <w:pPr>
      <w:ind w:left="720"/>
      <w:contextualSpacing/>
    </w:pPr>
  </w:style>
  <w:style w:type="character" w:styleId="PlaceholderText">
    <w:name w:val="Placeholder Text"/>
    <w:basedOn w:val="DefaultParagraphFont"/>
    <w:uiPriority w:val="99"/>
    <w:semiHidden/>
    <w:rsid w:val="0071207B"/>
    <w:rPr>
      <w:color w:val="808080"/>
    </w:rPr>
  </w:style>
  <w:style w:type="character" w:styleId="CommentReference">
    <w:name w:val="annotation reference"/>
    <w:basedOn w:val="DefaultParagraphFont"/>
    <w:uiPriority w:val="99"/>
    <w:semiHidden/>
    <w:unhideWhenUsed/>
    <w:rsid w:val="0071207B"/>
    <w:rPr>
      <w:sz w:val="16"/>
      <w:szCs w:val="16"/>
    </w:rPr>
  </w:style>
  <w:style w:type="paragraph" w:styleId="CommentText">
    <w:name w:val="annotation text"/>
    <w:basedOn w:val="Normal"/>
    <w:link w:val="CommentTextChar"/>
    <w:uiPriority w:val="99"/>
    <w:semiHidden/>
    <w:unhideWhenUsed/>
    <w:rsid w:val="0071207B"/>
    <w:pPr>
      <w:spacing w:line="240" w:lineRule="auto"/>
    </w:pPr>
    <w:rPr>
      <w:sz w:val="20"/>
      <w:szCs w:val="20"/>
    </w:rPr>
  </w:style>
  <w:style w:type="character" w:customStyle="1" w:styleId="CommentTextChar">
    <w:name w:val="Comment Text Char"/>
    <w:basedOn w:val="DefaultParagraphFont"/>
    <w:link w:val="CommentText"/>
    <w:uiPriority w:val="99"/>
    <w:semiHidden/>
    <w:rsid w:val="0071207B"/>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1207B"/>
    <w:rPr>
      <w:b/>
      <w:bCs/>
    </w:rPr>
  </w:style>
  <w:style w:type="character" w:customStyle="1" w:styleId="CommentSubjectChar">
    <w:name w:val="Comment Subject Char"/>
    <w:basedOn w:val="CommentTextChar"/>
    <w:link w:val="CommentSubject"/>
    <w:uiPriority w:val="99"/>
    <w:semiHidden/>
    <w:rsid w:val="0071207B"/>
    <w:rPr>
      <w:rFonts w:ascii="Arial" w:hAnsi="Arial"/>
      <w:b/>
      <w:bCs/>
      <w:sz w:val="20"/>
      <w:szCs w:val="20"/>
    </w:rPr>
  </w:style>
  <w:style w:type="paragraph" w:styleId="BalloonText">
    <w:name w:val="Balloon Text"/>
    <w:basedOn w:val="Normal"/>
    <w:link w:val="BalloonTextChar"/>
    <w:uiPriority w:val="99"/>
    <w:semiHidden/>
    <w:unhideWhenUsed/>
    <w:rsid w:val="007120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207B"/>
    <w:rPr>
      <w:rFonts w:ascii="Segoe UI" w:hAnsi="Segoe UI" w:cs="Segoe UI"/>
      <w:sz w:val="18"/>
      <w:szCs w:val="18"/>
    </w:rPr>
  </w:style>
  <w:style w:type="character" w:styleId="SubtleEmphasis">
    <w:name w:val="Subtle Emphasis"/>
    <w:basedOn w:val="DefaultParagraphFont"/>
    <w:uiPriority w:val="19"/>
    <w:qFormat/>
    <w:rsid w:val="0071207B"/>
    <w:rPr>
      <w:i/>
      <w:iCs/>
      <w:color w:val="404040" w:themeColor="text1" w:themeTint="BF"/>
    </w:rPr>
  </w:style>
  <w:style w:type="numbering" w:customStyle="1" w:styleId="NoList1">
    <w:name w:val="No List1"/>
    <w:next w:val="NoList"/>
    <w:uiPriority w:val="99"/>
    <w:semiHidden/>
    <w:unhideWhenUsed/>
    <w:rsid w:val="0071207B"/>
  </w:style>
  <w:style w:type="table" w:customStyle="1" w:styleId="TableGrid1">
    <w:name w:val="Table Grid1"/>
    <w:basedOn w:val="TableNormal"/>
    <w:next w:val="TableGrid"/>
    <w:uiPriority w:val="39"/>
    <w:rsid w:val="007120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1207B"/>
    <w:pPr>
      <w:spacing w:after="0" w:line="240" w:lineRule="auto"/>
    </w:pPr>
  </w:style>
  <w:style w:type="numbering" w:customStyle="1" w:styleId="Style1">
    <w:name w:val="Style1"/>
    <w:uiPriority w:val="99"/>
    <w:rsid w:val="0071207B"/>
    <w:pPr>
      <w:numPr>
        <w:numId w:val="2"/>
      </w:numPr>
    </w:pPr>
  </w:style>
  <w:style w:type="paragraph" w:styleId="TableofFigures">
    <w:name w:val="table of figures"/>
    <w:basedOn w:val="Normal"/>
    <w:next w:val="Normal"/>
    <w:uiPriority w:val="99"/>
    <w:unhideWhenUsed/>
    <w:rsid w:val="0071207B"/>
    <w:pPr>
      <w:spacing w:after="0"/>
    </w:pPr>
  </w:style>
  <w:style w:type="character" w:styleId="Hyperlink">
    <w:name w:val="Hyperlink"/>
    <w:basedOn w:val="DefaultParagraphFont"/>
    <w:uiPriority w:val="99"/>
    <w:unhideWhenUsed/>
    <w:rsid w:val="0071207B"/>
    <w:rPr>
      <w:color w:val="0563C1" w:themeColor="hyperlink"/>
      <w:u w:val="single"/>
    </w:rPr>
  </w:style>
  <w:style w:type="paragraph" w:styleId="TOCHeading">
    <w:name w:val="TOC Heading"/>
    <w:basedOn w:val="Heading1"/>
    <w:next w:val="Normal"/>
    <w:uiPriority w:val="39"/>
    <w:unhideWhenUsed/>
    <w:qFormat/>
    <w:rsid w:val="0071207B"/>
    <w:pPr>
      <w:numPr>
        <w:numId w:val="0"/>
      </w:numPr>
      <w:spacing w:line="259" w:lineRule="auto"/>
      <w:outlineLvl w:val="9"/>
    </w:pPr>
    <w:rPr>
      <w:lang w:val="en-US"/>
    </w:rPr>
  </w:style>
  <w:style w:type="paragraph" w:styleId="TOC1">
    <w:name w:val="toc 1"/>
    <w:basedOn w:val="Normal"/>
    <w:next w:val="Normal"/>
    <w:autoRedefine/>
    <w:uiPriority w:val="39"/>
    <w:unhideWhenUsed/>
    <w:rsid w:val="0071207B"/>
    <w:pPr>
      <w:spacing w:after="100"/>
    </w:pPr>
  </w:style>
  <w:style w:type="paragraph" w:styleId="TOC2">
    <w:name w:val="toc 2"/>
    <w:basedOn w:val="Normal"/>
    <w:next w:val="Normal"/>
    <w:autoRedefine/>
    <w:uiPriority w:val="39"/>
    <w:unhideWhenUsed/>
    <w:rsid w:val="0071207B"/>
    <w:pPr>
      <w:spacing w:after="100"/>
      <w:ind w:left="220"/>
    </w:pPr>
  </w:style>
  <w:style w:type="paragraph" w:styleId="TOC3">
    <w:name w:val="toc 3"/>
    <w:basedOn w:val="Normal"/>
    <w:next w:val="Normal"/>
    <w:autoRedefine/>
    <w:uiPriority w:val="39"/>
    <w:unhideWhenUsed/>
    <w:rsid w:val="0071207B"/>
    <w:pPr>
      <w:spacing w:after="100"/>
      <w:ind w:left="440"/>
    </w:pPr>
  </w:style>
  <w:style w:type="paragraph" w:styleId="Header">
    <w:name w:val="header"/>
    <w:basedOn w:val="Normal"/>
    <w:link w:val="HeaderChar"/>
    <w:uiPriority w:val="99"/>
    <w:unhideWhenUsed/>
    <w:rsid w:val="007120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207B"/>
    <w:rPr>
      <w:rFonts w:ascii="Arial" w:hAnsi="Arial"/>
    </w:rPr>
  </w:style>
  <w:style w:type="paragraph" w:styleId="Footer">
    <w:name w:val="footer"/>
    <w:basedOn w:val="Normal"/>
    <w:link w:val="FooterChar"/>
    <w:uiPriority w:val="99"/>
    <w:unhideWhenUsed/>
    <w:rsid w:val="007120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207B"/>
    <w:rPr>
      <w:rFonts w:ascii="Arial" w:hAnsi="Arial"/>
    </w:rPr>
  </w:style>
  <w:style w:type="paragraph" w:styleId="Revision">
    <w:name w:val="Revision"/>
    <w:hidden/>
    <w:uiPriority w:val="99"/>
    <w:semiHidden/>
    <w:rsid w:val="0071207B"/>
    <w:pPr>
      <w:spacing w:after="0" w:line="240" w:lineRule="auto"/>
    </w:pPr>
    <w:rPr>
      <w:rFonts w:ascii="Arial" w:hAnsi="Arial"/>
    </w:rPr>
  </w:style>
  <w:style w:type="paragraph" w:styleId="NormalWeb">
    <w:name w:val="Normal (Web)"/>
    <w:basedOn w:val="Normal"/>
    <w:uiPriority w:val="99"/>
    <w:semiHidden/>
    <w:unhideWhenUsed/>
    <w:rsid w:val="005D49A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350AB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0AB5"/>
    <w:rPr>
      <w:rFonts w:asciiTheme="majorHAnsi" w:eastAsiaTheme="majorEastAsia" w:hAnsiTheme="majorHAnsi" w:cstheme="majorBidi"/>
      <w:spacing w:val="-10"/>
      <w:kern w:val="28"/>
      <w:sz w:val="56"/>
      <w:szCs w:val="56"/>
    </w:rPr>
  </w:style>
  <w:style w:type="character" w:styleId="LineNumber">
    <w:name w:val="line number"/>
    <w:basedOn w:val="DefaultParagraphFont"/>
    <w:uiPriority w:val="99"/>
    <w:semiHidden/>
    <w:unhideWhenUsed/>
    <w:rsid w:val="00BB6B9B"/>
  </w:style>
  <w:style w:type="table" w:customStyle="1" w:styleId="TableGrid2">
    <w:name w:val="Table Grid2"/>
    <w:basedOn w:val="TableNormal"/>
    <w:next w:val="TableGrid"/>
    <w:uiPriority w:val="39"/>
    <w:rsid w:val="000313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nseQuote">
    <w:name w:val="Intense Quote"/>
    <w:basedOn w:val="Normal"/>
    <w:next w:val="Normal"/>
    <w:link w:val="IntenseQuoteChar"/>
    <w:uiPriority w:val="30"/>
    <w:qFormat/>
    <w:rsid w:val="00031370"/>
    <w:pPr>
      <w:pBdr>
        <w:top w:val="single" w:sz="4" w:space="10" w:color="000000" w:themeColor="text1"/>
        <w:bottom w:val="single" w:sz="4" w:space="10" w:color="000000" w:themeColor="text1"/>
      </w:pBdr>
      <w:spacing w:before="360" w:after="360" w:line="259" w:lineRule="auto"/>
      <w:ind w:left="864" w:right="864"/>
      <w:jc w:val="center"/>
    </w:pPr>
    <w:rPr>
      <w:rFonts w:ascii="LM Roman 12" w:hAnsi="LM Roman 12"/>
      <w:i/>
      <w:iCs/>
      <w:color w:val="000000" w:themeColor="text1"/>
    </w:rPr>
  </w:style>
  <w:style w:type="character" w:customStyle="1" w:styleId="IntenseQuoteChar">
    <w:name w:val="Intense Quote Char"/>
    <w:basedOn w:val="DefaultParagraphFont"/>
    <w:link w:val="IntenseQuote"/>
    <w:uiPriority w:val="30"/>
    <w:rsid w:val="00031370"/>
    <w:rPr>
      <w:rFonts w:ascii="LM Roman 12" w:hAnsi="LM Roman 12"/>
      <w:i/>
      <w:iCs/>
      <w:color w:val="000000" w:themeColor="text1"/>
    </w:rPr>
  </w:style>
  <w:style w:type="paragraph" w:customStyle="1" w:styleId="paragraph">
    <w:name w:val="paragraph"/>
    <w:basedOn w:val="Normal"/>
    <w:rsid w:val="0003137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31370"/>
  </w:style>
  <w:style w:type="character" w:customStyle="1" w:styleId="eop">
    <w:name w:val="eop"/>
    <w:basedOn w:val="DefaultParagraphFont"/>
    <w:rsid w:val="00031370"/>
  </w:style>
  <w:style w:type="paragraph" w:styleId="TOC4">
    <w:name w:val="toc 4"/>
    <w:basedOn w:val="Normal"/>
    <w:next w:val="Normal"/>
    <w:autoRedefine/>
    <w:uiPriority w:val="39"/>
    <w:unhideWhenUsed/>
    <w:rsid w:val="00031370"/>
    <w:pPr>
      <w:spacing w:after="0" w:line="360" w:lineRule="auto"/>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031370"/>
    <w:pPr>
      <w:spacing w:after="0" w:line="360" w:lineRule="auto"/>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031370"/>
    <w:pPr>
      <w:spacing w:after="0" w:line="360" w:lineRule="auto"/>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031370"/>
    <w:pPr>
      <w:spacing w:after="0" w:line="360" w:lineRule="auto"/>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031370"/>
    <w:pPr>
      <w:spacing w:after="0" w:line="360" w:lineRule="auto"/>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031370"/>
    <w:pPr>
      <w:spacing w:after="0" w:line="360" w:lineRule="auto"/>
      <w:ind w:left="176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4510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iao.guo@imperial.ac.u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1006E14A0A7C42B9C330CC1B3E02C1" ma:contentTypeVersion="11" ma:contentTypeDescription="Create a new document." ma:contentTypeScope="" ma:versionID="9b5719fa7162173d024aa9982a34a2e6">
  <xsd:schema xmlns:xsd="http://www.w3.org/2001/XMLSchema" xmlns:xs="http://www.w3.org/2001/XMLSchema" xmlns:p="http://schemas.microsoft.com/office/2006/metadata/properties" xmlns:ns3="cc3ebedb-e2a2-4864-8e84-b570c864151d" xmlns:ns4="5e82f3fd-ae12-4dd5-a7f2-80250eb2cc44" targetNamespace="http://schemas.microsoft.com/office/2006/metadata/properties" ma:root="true" ma:fieldsID="9071ffae4fadd7d64881be75adf437d4" ns3:_="" ns4:_="">
    <xsd:import namespace="cc3ebedb-e2a2-4864-8e84-b570c864151d"/>
    <xsd:import namespace="5e82f3fd-ae12-4dd5-a7f2-80250eb2cc4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3ebedb-e2a2-4864-8e84-b570c86415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82f3fd-ae12-4dd5-a7f2-80250eb2cc4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C7390-3F1A-4B39-8DA3-5A0D8305D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3ebedb-e2a2-4864-8e84-b570c864151d"/>
    <ds:schemaRef ds:uri="5e82f3fd-ae12-4dd5-a7f2-80250eb2cc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B54088-E90E-4DF6-931C-BC6CC7A1603F}">
  <ds:schemaRefs>
    <ds:schemaRef ds:uri="http://schemas.microsoft.com/sharepoint/v3/contenttype/forms"/>
  </ds:schemaRefs>
</ds:datastoreItem>
</file>

<file path=customXml/itemProps3.xml><?xml version="1.0" encoding="utf-8"?>
<ds:datastoreItem xmlns:ds="http://schemas.openxmlformats.org/officeDocument/2006/customXml" ds:itemID="{AA7C4CDF-D8A3-493B-83E2-69597A9A74C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3BAA675-A1BF-4EFC-B1F9-968E1A08C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13</Pages>
  <Words>15717</Words>
  <Characters>89587</Characters>
  <Application>Microsoft Office Word</Application>
  <DocSecurity>0</DocSecurity>
  <Lines>746</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O'Dwyer, Edward J</dc:creator>
  <cp:keywords/>
  <dc:description/>
  <cp:lastModifiedBy>Guo, Miao</cp:lastModifiedBy>
  <cp:revision>13</cp:revision>
  <cp:lastPrinted>2019-08-01T10:46:00Z</cp:lastPrinted>
  <dcterms:created xsi:type="dcterms:W3CDTF">2019-12-30T19:59:00Z</dcterms:created>
  <dcterms:modified xsi:type="dcterms:W3CDTF">2020-04-24T22:57:00Z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http://www.zotero.org/styles/water-research</vt:lpwstr>
  </property>
  <property fmtid="{D5CDD505-2E9C-101B-9397-08002B2CF9AE}" pid="21" name="Mendeley Recent Style Name 9_1">
    <vt:lpwstr>Water Research</vt:lpwstr>
  </property>
  <property fmtid="{D5CDD505-2E9C-101B-9397-08002B2CF9AE}" pid="22" name="Mendeley Document_1">
    <vt:lpwstr>True</vt:lpwstr>
  </property>
  <property fmtid="{D5CDD505-2E9C-101B-9397-08002B2CF9AE}" pid="23" name="Mendeley Unique User Id_1">
    <vt:lpwstr>e5ca33b7-6a57-30d3-9f90-8e1da07c97b4</vt:lpwstr>
  </property>
  <property fmtid="{D5CDD505-2E9C-101B-9397-08002B2CF9AE}" pid="24" name="Mendeley Citation Style_1">
    <vt:lpwstr>http://www.zotero.org/styles/water-research</vt:lpwstr>
  </property>
  <property fmtid="{D5CDD505-2E9C-101B-9397-08002B2CF9AE}" pid="25" name="ContentTypeId">
    <vt:lpwstr>0x010100D31006E14A0A7C42B9C330CC1B3E02C1</vt:lpwstr>
  </property>
</Properties>
</file>