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EA2" w:rsidRPr="00596EA2" w:rsidRDefault="00596EA2" w:rsidP="00596EA2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Toc517871944"/>
      <w:bookmarkStart w:id="1" w:name="_Toc517876208"/>
      <w:bookmarkStart w:id="2" w:name="_Toc517879509"/>
      <w:bookmarkStart w:id="3" w:name="_Toc517965338"/>
      <w:bookmarkStart w:id="4" w:name="_GoBack"/>
      <w:bookmarkEnd w:id="0"/>
      <w:bookmarkEnd w:id="1"/>
      <w:bookmarkEnd w:id="2"/>
      <w:bookmarkEnd w:id="3"/>
      <w:bookmarkEnd w:id="4"/>
      <w:r w:rsidRPr="00596EA2">
        <w:rPr>
          <w:rFonts w:ascii="Times New Roman" w:hAnsi="Times New Roman" w:cs="Times New Roman"/>
          <w:b/>
          <w:sz w:val="20"/>
          <w:szCs w:val="20"/>
        </w:rPr>
        <w:t>Figure Legend</w:t>
      </w:r>
    </w:p>
    <w:p w:rsidR="00596EA2" w:rsidRPr="00596EA2" w:rsidRDefault="00596EA2" w:rsidP="00596EA2">
      <w:pPr>
        <w:rPr>
          <w:rFonts w:ascii="Times New Roman" w:hAnsi="Times New Roman" w:cs="Times New Roman"/>
          <w:b/>
          <w:sz w:val="20"/>
          <w:szCs w:val="20"/>
        </w:rPr>
      </w:pPr>
    </w:p>
    <w:p w:rsidR="00596EA2" w:rsidRPr="00596EA2" w:rsidRDefault="00596EA2" w:rsidP="00596EA2">
      <w:pPr>
        <w:rPr>
          <w:rFonts w:ascii="Times New Roman" w:hAnsi="Times New Roman" w:cs="Times New Roman"/>
          <w:sz w:val="20"/>
          <w:szCs w:val="20"/>
        </w:rPr>
      </w:pPr>
      <w:r w:rsidRPr="00596EA2">
        <w:rPr>
          <w:rFonts w:ascii="Times New Roman" w:hAnsi="Times New Roman" w:cs="Times New Roman"/>
          <w:b/>
          <w:sz w:val="20"/>
          <w:szCs w:val="20"/>
        </w:rPr>
        <w:t>Figure 1:</w:t>
      </w:r>
      <w:r w:rsidRPr="00596EA2">
        <w:rPr>
          <w:rFonts w:ascii="Times New Roman" w:hAnsi="Times New Roman" w:cs="Times New Roman"/>
          <w:sz w:val="20"/>
          <w:szCs w:val="20"/>
        </w:rPr>
        <w:t xml:space="preserve"> The ASCOT-Legacy study profile: patient population stratified by the treatment allocation</w:t>
      </w:r>
    </w:p>
    <w:p w:rsidR="00596EA2" w:rsidRPr="00596EA2" w:rsidRDefault="00596EA2" w:rsidP="00596EA2">
      <w:pPr>
        <w:rPr>
          <w:rFonts w:ascii="Times New Roman" w:hAnsi="Times New Roman" w:cs="Times New Roman"/>
          <w:sz w:val="20"/>
          <w:szCs w:val="20"/>
        </w:rPr>
      </w:pPr>
    </w:p>
    <w:p w:rsidR="00596EA2" w:rsidRPr="00596EA2" w:rsidRDefault="00596EA2" w:rsidP="00596EA2">
      <w:pPr>
        <w:rPr>
          <w:rFonts w:ascii="Times New Roman" w:hAnsi="Times New Roman" w:cs="Times New Roman"/>
          <w:sz w:val="20"/>
          <w:szCs w:val="20"/>
        </w:rPr>
      </w:pPr>
      <w:r w:rsidRPr="00596EA2">
        <w:rPr>
          <w:rFonts w:ascii="Times New Roman" w:hAnsi="Times New Roman" w:cs="Times New Roman"/>
          <w:b/>
          <w:sz w:val="20"/>
          <w:szCs w:val="20"/>
        </w:rPr>
        <w:t>Figure 2 (a-d):</w:t>
      </w:r>
      <w:r w:rsidRPr="00596EA2">
        <w:rPr>
          <w:rFonts w:ascii="Times New Roman" w:hAnsi="Times New Roman" w:cs="Times New Roman"/>
          <w:sz w:val="20"/>
          <w:szCs w:val="20"/>
        </w:rPr>
        <w:t xml:space="preserve"> The risk of cause-specific deaths among those allocated to the amlodipine based treatment as compared to those on the atenolol-based treatment in the </w:t>
      </w:r>
      <w:r w:rsidR="00492F94">
        <w:rPr>
          <w:rFonts w:ascii="Times New Roman" w:hAnsi="Times New Roman" w:cs="Times New Roman"/>
          <w:sz w:val="20"/>
          <w:szCs w:val="20"/>
        </w:rPr>
        <w:t>16 year follow up of the ASCOT-L</w:t>
      </w:r>
      <w:r w:rsidRPr="00596EA2">
        <w:rPr>
          <w:rFonts w:ascii="Times New Roman" w:hAnsi="Times New Roman" w:cs="Times New Roman"/>
          <w:sz w:val="20"/>
          <w:szCs w:val="20"/>
        </w:rPr>
        <w:t>egacy cohort assigned to the BPLA</w:t>
      </w:r>
    </w:p>
    <w:p w:rsidR="000A2E2A" w:rsidRDefault="000A2E2A" w:rsidP="004C76EC">
      <w:pPr>
        <w:rPr>
          <w:rFonts w:ascii="Times New Roman" w:hAnsi="Times New Roman" w:cs="Times New Roman"/>
          <w:b/>
          <w:sz w:val="20"/>
          <w:szCs w:val="20"/>
        </w:rPr>
      </w:pPr>
    </w:p>
    <w:p w:rsidR="004C76EC" w:rsidRPr="00596EA2" w:rsidRDefault="004C76EC" w:rsidP="004C76EC">
      <w:pPr>
        <w:rPr>
          <w:rFonts w:ascii="Times New Roman" w:hAnsi="Times New Roman" w:cs="Times New Roman"/>
          <w:sz w:val="20"/>
          <w:szCs w:val="20"/>
        </w:rPr>
      </w:pPr>
      <w:r w:rsidRPr="00596EA2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0A2E2A">
        <w:rPr>
          <w:rFonts w:ascii="Times New Roman" w:hAnsi="Times New Roman" w:cs="Times New Roman"/>
          <w:b/>
          <w:sz w:val="20"/>
          <w:szCs w:val="20"/>
        </w:rPr>
        <w:t>3</w:t>
      </w:r>
      <w:r w:rsidRPr="00596EA2">
        <w:rPr>
          <w:rFonts w:ascii="Times New Roman" w:hAnsi="Times New Roman" w:cs="Times New Roman"/>
          <w:b/>
          <w:sz w:val="20"/>
          <w:szCs w:val="20"/>
        </w:rPr>
        <w:t xml:space="preserve"> (a-d):</w:t>
      </w:r>
      <w:r w:rsidRPr="00596EA2">
        <w:rPr>
          <w:rFonts w:ascii="Times New Roman" w:hAnsi="Times New Roman" w:cs="Times New Roman"/>
          <w:sz w:val="20"/>
          <w:szCs w:val="20"/>
        </w:rPr>
        <w:t xml:space="preserve"> The risk of cause-specific deaths among those allocated to the atorvastatin  compared </w:t>
      </w:r>
      <w:r w:rsidR="00492F94">
        <w:rPr>
          <w:rFonts w:ascii="Times New Roman" w:hAnsi="Times New Roman" w:cs="Times New Roman"/>
          <w:sz w:val="20"/>
          <w:szCs w:val="20"/>
        </w:rPr>
        <w:t>with</w:t>
      </w:r>
      <w:r w:rsidRPr="00596EA2">
        <w:rPr>
          <w:rFonts w:ascii="Times New Roman" w:hAnsi="Times New Roman" w:cs="Times New Roman"/>
          <w:sz w:val="20"/>
          <w:szCs w:val="20"/>
        </w:rPr>
        <w:t xml:space="preserve"> placebo in the 16 year follow up of the ASCOT-</w:t>
      </w:r>
      <w:r w:rsidR="00492F94">
        <w:rPr>
          <w:rFonts w:ascii="Times New Roman" w:hAnsi="Times New Roman" w:cs="Times New Roman"/>
          <w:sz w:val="20"/>
          <w:szCs w:val="20"/>
        </w:rPr>
        <w:t>L</w:t>
      </w:r>
      <w:r w:rsidRPr="00596EA2">
        <w:rPr>
          <w:rFonts w:ascii="Times New Roman" w:hAnsi="Times New Roman" w:cs="Times New Roman"/>
          <w:sz w:val="20"/>
          <w:szCs w:val="20"/>
        </w:rPr>
        <w:t>egacy cohort assigned to LLA</w:t>
      </w:r>
    </w:p>
    <w:p w:rsidR="00596EA2" w:rsidRPr="00596EA2" w:rsidRDefault="00596EA2" w:rsidP="00596EA2">
      <w:pPr>
        <w:spacing w:after="160"/>
        <w:rPr>
          <w:rFonts w:ascii="Times New Roman" w:hAnsi="Times New Roman" w:cs="Times New Roman"/>
          <w:sz w:val="20"/>
          <w:szCs w:val="20"/>
        </w:rPr>
      </w:pPr>
    </w:p>
    <w:p w:rsidR="00B67815" w:rsidRPr="00550886" w:rsidRDefault="00B67815" w:rsidP="00B67815">
      <w:pPr>
        <w:spacing w:after="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Figure 4: </w:t>
      </w:r>
      <w:r w:rsidRPr="00550886">
        <w:rPr>
          <w:rFonts w:ascii="Times New Roman" w:hAnsi="Times New Roman" w:cs="Times New Roman"/>
          <w:sz w:val="20"/>
          <w:szCs w:val="20"/>
        </w:rPr>
        <w:t>The risk (hazard ratios) of the cause specific mortality amongst those assigned to two treatments in the BPLA and LLA of the ASCOT-</w:t>
      </w:r>
      <w:r w:rsidR="00492F94">
        <w:rPr>
          <w:rFonts w:ascii="Times New Roman" w:hAnsi="Times New Roman" w:cs="Times New Roman"/>
          <w:sz w:val="20"/>
          <w:szCs w:val="20"/>
        </w:rPr>
        <w:t>L</w:t>
      </w:r>
      <w:r w:rsidRPr="00550886">
        <w:rPr>
          <w:rFonts w:ascii="Times New Roman" w:hAnsi="Times New Roman" w:cs="Times New Roman"/>
          <w:sz w:val="20"/>
          <w:szCs w:val="20"/>
        </w:rPr>
        <w:t>egacy cohort</w:t>
      </w:r>
    </w:p>
    <w:p w:rsidR="00596EA2" w:rsidRDefault="00596EA2" w:rsidP="00596EA2">
      <w:pPr>
        <w:spacing w:after="160"/>
        <w:rPr>
          <w:rFonts w:ascii="Times New Roman" w:hAnsi="Times New Roman" w:cs="Times New Roman"/>
          <w:b/>
          <w:sz w:val="20"/>
          <w:szCs w:val="20"/>
        </w:rPr>
      </w:pPr>
    </w:p>
    <w:p w:rsidR="00596EA2" w:rsidRPr="00DD1B80" w:rsidRDefault="00596EA2" w:rsidP="00596EA2">
      <w:pPr>
        <w:spacing w:after="160"/>
        <w:rPr>
          <w:rFonts w:ascii="Times New Roman" w:hAnsi="Times New Roman" w:cs="Times New Roman"/>
          <w:b/>
          <w:sz w:val="20"/>
          <w:szCs w:val="20"/>
        </w:rPr>
      </w:pPr>
    </w:p>
    <w:p w:rsidR="00596EA2" w:rsidRDefault="00596EA2">
      <w:pPr>
        <w:spacing w:after="160"/>
        <w:rPr>
          <w:rFonts w:ascii="Times New Roman" w:hAnsi="Times New Roman" w:cs="Times New Roman"/>
          <w:b/>
          <w:sz w:val="20"/>
          <w:szCs w:val="20"/>
        </w:rPr>
      </w:pPr>
    </w:p>
    <w:p w:rsidR="00596EA2" w:rsidRPr="00596EA2" w:rsidRDefault="00596EA2">
      <w:pPr>
        <w:spacing w:after="160"/>
        <w:rPr>
          <w:rFonts w:ascii="Times New Roman" w:hAnsi="Times New Roman" w:cs="Times New Roman"/>
          <w:b/>
          <w:sz w:val="20"/>
          <w:szCs w:val="20"/>
        </w:rPr>
      </w:pPr>
      <w:r w:rsidRPr="00596EA2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3E5F71" w:rsidRPr="00DD1B80" w:rsidRDefault="003E5F71" w:rsidP="007D5B02">
      <w:pPr>
        <w:rPr>
          <w:rFonts w:ascii="Times New Roman" w:hAnsi="Times New Roman" w:cs="Times New Roman"/>
          <w:sz w:val="20"/>
          <w:szCs w:val="20"/>
        </w:rPr>
      </w:pPr>
    </w:p>
    <w:p w:rsidR="003E5F71" w:rsidRPr="00DD1B80" w:rsidRDefault="007D5B02" w:rsidP="007D5B02">
      <w:pPr>
        <w:rPr>
          <w:rFonts w:ascii="Times New Roman" w:hAnsi="Times New Roman" w:cs="Times New Roman"/>
          <w:b/>
          <w:sz w:val="20"/>
          <w:szCs w:val="20"/>
        </w:rPr>
      </w:pPr>
      <w:bookmarkStart w:id="5" w:name="_Toc517871945"/>
      <w:bookmarkStart w:id="6" w:name="_Toc517876209"/>
      <w:bookmarkStart w:id="7" w:name="_Toc517879510"/>
      <w:bookmarkStart w:id="8" w:name="_Toc517965339"/>
      <w:bookmarkEnd w:id="5"/>
      <w:bookmarkEnd w:id="6"/>
      <w:bookmarkEnd w:id="7"/>
      <w:bookmarkEnd w:id="8"/>
      <w:r w:rsidRPr="00DD1B80">
        <w:rPr>
          <w:rFonts w:ascii="Times New Roman" w:hAnsi="Times New Roman" w:cs="Times New Roman"/>
          <w:b/>
          <w:sz w:val="20"/>
          <w:szCs w:val="20"/>
        </w:rPr>
        <w:t>Figure 1:  The ASCOT-Legacy study profile: patient population stratified by the treatment allocation</w:t>
      </w:r>
    </w:p>
    <w:p w:rsidR="00585C45" w:rsidRPr="007D5B02" w:rsidRDefault="00585C45" w:rsidP="007D5B02"/>
    <w:p w:rsidR="00585C45" w:rsidRPr="007D5B02" w:rsidRDefault="00585C45" w:rsidP="007D5B02"/>
    <w:p w:rsidR="00585C45" w:rsidRPr="007D5B02" w:rsidRDefault="00384318" w:rsidP="007D5B02">
      <w:r>
        <w:rPr>
          <w:noProof/>
          <w:lang w:val="en-GB" w:eastAsia="en-GB"/>
        </w:rPr>
        <w:drawing>
          <wp:inline distT="0" distB="0" distL="0" distR="0" wp14:anchorId="4A7B1496" wp14:editId="449B836D">
            <wp:extent cx="5943600" cy="4428490"/>
            <wp:effectExtent l="0" t="0" r="0" b="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2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C45" w:rsidRDefault="00585C45" w:rsidP="007D5B02"/>
    <w:p w:rsidR="004C76EC" w:rsidRPr="007D5B02" w:rsidRDefault="004C76EC" w:rsidP="007D5B02">
      <w:r>
        <w:t>BPLA: blood pressure lowering arm ; LLA: lipid-lowering arm</w:t>
      </w:r>
    </w:p>
    <w:p w:rsidR="003972D3" w:rsidRDefault="003972D3">
      <w:pPr>
        <w:spacing w:after="160"/>
      </w:pPr>
      <w:r>
        <w:br w:type="page"/>
      </w:r>
    </w:p>
    <w:p w:rsidR="00EF141A" w:rsidRDefault="00EF141A" w:rsidP="00EF141A">
      <w:pPr>
        <w:rPr>
          <w:rFonts w:ascii="Times New Roman" w:hAnsi="Times New Roman" w:cs="Times New Roman"/>
        </w:rPr>
      </w:pPr>
      <w:r w:rsidRPr="00DD1B80">
        <w:rPr>
          <w:rFonts w:ascii="Times New Roman" w:hAnsi="Times New Roman" w:cs="Times New Roman"/>
          <w:b/>
          <w:sz w:val="20"/>
          <w:szCs w:val="20"/>
        </w:rPr>
        <w:lastRenderedPageBreak/>
        <w:t>Figure 2a: K</w:t>
      </w:r>
      <w:r w:rsidR="004C76EC">
        <w:rPr>
          <w:rFonts w:ascii="Times New Roman" w:hAnsi="Times New Roman" w:cs="Times New Roman"/>
          <w:b/>
          <w:sz w:val="20"/>
          <w:szCs w:val="20"/>
        </w:rPr>
        <w:t xml:space="preserve">aplan </w:t>
      </w:r>
      <w:r w:rsidRPr="00DD1B80">
        <w:rPr>
          <w:rFonts w:ascii="Times New Roman" w:hAnsi="Times New Roman" w:cs="Times New Roman"/>
          <w:b/>
          <w:sz w:val="20"/>
          <w:szCs w:val="20"/>
        </w:rPr>
        <w:t>M</w:t>
      </w:r>
      <w:r w:rsidR="004C76EC">
        <w:rPr>
          <w:rFonts w:ascii="Times New Roman" w:hAnsi="Times New Roman" w:cs="Times New Roman"/>
          <w:b/>
          <w:sz w:val="20"/>
          <w:szCs w:val="20"/>
        </w:rPr>
        <w:t>eirer</w:t>
      </w:r>
      <w:r w:rsidRPr="00DD1B80">
        <w:rPr>
          <w:rFonts w:ascii="Times New Roman" w:hAnsi="Times New Roman" w:cs="Times New Roman"/>
          <w:b/>
          <w:sz w:val="20"/>
          <w:szCs w:val="20"/>
        </w:rPr>
        <w:t xml:space="preserve"> plo</w:t>
      </w:r>
      <w:r w:rsidR="006B77E7">
        <w:rPr>
          <w:rFonts w:ascii="Times New Roman" w:hAnsi="Times New Roman" w:cs="Times New Roman"/>
          <w:b/>
          <w:sz w:val="20"/>
          <w:szCs w:val="20"/>
        </w:rPr>
        <w:t xml:space="preserve">ts for cumulative incidence of </w:t>
      </w:r>
      <w:r w:rsidRPr="00DD1B80">
        <w:rPr>
          <w:rFonts w:ascii="Times New Roman" w:hAnsi="Times New Roman" w:cs="Times New Roman"/>
          <w:b/>
          <w:sz w:val="20"/>
          <w:szCs w:val="20"/>
        </w:rPr>
        <w:t xml:space="preserve">all-cause mortality amongst those allocated to the </w:t>
      </w:r>
      <w:r w:rsidR="009525F0" w:rsidRPr="00DD1B80">
        <w:rPr>
          <w:rFonts w:ascii="Times New Roman" w:hAnsi="Times New Roman" w:cs="Times New Roman"/>
          <w:b/>
          <w:sz w:val="20"/>
          <w:szCs w:val="20"/>
        </w:rPr>
        <w:t>two</w:t>
      </w:r>
      <w:r w:rsidRPr="00DD1B80">
        <w:rPr>
          <w:rFonts w:ascii="Times New Roman" w:hAnsi="Times New Roman" w:cs="Times New Roman"/>
          <w:b/>
          <w:sz w:val="20"/>
          <w:szCs w:val="20"/>
        </w:rPr>
        <w:t xml:space="preserve"> BP-treatment groups</w:t>
      </w:r>
    </w:p>
    <w:p w:rsidR="00DD1B80" w:rsidRDefault="00DD1B80" w:rsidP="00EF141A">
      <w:pPr>
        <w:rPr>
          <w:rFonts w:ascii="Times New Roman" w:hAnsi="Times New Roman" w:cs="Times New Roman"/>
        </w:rPr>
      </w:pPr>
    </w:p>
    <w:p w:rsidR="00DD1B80" w:rsidRDefault="00DD1B80" w:rsidP="00EF141A">
      <w:pPr>
        <w:rPr>
          <w:rFonts w:ascii="Times New Roman" w:hAnsi="Times New Roman" w:cs="Times New Roman"/>
        </w:rPr>
      </w:pPr>
    </w:p>
    <w:p w:rsidR="00DD1B80" w:rsidRDefault="00C85544" w:rsidP="00EF141A">
      <w:pPr>
        <w:rPr>
          <w:rFonts w:ascii="Times New Roman" w:hAnsi="Times New Roman" w:cs="Times New Roman"/>
        </w:rPr>
      </w:pPr>
      <w:r>
        <w:rPr>
          <w:noProof/>
          <w:lang w:val="en-GB" w:eastAsia="en-GB"/>
        </w:rPr>
        <w:drawing>
          <wp:inline distT="0" distB="0" distL="0" distR="0" wp14:anchorId="6220C59D" wp14:editId="1E49FEC4">
            <wp:extent cx="5774657" cy="4201064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91312" cy="421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B80" w:rsidRPr="00DD1B80" w:rsidRDefault="00DD1B80" w:rsidP="00EF141A">
      <w:pPr>
        <w:rPr>
          <w:rFonts w:ascii="Times New Roman" w:hAnsi="Times New Roman" w:cs="Times New Roman"/>
        </w:rPr>
      </w:pPr>
    </w:p>
    <w:p w:rsidR="000E1EB4" w:rsidRPr="00DD1B80" w:rsidRDefault="000E1EB4" w:rsidP="00E5759B">
      <w:pPr>
        <w:rPr>
          <w:rFonts w:ascii="Times New Roman" w:hAnsi="Times New Roman" w:cs="Times New Roman"/>
        </w:rPr>
      </w:pPr>
    </w:p>
    <w:p w:rsidR="004C76EC" w:rsidRDefault="004C76EC">
      <w:pPr>
        <w:spacing w:after="160"/>
        <w:rPr>
          <w:rFonts w:ascii="Times New Roman" w:hAnsi="Times New Roman" w:cs="Times New Roman"/>
        </w:rPr>
      </w:pPr>
    </w:p>
    <w:p w:rsidR="004C76EC" w:rsidRDefault="004C76EC">
      <w:pPr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HR: hazard ratio</w:t>
      </w:r>
    </w:p>
    <w:p w:rsidR="00DD1B80" w:rsidRDefault="00DD1B80">
      <w:pPr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F141A" w:rsidRDefault="00EF141A" w:rsidP="00EF141A">
      <w:pPr>
        <w:rPr>
          <w:rFonts w:ascii="Times New Roman" w:hAnsi="Times New Roman" w:cs="Times New Roman"/>
          <w:b/>
          <w:sz w:val="20"/>
          <w:szCs w:val="20"/>
        </w:rPr>
      </w:pPr>
      <w:r w:rsidRPr="00DD1B80">
        <w:rPr>
          <w:rFonts w:ascii="Times New Roman" w:hAnsi="Times New Roman" w:cs="Times New Roman"/>
          <w:b/>
          <w:sz w:val="20"/>
          <w:szCs w:val="20"/>
        </w:rPr>
        <w:lastRenderedPageBreak/>
        <w:t xml:space="preserve">Figure 2b: KM plots for the cumulative incidence of the cardiovascular mortality amongst those allocated to the </w:t>
      </w:r>
      <w:r w:rsidR="009525F0" w:rsidRPr="00DD1B80">
        <w:rPr>
          <w:rFonts w:ascii="Times New Roman" w:hAnsi="Times New Roman" w:cs="Times New Roman"/>
          <w:b/>
          <w:sz w:val="20"/>
          <w:szCs w:val="20"/>
        </w:rPr>
        <w:t>two</w:t>
      </w:r>
      <w:r w:rsidR="00DD1B80">
        <w:rPr>
          <w:rFonts w:ascii="Times New Roman" w:hAnsi="Times New Roman" w:cs="Times New Roman"/>
          <w:b/>
          <w:sz w:val="20"/>
          <w:szCs w:val="20"/>
        </w:rPr>
        <w:t xml:space="preserve"> BP-treatment groups</w:t>
      </w:r>
    </w:p>
    <w:p w:rsidR="00596EA2" w:rsidRPr="00DD1B80" w:rsidRDefault="00596EA2" w:rsidP="00EF141A">
      <w:pPr>
        <w:rPr>
          <w:rFonts w:ascii="Times New Roman" w:hAnsi="Times New Roman" w:cs="Times New Roman"/>
          <w:b/>
          <w:sz w:val="20"/>
          <w:szCs w:val="20"/>
        </w:rPr>
      </w:pPr>
    </w:p>
    <w:p w:rsidR="00EF141A" w:rsidRDefault="00EF141A" w:rsidP="00E5759B"/>
    <w:p w:rsidR="00EF141A" w:rsidRDefault="00C85544" w:rsidP="00E5759B">
      <w:r>
        <w:rPr>
          <w:noProof/>
          <w:lang w:val="en-GB" w:eastAsia="en-GB"/>
        </w:rPr>
        <w:drawing>
          <wp:inline distT="0" distB="0" distL="0" distR="0" wp14:anchorId="662D538D" wp14:editId="73EB4786">
            <wp:extent cx="6271404" cy="456244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89342" cy="457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41A" w:rsidRDefault="00EF141A" w:rsidP="00E5759B"/>
    <w:p w:rsidR="004C76EC" w:rsidRDefault="004C76EC" w:rsidP="00E5759B">
      <w:r>
        <w:t>CV: cardiovascular mortality</w:t>
      </w:r>
    </w:p>
    <w:p w:rsidR="00DD1B80" w:rsidRDefault="00DD1B80">
      <w:pPr>
        <w:spacing w:after="160"/>
      </w:pPr>
      <w:r>
        <w:br w:type="page"/>
      </w:r>
    </w:p>
    <w:p w:rsidR="009525F0" w:rsidRDefault="009525F0" w:rsidP="009525F0">
      <w:pPr>
        <w:rPr>
          <w:rFonts w:ascii="Times New Roman" w:hAnsi="Times New Roman" w:cs="Times New Roman"/>
          <w:b/>
          <w:sz w:val="20"/>
          <w:szCs w:val="20"/>
        </w:rPr>
      </w:pPr>
      <w:r w:rsidRPr="00DD1B80">
        <w:rPr>
          <w:rFonts w:ascii="Times New Roman" w:hAnsi="Times New Roman" w:cs="Times New Roman"/>
          <w:b/>
          <w:sz w:val="20"/>
          <w:szCs w:val="20"/>
        </w:rPr>
        <w:t>Figure 2c: KM plots for the cumulative incidence of the coronary heart disease mortality amongst those allocated</w:t>
      </w:r>
      <w:r w:rsidR="00DD1B80">
        <w:rPr>
          <w:rFonts w:ascii="Times New Roman" w:hAnsi="Times New Roman" w:cs="Times New Roman"/>
          <w:b/>
          <w:sz w:val="20"/>
          <w:szCs w:val="20"/>
        </w:rPr>
        <w:t xml:space="preserve"> to the two BP-treatment groups</w:t>
      </w:r>
    </w:p>
    <w:p w:rsidR="00596EA2" w:rsidRPr="00DD1B80" w:rsidRDefault="00596EA2" w:rsidP="009525F0">
      <w:pPr>
        <w:rPr>
          <w:rFonts w:ascii="Times New Roman" w:hAnsi="Times New Roman" w:cs="Times New Roman"/>
          <w:b/>
          <w:sz w:val="20"/>
          <w:szCs w:val="20"/>
        </w:rPr>
      </w:pPr>
    </w:p>
    <w:p w:rsidR="009525F0" w:rsidRDefault="00C85544" w:rsidP="00E5759B">
      <w:r>
        <w:rPr>
          <w:noProof/>
          <w:lang w:val="en-GB" w:eastAsia="en-GB"/>
        </w:rPr>
        <w:drawing>
          <wp:inline distT="0" distB="0" distL="0" distR="0" wp14:anchorId="2F272C16" wp14:editId="0CD3121A">
            <wp:extent cx="5976237" cy="4347713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01114" cy="4365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5F0" w:rsidRDefault="009525F0" w:rsidP="00E5759B"/>
    <w:p w:rsidR="009525F0" w:rsidRDefault="004C76EC" w:rsidP="00E5759B">
      <w:r>
        <w:t>CHD: coronary heart disease -related mortality</w:t>
      </w:r>
    </w:p>
    <w:p w:rsidR="00DD1B80" w:rsidRDefault="00DD1B80">
      <w:pPr>
        <w:spacing w:after="160"/>
      </w:pPr>
      <w:r>
        <w:br w:type="page"/>
      </w:r>
    </w:p>
    <w:p w:rsidR="009525F0" w:rsidRDefault="009525F0" w:rsidP="00E5759B"/>
    <w:p w:rsidR="009525F0" w:rsidRDefault="009525F0" w:rsidP="009525F0">
      <w:pPr>
        <w:rPr>
          <w:rFonts w:ascii="Times New Roman" w:hAnsi="Times New Roman" w:cs="Times New Roman"/>
          <w:b/>
          <w:sz w:val="20"/>
          <w:szCs w:val="20"/>
        </w:rPr>
      </w:pPr>
      <w:r w:rsidRPr="00DD1B80">
        <w:rPr>
          <w:rFonts w:ascii="Times New Roman" w:hAnsi="Times New Roman" w:cs="Times New Roman"/>
          <w:b/>
          <w:sz w:val="20"/>
          <w:szCs w:val="20"/>
        </w:rPr>
        <w:t xml:space="preserve">Figure 2d: KM plots for the cumulative incidence of the stroke mortality amongst those allocated to the two </w:t>
      </w:r>
      <w:r w:rsidR="00DD1B80">
        <w:rPr>
          <w:rFonts w:ascii="Times New Roman" w:hAnsi="Times New Roman" w:cs="Times New Roman"/>
          <w:b/>
          <w:sz w:val="20"/>
          <w:szCs w:val="20"/>
        </w:rPr>
        <w:t>BP-treatment groups</w:t>
      </w:r>
    </w:p>
    <w:p w:rsidR="00596EA2" w:rsidRPr="00DD1B80" w:rsidRDefault="00596EA2" w:rsidP="009525F0">
      <w:pPr>
        <w:rPr>
          <w:rFonts w:ascii="Times New Roman" w:hAnsi="Times New Roman" w:cs="Times New Roman"/>
          <w:b/>
          <w:sz w:val="20"/>
          <w:szCs w:val="20"/>
        </w:rPr>
      </w:pPr>
    </w:p>
    <w:p w:rsidR="009525F0" w:rsidRDefault="009525F0" w:rsidP="00E5759B"/>
    <w:p w:rsidR="009525F0" w:rsidRDefault="00B0387E" w:rsidP="00E5759B">
      <w:r>
        <w:rPr>
          <w:noProof/>
          <w:lang w:val="en-GB" w:eastAsia="en-GB"/>
        </w:rPr>
        <w:drawing>
          <wp:inline distT="0" distB="0" distL="0" distR="0" wp14:anchorId="2AF4CB16" wp14:editId="0C1FDC5E">
            <wp:extent cx="6047383" cy="4399472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56624" cy="440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5F0" w:rsidRDefault="009525F0" w:rsidP="00E5759B"/>
    <w:p w:rsidR="009525F0" w:rsidRDefault="009525F0" w:rsidP="00E5759B"/>
    <w:p w:rsidR="000775BB" w:rsidRPr="009525F0" w:rsidRDefault="009525F0" w:rsidP="004C76EC">
      <w:pPr>
        <w:spacing w:after="160"/>
        <w:rPr>
          <w:b/>
        </w:rPr>
      </w:pPr>
      <w:r>
        <w:br w:type="page"/>
      </w:r>
      <w:bookmarkStart w:id="9" w:name="_Toc517965364"/>
    </w:p>
    <w:p w:rsidR="004C76EC" w:rsidRDefault="004C76EC" w:rsidP="004C76EC">
      <w:pPr>
        <w:spacing w:after="160"/>
      </w:pPr>
    </w:p>
    <w:p w:rsidR="004C76EC" w:rsidRPr="00DD1B80" w:rsidRDefault="004C76EC" w:rsidP="004C76EC">
      <w:pPr>
        <w:rPr>
          <w:rFonts w:ascii="Times New Roman" w:hAnsi="Times New Roman" w:cs="Times New Roman"/>
          <w:b/>
          <w:sz w:val="20"/>
          <w:szCs w:val="20"/>
        </w:rPr>
      </w:pPr>
      <w:r w:rsidRPr="00DD1B80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2A2809">
        <w:rPr>
          <w:rFonts w:ascii="Times New Roman" w:hAnsi="Times New Roman" w:cs="Times New Roman"/>
          <w:b/>
          <w:sz w:val="20"/>
          <w:szCs w:val="20"/>
        </w:rPr>
        <w:t>3</w:t>
      </w:r>
      <w:r w:rsidRPr="00DD1B80">
        <w:rPr>
          <w:rFonts w:ascii="Times New Roman" w:hAnsi="Times New Roman" w:cs="Times New Roman"/>
          <w:b/>
          <w:sz w:val="20"/>
          <w:szCs w:val="20"/>
        </w:rPr>
        <w:t>a: KM plots for cumulative incidence of the all-cause mortality amongst those allocated to the atorvastatin or a placebo</w:t>
      </w:r>
    </w:p>
    <w:p w:rsidR="004C76EC" w:rsidRDefault="004C76EC" w:rsidP="004C76EC">
      <w:pPr>
        <w:rPr>
          <w:b/>
          <w:sz w:val="20"/>
          <w:szCs w:val="20"/>
        </w:rPr>
      </w:pPr>
      <w:r w:rsidRPr="00DD1B80">
        <w:rPr>
          <w:b/>
          <w:sz w:val="20"/>
          <w:szCs w:val="20"/>
        </w:rPr>
        <w:t xml:space="preserve"> </w:t>
      </w:r>
    </w:p>
    <w:p w:rsidR="004C76EC" w:rsidRPr="00DD1B80" w:rsidRDefault="002A2809" w:rsidP="004C76EC">
      <w:pPr>
        <w:rPr>
          <w:b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 wp14:anchorId="568C6561" wp14:editId="631A1F77">
            <wp:extent cx="5822830" cy="4236110"/>
            <wp:effectExtent l="0" t="0" r="698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32078" cy="424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6EC" w:rsidRDefault="004C76EC" w:rsidP="004C76EC"/>
    <w:p w:rsidR="004C76EC" w:rsidRDefault="004C76EC" w:rsidP="004C76EC"/>
    <w:p w:rsidR="004C76EC" w:rsidRDefault="004C76EC" w:rsidP="004C76EC">
      <w:pPr>
        <w:spacing w:after="160"/>
      </w:pPr>
      <w:r>
        <w:br w:type="page"/>
      </w:r>
    </w:p>
    <w:p w:rsidR="004C76EC" w:rsidRDefault="004C76EC" w:rsidP="004C76EC"/>
    <w:p w:rsidR="004C76EC" w:rsidRDefault="004C76EC" w:rsidP="004C76EC">
      <w:pPr>
        <w:rPr>
          <w:rFonts w:ascii="Times New Roman" w:hAnsi="Times New Roman" w:cs="Times New Roman"/>
          <w:b/>
          <w:sz w:val="20"/>
          <w:szCs w:val="20"/>
        </w:rPr>
      </w:pPr>
      <w:r w:rsidRPr="00DD1B80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2A2809">
        <w:rPr>
          <w:rFonts w:ascii="Times New Roman" w:hAnsi="Times New Roman" w:cs="Times New Roman"/>
          <w:b/>
          <w:sz w:val="20"/>
          <w:szCs w:val="20"/>
        </w:rPr>
        <w:t>3</w:t>
      </w:r>
      <w:r w:rsidRPr="00DD1B80">
        <w:rPr>
          <w:rFonts w:ascii="Times New Roman" w:hAnsi="Times New Roman" w:cs="Times New Roman"/>
          <w:b/>
          <w:sz w:val="20"/>
          <w:szCs w:val="20"/>
        </w:rPr>
        <w:t>b: KM plots for the cumulative incidence of the cardiovascular mortality amongst those allocated t</w:t>
      </w:r>
      <w:r>
        <w:rPr>
          <w:rFonts w:ascii="Times New Roman" w:hAnsi="Times New Roman" w:cs="Times New Roman"/>
          <w:b/>
          <w:sz w:val="20"/>
          <w:szCs w:val="20"/>
        </w:rPr>
        <w:t>o the atorvastatin or a placebo</w:t>
      </w:r>
    </w:p>
    <w:p w:rsidR="004C76EC" w:rsidRPr="00DD1B80" w:rsidRDefault="004C76EC" w:rsidP="004C76EC">
      <w:pPr>
        <w:rPr>
          <w:rFonts w:ascii="Times New Roman" w:hAnsi="Times New Roman" w:cs="Times New Roman"/>
          <w:b/>
          <w:sz w:val="20"/>
          <w:szCs w:val="20"/>
        </w:rPr>
      </w:pPr>
    </w:p>
    <w:p w:rsidR="004C76EC" w:rsidRDefault="004C76EC" w:rsidP="004C76EC"/>
    <w:p w:rsidR="004C76EC" w:rsidRDefault="002A2809" w:rsidP="004C76EC">
      <w:r>
        <w:rPr>
          <w:noProof/>
          <w:lang w:val="en-GB" w:eastAsia="en-GB"/>
        </w:rPr>
        <w:drawing>
          <wp:inline distT="0" distB="0" distL="0" distR="0" wp14:anchorId="5D3582BA" wp14:editId="68E4F940">
            <wp:extent cx="6098875" cy="4436932"/>
            <wp:effectExtent l="0" t="0" r="0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08421" cy="4443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6EC" w:rsidRDefault="004C76EC" w:rsidP="004C76EC"/>
    <w:p w:rsidR="004C76EC" w:rsidRDefault="004C76EC" w:rsidP="004C76EC">
      <w:pPr>
        <w:spacing w:after="160"/>
      </w:pPr>
      <w:r>
        <w:br w:type="page"/>
      </w:r>
    </w:p>
    <w:p w:rsidR="004C76EC" w:rsidRDefault="004C76EC" w:rsidP="004C76EC"/>
    <w:p w:rsidR="004C76EC" w:rsidRDefault="004C76EC" w:rsidP="004C76EC">
      <w:pPr>
        <w:rPr>
          <w:rFonts w:ascii="Times New Roman" w:hAnsi="Times New Roman" w:cs="Times New Roman"/>
          <w:b/>
          <w:sz w:val="20"/>
          <w:szCs w:val="20"/>
        </w:rPr>
      </w:pPr>
      <w:r w:rsidRPr="00DD1B80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2A2809">
        <w:rPr>
          <w:rFonts w:ascii="Times New Roman" w:hAnsi="Times New Roman" w:cs="Times New Roman"/>
          <w:b/>
          <w:sz w:val="20"/>
          <w:szCs w:val="20"/>
        </w:rPr>
        <w:t>3</w:t>
      </w:r>
      <w:r w:rsidRPr="00DD1B80">
        <w:rPr>
          <w:rFonts w:ascii="Times New Roman" w:hAnsi="Times New Roman" w:cs="Times New Roman"/>
          <w:b/>
          <w:sz w:val="20"/>
          <w:szCs w:val="20"/>
        </w:rPr>
        <w:t>c: KM plots for the cumulative incidence of the coronary heart disease mortality amongst those allocated to the atorvastatin or a placebo</w:t>
      </w:r>
    </w:p>
    <w:p w:rsidR="004C76EC" w:rsidRDefault="004C76EC" w:rsidP="004C76EC">
      <w:pPr>
        <w:rPr>
          <w:rFonts w:ascii="Times New Roman" w:hAnsi="Times New Roman" w:cs="Times New Roman"/>
          <w:b/>
          <w:sz w:val="20"/>
          <w:szCs w:val="20"/>
        </w:rPr>
      </w:pPr>
    </w:p>
    <w:p w:rsidR="004C76EC" w:rsidRDefault="004C76EC" w:rsidP="004C76EC">
      <w:pPr>
        <w:rPr>
          <w:rFonts w:ascii="Times New Roman" w:hAnsi="Times New Roman" w:cs="Times New Roman"/>
          <w:b/>
          <w:sz w:val="20"/>
          <w:szCs w:val="20"/>
        </w:rPr>
      </w:pPr>
    </w:p>
    <w:p w:rsidR="002A2809" w:rsidRPr="00DD1B80" w:rsidRDefault="002A2809" w:rsidP="004C76EC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 wp14:anchorId="06B4DC6E" wp14:editId="6379246D">
            <wp:extent cx="6308250" cy="4589253"/>
            <wp:effectExtent l="0" t="0" r="0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18245" cy="459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6EC" w:rsidRDefault="004C76EC" w:rsidP="004C76EC"/>
    <w:p w:rsidR="004C76EC" w:rsidRDefault="004C76EC" w:rsidP="004C76EC"/>
    <w:p w:rsidR="004C76EC" w:rsidRDefault="004C76EC" w:rsidP="004C76EC">
      <w:pPr>
        <w:spacing w:after="160"/>
      </w:pPr>
      <w:r>
        <w:br w:type="page"/>
      </w:r>
    </w:p>
    <w:p w:rsidR="004C76EC" w:rsidRDefault="004C76EC" w:rsidP="004C76EC">
      <w:pPr>
        <w:rPr>
          <w:rFonts w:ascii="Times New Roman" w:hAnsi="Times New Roman" w:cs="Times New Roman"/>
          <w:b/>
          <w:sz w:val="20"/>
          <w:szCs w:val="20"/>
        </w:rPr>
      </w:pPr>
      <w:r w:rsidRPr="00DD1B80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2A2809">
        <w:rPr>
          <w:rFonts w:ascii="Times New Roman" w:hAnsi="Times New Roman" w:cs="Times New Roman"/>
          <w:b/>
          <w:sz w:val="20"/>
          <w:szCs w:val="20"/>
        </w:rPr>
        <w:t>3</w:t>
      </w:r>
      <w:r w:rsidRPr="00DD1B80">
        <w:rPr>
          <w:rFonts w:ascii="Times New Roman" w:hAnsi="Times New Roman" w:cs="Times New Roman"/>
          <w:b/>
          <w:sz w:val="20"/>
          <w:szCs w:val="20"/>
        </w:rPr>
        <w:t>d: KM plots for the cumulative incidence of the stroke mortality amongst those allocated to the atorvastatin or a placebo</w:t>
      </w:r>
    </w:p>
    <w:p w:rsidR="004C76EC" w:rsidRPr="00DD1B80" w:rsidRDefault="004C76EC" w:rsidP="004C76EC">
      <w:pPr>
        <w:rPr>
          <w:rFonts w:ascii="Times New Roman" w:hAnsi="Times New Roman" w:cs="Times New Roman"/>
          <w:b/>
          <w:sz w:val="20"/>
          <w:szCs w:val="20"/>
        </w:rPr>
      </w:pPr>
    </w:p>
    <w:p w:rsidR="004C76EC" w:rsidRDefault="002A2809" w:rsidP="004C76EC">
      <w:r>
        <w:rPr>
          <w:noProof/>
          <w:lang w:val="en-GB" w:eastAsia="en-GB"/>
        </w:rPr>
        <w:drawing>
          <wp:inline distT="0" distB="0" distL="0" distR="0" wp14:anchorId="39B00C5E" wp14:editId="31D73D9A">
            <wp:extent cx="5969479" cy="4342797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80362" cy="4350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815" w:rsidRPr="009525F0" w:rsidRDefault="00B67815" w:rsidP="004C76EC">
      <w:pPr>
        <w:spacing w:after="160"/>
        <w:rPr>
          <w:b/>
        </w:rPr>
      </w:pPr>
    </w:p>
    <w:p w:rsidR="004C76EC" w:rsidRDefault="004C76EC" w:rsidP="000775BB"/>
    <w:bookmarkEnd w:id="9"/>
    <w:p w:rsidR="00B67815" w:rsidRDefault="00B67815" w:rsidP="000775BB">
      <w:pPr>
        <w:sectPr w:rsidR="00B67815" w:rsidSect="00B67815">
          <w:pgSz w:w="12240" w:h="15840"/>
          <w:pgMar w:top="1440" w:right="1440" w:bottom="1440" w:left="1440" w:header="720" w:footer="720" w:gutter="0"/>
          <w:cols w:space="720"/>
          <w:titlePg/>
          <w:docGrid w:linePitch="299"/>
        </w:sectPr>
      </w:pPr>
    </w:p>
    <w:p w:rsidR="004C76EC" w:rsidRDefault="004C76EC" w:rsidP="000775BB"/>
    <w:p w:rsidR="00B67815" w:rsidRDefault="008A2B9B" w:rsidP="00B67815">
      <w:pPr>
        <w:spacing w:after="16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Figure 4</w:t>
      </w:r>
      <w:r w:rsidR="00B67815">
        <w:rPr>
          <w:rFonts w:ascii="Times New Roman" w:hAnsi="Times New Roman" w:cs="Times New Roman"/>
          <w:b/>
          <w:sz w:val="20"/>
          <w:szCs w:val="20"/>
        </w:rPr>
        <w:t xml:space="preserve"> The risk (hazard ratios) of the cause specific mortality amongst those assigned to </w:t>
      </w:r>
      <w:r>
        <w:rPr>
          <w:rFonts w:ascii="Times New Roman" w:hAnsi="Times New Roman" w:cs="Times New Roman"/>
          <w:b/>
          <w:sz w:val="20"/>
          <w:szCs w:val="20"/>
        </w:rPr>
        <w:t xml:space="preserve">the two treatment groups in the BPLA and LLA of the </w:t>
      </w:r>
      <w:r w:rsidR="00B6781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B67815" w:rsidRDefault="00B67815" w:rsidP="00B67815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6"/>
        <w:gridCol w:w="6384"/>
      </w:tblGrid>
      <w:tr w:rsidR="00386CAE" w:rsidTr="004031F3">
        <w:tc>
          <w:tcPr>
            <w:tcW w:w="6475" w:type="dxa"/>
          </w:tcPr>
          <w:p w:rsidR="00B67815" w:rsidRDefault="008A2B9B" w:rsidP="004031F3">
            <w:r>
              <w:rPr>
                <w:noProof/>
                <w:lang w:val="en-GB" w:eastAsia="en-GB"/>
              </w:rPr>
              <w:drawing>
                <wp:inline distT="0" distB="0" distL="0" distR="0" wp14:anchorId="52D3C593" wp14:editId="214F74A4">
                  <wp:extent cx="4169410" cy="4169410"/>
                  <wp:effectExtent l="0" t="0" r="2540" b="2540"/>
                  <wp:docPr id="5" name="Picture 5" descr="forest_plot_adjusted_b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orest_plot_adjusted_bp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9410" cy="416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:rsidR="00B67815" w:rsidRDefault="008A2B9B" w:rsidP="004031F3">
            <w:r>
              <w:rPr>
                <w:noProof/>
                <w:lang w:val="en-GB" w:eastAsia="en-GB"/>
              </w:rPr>
              <w:drawing>
                <wp:inline distT="0" distB="0" distL="0" distR="0" wp14:anchorId="3DB127B6" wp14:editId="403E8ACE">
                  <wp:extent cx="4045789" cy="4169410"/>
                  <wp:effectExtent l="0" t="0" r="0" b="2540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180" cy="4188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815" w:rsidRPr="008A2B9B" w:rsidRDefault="008A2B9B" w:rsidP="00B67815">
      <w:pPr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Pr="008A2B9B">
        <w:rPr>
          <w:rFonts w:ascii="Times New Roman" w:hAnsi="Times New Roman" w:cs="Times New Roman"/>
          <w:b/>
          <w:sz w:val="28"/>
          <w:szCs w:val="20"/>
        </w:rPr>
        <w:t>BPLA</w:t>
      </w:r>
      <w:r w:rsidRPr="008A2B9B">
        <w:rPr>
          <w:rFonts w:ascii="Times New Roman" w:hAnsi="Times New Roman" w:cs="Times New Roman"/>
          <w:b/>
          <w:sz w:val="28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Pr="008A2B9B">
        <w:rPr>
          <w:rFonts w:ascii="Times New Roman" w:hAnsi="Times New Roman" w:cs="Times New Roman"/>
          <w:b/>
          <w:sz w:val="28"/>
          <w:szCs w:val="20"/>
        </w:rPr>
        <w:t>LLA</w:t>
      </w:r>
    </w:p>
    <w:p w:rsidR="00B67815" w:rsidRDefault="00B67815" w:rsidP="00B6781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B67815" w:rsidRDefault="00B67815" w:rsidP="000775BB"/>
    <w:p w:rsidR="00B67815" w:rsidRDefault="00B67815" w:rsidP="000775BB"/>
    <w:p w:rsidR="00B67815" w:rsidRDefault="00B67815" w:rsidP="000775BB"/>
    <w:p w:rsidR="00B67815" w:rsidRDefault="00B67815" w:rsidP="000775BB"/>
    <w:p w:rsidR="00B67815" w:rsidRDefault="00B67815" w:rsidP="000775BB"/>
    <w:p w:rsidR="00B67815" w:rsidRDefault="00B67815" w:rsidP="000775BB"/>
    <w:p w:rsidR="00B67815" w:rsidRDefault="00B67815" w:rsidP="000775BB"/>
    <w:p w:rsidR="00B67815" w:rsidRDefault="00B67815" w:rsidP="000775BB"/>
    <w:p w:rsidR="00B67815" w:rsidRDefault="00B67815" w:rsidP="000775BB"/>
    <w:p w:rsidR="00B67815" w:rsidRDefault="00B67815" w:rsidP="000775BB"/>
    <w:p w:rsidR="00B67815" w:rsidRDefault="00B67815" w:rsidP="000775BB">
      <w:pPr>
        <w:sectPr w:rsidR="00B67815" w:rsidSect="00B67815">
          <w:pgSz w:w="15840" w:h="12240" w:orient="landscape"/>
          <w:pgMar w:top="1440" w:right="1440" w:bottom="1440" w:left="1440" w:header="720" w:footer="720" w:gutter="0"/>
          <w:cols w:space="720"/>
          <w:titlePg/>
          <w:docGrid w:linePitch="299"/>
        </w:sectPr>
      </w:pPr>
    </w:p>
    <w:p w:rsidR="00B67815" w:rsidRDefault="00B67815" w:rsidP="000775BB"/>
    <w:sectPr w:rsidR="00B67815" w:rsidSect="00B67815">
      <w:pgSz w:w="12240" w:h="15840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049" w:rsidRDefault="001D6049">
      <w:pPr>
        <w:spacing w:line="240" w:lineRule="auto"/>
      </w:pPr>
      <w:r>
        <w:separator/>
      </w:r>
    </w:p>
  </w:endnote>
  <w:endnote w:type="continuationSeparator" w:id="0">
    <w:p w:rsidR="001D6049" w:rsidRDefault="001D60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TKaiti">
    <w:altName w:val="SimSun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049" w:rsidRDefault="001D6049">
      <w:pPr>
        <w:spacing w:line="240" w:lineRule="auto"/>
      </w:pPr>
      <w:r>
        <w:separator/>
      </w:r>
    </w:p>
  </w:footnote>
  <w:footnote w:type="continuationSeparator" w:id="0">
    <w:p w:rsidR="001D6049" w:rsidRDefault="001D604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163"/>
    <w:multiLevelType w:val="hybridMultilevel"/>
    <w:tmpl w:val="B4E42EFA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553626A"/>
    <w:multiLevelType w:val="hybridMultilevel"/>
    <w:tmpl w:val="9BF6ABDC"/>
    <w:lvl w:ilvl="0" w:tplc="0809001B">
      <w:start w:val="1"/>
      <w:numFmt w:val="lowerRoman"/>
      <w:lvlText w:val="%1."/>
      <w:lvlJc w:val="right"/>
      <w:pPr>
        <w:ind w:left="2880" w:hanging="18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74FFF"/>
    <w:multiLevelType w:val="hybridMultilevel"/>
    <w:tmpl w:val="722A4A70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A551F61"/>
    <w:multiLevelType w:val="hybridMultilevel"/>
    <w:tmpl w:val="26F26EFA"/>
    <w:lvl w:ilvl="0" w:tplc="08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0FB5514D"/>
    <w:multiLevelType w:val="hybridMultilevel"/>
    <w:tmpl w:val="A24E11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8002528E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AA3785"/>
    <w:multiLevelType w:val="hybridMultilevel"/>
    <w:tmpl w:val="3496CE86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32C200F9"/>
    <w:multiLevelType w:val="hybridMultilevel"/>
    <w:tmpl w:val="1A2EB65C"/>
    <w:lvl w:ilvl="0" w:tplc="0809001B">
      <w:start w:val="1"/>
      <w:numFmt w:val="lowerRoman"/>
      <w:lvlText w:val="%1."/>
      <w:lvlJc w:val="right"/>
      <w:pPr>
        <w:ind w:left="2880" w:hanging="18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9662F"/>
    <w:multiLevelType w:val="hybridMultilevel"/>
    <w:tmpl w:val="AC92F508"/>
    <w:lvl w:ilvl="0" w:tplc="0809001B">
      <w:start w:val="1"/>
      <w:numFmt w:val="lowerRoman"/>
      <w:lvlText w:val="%1."/>
      <w:lvlJc w:val="right"/>
      <w:pPr>
        <w:ind w:left="2880" w:hanging="18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74DC6"/>
    <w:multiLevelType w:val="hybridMultilevel"/>
    <w:tmpl w:val="63A41AE2"/>
    <w:lvl w:ilvl="0" w:tplc="7E027BC6">
      <w:start w:val="1"/>
      <w:numFmt w:val="decimal"/>
      <w:pStyle w:val="Heading1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360" w:hanging="360"/>
      </w:pPr>
    </w:lvl>
    <w:lvl w:ilvl="2" w:tplc="0809001B">
      <w:start w:val="1"/>
      <w:numFmt w:val="lowerRoman"/>
      <w:lvlText w:val="%3."/>
      <w:lvlJc w:val="right"/>
      <w:pPr>
        <w:ind w:left="1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BCD6611"/>
    <w:multiLevelType w:val="hybridMultilevel"/>
    <w:tmpl w:val="779C24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3F7A7868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15AA5"/>
    <w:multiLevelType w:val="hybridMultilevel"/>
    <w:tmpl w:val="58F2D37A"/>
    <w:lvl w:ilvl="0" w:tplc="0809001B">
      <w:start w:val="1"/>
      <w:numFmt w:val="lowerRoman"/>
      <w:lvlText w:val="%1."/>
      <w:lvlJc w:val="right"/>
      <w:pPr>
        <w:ind w:left="3060" w:hanging="360"/>
      </w:pPr>
    </w:lvl>
    <w:lvl w:ilvl="1" w:tplc="08090019" w:tentative="1">
      <w:start w:val="1"/>
      <w:numFmt w:val="lowerLetter"/>
      <w:lvlText w:val="%2."/>
      <w:lvlJc w:val="left"/>
      <w:pPr>
        <w:ind w:left="3780" w:hanging="360"/>
      </w:pPr>
    </w:lvl>
    <w:lvl w:ilvl="2" w:tplc="0809001B" w:tentative="1">
      <w:start w:val="1"/>
      <w:numFmt w:val="lowerRoman"/>
      <w:lvlText w:val="%3."/>
      <w:lvlJc w:val="right"/>
      <w:pPr>
        <w:ind w:left="4500" w:hanging="180"/>
      </w:pPr>
    </w:lvl>
    <w:lvl w:ilvl="3" w:tplc="0809000F" w:tentative="1">
      <w:start w:val="1"/>
      <w:numFmt w:val="decimal"/>
      <w:lvlText w:val="%4."/>
      <w:lvlJc w:val="left"/>
      <w:pPr>
        <w:ind w:left="5220" w:hanging="360"/>
      </w:pPr>
    </w:lvl>
    <w:lvl w:ilvl="4" w:tplc="08090019" w:tentative="1">
      <w:start w:val="1"/>
      <w:numFmt w:val="lowerLetter"/>
      <w:lvlText w:val="%5."/>
      <w:lvlJc w:val="left"/>
      <w:pPr>
        <w:ind w:left="5940" w:hanging="360"/>
      </w:pPr>
    </w:lvl>
    <w:lvl w:ilvl="5" w:tplc="0809001B" w:tentative="1">
      <w:start w:val="1"/>
      <w:numFmt w:val="lowerRoman"/>
      <w:lvlText w:val="%6."/>
      <w:lvlJc w:val="right"/>
      <w:pPr>
        <w:ind w:left="6660" w:hanging="180"/>
      </w:pPr>
    </w:lvl>
    <w:lvl w:ilvl="6" w:tplc="0809000F" w:tentative="1">
      <w:start w:val="1"/>
      <w:numFmt w:val="decimal"/>
      <w:lvlText w:val="%7."/>
      <w:lvlJc w:val="left"/>
      <w:pPr>
        <w:ind w:left="7380" w:hanging="360"/>
      </w:pPr>
    </w:lvl>
    <w:lvl w:ilvl="7" w:tplc="08090019" w:tentative="1">
      <w:start w:val="1"/>
      <w:numFmt w:val="lowerLetter"/>
      <w:lvlText w:val="%8."/>
      <w:lvlJc w:val="left"/>
      <w:pPr>
        <w:ind w:left="8100" w:hanging="360"/>
      </w:pPr>
    </w:lvl>
    <w:lvl w:ilvl="8" w:tplc="08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1" w15:restartNumberingAfterBreak="0">
    <w:nsid w:val="4E8043B1"/>
    <w:multiLevelType w:val="hybridMultilevel"/>
    <w:tmpl w:val="521EDFDE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513B0A7D"/>
    <w:multiLevelType w:val="hybridMultilevel"/>
    <w:tmpl w:val="0AEAEC9C"/>
    <w:lvl w:ilvl="0" w:tplc="0809001B">
      <w:start w:val="1"/>
      <w:numFmt w:val="lowerRoman"/>
      <w:lvlText w:val="%1."/>
      <w:lvlJc w:val="right"/>
      <w:pPr>
        <w:ind w:left="3060" w:hanging="360"/>
      </w:pPr>
    </w:lvl>
    <w:lvl w:ilvl="1" w:tplc="08090019" w:tentative="1">
      <w:start w:val="1"/>
      <w:numFmt w:val="lowerLetter"/>
      <w:lvlText w:val="%2."/>
      <w:lvlJc w:val="left"/>
      <w:pPr>
        <w:ind w:left="3780" w:hanging="360"/>
      </w:pPr>
    </w:lvl>
    <w:lvl w:ilvl="2" w:tplc="0809001B" w:tentative="1">
      <w:start w:val="1"/>
      <w:numFmt w:val="lowerRoman"/>
      <w:lvlText w:val="%3."/>
      <w:lvlJc w:val="right"/>
      <w:pPr>
        <w:ind w:left="4500" w:hanging="180"/>
      </w:pPr>
    </w:lvl>
    <w:lvl w:ilvl="3" w:tplc="0809000F" w:tentative="1">
      <w:start w:val="1"/>
      <w:numFmt w:val="decimal"/>
      <w:lvlText w:val="%4."/>
      <w:lvlJc w:val="left"/>
      <w:pPr>
        <w:ind w:left="5220" w:hanging="360"/>
      </w:pPr>
    </w:lvl>
    <w:lvl w:ilvl="4" w:tplc="08090019" w:tentative="1">
      <w:start w:val="1"/>
      <w:numFmt w:val="lowerLetter"/>
      <w:lvlText w:val="%5."/>
      <w:lvlJc w:val="left"/>
      <w:pPr>
        <w:ind w:left="5940" w:hanging="360"/>
      </w:pPr>
    </w:lvl>
    <w:lvl w:ilvl="5" w:tplc="0809001B" w:tentative="1">
      <w:start w:val="1"/>
      <w:numFmt w:val="lowerRoman"/>
      <w:lvlText w:val="%6."/>
      <w:lvlJc w:val="right"/>
      <w:pPr>
        <w:ind w:left="6660" w:hanging="180"/>
      </w:pPr>
    </w:lvl>
    <w:lvl w:ilvl="6" w:tplc="0809000F" w:tentative="1">
      <w:start w:val="1"/>
      <w:numFmt w:val="decimal"/>
      <w:lvlText w:val="%7."/>
      <w:lvlJc w:val="left"/>
      <w:pPr>
        <w:ind w:left="7380" w:hanging="360"/>
      </w:pPr>
    </w:lvl>
    <w:lvl w:ilvl="7" w:tplc="08090019" w:tentative="1">
      <w:start w:val="1"/>
      <w:numFmt w:val="lowerLetter"/>
      <w:lvlText w:val="%8."/>
      <w:lvlJc w:val="left"/>
      <w:pPr>
        <w:ind w:left="8100" w:hanging="360"/>
      </w:pPr>
    </w:lvl>
    <w:lvl w:ilvl="8" w:tplc="08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3" w15:restartNumberingAfterBreak="0">
    <w:nsid w:val="5E4F3547"/>
    <w:multiLevelType w:val="hybridMultilevel"/>
    <w:tmpl w:val="46A45200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654B3A75"/>
    <w:multiLevelType w:val="hybridMultilevel"/>
    <w:tmpl w:val="AC92F508"/>
    <w:lvl w:ilvl="0" w:tplc="0809001B">
      <w:start w:val="1"/>
      <w:numFmt w:val="lowerRoman"/>
      <w:lvlText w:val="%1."/>
      <w:lvlJc w:val="right"/>
      <w:pPr>
        <w:ind w:left="2880" w:hanging="18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8F70AA"/>
    <w:multiLevelType w:val="hybridMultilevel"/>
    <w:tmpl w:val="D7B28628"/>
    <w:lvl w:ilvl="0" w:tplc="0809001B">
      <w:start w:val="1"/>
      <w:numFmt w:val="lowerRoman"/>
      <w:lvlText w:val="%1."/>
      <w:lvlJc w:val="right"/>
      <w:pPr>
        <w:ind w:left="3060" w:hanging="360"/>
      </w:pPr>
    </w:lvl>
    <w:lvl w:ilvl="1" w:tplc="08090019" w:tentative="1">
      <w:start w:val="1"/>
      <w:numFmt w:val="lowerLetter"/>
      <w:lvlText w:val="%2."/>
      <w:lvlJc w:val="left"/>
      <w:pPr>
        <w:ind w:left="3780" w:hanging="360"/>
      </w:pPr>
    </w:lvl>
    <w:lvl w:ilvl="2" w:tplc="0809001B" w:tentative="1">
      <w:start w:val="1"/>
      <w:numFmt w:val="lowerRoman"/>
      <w:lvlText w:val="%3."/>
      <w:lvlJc w:val="right"/>
      <w:pPr>
        <w:ind w:left="4500" w:hanging="180"/>
      </w:pPr>
    </w:lvl>
    <w:lvl w:ilvl="3" w:tplc="0809000F" w:tentative="1">
      <w:start w:val="1"/>
      <w:numFmt w:val="decimal"/>
      <w:lvlText w:val="%4."/>
      <w:lvlJc w:val="left"/>
      <w:pPr>
        <w:ind w:left="5220" w:hanging="360"/>
      </w:pPr>
    </w:lvl>
    <w:lvl w:ilvl="4" w:tplc="08090019" w:tentative="1">
      <w:start w:val="1"/>
      <w:numFmt w:val="lowerLetter"/>
      <w:lvlText w:val="%5."/>
      <w:lvlJc w:val="left"/>
      <w:pPr>
        <w:ind w:left="5940" w:hanging="360"/>
      </w:pPr>
    </w:lvl>
    <w:lvl w:ilvl="5" w:tplc="0809001B" w:tentative="1">
      <w:start w:val="1"/>
      <w:numFmt w:val="lowerRoman"/>
      <w:lvlText w:val="%6."/>
      <w:lvlJc w:val="right"/>
      <w:pPr>
        <w:ind w:left="6660" w:hanging="180"/>
      </w:pPr>
    </w:lvl>
    <w:lvl w:ilvl="6" w:tplc="0809000F" w:tentative="1">
      <w:start w:val="1"/>
      <w:numFmt w:val="decimal"/>
      <w:lvlText w:val="%7."/>
      <w:lvlJc w:val="left"/>
      <w:pPr>
        <w:ind w:left="7380" w:hanging="360"/>
      </w:pPr>
    </w:lvl>
    <w:lvl w:ilvl="7" w:tplc="08090019" w:tentative="1">
      <w:start w:val="1"/>
      <w:numFmt w:val="lowerLetter"/>
      <w:lvlText w:val="%8."/>
      <w:lvlJc w:val="left"/>
      <w:pPr>
        <w:ind w:left="8100" w:hanging="360"/>
      </w:pPr>
    </w:lvl>
    <w:lvl w:ilvl="8" w:tplc="08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6" w15:restartNumberingAfterBreak="0">
    <w:nsid w:val="75B91535"/>
    <w:multiLevelType w:val="hybridMultilevel"/>
    <w:tmpl w:val="715C55F6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7B28061F"/>
    <w:multiLevelType w:val="hybridMultilevel"/>
    <w:tmpl w:val="FC18CA08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6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1"/>
  </w:num>
  <w:num w:numId="10">
    <w:abstractNumId w:val="17"/>
  </w:num>
  <w:num w:numId="11">
    <w:abstractNumId w:val="5"/>
  </w:num>
  <w:num w:numId="12">
    <w:abstractNumId w:val="0"/>
  </w:num>
  <w:num w:numId="13">
    <w:abstractNumId w:val="12"/>
  </w:num>
  <w:num w:numId="14">
    <w:abstractNumId w:val="2"/>
  </w:num>
  <w:num w:numId="15">
    <w:abstractNumId w:val="16"/>
  </w:num>
  <w:num w:numId="16">
    <w:abstractNumId w:val="10"/>
  </w:num>
  <w:num w:numId="17">
    <w:abstractNumId w:val="3"/>
  </w:num>
  <w:num w:numId="18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E0tDQ2NzIwNTcxNjFV0lEKTi0uzszPAykwqQUAfgWQEywAAAA="/>
  </w:docVars>
  <w:rsids>
    <w:rsidRoot w:val="00BE6DF8"/>
    <w:rsid w:val="0001228E"/>
    <w:rsid w:val="000322CD"/>
    <w:rsid w:val="000542F9"/>
    <w:rsid w:val="00057BFA"/>
    <w:rsid w:val="000775BB"/>
    <w:rsid w:val="000A0F9B"/>
    <w:rsid w:val="000A2E2A"/>
    <w:rsid w:val="000A543C"/>
    <w:rsid w:val="000C6984"/>
    <w:rsid w:val="000E1EB4"/>
    <w:rsid w:val="001036F2"/>
    <w:rsid w:val="00115D4E"/>
    <w:rsid w:val="00123E1E"/>
    <w:rsid w:val="0013591F"/>
    <w:rsid w:val="00140BBF"/>
    <w:rsid w:val="0015139B"/>
    <w:rsid w:val="00157CB3"/>
    <w:rsid w:val="001625FA"/>
    <w:rsid w:val="00167EA6"/>
    <w:rsid w:val="00170647"/>
    <w:rsid w:val="001B0002"/>
    <w:rsid w:val="001C058F"/>
    <w:rsid w:val="001D6049"/>
    <w:rsid w:val="001E2E6C"/>
    <w:rsid w:val="00216BF8"/>
    <w:rsid w:val="002458D3"/>
    <w:rsid w:val="0024640E"/>
    <w:rsid w:val="00250628"/>
    <w:rsid w:val="00266B8C"/>
    <w:rsid w:val="00284F14"/>
    <w:rsid w:val="002A0DB8"/>
    <w:rsid w:val="002A2809"/>
    <w:rsid w:val="002C1B16"/>
    <w:rsid w:val="002C4C50"/>
    <w:rsid w:val="002E5945"/>
    <w:rsid w:val="00303577"/>
    <w:rsid w:val="003131D1"/>
    <w:rsid w:val="00350A29"/>
    <w:rsid w:val="00361193"/>
    <w:rsid w:val="003627A1"/>
    <w:rsid w:val="003630A3"/>
    <w:rsid w:val="003677BF"/>
    <w:rsid w:val="00384318"/>
    <w:rsid w:val="00386CAE"/>
    <w:rsid w:val="003936D6"/>
    <w:rsid w:val="00393D6A"/>
    <w:rsid w:val="003972D3"/>
    <w:rsid w:val="003A09A2"/>
    <w:rsid w:val="003B3DBF"/>
    <w:rsid w:val="003D2D55"/>
    <w:rsid w:val="003E5F71"/>
    <w:rsid w:val="00410A1A"/>
    <w:rsid w:val="00436CF3"/>
    <w:rsid w:val="00455E49"/>
    <w:rsid w:val="00461C5F"/>
    <w:rsid w:val="004644DF"/>
    <w:rsid w:val="004720B3"/>
    <w:rsid w:val="00492F94"/>
    <w:rsid w:val="00493342"/>
    <w:rsid w:val="004A14A7"/>
    <w:rsid w:val="004B0223"/>
    <w:rsid w:val="004C76EC"/>
    <w:rsid w:val="004D2AC9"/>
    <w:rsid w:val="004D4C98"/>
    <w:rsid w:val="004E2408"/>
    <w:rsid w:val="004E26CF"/>
    <w:rsid w:val="00506EFA"/>
    <w:rsid w:val="0050790C"/>
    <w:rsid w:val="00515DBE"/>
    <w:rsid w:val="00550886"/>
    <w:rsid w:val="00585C45"/>
    <w:rsid w:val="00593147"/>
    <w:rsid w:val="005944CE"/>
    <w:rsid w:val="00596EA2"/>
    <w:rsid w:val="005A4F3A"/>
    <w:rsid w:val="005A5CD3"/>
    <w:rsid w:val="005B54CB"/>
    <w:rsid w:val="005C70A0"/>
    <w:rsid w:val="005D3408"/>
    <w:rsid w:val="00600747"/>
    <w:rsid w:val="00615A37"/>
    <w:rsid w:val="00617D0C"/>
    <w:rsid w:val="00622B3E"/>
    <w:rsid w:val="006260E7"/>
    <w:rsid w:val="006502F5"/>
    <w:rsid w:val="00664BAD"/>
    <w:rsid w:val="0068541B"/>
    <w:rsid w:val="006A3F56"/>
    <w:rsid w:val="006B77E7"/>
    <w:rsid w:val="006F57C5"/>
    <w:rsid w:val="006F66AC"/>
    <w:rsid w:val="007151C6"/>
    <w:rsid w:val="00730C8B"/>
    <w:rsid w:val="00747D5F"/>
    <w:rsid w:val="007713BE"/>
    <w:rsid w:val="00771F16"/>
    <w:rsid w:val="0078294C"/>
    <w:rsid w:val="00784D3E"/>
    <w:rsid w:val="00793380"/>
    <w:rsid w:val="007A4B00"/>
    <w:rsid w:val="007A7455"/>
    <w:rsid w:val="007B3045"/>
    <w:rsid w:val="007C05A8"/>
    <w:rsid w:val="007C694E"/>
    <w:rsid w:val="007D5B02"/>
    <w:rsid w:val="007E1D13"/>
    <w:rsid w:val="007F723D"/>
    <w:rsid w:val="007F7D88"/>
    <w:rsid w:val="00805E51"/>
    <w:rsid w:val="00806F92"/>
    <w:rsid w:val="00810E6D"/>
    <w:rsid w:val="008138BD"/>
    <w:rsid w:val="00825566"/>
    <w:rsid w:val="008472BF"/>
    <w:rsid w:val="008702BD"/>
    <w:rsid w:val="008A2B9B"/>
    <w:rsid w:val="008B6008"/>
    <w:rsid w:val="008D1AB0"/>
    <w:rsid w:val="008D6F4F"/>
    <w:rsid w:val="008F4333"/>
    <w:rsid w:val="00910085"/>
    <w:rsid w:val="0092020F"/>
    <w:rsid w:val="00940D52"/>
    <w:rsid w:val="009525F0"/>
    <w:rsid w:val="009675A4"/>
    <w:rsid w:val="00967FB9"/>
    <w:rsid w:val="00971DEC"/>
    <w:rsid w:val="009758CC"/>
    <w:rsid w:val="00977D4B"/>
    <w:rsid w:val="00986716"/>
    <w:rsid w:val="009915EF"/>
    <w:rsid w:val="009B4969"/>
    <w:rsid w:val="009C7864"/>
    <w:rsid w:val="009D3087"/>
    <w:rsid w:val="009F4CA5"/>
    <w:rsid w:val="00A017DF"/>
    <w:rsid w:val="00A106FB"/>
    <w:rsid w:val="00A10C63"/>
    <w:rsid w:val="00A125F6"/>
    <w:rsid w:val="00A25DDB"/>
    <w:rsid w:val="00A33447"/>
    <w:rsid w:val="00A7000E"/>
    <w:rsid w:val="00A73A75"/>
    <w:rsid w:val="00A7550C"/>
    <w:rsid w:val="00AA3C15"/>
    <w:rsid w:val="00AD423D"/>
    <w:rsid w:val="00B0387E"/>
    <w:rsid w:val="00B073E3"/>
    <w:rsid w:val="00B14624"/>
    <w:rsid w:val="00B277E1"/>
    <w:rsid w:val="00B427B5"/>
    <w:rsid w:val="00B43352"/>
    <w:rsid w:val="00B5198E"/>
    <w:rsid w:val="00B60BDA"/>
    <w:rsid w:val="00B64B70"/>
    <w:rsid w:val="00B66857"/>
    <w:rsid w:val="00B67815"/>
    <w:rsid w:val="00B8261B"/>
    <w:rsid w:val="00B84CC7"/>
    <w:rsid w:val="00B86C2C"/>
    <w:rsid w:val="00BA3B94"/>
    <w:rsid w:val="00BA62E9"/>
    <w:rsid w:val="00BB6DA5"/>
    <w:rsid w:val="00BC226B"/>
    <w:rsid w:val="00BC3240"/>
    <w:rsid w:val="00BC61F0"/>
    <w:rsid w:val="00BC7C06"/>
    <w:rsid w:val="00BE6DF8"/>
    <w:rsid w:val="00C063FA"/>
    <w:rsid w:val="00C07BE9"/>
    <w:rsid w:val="00C1397E"/>
    <w:rsid w:val="00C43D58"/>
    <w:rsid w:val="00C67000"/>
    <w:rsid w:val="00C85544"/>
    <w:rsid w:val="00CA2230"/>
    <w:rsid w:val="00CB3A75"/>
    <w:rsid w:val="00CB68EF"/>
    <w:rsid w:val="00CC3962"/>
    <w:rsid w:val="00CC4C81"/>
    <w:rsid w:val="00CD2EF3"/>
    <w:rsid w:val="00CE6847"/>
    <w:rsid w:val="00D13372"/>
    <w:rsid w:val="00D174C9"/>
    <w:rsid w:val="00D45BCA"/>
    <w:rsid w:val="00D70572"/>
    <w:rsid w:val="00DB28DE"/>
    <w:rsid w:val="00DD17A3"/>
    <w:rsid w:val="00DD1B80"/>
    <w:rsid w:val="00E42491"/>
    <w:rsid w:val="00E54239"/>
    <w:rsid w:val="00E5759B"/>
    <w:rsid w:val="00EA748E"/>
    <w:rsid w:val="00EE3972"/>
    <w:rsid w:val="00EE5CF9"/>
    <w:rsid w:val="00EF141A"/>
    <w:rsid w:val="00F00260"/>
    <w:rsid w:val="00F22A01"/>
    <w:rsid w:val="00F22DC5"/>
    <w:rsid w:val="00F3312E"/>
    <w:rsid w:val="00F54D29"/>
    <w:rsid w:val="00F60EC4"/>
    <w:rsid w:val="00F6736D"/>
    <w:rsid w:val="00F94FE8"/>
    <w:rsid w:val="00F9577D"/>
    <w:rsid w:val="00FC6100"/>
    <w:rsid w:val="00FC6503"/>
    <w:rsid w:val="00FC751E"/>
    <w:rsid w:val="00FD2B69"/>
    <w:rsid w:val="00FD2EFC"/>
    <w:rsid w:val="00FD3634"/>
    <w:rsid w:val="00FD452D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EB81BFEA-A952-4ED4-86FA-E1158122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D4B"/>
    <w:pPr>
      <w:spacing w:after="0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E5F71"/>
    <w:pPr>
      <w:keepNext/>
      <w:keepLines/>
      <w:numPr>
        <w:numId w:val="3"/>
      </w:numPr>
      <w:spacing w:before="240"/>
      <w:outlineLvl w:val="0"/>
    </w:pPr>
    <w:rPr>
      <w:rFonts w:eastAsiaTheme="majorEastAsia" w:cstheme="majorBidi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77D4B"/>
    <w:pPr>
      <w:keepNext/>
      <w:keepLines/>
      <w:spacing w:before="40"/>
      <w:outlineLvl w:val="1"/>
    </w:pPr>
    <w:rPr>
      <w:rFonts w:eastAsiaTheme="majorEastAsia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B668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B6685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semiHidden/>
    <w:unhideWhenUsed/>
    <w:qFormat/>
    <w:rsid w:val="00B66857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qFormat/>
    <w:rsid w:val="00B6685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szCs w:val="20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B6685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szCs w:val="20"/>
    </w:rPr>
  </w:style>
  <w:style w:type="paragraph" w:styleId="Heading8">
    <w:name w:val="heading 8"/>
    <w:basedOn w:val="Normal"/>
    <w:next w:val="Normal"/>
    <w:link w:val="Heading8Char"/>
    <w:autoRedefine/>
    <w:uiPriority w:val="9"/>
    <w:semiHidden/>
    <w:unhideWhenUsed/>
    <w:qFormat/>
    <w:rsid w:val="00B6685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aps/>
      <w:color w:val="272727" w:themeColor="text1" w:themeTint="D8"/>
      <w:szCs w:val="18"/>
    </w:rPr>
  </w:style>
  <w:style w:type="paragraph" w:styleId="Heading9">
    <w:name w:val="heading 9"/>
    <w:basedOn w:val="Normal"/>
    <w:next w:val="Normal"/>
    <w:link w:val="Heading9Char"/>
    <w:autoRedefine/>
    <w:uiPriority w:val="9"/>
    <w:semiHidden/>
    <w:unhideWhenUsed/>
    <w:qFormat/>
    <w:rsid w:val="00B6685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ap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F71"/>
    <w:rPr>
      <w:rFonts w:ascii="Calibri" w:eastAsiaTheme="majorEastAsia" w:hAnsi="Calibri" w:cstheme="majorBidi"/>
      <w:b/>
      <w:bCs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77D4B"/>
    <w:rPr>
      <w:rFonts w:ascii="Calibri" w:eastAsiaTheme="majorEastAsia" w:hAnsi="Calibri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6857"/>
    <w:rPr>
      <w:rFonts w:asciiTheme="majorHAnsi" w:eastAsiaTheme="majorEastAsia" w:hAnsiTheme="majorHAnsi" w:cstheme="majorBidi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6857"/>
    <w:rPr>
      <w:rFonts w:asciiTheme="majorHAnsi" w:eastAsiaTheme="majorEastAsia" w:hAnsiTheme="majorHAnsi" w:cstheme="majorBidi"/>
      <w:i/>
      <w:iCs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6857"/>
    <w:rPr>
      <w:rFonts w:asciiTheme="majorHAnsi" w:eastAsiaTheme="majorEastAsia" w:hAnsiTheme="majorHAnsi" w:cstheme="majorBidi"/>
      <w:caps/>
      <w:color w:val="272727" w:themeColor="text1" w:themeTint="D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6857"/>
    <w:rPr>
      <w:rFonts w:asciiTheme="majorHAnsi" w:eastAsiaTheme="majorEastAsia" w:hAnsiTheme="majorHAnsi" w:cstheme="majorBidi"/>
      <w:i/>
      <w:iCs/>
      <w:caps/>
      <w:szCs w:val="18"/>
    </w:rPr>
  </w:style>
  <w:style w:type="paragraph" w:styleId="Title">
    <w:name w:val="Title"/>
    <w:basedOn w:val="Normal"/>
    <w:next w:val="Normal"/>
    <w:link w:val="TitleChar"/>
    <w:uiPriority w:val="1"/>
    <w:qFormat/>
    <w:rsid w:val="00977D4B"/>
    <w:pPr>
      <w:spacing w:line="240" w:lineRule="auto"/>
      <w:contextualSpacing/>
    </w:pPr>
    <w:rPr>
      <w:rFonts w:eastAsiaTheme="majorEastAsia" w:cstheme="majorBidi"/>
      <w:spacing w:val="-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"/>
    <w:rsid w:val="00977D4B"/>
    <w:rPr>
      <w:rFonts w:ascii="Calibri" w:eastAsiaTheme="majorEastAsia" w:hAnsi="Calibri" w:cstheme="majorBidi"/>
      <w:spacing w:val="-10"/>
      <w:kern w:val="28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0A0F9B"/>
    <w:pPr>
      <w:numPr>
        <w:ilvl w:val="1"/>
      </w:numPr>
    </w:pPr>
    <w:rPr>
      <w:color w:val="404040" w:themeColor="text1" w:themeTint="BF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0A0F9B"/>
    <w:rPr>
      <w:color w:val="404040" w:themeColor="text1" w:themeTint="BF"/>
      <w:spacing w:val="1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A0F9B"/>
    <w:rPr>
      <w:i/>
      <w:iCs/>
      <w:color w:val="0D5672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A0F9B"/>
    <w:pPr>
      <w:pBdr>
        <w:top w:val="single" w:sz="4" w:space="10" w:color="0D5672" w:themeColor="accent1" w:themeShade="80"/>
        <w:bottom w:val="single" w:sz="4" w:space="10" w:color="0D5672" w:themeColor="accent1" w:themeShade="80"/>
      </w:pBdr>
      <w:spacing w:before="360" w:after="360"/>
      <w:ind w:left="864" w:right="864"/>
      <w:jc w:val="center"/>
    </w:pPr>
    <w:rPr>
      <w:i/>
      <w:iCs/>
      <w:color w:val="0D567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A0F9B"/>
    <w:rPr>
      <w:i/>
      <w:iCs/>
      <w:color w:val="0D5672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A0F9B"/>
    <w:rPr>
      <w:b/>
      <w:bCs/>
      <w:caps w:val="0"/>
      <w:smallCaps/>
      <w:color w:val="0D5672" w:themeColor="accent1" w:themeShade="80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6857"/>
    <w:pPr>
      <w:spacing w:after="200" w:line="240" w:lineRule="auto"/>
    </w:pPr>
    <w:rPr>
      <w:i/>
      <w:iCs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6857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85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6685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6685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6685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6685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6685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685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685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8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85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66857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6685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66857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6685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B66857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66857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685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B6685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B6685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66857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6685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B6685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B6685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6685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66857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6685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216BF8"/>
    <w:pPr>
      <w:pBdr>
        <w:top w:val="single" w:sz="2" w:space="10" w:color="0D5672" w:themeColor="accent1" w:themeShade="80" w:shadow="1"/>
        <w:left w:val="single" w:sz="2" w:space="10" w:color="0D5672" w:themeColor="accent1" w:themeShade="80" w:shadow="1"/>
        <w:bottom w:val="single" w:sz="2" w:space="10" w:color="0D5672" w:themeColor="accent1" w:themeShade="80" w:shadow="1"/>
        <w:right w:val="single" w:sz="2" w:space="10" w:color="0D5672" w:themeColor="accent1" w:themeShade="80" w:shadow="1"/>
      </w:pBdr>
      <w:ind w:left="1152" w:right="1152"/>
    </w:pPr>
    <w:rPr>
      <w:i/>
      <w:iCs/>
      <w:color w:val="0D5672" w:themeColor="accent1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971DEC"/>
    <w:rPr>
      <w:color w:val="215D4B" w:themeColor="accent4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B66857"/>
    <w:rPr>
      <w:color w:val="2E653E" w:themeColor="accent5" w:themeShade="BF"/>
      <w:u w:val="single"/>
    </w:rPr>
  </w:style>
  <w:style w:type="character" w:styleId="PlaceholderText">
    <w:name w:val="Placeholder Text"/>
    <w:basedOn w:val="DefaultParagraphFont"/>
    <w:uiPriority w:val="99"/>
    <w:semiHidden/>
    <w:rsid w:val="00B66857"/>
    <w:rPr>
      <w:color w:val="595959" w:themeColor="text1" w:themeTint="A6"/>
    </w:rPr>
  </w:style>
  <w:style w:type="paragraph" w:styleId="Header">
    <w:name w:val="header"/>
    <w:basedOn w:val="Normal"/>
    <w:link w:val="HeaderChar"/>
    <w:uiPriority w:val="99"/>
    <w:unhideWhenUsed/>
    <w:rsid w:val="008B6008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008"/>
  </w:style>
  <w:style w:type="paragraph" w:styleId="Footer">
    <w:name w:val="footer"/>
    <w:basedOn w:val="Normal"/>
    <w:link w:val="FooterChar"/>
    <w:uiPriority w:val="99"/>
    <w:unhideWhenUsed/>
    <w:rsid w:val="00977D4B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D4B"/>
    <w:rPr>
      <w:rFonts w:ascii="Calibri" w:hAnsi="Calibri"/>
    </w:rPr>
  </w:style>
  <w:style w:type="paragraph" w:styleId="TOC1">
    <w:name w:val="toc 1"/>
    <w:basedOn w:val="Normal"/>
    <w:next w:val="Normal"/>
    <w:autoRedefine/>
    <w:uiPriority w:val="39"/>
    <w:unhideWhenUsed/>
    <w:rsid w:val="001E2E6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E2E6C"/>
    <w:pPr>
      <w:spacing w:after="100"/>
      <w:ind w:left="220"/>
    </w:pPr>
    <w:rPr>
      <w:rFonts w:asciiTheme="minorHAnsi" w:hAnsiTheme="minorHAnsi" w:cs="Times New Roman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1E2E6C"/>
    <w:pPr>
      <w:spacing w:after="100"/>
      <w:ind w:left="440"/>
    </w:pPr>
    <w:rPr>
      <w:rFonts w:asciiTheme="minorHAnsi" w:hAnsiTheme="minorHAnsi" w:cs="Times New Roman"/>
      <w:lang w:eastAsia="en-US"/>
    </w:rPr>
  </w:style>
  <w:style w:type="table" w:styleId="TableGrid">
    <w:name w:val="Table Grid"/>
    <w:basedOn w:val="TableNormal"/>
    <w:uiPriority w:val="59"/>
    <w:rsid w:val="009758C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unhideWhenUsed/>
    <w:qFormat/>
    <w:rsid w:val="003E5F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SUTGOD\AppData\Roaming\Microsoft\Templates\Spec%20design%20(blank)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Candara">
      <a:maj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2ADF2-4977-4D45-97B5-869736144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Spec design (blank)</Template>
  <TotalTime>0</TotalTime>
  <Pages>13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Services</dc:creator>
  <cp:lastModifiedBy>Ajay Gupta</cp:lastModifiedBy>
  <cp:revision>2</cp:revision>
  <cp:lastPrinted>2018-07-12T11:10:00Z</cp:lastPrinted>
  <dcterms:created xsi:type="dcterms:W3CDTF">2018-07-23T15:13:00Z</dcterms:created>
  <dcterms:modified xsi:type="dcterms:W3CDTF">2018-07-23T15:13:00Z</dcterms:modified>
</cp:coreProperties>
</file>