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62959" w14:textId="77777777" w:rsidR="00CE240B" w:rsidRPr="007D0473" w:rsidRDefault="00CE240B" w:rsidP="00DB7C46">
      <w:pPr>
        <w:spacing w:before="120" w:after="120" w:line="480" w:lineRule="auto"/>
        <w:rPr>
          <w:rFonts w:ascii="Arial" w:hAnsi="Arial"/>
          <w:b/>
          <w:bCs/>
          <w:sz w:val="22"/>
          <w:szCs w:val="22"/>
        </w:rPr>
      </w:pPr>
      <w:r w:rsidRPr="007D0473">
        <w:rPr>
          <w:rFonts w:ascii="Arial" w:hAnsi="Arial"/>
          <w:b/>
          <w:bCs/>
          <w:sz w:val="22"/>
          <w:szCs w:val="22"/>
        </w:rPr>
        <w:t xml:space="preserve">Identifying </w:t>
      </w:r>
      <w:r w:rsidR="00236E04" w:rsidRPr="007D0473">
        <w:rPr>
          <w:rFonts w:ascii="Arial" w:hAnsi="Arial"/>
          <w:b/>
          <w:bCs/>
          <w:sz w:val="22"/>
          <w:szCs w:val="22"/>
        </w:rPr>
        <w:t xml:space="preserve">large-scale </w:t>
      </w:r>
      <w:r w:rsidR="00561AB6" w:rsidRPr="007D0473">
        <w:rPr>
          <w:rFonts w:ascii="Arial" w:hAnsi="Arial"/>
          <w:b/>
          <w:bCs/>
          <w:sz w:val="22"/>
          <w:szCs w:val="22"/>
        </w:rPr>
        <w:t>recombination and</w:t>
      </w:r>
      <w:r w:rsidRPr="007D0473">
        <w:rPr>
          <w:rFonts w:ascii="Arial" w:hAnsi="Arial"/>
          <w:b/>
          <w:bCs/>
          <w:sz w:val="22"/>
          <w:szCs w:val="22"/>
        </w:rPr>
        <w:t xml:space="preserve"> capsular switching events </w:t>
      </w:r>
      <w:proofErr w:type="gramStart"/>
      <w:r w:rsidRPr="007D0473">
        <w:rPr>
          <w:rFonts w:ascii="Arial" w:hAnsi="Arial"/>
          <w:b/>
          <w:bCs/>
          <w:sz w:val="22"/>
          <w:szCs w:val="22"/>
        </w:rPr>
        <w:t xml:space="preserve">in  </w:t>
      </w:r>
      <w:r w:rsidRPr="007D0473">
        <w:rPr>
          <w:rFonts w:ascii="Arial" w:hAnsi="Arial"/>
          <w:b/>
          <w:bCs/>
          <w:i/>
          <w:iCs/>
          <w:sz w:val="22"/>
          <w:szCs w:val="22"/>
        </w:rPr>
        <w:t>Streptococcus</w:t>
      </w:r>
      <w:proofErr w:type="gramEnd"/>
      <w:r w:rsidRPr="007D0473">
        <w:rPr>
          <w:rFonts w:ascii="Arial" w:hAnsi="Arial"/>
          <w:b/>
          <w:bCs/>
          <w:i/>
          <w:iCs/>
          <w:sz w:val="22"/>
          <w:szCs w:val="22"/>
        </w:rPr>
        <w:t xml:space="preserve"> agalactiae</w:t>
      </w:r>
      <w:r w:rsidRPr="007D0473">
        <w:rPr>
          <w:rFonts w:ascii="Arial" w:hAnsi="Arial"/>
          <w:b/>
          <w:bCs/>
          <w:sz w:val="22"/>
          <w:szCs w:val="22"/>
        </w:rPr>
        <w:t xml:space="preserve"> strains causing disease in adults in the United Kingdom between 2014 and 2015</w:t>
      </w:r>
    </w:p>
    <w:p w14:paraId="01FCEBE4" w14:textId="77777777" w:rsidR="00CE240B" w:rsidRPr="007D0473" w:rsidRDefault="00CE240B" w:rsidP="00DB7C46">
      <w:pPr>
        <w:spacing w:before="120" w:after="120" w:line="480" w:lineRule="auto"/>
        <w:rPr>
          <w:rFonts w:ascii="Arial" w:hAnsi="Arial"/>
          <w:sz w:val="22"/>
          <w:szCs w:val="22"/>
        </w:rPr>
      </w:pPr>
    </w:p>
    <w:p w14:paraId="5EF231EA" w14:textId="07A87E55" w:rsidR="00CE240B" w:rsidRPr="007D0473" w:rsidRDefault="00CE240B" w:rsidP="00DB7C46">
      <w:pPr>
        <w:spacing w:before="120" w:after="120" w:line="480" w:lineRule="auto"/>
        <w:rPr>
          <w:rFonts w:ascii="Arial" w:hAnsi="Arial"/>
          <w:sz w:val="22"/>
          <w:szCs w:val="22"/>
        </w:rPr>
      </w:pPr>
      <w:proofErr w:type="spellStart"/>
      <w:r w:rsidRPr="007D0473">
        <w:rPr>
          <w:rFonts w:ascii="Arial" w:hAnsi="Arial"/>
          <w:sz w:val="22"/>
          <w:szCs w:val="22"/>
        </w:rPr>
        <w:t>Uzma</w:t>
      </w:r>
      <w:proofErr w:type="spellEnd"/>
      <w:r w:rsidRPr="007D0473">
        <w:rPr>
          <w:rFonts w:ascii="Arial" w:hAnsi="Arial"/>
          <w:sz w:val="22"/>
          <w:szCs w:val="22"/>
        </w:rPr>
        <w:t xml:space="preserve"> Basit Khan</w:t>
      </w:r>
      <w:proofErr w:type="gramStart"/>
      <w:r w:rsidR="00AF7558" w:rsidRPr="007D0473">
        <w:rPr>
          <w:rFonts w:ascii="Arial" w:hAnsi="Arial"/>
          <w:sz w:val="22"/>
          <w:szCs w:val="22"/>
          <w:vertAlign w:val="superscript"/>
        </w:rPr>
        <w:t>1,a</w:t>
      </w:r>
      <w:proofErr w:type="gramEnd"/>
      <w:r w:rsidRPr="007D0473">
        <w:rPr>
          <w:rFonts w:ascii="Arial" w:hAnsi="Arial"/>
          <w:sz w:val="22"/>
          <w:szCs w:val="22"/>
        </w:rPr>
        <w:t>*, Elita Jauneikaite</w:t>
      </w:r>
      <w:r w:rsidRPr="007D0473">
        <w:rPr>
          <w:rFonts w:ascii="Arial" w:hAnsi="Arial"/>
          <w:sz w:val="22"/>
          <w:szCs w:val="22"/>
          <w:vertAlign w:val="superscript"/>
        </w:rPr>
        <w:t>2,3</w:t>
      </w:r>
      <w:r w:rsidRPr="007D0473">
        <w:rPr>
          <w:rFonts w:ascii="Arial" w:hAnsi="Arial"/>
          <w:sz w:val="22"/>
          <w:szCs w:val="22"/>
        </w:rPr>
        <w:t>*</w:t>
      </w:r>
      <w:r w:rsidR="007C7AF7" w:rsidRPr="007D0473">
        <w:rPr>
          <w:rFonts w:ascii="Arial" w:hAnsi="Arial"/>
          <w:sz w:val="22"/>
          <w:szCs w:val="22"/>
          <w:vertAlign w:val="superscript"/>
        </w:rPr>
        <w:t>#</w:t>
      </w:r>
      <w:r w:rsidRPr="007D0473">
        <w:rPr>
          <w:rFonts w:ascii="Arial" w:hAnsi="Arial"/>
          <w:sz w:val="22"/>
          <w:szCs w:val="22"/>
        </w:rPr>
        <w:t>, Robert Andrews</w:t>
      </w:r>
      <w:r w:rsidRPr="007D0473">
        <w:rPr>
          <w:rFonts w:ascii="Arial" w:hAnsi="Arial"/>
          <w:sz w:val="22"/>
          <w:szCs w:val="22"/>
          <w:vertAlign w:val="superscript"/>
        </w:rPr>
        <w:t>4</w:t>
      </w:r>
      <w:r w:rsidRPr="007D0473">
        <w:rPr>
          <w:rFonts w:ascii="Arial" w:hAnsi="Arial"/>
          <w:sz w:val="22"/>
          <w:szCs w:val="22"/>
        </w:rPr>
        <w:t>, Victoria J Chalker</w:t>
      </w:r>
      <w:r w:rsidRPr="007D0473">
        <w:rPr>
          <w:rFonts w:ascii="Arial" w:hAnsi="Arial"/>
          <w:sz w:val="22"/>
          <w:szCs w:val="22"/>
          <w:vertAlign w:val="superscript"/>
        </w:rPr>
        <w:t>5</w:t>
      </w:r>
      <w:r w:rsidRPr="007D0473">
        <w:rPr>
          <w:rFonts w:ascii="Arial" w:hAnsi="Arial"/>
          <w:sz w:val="22"/>
          <w:szCs w:val="22"/>
        </w:rPr>
        <w:t xml:space="preserve"> and Owen B.</w:t>
      </w:r>
      <w:r w:rsidR="00796350" w:rsidRPr="007D0473">
        <w:rPr>
          <w:rFonts w:ascii="Arial" w:hAnsi="Arial"/>
          <w:sz w:val="22"/>
          <w:szCs w:val="22"/>
        </w:rPr>
        <w:t xml:space="preserve"> </w:t>
      </w:r>
      <w:r w:rsidRPr="007D0473">
        <w:rPr>
          <w:rFonts w:ascii="Arial" w:hAnsi="Arial"/>
          <w:sz w:val="22"/>
          <w:szCs w:val="22"/>
        </w:rPr>
        <w:t>Spiller</w:t>
      </w:r>
      <w:r w:rsidRPr="007D0473">
        <w:rPr>
          <w:rFonts w:ascii="Arial" w:hAnsi="Arial"/>
          <w:sz w:val="22"/>
          <w:szCs w:val="22"/>
          <w:vertAlign w:val="superscript"/>
        </w:rPr>
        <w:t>1,</w:t>
      </w:r>
      <w:r w:rsidR="005E7CB0" w:rsidRPr="007D0473">
        <w:rPr>
          <w:rFonts w:ascii="Arial" w:hAnsi="Arial"/>
          <w:sz w:val="22"/>
          <w:szCs w:val="22"/>
          <w:vertAlign w:val="superscript"/>
        </w:rPr>
        <w:t>5</w:t>
      </w:r>
      <w:r w:rsidRPr="007D0473">
        <w:rPr>
          <w:rFonts w:ascii="Arial" w:hAnsi="Arial"/>
          <w:sz w:val="22"/>
          <w:szCs w:val="22"/>
          <w:vertAlign w:val="superscript"/>
        </w:rPr>
        <w:t>#</w:t>
      </w:r>
    </w:p>
    <w:p w14:paraId="0C71BEAC" w14:textId="77777777" w:rsidR="0021211C" w:rsidRPr="007D0473" w:rsidRDefault="0021211C" w:rsidP="00DB7C46">
      <w:pPr>
        <w:spacing w:before="120" w:after="120" w:line="480" w:lineRule="auto"/>
        <w:rPr>
          <w:rFonts w:ascii="Arial" w:hAnsi="Arial"/>
          <w:sz w:val="22"/>
          <w:szCs w:val="22"/>
        </w:rPr>
      </w:pPr>
    </w:p>
    <w:p w14:paraId="02AC7CBE" w14:textId="77777777" w:rsidR="00CE240B" w:rsidRPr="007D0473" w:rsidRDefault="00CE240B" w:rsidP="00DB7C46">
      <w:pPr>
        <w:spacing w:before="120" w:after="120" w:line="480" w:lineRule="auto"/>
        <w:rPr>
          <w:rFonts w:ascii="Arial" w:hAnsi="Arial"/>
          <w:sz w:val="22"/>
          <w:szCs w:val="22"/>
        </w:rPr>
      </w:pPr>
      <w:r w:rsidRPr="007D0473">
        <w:rPr>
          <w:rFonts w:ascii="Arial" w:hAnsi="Arial"/>
          <w:sz w:val="22"/>
          <w:szCs w:val="22"/>
          <w:vertAlign w:val="superscript"/>
        </w:rPr>
        <w:t>1</w:t>
      </w:r>
      <w:r w:rsidRPr="007D0473">
        <w:rPr>
          <w:rFonts w:ascii="Arial" w:hAnsi="Arial"/>
          <w:sz w:val="22"/>
          <w:szCs w:val="22"/>
        </w:rPr>
        <w:t>Division of Infection and Immunity, School of Medicine, Cardiff University, Cardiff, UK</w:t>
      </w:r>
    </w:p>
    <w:p w14:paraId="2E3A379A" w14:textId="77777777" w:rsidR="00CE240B" w:rsidRPr="007D0473" w:rsidRDefault="00CE240B" w:rsidP="00DB7C46">
      <w:pPr>
        <w:spacing w:before="120" w:after="120" w:line="480" w:lineRule="auto"/>
        <w:rPr>
          <w:rFonts w:ascii="Arial" w:hAnsi="Arial"/>
          <w:sz w:val="22"/>
          <w:szCs w:val="22"/>
        </w:rPr>
      </w:pPr>
    </w:p>
    <w:p w14:paraId="0A73D9BB" w14:textId="77777777" w:rsidR="00CE240B" w:rsidRPr="007D0473" w:rsidRDefault="00CE240B" w:rsidP="00DB7C46">
      <w:pPr>
        <w:spacing w:before="120" w:after="120" w:line="480" w:lineRule="auto"/>
        <w:rPr>
          <w:rFonts w:ascii="Arial" w:hAnsi="Arial"/>
          <w:sz w:val="22"/>
          <w:szCs w:val="22"/>
        </w:rPr>
      </w:pPr>
      <w:r w:rsidRPr="007D0473">
        <w:rPr>
          <w:rFonts w:ascii="Arial" w:hAnsi="Arial"/>
          <w:sz w:val="22"/>
          <w:szCs w:val="22"/>
          <w:vertAlign w:val="superscript"/>
        </w:rPr>
        <w:t>2</w:t>
      </w:r>
      <w:r w:rsidRPr="007D0473">
        <w:rPr>
          <w:rFonts w:ascii="Arial" w:hAnsi="Arial"/>
          <w:sz w:val="22"/>
          <w:szCs w:val="22"/>
        </w:rPr>
        <w:t>Department of Infectious Disease Epidemiology, School of Public Health, Imperial College</w:t>
      </w:r>
      <w:r w:rsidR="0021211C" w:rsidRPr="007D0473">
        <w:rPr>
          <w:rFonts w:ascii="Arial" w:hAnsi="Arial"/>
          <w:sz w:val="22"/>
          <w:szCs w:val="22"/>
        </w:rPr>
        <w:t xml:space="preserve"> </w:t>
      </w:r>
      <w:r w:rsidRPr="007D0473">
        <w:rPr>
          <w:rFonts w:ascii="Arial" w:hAnsi="Arial"/>
          <w:sz w:val="22"/>
          <w:szCs w:val="22"/>
        </w:rPr>
        <w:t>London, UK</w:t>
      </w:r>
    </w:p>
    <w:p w14:paraId="197489B1" w14:textId="77777777" w:rsidR="00CE240B" w:rsidRPr="007D0473" w:rsidRDefault="00CE240B" w:rsidP="00DB7C46">
      <w:pPr>
        <w:spacing w:before="120" w:after="120" w:line="480" w:lineRule="auto"/>
        <w:rPr>
          <w:rFonts w:ascii="Arial" w:hAnsi="Arial"/>
          <w:sz w:val="22"/>
          <w:szCs w:val="22"/>
        </w:rPr>
      </w:pPr>
    </w:p>
    <w:p w14:paraId="26D30BF7" w14:textId="77777777" w:rsidR="00CE240B" w:rsidRPr="007D0473" w:rsidRDefault="00CE240B" w:rsidP="00DB7C46">
      <w:pPr>
        <w:spacing w:before="120" w:after="120" w:line="480" w:lineRule="auto"/>
        <w:rPr>
          <w:rFonts w:ascii="Arial" w:hAnsi="Arial"/>
          <w:sz w:val="22"/>
          <w:szCs w:val="22"/>
        </w:rPr>
      </w:pPr>
      <w:r w:rsidRPr="007D0473">
        <w:rPr>
          <w:rFonts w:ascii="Arial" w:hAnsi="Arial"/>
          <w:sz w:val="22"/>
          <w:szCs w:val="22"/>
          <w:vertAlign w:val="superscript"/>
        </w:rPr>
        <w:t>3</w:t>
      </w:r>
      <w:r w:rsidRPr="007D0473">
        <w:rPr>
          <w:rFonts w:ascii="Arial" w:hAnsi="Arial"/>
          <w:sz w:val="22"/>
          <w:szCs w:val="22"/>
        </w:rPr>
        <w:t>NIHR Health Protection Research Unit in Healthcare Associated Infections and Antimicrobial Resistance, Department of Infectious Disease, Faculty of Medicine, Imperial College London, London, United Kingdom.</w:t>
      </w:r>
    </w:p>
    <w:p w14:paraId="097ED335" w14:textId="77777777" w:rsidR="00CE240B" w:rsidRPr="007D0473" w:rsidRDefault="00CE240B" w:rsidP="00DB7C46">
      <w:pPr>
        <w:spacing w:before="120" w:after="120" w:line="480" w:lineRule="auto"/>
        <w:rPr>
          <w:rFonts w:ascii="Arial" w:hAnsi="Arial"/>
          <w:sz w:val="22"/>
          <w:szCs w:val="22"/>
        </w:rPr>
      </w:pPr>
    </w:p>
    <w:p w14:paraId="61794EE0" w14:textId="77777777" w:rsidR="00CE240B" w:rsidRPr="007D0473" w:rsidRDefault="00CE240B" w:rsidP="00DB7C46">
      <w:pPr>
        <w:spacing w:before="120" w:after="120" w:line="480" w:lineRule="auto"/>
        <w:rPr>
          <w:rFonts w:ascii="Arial" w:hAnsi="Arial"/>
          <w:sz w:val="22"/>
          <w:szCs w:val="22"/>
        </w:rPr>
      </w:pPr>
      <w:r w:rsidRPr="007D0473">
        <w:rPr>
          <w:rFonts w:ascii="Arial" w:hAnsi="Arial"/>
          <w:sz w:val="22"/>
          <w:szCs w:val="22"/>
          <w:vertAlign w:val="superscript"/>
        </w:rPr>
        <w:t>4</w:t>
      </w:r>
      <w:r w:rsidRPr="007D0473">
        <w:rPr>
          <w:rFonts w:ascii="Arial" w:hAnsi="Arial"/>
          <w:sz w:val="22"/>
          <w:szCs w:val="22"/>
        </w:rPr>
        <w:t>Systems Immunity University Research Institute and Division of Infection and Immunity,</w:t>
      </w:r>
      <w:r w:rsidR="0021211C" w:rsidRPr="007D0473">
        <w:rPr>
          <w:rFonts w:ascii="Arial" w:hAnsi="Arial"/>
          <w:sz w:val="22"/>
          <w:szCs w:val="22"/>
        </w:rPr>
        <w:t xml:space="preserve"> </w:t>
      </w:r>
      <w:r w:rsidRPr="007D0473">
        <w:rPr>
          <w:rFonts w:ascii="Arial" w:hAnsi="Arial"/>
          <w:sz w:val="22"/>
          <w:szCs w:val="22"/>
        </w:rPr>
        <w:t>School of Medicine, Cardiff University, Cardiff, UK</w:t>
      </w:r>
    </w:p>
    <w:p w14:paraId="05D3D12D" w14:textId="77777777" w:rsidR="00CE240B" w:rsidRPr="007D0473" w:rsidRDefault="00CE240B" w:rsidP="00DB7C46">
      <w:pPr>
        <w:spacing w:before="120" w:after="120" w:line="480" w:lineRule="auto"/>
        <w:rPr>
          <w:rFonts w:ascii="Arial" w:hAnsi="Arial"/>
          <w:sz w:val="22"/>
          <w:szCs w:val="22"/>
        </w:rPr>
      </w:pPr>
    </w:p>
    <w:p w14:paraId="2A0C711C" w14:textId="4A67D7BC" w:rsidR="00CE240B" w:rsidRPr="007D0473" w:rsidRDefault="00CE240B" w:rsidP="00DB7C46">
      <w:pPr>
        <w:spacing w:before="120" w:after="120" w:line="480" w:lineRule="auto"/>
        <w:rPr>
          <w:rFonts w:ascii="Arial" w:hAnsi="Arial"/>
          <w:sz w:val="22"/>
          <w:szCs w:val="22"/>
        </w:rPr>
      </w:pPr>
      <w:r w:rsidRPr="007D0473">
        <w:rPr>
          <w:rFonts w:ascii="Arial" w:hAnsi="Arial"/>
          <w:sz w:val="22"/>
          <w:szCs w:val="22"/>
          <w:vertAlign w:val="superscript"/>
        </w:rPr>
        <w:t>5</w:t>
      </w:r>
      <w:r w:rsidRPr="007D0473">
        <w:rPr>
          <w:rFonts w:ascii="Arial" w:hAnsi="Arial"/>
          <w:sz w:val="22"/>
          <w:szCs w:val="22"/>
        </w:rPr>
        <w:t xml:space="preserve">National Infection Service, </w:t>
      </w:r>
      <w:r w:rsidR="00D23EF4">
        <w:rPr>
          <w:rFonts w:ascii="Arial" w:hAnsi="Arial"/>
          <w:sz w:val="22"/>
          <w:szCs w:val="22"/>
        </w:rPr>
        <w:t>United Kingdom Health Security Agency</w:t>
      </w:r>
      <w:r w:rsidRPr="007D0473">
        <w:rPr>
          <w:rFonts w:ascii="Arial" w:hAnsi="Arial"/>
          <w:sz w:val="22"/>
          <w:szCs w:val="22"/>
        </w:rPr>
        <w:t xml:space="preserve">, </w:t>
      </w:r>
      <w:r w:rsidR="00D23EF4">
        <w:rPr>
          <w:rFonts w:ascii="Arial" w:hAnsi="Arial"/>
          <w:sz w:val="22"/>
          <w:szCs w:val="22"/>
        </w:rPr>
        <w:t xml:space="preserve">Colindale, </w:t>
      </w:r>
      <w:r w:rsidRPr="007D0473">
        <w:rPr>
          <w:rFonts w:ascii="Arial" w:hAnsi="Arial"/>
          <w:sz w:val="22"/>
          <w:szCs w:val="22"/>
        </w:rPr>
        <w:t>London, UK</w:t>
      </w:r>
    </w:p>
    <w:p w14:paraId="3A5BF6C5" w14:textId="18F8D32D" w:rsidR="00CE240B" w:rsidRPr="007D0473" w:rsidRDefault="00CE240B" w:rsidP="00DB7C46">
      <w:pPr>
        <w:spacing w:before="120" w:after="120" w:line="480" w:lineRule="auto"/>
        <w:rPr>
          <w:rFonts w:ascii="Arial" w:hAnsi="Arial"/>
          <w:sz w:val="22"/>
          <w:szCs w:val="22"/>
        </w:rPr>
      </w:pPr>
    </w:p>
    <w:p w14:paraId="1CCA2FE7" w14:textId="77777777" w:rsidR="00AF7558" w:rsidRPr="007D0473" w:rsidRDefault="00AF7558" w:rsidP="00DB7C46">
      <w:pPr>
        <w:spacing w:before="120" w:after="120" w:line="480" w:lineRule="auto"/>
        <w:rPr>
          <w:rFonts w:ascii="Arial" w:hAnsi="Arial"/>
          <w:sz w:val="22"/>
          <w:szCs w:val="22"/>
        </w:rPr>
      </w:pPr>
    </w:p>
    <w:p w14:paraId="7516B4DC" w14:textId="77777777" w:rsidR="00CE240B" w:rsidRPr="007D0473" w:rsidRDefault="00CE240B" w:rsidP="00DB7C46">
      <w:pPr>
        <w:spacing w:before="120" w:after="120" w:line="480" w:lineRule="auto"/>
        <w:rPr>
          <w:rFonts w:ascii="Arial" w:hAnsi="Arial"/>
          <w:sz w:val="22"/>
          <w:szCs w:val="22"/>
        </w:rPr>
      </w:pPr>
      <w:r w:rsidRPr="007D0473">
        <w:rPr>
          <w:rFonts w:ascii="Arial" w:hAnsi="Arial"/>
          <w:sz w:val="22"/>
          <w:szCs w:val="22"/>
        </w:rPr>
        <w:t>*</w:t>
      </w:r>
      <w:proofErr w:type="gramStart"/>
      <w:r w:rsidRPr="007D0473">
        <w:rPr>
          <w:rFonts w:ascii="Arial" w:hAnsi="Arial"/>
          <w:sz w:val="22"/>
          <w:szCs w:val="22"/>
        </w:rPr>
        <w:t>these</w:t>
      </w:r>
      <w:proofErr w:type="gramEnd"/>
      <w:r w:rsidRPr="007D0473">
        <w:rPr>
          <w:rFonts w:ascii="Arial" w:hAnsi="Arial"/>
          <w:sz w:val="22"/>
          <w:szCs w:val="22"/>
        </w:rPr>
        <w:t xml:space="preserve"> </w:t>
      </w:r>
      <w:r w:rsidR="0058695C" w:rsidRPr="007D0473">
        <w:rPr>
          <w:rFonts w:ascii="Arial" w:hAnsi="Arial"/>
          <w:sz w:val="22"/>
          <w:szCs w:val="22"/>
        </w:rPr>
        <w:t xml:space="preserve">authors contributed equally and are </w:t>
      </w:r>
      <w:r w:rsidRPr="007D0473">
        <w:rPr>
          <w:rFonts w:ascii="Arial" w:hAnsi="Arial"/>
          <w:sz w:val="22"/>
          <w:szCs w:val="22"/>
        </w:rPr>
        <w:t xml:space="preserve">first </w:t>
      </w:r>
      <w:r w:rsidR="0058695C" w:rsidRPr="007D0473">
        <w:rPr>
          <w:rFonts w:ascii="Arial" w:hAnsi="Arial"/>
          <w:sz w:val="22"/>
          <w:szCs w:val="22"/>
        </w:rPr>
        <w:t>co-</w:t>
      </w:r>
      <w:r w:rsidRPr="007D0473">
        <w:rPr>
          <w:rFonts w:ascii="Arial" w:hAnsi="Arial"/>
          <w:sz w:val="22"/>
          <w:szCs w:val="22"/>
        </w:rPr>
        <w:t>authors</w:t>
      </w:r>
    </w:p>
    <w:p w14:paraId="03255F33" w14:textId="77777777" w:rsidR="00CE240B" w:rsidRPr="007D0473" w:rsidRDefault="00CE240B" w:rsidP="00DB7C46">
      <w:pPr>
        <w:spacing w:before="120" w:after="120" w:line="480" w:lineRule="auto"/>
        <w:rPr>
          <w:rFonts w:ascii="Arial" w:hAnsi="Arial"/>
          <w:sz w:val="22"/>
          <w:szCs w:val="22"/>
        </w:rPr>
      </w:pPr>
    </w:p>
    <w:p w14:paraId="4BC1E3FE" w14:textId="34838D40" w:rsidR="00CE240B" w:rsidRPr="007D0473" w:rsidRDefault="00CE240B" w:rsidP="00DB7C46">
      <w:pPr>
        <w:spacing w:before="120" w:after="120" w:line="480" w:lineRule="auto"/>
        <w:rPr>
          <w:rFonts w:ascii="Arial" w:hAnsi="Arial"/>
          <w:sz w:val="22"/>
          <w:szCs w:val="22"/>
        </w:rPr>
      </w:pPr>
      <w:r w:rsidRPr="007D0473">
        <w:rPr>
          <w:rFonts w:ascii="Arial" w:hAnsi="Arial"/>
          <w:sz w:val="22"/>
          <w:szCs w:val="22"/>
          <w:vertAlign w:val="superscript"/>
        </w:rPr>
        <w:lastRenderedPageBreak/>
        <w:t>#</w:t>
      </w:r>
      <w:r w:rsidRPr="007D0473">
        <w:rPr>
          <w:rFonts w:ascii="Arial" w:hAnsi="Arial"/>
          <w:sz w:val="22"/>
          <w:szCs w:val="22"/>
        </w:rPr>
        <w:t>Correspond</w:t>
      </w:r>
      <w:r w:rsidR="006C0190" w:rsidRPr="007D0473">
        <w:rPr>
          <w:rFonts w:ascii="Arial" w:hAnsi="Arial"/>
          <w:sz w:val="22"/>
          <w:szCs w:val="22"/>
        </w:rPr>
        <w:t>ing author</w:t>
      </w:r>
      <w:r w:rsidRPr="007D0473">
        <w:rPr>
          <w:rFonts w:ascii="Arial" w:hAnsi="Arial"/>
          <w:sz w:val="22"/>
          <w:szCs w:val="22"/>
        </w:rPr>
        <w:t>: Dr Brad Spiller, Division of Infection and Immunity School of Medicine,</w:t>
      </w:r>
      <w:r w:rsidR="0075442D" w:rsidRPr="007D0473">
        <w:rPr>
          <w:rFonts w:ascii="Arial" w:hAnsi="Arial"/>
          <w:sz w:val="22"/>
          <w:szCs w:val="22"/>
        </w:rPr>
        <w:t xml:space="preserve"> </w:t>
      </w:r>
      <w:r w:rsidRPr="007D0473">
        <w:rPr>
          <w:rFonts w:ascii="Arial" w:hAnsi="Arial"/>
          <w:sz w:val="22"/>
          <w:szCs w:val="22"/>
        </w:rPr>
        <w:t xml:space="preserve">Cardiff University, Cardiff, UK CF14 4XN; email: </w:t>
      </w:r>
      <w:hyperlink r:id="rId11" w:history="1">
        <w:r w:rsidR="00F75360" w:rsidRPr="007D0473">
          <w:rPr>
            <w:rStyle w:val="Hyperlink"/>
            <w:rFonts w:ascii="Arial" w:hAnsi="Arial"/>
            <w:sz w:val="22"/>
            <w:szCs w:val="22"/>
          </w:rPr>
          <w:t>spillerb@cardiff.ac.uk</w:t>
        </w:r>
      </w:hyperlink>
    </w:p>
    <w:p w14:paraId="4A0E0BE6" w14:textId="63D41A47" w:rsidR="00AF7558" w:rsidRPr="007D0473" w:rsidRDefault="001816F5" w:rsidP="00DB7C46">
      <w:pPr>
        <w:spacing w:before="120" w:after="120" w:line="480" w:lineRule="auto"/>
        <w:rPr>
          <w:rFonts w:ascii="Arial" w:hAnsi="Arial"/>
          <w:sz w:val="22"/>
          <w:szCs w:val="22"/>
        </w:rPr>
      </w:pPr>
      <w:r w:rsidRPr="007D0473">
        <w:rPr>
          <w:rFonts w:ascii="Arial" w:hAnsi="Arial"/>
          <w:sz w:val="22"/>
          <w:szCs w:val="22"/>
          <w:vertAlign w:val="superscript"/>
        </w:rPr>
        <w:t>#</w:t>
      </w:r>
      <w:r w:rsidR="00AF7558" w:rsidRPr="007D0473">
        <w:rPr>
          <w:rFonts w:ascii="Arial" w:hAnsi="Arial"/>
          <w:sz w:val="22"/>
          <w:szCs w:val="22"/>
        </w:rPr>
        <w:t>Alternate</w:t>
      </w:r>
      <w:r w:rsidR="006C0190" w:rsidRPr="007D0473">
        <w:rPr>
          <w:rFonts w:ascii="Arial" w:hAnsi="Arial"/>
          <w:sz w:val="22"/>
          <w:szCs w:val="22"/>
        </w:rPr>
        <w:t xml:space="preserve"> corresponding author: Dr Elita Jauneikaite, Department of Infectious Disease Epidemiology, School of Public Health, Imperial College London; email: e.jauneikaite@imperial.ac.uk</w:t>
      </w:r>
    </w:p>
    <w:p w14:paraId="39028B26" w14:textId="77777777" w:rsidR="00AF7558" w:rsidRPr="007D0473" w:rsidRDefault="00AF7558" w:rsidP="00DB7C46">
      <w:pPr>
        <w:spacing w:before="120" w:after="120" w:line="480" w:lineRule="auto"/>
        <w:ind w:right="388"/>
        <w:jc w:val="both"/>
        <w:textAlignment w:val="baseline"/>
        <w:rPr>
          <w:rFonts w:ascii="Arial" w:hAnsi="Arial"/>
          <w:sz w:val="22"/>
          <w:szCs w:val="22"/>
          <w:vertAlign w:val="superscript"/>
        </w:rPr>
      </w:pPr>
    </w:p>
    <w:p w14:paraId="3CE3F615" w14:textId="6AE6F2EE" w:rsidR="00AF7558" w:rsidRPr="007D0473" w:rsidRDefault="00AF7558" w:rsidP="00DB7C46">
      <w:pPr>
        <w:spacing w:before="120" w:after="120" w:line="480" w:lineRule="auto"/>
        <w:ind w:right="388"/>
        <w:jc w:val="both"/>
        <w:textAlignment w:val="baseline"/>
        <w:rPr>
          <w:rFonts w:ascii="Arial" w:eastAsia="Times New Roman" w:hAnsi="Arial"/>
          <w:color w:val="000000" w:themeColor="text1"/>
          <w:sz w:val="22"/>
          <w:szCs w:val="22"/>
        </w:rPr>
      </w:pPr>
      <w:proofErr w:type="spellStart"/>
      <w:r w:rsidRPr="007D0473">
        <w:rPr>
          <w:rFonts w:ascii="Arial" w:hAnsi="Arial"/>
          <w:sz w:val="22"/>
          <w:szCs w:val="22"/>
          <w:vertAlign w:val="superscript"/>
        </w:rPr>
        <w:t>a</w:t>
      </w:r>
      <w:r w:rsidRPr="007D0473">
        <w:rPr>
          <w:rFonts w:ascii="Arial" w:hAnsi="Arial"/>
          <w:sz w:val="22"/>
          <w:szCs w:val="22"/>
        </w:rPr>
        <w:t>current</w:t>
      </w:r>
      <w:proofErr w:type="spellEnd"/>
      <w:r w:rsidRPr="007D0473">
        <w:rPr>
          <w:rFonts w:ascii="Arial" w:hAnsi="Arial"/>
          <w:sz w:val="22"/>
          <w:szCs w:val="22"/>
        </w:rPr>
        <w:t xml:space="preserve"> address: </w:t>
      </w:r>
      <w:r w:rsidRPr="007D0473">
        <w:rPr>
          <w:rFonts w:ascii="Arial" w:hAnsi="Arial"/>
          <w:color w:val="000000" w:themeColor="text1"/>
          <w:sz w:val="22"/>
          <w:szCs w:val="22"/>
        </w:rPr>
        <w:t xml:space="preserve">Parasites and Microbes, </w:t>
      </w:r>
      <w:proofErr w:type="spellStart"/>
      <w:r w:rsidRPr="007D0473">
        <w:rPr>
          <w:rFonts w:ascii="Arial" w:hAnsi="Arial"/>
          <w:color w:val="000000" w:themeColor="text1"/>
          <w:sz w:val="22"/>
          <w:szCs w:val="22"/>
        </w:rPr>
        <w:t>Wellcome</w:t>
      </w:r>
      <w:proofErr w:type="spellEnd"/>
      <w:r w:rsidRPr="007D0473">
        <w:rPr>
          <w:rFonts w:ascii="Arial" w:hAnsi="Arial"/>
          <w:color w:val="000000" w:themeColor="text1"/>
          <w:sz w:val="22"/>
          <w:szCs w:val="22"/>
        </w:rPr>
        <w:t xml:space="preserve"> Sanger Institute, </w:t>
      </w:r>
      <w:proofErr w:type="spellStart"/>
      <w:r w:rsidRPr="007D0473">
        <w:rPr>
          <w:rFonts w:ascii="Arial" w:hAnsi="Arial"/>
          <w:color w:val="000000" w:themeColor="text1"/>
          <w:sz w:val="22"/>
          <w:szCs w:val="22"/>
        </w:rPr>
        <w:t>Wellcome</w:t>
      </w:r>
      <w:proofErr w:type="spellEnd"/>
      <w:r w:rsidRPr="007D0473">
        <w:rPr>
          <w:rFonts w:ascii="Arial" w:hAnsi="Arial"/>
          <w:color w:val="000000" w:themeColor="text1"/>
          <w:sz w:val="22"/>
          <w:szCs w:val="22"/>
        </w:rPr>
        <w:t xml:space="preserve"> Genome Campus, </w:t>
      </w:r>
      <w:proofErr w:type="spellStart"/>
      <w:r w:rsidRPr="007D0473">
        <w:rPr>
          <w:rFonts w:ascii="Arial" w:hAnsi="Arial"/>
          <w:color w:val="000000" w:themeColor="text1"/>
          <w:sz w:val="22"/>
          <w:szCs w:val="22"/>
        </w:rPr>
        <w:t>Hinxton</w:t>
      </w:r>
      <w:proofErr w:type="spellEnd"/>
      <w:r w:rsidRPr="007D0473">
        <w:rPr>
          <w:rFonts w:ascii="Arial" w:hAnsi="Arial"/>
          <w:color w:val="000000" w:themeColor="text1"/>
          <w:sz w:val="22"/>
          <w:szCs w:val="22"/>
        </w:rPr>
        <w:t xml:space="preserve"> CB10 1SA, United Kingdom</w:t>
      </w:r>
    </w:p>
    <w:p w14:paraId="611A5B3F" w14:textId="77777777" w:rsidR="00CE240B" w:rsidRPr="007D0473" w:rsidRDefault="00CE240B" w:rsidP="00DB7C46">
      <w:pPr>
        <w:spacing w:before="120" w:after="120" w:line="480" w:lineRule="auto"/>
        <w:rPr>
          <w:rFonts w:ascii="Arial" w:hAnsi="Arial"/>
          <w:sz w:val="22"/>
          <w:szCs w:val="22"/>
        </w:rPr>
      </w:pPr>
    </w:p>
    <w:p w14:paraId="0EE7BE8A" w14:textId="16093FBF" w:rsidR="00C869E0" w:rsidRPr="007D0473" w:rsidRDefault="00BB05AD" w:rsidP="00DB7C46">
      <w:pPr>
        <w:spacing w:before="120" w:after="120" w:line="480" w:lineRule="auto"/>
        <w:rPr>
          <w:rFonts w:ascii="Arial" w:hAnsi="Arial"/>
          <w:sz w:val="22"/>
          <w:szCs w:val="22"/>
        </w:rPr>
      </w:pPr>
      <w:r w:rsidRPr="007D0473">
        <w:rPr>
          <w:rFonts w:ascii="Arial" w:hAnsi="Arial"/>
          <w:b/>
          <w:bCs/>
          <w:sz w:val="22"/>
          <w:szCs w:val="22"/>
        </w:rPr>
        <w:t>Keywords:</w:t>
      </w:r>
      <w:r w:rsidRPr="007D0473">
        <w:rPr>
          <w:rFonts w:ascii="Arial" w:hAnsi="Arial"/>
          <w:sz w:val="22"/>
          <w:szCs w:val="22"/>
        </w:rPr>
        <w:t xml:space="preserve"> Group B Streptococcus, epidemiology, capsular serotype, MLST, whole genome sequencing </w:t>
      </w:r>
      <w:r w:rsidR="00C869E0" w:rsidRPr="007D0473">
        <w:rPr>
          <w:rFonts w:ascii="Arial" w:hAnsi="Arial"/>
          <w:sz w:val="22"/>
          <w:szCs w:val="22"/>
        </w:rPr>
        <w:br w:type="page"/>
      </w:r>
    </w:p>
    <w:p w14:paraId="6B857F35" w14:textId="77777777" w:rsidR="00BD5D2F" w:rsidRPr="007D0473" w:rsidRDefault="00285731" w:rsidP="00DB7C46">
      <w:pPr>
        <w:spacing w:before="120" w:after="120" w:line="480" w:lineRule="auto"/>
        <w:rPr>
          <w:rFonts w:ascii="Arial" w:hAnsi="Arial"/>
          <w:b/>
          <w:bCs/>
          <w:sz w:val="22"/>
          <w:szCs w:val="22"/>
        </w:rPr>
      </w:pPr>
      <w:r w:rsidRPr="007D0473">
        <w:rPr>
          <w:rFonts w:ascii="Arial" w:hAnsi="Arial"/>
          <w:b/>
          <w:bCs/>
          <w:sz w:val="22"/>
          <w:szCs w:val="22"/>
        </w:rPr>
        <w:lastRenderedPageBreak/>
        <w:t>Abstract</w:t>
      </w:r>
    </w:p>
    <w:p w14:paraId="6D37B176" w14:textId="4640CA9B" w:rsidR="00A3580F" w:rsidRPr="007D0473" w:rsidRDefault="7F67B4B8" w:rsidP="00DB7C46">
      <w:pPr>
        <w:tabs>
          <w:tab w:val="left" w:pos="142"/>
        </w:tabs>
        <w:spacing w:before="120" w:after="120" w:line="480" w:lineRule="auto"/>
        <w:rPr>
          <w:rFonts w:ascii="Arial" w:hAnsi="Arial"/>
          <w:sz w:val="22"/>
          <w:szCs w:val="22"/>
        </w:rPr>
      </w:pPr>
      <w:r w:rsidRPr="007D0473">
        <w:rPr>
          <w:rFonts w:ascii="Arial" w:hAnsi="Arial"/>
          <w:sz w:val="22"/>
          <w:szCs w:val="22"/>
        </w:rPr>
        <w:t xml:space="preserve">Cases of invasive Group B Streptococcal infections in </w:t>
      </w:r>
      <w:r w:rsidR="37638773" w:rsidRPr="007D0473">
        <w:rPr>
          <w:rFonts w:ascii="Arial" w:hAnsi="Arial"/>
          <w:sz w:val="22"/>
          <w:szCs w:val="22"/>
        </w:rPr>
        <w:t xml:space="preserve">the </w:t>
      </w:r>
      <w:r w:rsidRPr="007D0473">
        <w:rPr>
          <w:rFonts w:ascii="Arial" w:hAnsi="Arial"/>
          <w:sz w:val="22"/>
          <w:szCs w:val="22"/>
        </w:rPr>
        <w:t xml:space="preserve">adult </w:t>
      </w:r>
      <w:r w:rsidR="37638773" w:rsidRPr="007D0473">
        <w:rPr>
          <w:rFonts w:ascii="Arial" w:hAnsi="Arial"/>
          <w:sz w:val="22"/>
          <w:szCs w:val="22"/>
        </w:rPr>
        <w:t xml:space="preserve">UK </w:t>
      </w:r>
      <w:r w:rsidRPr="007D0473">
        <w:rPr>
          <w:rFonts w:ascii="Arial" w:hAnsi="Arial"/>
          <w:sz w:val="22"/>
          <w:szCs w:val="22"/>
        </w:rPr>
        <w:t>population ha</w:t>
      </w:r>
      <w:r w:rsidR="00F86D30" w:rsidRPr="007D0473">
        <w:rPr>
          <w:rFonts w:ascii="Arial" w:hAnsi="Arial"/>
          <w:sz w:val="22"/>
          <w:szCs w:val="22"/>
        </w:rPr>
        <w:t>ve</w:t>
      </w:r>
      <w:r w:rsidRPr="007D0473">
        <w:rPr>
          <w:rFonts w:ascii="Arial" w:hAnsi="Arial"/>
          <w:sz w:val="22"/>
          <w:szCs w:val="22"/>
        </w:rPr>
        <w:t xml:space="preserve"> steadily increas</w:t>
      </w:r>
      <w:r w:rsidR="37638773" w:rsidRPr="007D0473">
        <w:rPr>
          <w:rFonts w:ascii="Arial" w:hAnsi="Arial"/>
          <w:sz w:val="22"/>
          <w:szCs w:val="22"/>
        </w:rPr>
        <w:t>ed</w:t>
      </w:r>
      <w:r w:rsidRPr="007D0473">
        <w:rPr>
          <w:rFonts w:ascii="Arial" w:hAnsi="Arial"/>
          <w:sz w:val="22"/>
          <w:szCs w:val="22"/>
        </w:rPr>
        <w:t xml:space="preserve"> over </w:t>
      </w:r>
      <w:r w:rsidR="37638773" w:rsidRPr="007D0473">
        <w:rPr>
          <w:rFonts w:ascii="Arial" w:hAnsi="Arial"/>
          <w:sz w:val="22"/>
          <w:szCs w:val="22"/>
        </w:rPr>
        <w:t xml:space="preserve">recent </w:t>
      </w:r>
      <w:r w:rsidRPr="007D0473">
        <w:rPr>
          <w:rFonts w:ascii="Arial" w:hAnsi="Arial"/>
          <w:sz w:val="22"/>
          <w:szCs w:val="22"/>
        </w:rPr>
        <w:t>years</w:t>
      </w:r>
      <w:r w:rsidR="30A328A3" w:rsidRPr="007D0473">
        <w:rPr>
          <w:rFonts w:ascii="Arial" w:hAnsi="Arial"/>
          <w:sz w:val="22"/>
          <w:szCs w:val="22"/>
        </w:rPr>
        <w:t xml:space="preserve">, with most common serotypes being V, III and </w:t>
      </w:r>
      <w:proofErr w:type="spellStart"/>
      <w:r w:rsidR="30A328A3" w:rsidRPr="007D0473">
        <w:rPr>
          <w:rFonts w:ascii="Arial" w:hAnsi="Arial"/>
          <w:sz w:val="22"/>
          <w:szCs w:val="22"/>
        </w:rPr>
        <w:t>Ia</w:t>
      </w:r>
      <w:proofErr w:type="spellEnd"/>
      <w:r w:rsidR="46C54F28" w:rsidRPr="007D0473">
        <w:rPr>
          <w:rFonts w:ascii="Arial" w:hAnsi="Arial"/>
          <w:sz w:val="22"/>
          <w:szCs w:val="22"/>
        </w:rPr>
        <w:t xml:space="preserve">, but less is known of the genetic background of these strains. </w:t>
      </w:r>
      <w:r w:rsidR="1304B967" w:rsidRPr="007D0473">
        <w:rPr>
          <w:rFonts w:ascii="Arial" w:hAnsi="Arial"/>
          <w:sz w:val="22"/>
          <w:szCs w:val="22"/>
        </w:rPr>
        <w:t xml:space="preserve">We have carried out in-depth analysis of whole genome sequences of 193 clinically important GBS isolates (186 were from invasive and 7 were from non-invasive </w:t>
      </w:r>
      <w:r w:rsidR="11AD25D9" w:rsidRPr="007D0473">
        <w:rPr>
          <w:rFonts w:ascii="Arial" w:hAnsi="Arial"/>
          <w:sz w:val="22"/>
          <w:szCs w:val="22"/>
        </w:rPr>
        <w:t>infection</w:t>
      </w:r>
      <w:r w:rsidR="1304B967" w:rsidRPr="007D0473">
        <w:rPr>
          <w:rFonts w:ascii="Arial" w:hAnsi="Arial"/>
          <w:sz w:val="22"/>
          <w:szCs w:val="22"/>
        </w:rPr>
        <w:t xml:space="preserve">) isolated from adults and submitted to the </w:t>
      </w:r>
      <w:r w:rsidR="37638773" w:rsidRPr="007D0473">
        <w:rPr>
          <w:rFonts w:ascii="Arial" w:hAnsi="Arial"/>
          <w:sz w:val="22"/>
          <w:szCs w:val="22"/>
        </w:rPr>
        <w:t xml:space="preserve">National Reference Laboratory </w:t>
      </w:r>
      <w:r w:rsidR="1304B967" w:rsidRPr="007D0473">
        <w:rPr>
          <w:rFonts w:ascii="Arial" w:hAnsi="Arial"/>
          <w:sz w:val="22"/>
          <w:szCs w:val="22"/>
        </w:rPr>
        <w:t xml:space="preserve">at </w:t>
      </w:r>
      <w:r w:rsidR="00597EFB">
        <w:rPr>
          <w:rFonts w:ascii="Arial" w:hAnsi="Arial"/>
          <w:sz w:val="22"/>
          <w:szCs w:val="22"/>
        </w:rPr>
        <w:t>UK Health Security Agency</w:t>
      </w:r>
      <w:r w:rsidR="1304B967" w:rsidRPr="007D0473">
        <w:rPr>
          <w:rFonts w:ascii="Arial" w:hAnsi="Arial"/>
          <w:sz w:val="22"/>
          <w:szCs w:val="22"/>
        </w:rPr>
        <w:t xml:space="preserve"> between January 2014 and December 2015. We have determined that capsular serotypes III (26.8%), </w:t>
      </w:r>
      <w:proofErr w:type="spellStart"/>
      <w:r w:rsidR="1304B967" w:rsidRPr="007D0473">
        <w:rPr>
          <w:rFonts w:ascii="Arial" w:hAnsi="Arial"/>
          <w:sz w:val="22"/>
          <w:szCs w:val="22"/>
        </w:rPr>
        <w:t>Ia</w:t>
      </w:r>
      <w:proofErr w:type="spellEnd"/>
      <w:r w:rsidR="1304B967" w:rsidRPr="007D0473">
        <w:rPr>
          <w:rFonts w:ascii="Arial" w:hAnsi="Arial"/>
          <w:sz w:val="22"/>
          <w:szCs w:val="22"/>
        </w:rPr>
        <w:t xml:space="preserve"> (26.2%) and V (14.9%) were </w:t>
      </w:r>
      <w:proofErr w:type="gramStart"/>
      <w:r w:rsidR="1304B967" w:rsidRPr="007D0473">
        <w:rPr>
          <w:rFonts w:ascii="Arial" w:hAnsi="Arial"/>
          <w:sz w:val="22"/>
          <w:szCs w:val="22"/>
        </w:rPr>
        <w:t xml:space="preserve">most commonly </w:t>
      </w:r>
      <w:r w:rsidR="37638773" w:rsidRPr="007D0473">
        <w:rPr>
          <w:rFonts w:ascii="Arial" w:hAnsi="Arial"/>
          <w:sz w:val="22"/>
          <w:szCs w:val="22"/>
        </w:rPr>
        <w:t>identified</w:t>
      </w:r>
      <w:proofErr w:type="gramEnd"/>
      <w:r w:rsidR="1304B967" w:rsidRPr="007D0473">
        <w:rPr>
          <w:rFonts w:ascii="Arial" w:hAnsi="Arial"/>
          <w:sz w:val="22"/>
          <w:szCs w:val="22"/>
        </w:rPr>
        <w:t>, with slight differences in gender and age distribution. Most isolates (n=185) grouped to 5 clonal complexes: CC1, CC8, CC17, CC19 and CC23 with common associations between specific serotypes and virulence genes.</w:t>
      </w:r>
      <w:r w:rsidR="2939AD1F" w:rsidRPr="007D0473">
        <w:rPr>
          <w:rFonts w:ascii="Arial" w:hAnsi="Arial"/>
          <w:sz w:val="22"/>
          <w:szCs w:val="22"/>
        </w:rPr>
        <w:t xml:space="preserve"> Additionally, we have identified </w:t>
      </w:r>
      <w:r w:rsidR="09867E94" w:rsidRPr="007D0473">
        <w:rPr>
          <w:rFonts w:ascii="Arial" w:hAnsi="Arial"/>
          <w:sz w:val="22"/>
          <w:szCs w:val="22"/>
        </w:rPr>
        <w:t>l</w:t>
      </w:r>
      <w:r w:rsidR="6F2B0C34" w:rsidRPr="007D0473">
        <w:rPr>
          <w:rFonts w:ascii="Arial" w:hAnsi="Arial"/>
          <w:sz w:val="22"/>
          <w:szCs w:val="22"/>
        </w:rPr>
        <w:t xml:space="preserve">arge recombination events mediating </w:t>
      </w:r>
      <w:r w:rsidR="07162320" w:rsidRPr="007D0473">
        <w:rPr>
          <w:rFonts w:ascii="Arial" w:hAnsi="Arial"/>
          <w:sz w:val="22"/>
          <w:szCs w:val="22"/>
        </w:rPr>
        <w:t xml:space="preserve">potential </w:t>
      </w:r>
      <w:r w:rsidR="6F2B0C34" w:rsidRPr="007D0473">
        <w:rPr>
          <w:rFonts w:ascii="Arial" w:hAnsi="Arial"/>
          <w:sz w:val="22"/>
          <w:szCs w:val="22"/>
        </w:rPr>
        <w:t xml:space="preserve">capsular switching </w:t>
      </w:r>
      <w:r w:rsidR="06B7F426" w:rsidRPr="007D0473">
        <w:rPr>
          <w:rFonts w:ascii="Arial" w:hAnsi="Arial"/>
          <w:sz w:val="22"/>
          <w:szCs w:val="22"/>
        </w:rPr>
        <w:t>events between</w:t>
      </w:r>
      <w:r w:rsidR="2939AD1F" w:rsidRPr="007D0473">
        <w:rPr>
          <w:rFonts w:ascii="Arial" w:hAnsi="Arial"/>
          <w:sz w:val="22"/>
          <w:szCs w:val="22"/>
        </w:rPr>
        <w:t xml:space="preserve"> ST</w:t>
      </w:r>
      <w:r w:rsidR="6F2B0C34" w:rsidRPr="007D0473">
        <w:rPr>
          <w:rFonts w:ascii="Arial" w:hAnsi="Arial"/>
          <w:sz w:val="22"/>
          <w:szCs w:val="22"/>
        </w:rPr>
        <w:t>1</w:t>
      </w:r>
      <w:r w:rsidR="00B04AA3">
        <w:rPr>
          <w:rFonts w:ascii="Arial" w:hAnsi="Arial"/>
          <w:sz w:val="22"/>
          <w:szCs w:val="22"/>
        </w:rPr>
        <w:t xml:space="preserve"> </w:t>
      </w:r>
      <w:r w:rsidR="6F2B0C34" w:rsidRPr="007D0473">
        <w:rPr>
          <w:rFonts w:ascii="Arial" w:hAnsi="Arial"/>
          <w:sz w:val="22"/>
          <w:szCs w:val="22"/>
        </w:rPr>
        <w:t xml:space="preserve">serotype V </w:t>
      </w:r>
      <w:r w:rsidR="2939AD1F" w:rsidRPr="007D0473">
        <w:rPr>
          <w:rFonts w:ascii="Arial" w:hAnsi="Arial"/>
          <w:sz w:val="22"/>
          <w:szCs w:val="22"/>
        </w:rPr>
        <w:t>and</w:t>
      </w:r>
      <w:r w:rsidR="6F2B0C34" w:rsidRPr="007D0473">
        <w:rPr>
          <w:rFonts w:ascii="Arial" w:hAnsi="Arial"/>
          <w:sz w:val="22"/>
          <w:szCs w:val="22"/>
        </w:rPr>
        <w:t xml:space="preserve"> serotype</w:t>
      </w:r>
      <w:r w:rsidR="67034E59" w:rsidRPr="007D0473">
        <w:rPr>
          <w:rFonts w:ascii="Arial" w:hAnsi="Arial"/>
          <w:sz w:val="22"/>
          <w:szCs w:val="22"/>
        </w:rPr>
        <w:t>s</w:t>
      </w:r>
      <w:r w:rsidR="6F2B0C34" w:rsidRPr="007D0473">
        <w:rPr>
          <w:rFonts w:ascii="Arial" w:hAnsi="Arial"/>
          <w:sz w:val="22"/>
          <w:szCs w:val="22"/>
        </w:rPr>
        <w:t xml:space="preserve"> </w:t>
      </w:r>
      <w:proofErr w:type="spellStart"/>
      <w:r w:rsidR="6F2B0C34" w:rsidRPr="007D0473">
        <w:rPr>
          <w:rFonts w:ascii="Arial" w:hAnsi="Arial"/>
          <w:sz w:val="22"/>
          <w:szCs w:val="22"/>
        </w:rPr>
        <w:t>Ib</w:t>
      </w:r>
      <w:proofErr w:type="spellEnd"/>
      <w:r w:rsidR="6F2B0C34" w:rsidRPr="007D0473">
        <w:rPr>
          <w:rFonts w:ascii="Arial" w:hAnsi="Arial"/>
          <w:sz w:val="22"/>
          <w:szCs w:val="22"/>
        </w:rPr>
        <w:t xml:space="preserve"> (n=2</w:t>
      </w:r>
      <w:r w:rsidR="75B71164" w:rsidRPr="007D0473">
        <w:rPr>
          <w:rFonts w:ascii="Arial" w:hAnsi="Arial"/>
          <w:sz w:val="22"/>
          <w:szCs w:val="22"/>
        </w:rPr>
        <w:t xml:space="preserve"> isolates</w:t>
      </w:r>
      <w:r w:rsidR="6F2B0C34" w:rsidRPr="007D0473">
        <w:rPr>
          <w:rFonts w:ascii="Arial" w:hAnsi="Arial"/>
          <w:sz w:val="22"/>
          <w:szCs w:val="22"/>
        </w:rPr>
        <w:t>), II (n=2</w:t>
      </w:r>
      <w:r w:rsidR="75B71164" w:rsidRPr="007D0473">
        <w:rPr>
          <w:rFonts w:ascii="Arial" w:hAnsi="Arial"/>
          <w:sz w:val="22"/>
          <w:szCs w:val="22"/>
        </w:rPr>
        <w:t xml:space="preserve"> isolates</w:t>
      </w:r>
      <w:r w:rsidR="6F2B0C34" w:rsidRPr="007D0473">
        <w:rPr>
          <w:rFonts w:ascii="Arial" w:hAnsi="Arial"/>
          <w:sz w:val="22"/>
          <w:szCs w:val="22"/>
        </w:rPr>
        <w:t>) and VI (n=2</w:t>
      </w:r>
      <w:r w:rsidR="75B71164" w:rsidRPr="007D0473">
        <w:rPr>
          <w:rFonts w:ascii="Arial" w:hAnsi="Arial"/>
          <w:sz w:val="22"/>
          <w:szCs w:val="22"/>
        </w:rPr>
        <w:t xml:space="preserve"> isolates</w:t>
      </w:r>
      <w:r w:rsidR="6F2B0C34" w:rsidRPr="007D0473">
        <w:rPr>
          <w:rFonts w:ascii="Arial" w:hAnsi="Arial"/>
          <w:sz w:val="22"/>
          <w:szCs w:val="22"/>
        </w:rPr>
        <w:t>);</w:t>
      </w:r>
      <w:r w:rsidR="4B94E049" w:rsidRPr="007D0473">
        <w:rPr>
          <w:rFonts w:ascii="Arial" w:hAnsi="Arial"/>
          <w:sz w:val="22"/>
          <w:szCs w:val="22"/>
        </w:rPr>
        <w:t xml:space="preserve"> ST</w:t>
      </w:r>
      <w:r w:rsidR="6F2B0C34" w:rsidRPr="007D0473">
        <w:rPr>
          <w:rFonts w:ascii="Arial" w:hAnsi="Arial"/>
          <w:sz w:val="22"/>
          <w:szCs w:val="22"/>
        </w:rPr>
        <w:t>19</w:t>
      </w:r>
      <w:r w:rsidR="00B04AA3">
        <w:rPr>
          <w:rFonts w:ascii="Arial" w:hAnsi="Arial"/>
          <w:sz w:val="22"/>
          <w:szCs w:val="22"/>
        </w:rPr>
        <w:t xml:space="preserve"> </w:t>
      </w:r>
      <w:r w:rsidR="6F2B0C34" w:rsidRPr="007D0473">
        <w:rPr>
          <w:rFonts w:ascii="Arial" w:hAnsi="Arial"/>
          <w:sz w:val="22"/>
          <w:szCs w:val="22"/>
        </w:rPr>
        <w:t xml:space="preserve">serotype III </w:t>
      </w:r>
      <w:r w:rsidR="06B7F426" w:rsidRPr="007D0473">
        <w:rPr>
          <w:rFonts w:ascii="Arial" w:hAnsi="Arial"/>
          <w:sz w:val="22"/>
          <w:szCs w:val="22"/>
        </w:rPr>
        <w:t>and</w:t>
      </w:r>
      <w:r w:rsidR="6F2B0C34" w:rsidRPr="007D0473">
        <w:rPr>
          <w:rFonts w:ascii="Arial" w:hAnsi="Arial"/>
          <w:sz w:val="22"/>
          <w:szCs w:val="22"/>
        </w:rPr>
        <w:t xml:space="preserve"> serotype V (n=5</w:t>
      </w:r>
      <w:r w:rsidR="75B71164" w:rsidRPr="007D0473">
        <w:rPr>
          <w:rFonts w:ascii="Arial" w:hAnsi="Arial"/>
          <w:sz w:val="22"/>
          <w:szCs w:val="22"/>
        </w:rPr>
        <w:t xml:space="preserve"> isolates</w:t>
      </w:r>
      <w:r w:rsidR="6F2B0C34" w:rsidRPr="007D0473">
        <w:rPr>
          <w:rFonts w:ascii="Arial" w:hAnsi="Arial"/>
          <w:sz w:val="22"/>
          <w:szCs w:val="22"/>
        </w:rPr>
        <w:t>); CC</w:t>
      </w:r>
      <w:r w:rsidR="4B94E049" w:rsidRPr="007D0473">
        <w:rPr>
          <w:rFonts w:ascii="Arial" w:hAnsi="Arial"/>
          <w:sz w:val="22"/>
          <w:szCs w:val="22"/>
        </w:rPr>
        <w:t>17 serotype III and serotype IV (n=1</w:t>
      </w:r>
      <w:r w:rsidR="75B71164" w:rsidRPr="007D0473">
        <w:rPr>
          <w:rFonts w:ascii="Arial" w:hAnsi="Arial"/>
          <w:sz w:val="22"/>
          <w:szCs w:val="22"/>
        </w:rPr>
        <w:t xml:space="preserve"> isolate</w:t>
      </w:r>
      <w:r w:rsidR="4B94E049" w:rsidRPr="007D0473">
        <w:rPr>
          <w:rFonts w:ascii="Arial" w:hAnsi="Arial"/>
          <w:sz w:val="22"/>
          <w:szCs w:val="22"/>
        </w:rPr>
        <w:t>).</w:t>
      </w:r>
    </w:p>
    <w:p w14:paraId="0C9FF40E" w14:textId="77777777" w:rsidR="00A3580F" w:rsidRPr="007D0473" w:rsidRDefault="00A3580F" w:rsidP="00DB7C46">
      <w:pPr>
        <w:tabs>
          <w:tab w:val="left" w:pos="142"/>
        </w:tabs>
        <w:spacing w:before="120" w:after="120" w:line="480" w:lineRule="auto"/>
        <w:rPr>
          <w:rFonts w:ascii="Arial" w:hAnsi="Arial"/>
          <w:sz w:val="22"/>
          <w:szCs w:val="22"/>
        </w:rPr>
      </w:pPr>
    </w:p>
    <w:p w14:paraId="6F627E0C" w14:textId="7BC77B72" w:rsidR="00030FA9" w:rsidRPr="007D0473" w:rsidRDefault="00831C0C" w:rsidP="00DB7C46">
      <w:pPr>
        <w:tabs>
          <w:tab w:val="left" w:pos="142"/>
        </w:tabs>
        <w:spacing w:before="120" w:after="120" w:line="480" w:lineRule="auto"/>
        <w:rPr>
          <w:rFonts w:ascii="Arial" w:hAnsi="Arial"/>
          <w:sz w:val="22"/>
          <w:szCs w:val="22"/>
        </w:rPr>
      </w:pPr>
      <w:r w:rsidRPr="007D0473">
        <w:rPr>
          <w:rFonts w:ascii="Arial" w:hAnsi="Arial"/>
          <w:sz w:val="22"/>
          <w:szCs w:val="22"/>
        </w:rPr>
        <w:t xml:space="preserve">The high genetic diversity of disease-causing isolates and multiple recombination events reported in this study, highlight the need for routine surveillance of the circulating </w:t>
      </w:r>
      <w:r w:rsidR="00B9607C" w:rsidRPr="007D0473">
        <w:rPr>
          <w:rFonts w:ascii="Arial" w:hAnsi="Arial"/>
          <w:sz w:val="22"/>
          <w:szCs w:val="22"/>
        </w:rPr>
        <w:t xml:space="preserve">disease-causing </w:t>
      </w:r>
      <w:r w:rsidRPr="007D0473">
        <w:rPr>
          <w:rFonts w:ascii="Arial" w:hAnsi="Arial"/>
          <w:sz w:val="22"/>
          <w:szCs w:val="22"/>
        </w:rPr>
        <w:t xml:space="preserve">GBS strains. This information is crucial to better understand global spread of GBS serotypes and genotypes and will form the baseline information for any future GBS vaccine research in the UK and worldwide. </w:t>
      </w:r>
    </w:p>
    <w:p w14:paraId="2ED7D15B" w14:textId="2F6DF3C0" w:rsidR="00AA2234" w:rsidRPr="007D0473" w:rsidRDefault="00AA2234" w:rsidP="00DB7C46">
      <w:pPr>
        <w:tabs>
          <w:tab w:val="left" w:pos="142"/>
        </w:tabs>
        <w:spacing w:before="120" w:after="120" w:line="480" w:lineRule="auto"/>
        <w:rPr>
          <w:rFonts w:ascii="Arial" w:hAnsi="Arial"/>
          <w:sz w:val="22"/>
          <w:szCs w:val="22"/>
        </w:rPr>
      </w:pPr>
    </w:p>
    <w:p w14:paraId="282CEB9C" w14:textId="447E96F4" w:rsidR="00AA2234" w:rsidRPr="007D0473" w:rsidRDefault="00AA2234" w:rsidP="00DB7C46">
      <w:pPr>
        <w:tabs>
          <w:tab w:val="left" w:pos="142"/>
        </w:tabs>
        <w:spacing w:before="120" w:after="120" w:line="480" w:lineRule="auto"/>
        <w:rPr>
          <w:rFonts w:ascii="Arial" w:hAnsi="Arial"/>
          <w:b/>
          <w:bCs/>
          <w:sz w:val="22"/>
          <w:szCs w:val="22"/>
        </w:rPr>
      </w:pPr>
      <w:r w:rsidRPr="007D0473">
        <w:rPr>
          <w:rFonts w:ascii="Arial" w:hAnsi="Arial"/>
          <w:b/>
          <w:bCs/>
          <w:sz w:val="22"/>
          <w:szCs w:val="22"/>
        </w:rPr>
        <w:t>Impact statement</w:t>
      </w:r>
    </w:p>
    <w:p w14:paraId="4771E901" w14:textId="4D88D8E2" w:rsidR="00AA2234" w:rsidRPr="007D0473" w:rsidRDefault="6DDB9DD3" w:rsidP="00DB7C46">
      <w:pPr>
        <w:tabs>
          <w:tab w:val="left" w:pos="142"/>
        </w:tabs>
        <w:spacing w:before="120" w:after="120" w:line="480" w:lineRule="auto"/>
        <w:rPr>
          <w:rFonts w:ascii="Arial" w:hAnsi="Arial"/>
          <w:sz w:val="22"/>
          <w:szCs w:val="22"/>
        </w:rPr>
      </w:pPr>
      <w:r w:rsidRPr="007D0473">
        <w:rPr>
          <w:rFonts w:ascii="Arial" w:hAnsi="Arial"/>
          <w:sz w:val="22"/>
          <w:szCs w:val="22"/>
        </w:rPr>
        <w:t xml:space="preserve">This study is the first study to report on in-depth </w:t>
      </w:r>
      <w:r w:rsidR="3250E25A" w:rsidRPr="007D0473">
        <w:rPr>
          <w:rFonts w:ascii="Arial" w:hAnsi="Arial"/>
          <w:sz w:val="22"/>
          <w:szCs w:val="22"/>
        </w:rPr>
        <w:t xml:space="preserve">genomic analysis of the </w:t>
      </w:r>
      <w:r w:rsidRPr="007D0473">
        <w:rPr>
          <w:rFonts w:ascii="Arial" w:hAnsi="Arial"/>
          <w:sz w:val="22"/>
          <w:szCs w:val="22"/>
        </w:rPr>
        <w:t xml:space="preserve">disease-causing </w:t>
      </w:r>
      <w:r w:rsidR="3250E25A" w:rsidRPr="007D0473">
        <w:rPr>
          <w:rFonts w:ascii="Arial" w:hAnsi="Arial"/>
          <w:sz w:val="22"/>
          <w:szCs w:val="22"/>
        </w:rPr>
        <w:t xml:space="preserve">GBS in adult population in the UK. </w:t>
      </w:r>
      <w:r w:rsidR="574FED5D" w:rsidRPr="007D0473">
        <w:rPr>
          <w:rFonts w:ascii="Arial" w:hAnsi="Arial"/>
          <w:sz w:val="22"/>
          <w:szCs w:val="22"/>
        </w:rPr>
        <w:t xml:space="preserve">We </w:t>
      </w:r>
      <w:r w:rsidR="27E35DD3" w:rsidRPr="007D0473">
        <w:rPr>
          <w:rFonts w:ascii="Arial" w:hAnsi="Arial"/>
          <w:sz w:val="22"/>
          <w:szCs w:val="22"/>
        </w:rPr>
        <w:t>describe</w:t>
      </w:r>
      <w:r w:rsidR="574FED5D" w:rsidRPr="007D0473">
        <w:rPr>
          <w:rFonts w:ascii="Arial" w:hAnsi="Arial"/>
          <w:sz w:val="22"/>
          <w:szCs w:val="22"/>
        </w:rPr>
        <w:t xml:space="preserve"> </w:t>
      </w:r>
      <w:r w:rsidR="37638773" w:rsidRPr="007D0473">
        <w:rPr>
          <w:rFonts w:ascii="Arial" w:hAnsi="Arial"/>
          <w:sz w:val="22"/>
          <w:szCs w:val="22"/>
        </w:rPr>
        <w:t xml:space="preserve">the </w:t>
      </w:r>
      <w:r w:rsidR="574FED5D" w:rsidRPr="007D0473">
        <w:rPr>
          <w:rFonts w:ascii="Arial" w:hAnsi="Arial"/>
          <w:sz w:val="22"/>
          <w:szCs w:val="22"/>
        </w:rPr>
        <w:t>most common serotype-genotype combinations, including multi</w:t>
      </w:r>
      <w:r w:rsidR="473E07B1" w:rsidRPr="007D0473">
        <w:rPr>
          <w:rFonts w:ascii="Arial" w:hAnsi="Arial"/>
          <w:sz w:val="22"/>
          <w:szCs w:val="22"/>
        </w:rPr>
        <w:t>-</w:t>
      </w:r>
      <w:r w:rsidR="574FED5D" w:rsidRPr="007D0473">
        <w:rPr>
          <w:rFonts w:ascii="Arial" w:hAnsi="Arial"/>
          <w:sz w:val="22"/>
          <w:szCs w:val="22"/>
        </w:rPr>
        <w:t xml:space="preserve">locus sequence types (MLST) and major virulence gene </w:t>
      </w:r>
      <w:r w:rsidR="574FED5D" w:rsidRPr="007D0473">
        <w:rPr>
          <w:rFonts w:ascii="Arial" w:hAnsi="Arial"/>
          <w:sz w:val="22"/>
          <w:szCs w:val="22"/>
        </w:rPr>
        <w:lastRenderedPageBreak/>
        <w:t>combinations for the specific serotypes</w:t>
      </w:r>
      <w:r w:rsidR="27E35DD3" w:rsidRPr="007D0473">
        <w:rPr>
          <w:rFonts w:ascii="Arial" w:hAnsi="Arial"/>
          <w:sz w:val="22"/>
          <w:szCs w:val="22"/>
        </w:rPr>
        <w:t>, found in our dataset</w:t>
      </w:r>
      <w:r w:rsidR="574FED5D" w:rsidRPr="007D0473">
        <w:rPr>
          <w:rFonts w:ascii="Arial" w:hAnsi="Arial"/>
          <w:sz w:val="22"/>
          <w:szCs w:val="22"/>
        </w:rPr>
        <w:t xml:space="preserve">. </w:t>
      </w:r>
      <w:r w:rsidR="27E35DD3" w:rsidRPr="007D0473">
        <w:rPr>
          <w:rFonts w:ascii="Arial" w:hAnsi="Arial"/>
          <w:sz w:val="22"/>
          <w:szCs w:val="22"/>
        </w:rPr>
        <w:t xml:space="preserve">Importantly, we report on </w:t>
      </w:r>
      <w:r w:rsidR="37638773" w:rsidRPr="007D0473">
        <w:rPr>
          <w:rFonts w:ascii="Arial" w:hAnsi="Arial"/>
          <w:sz w:val="22"/>
          <w:szCs w:val="22"/>
        </w:rPr>
        <w:t xml:space="preserve">various </w:t>
      </w:r>
      <w:r w:rsidR="27E35DD3" w:rsidRPr="007D0473">
        <w:rPr>
          <w:rFonts w:ascii="Arial" w:hAnsi="Arial"/>
          <w:sz w:val="22"/>
          <w:szCs w:val="22"/>
        </w:rPr>
        <w:t xml:space="preserve">potential capsular type switching caused by recombination events </w:t>
      </w:r>
      <w:r w:rsidR="37638773" w:rsidRPr="007D0473">
        <w:rPr>
          <w:rFonts w:ascii="Arial" w:hAnsi="Arial"/>
          <w:sz w:val="22"/>
          <w:szCs w:val="22"/>
        </w:rPr>
        <w:t>for</w:t>
      </w:r>
      <w:r w:rsidR="27E35DD3" w:rsidRPr="007D0473">
        <w:rPr>
          <w:rFonts w:ascii="Arial" w:hAnsi="Arial"/>
          <w:sz w:val="22"/>
          <w:szCs w:val="22"/>
        </w:rPr>
        <w:t xml:space="preserve"> certain GBS genotypes. </w:t>
      </w:r>
    </w:p>
    <w:p w14:paraId="5E79F15D" w14:textId="1A117C39" w:rsidR="00AF7558" w:rsidRPr="007D0473" w:rsidRDefault="00AF7558" w:rsidP="00DB7C46">
      <w:pPr>
        <w:spacing w:before="120" w:after="120" w:line="480" w:lineRule="auto"/>
        <w:rPr>
          <w:rFonts w:ascii="Arial" w:hAnsi="Arial"/>
          <w:sz w:val="22"/>
          <w:szCs w:val="22"/>
        </w:rPr>
      </w:pPr>
    </w:p>
    <w:p w14:paraId="46BB8EC1" w14:textId="030675CE" w:rsidR="00AD595E" w:rsidRPr="00AD595E" w:rsidRDefault="00AD595E" w:rsidP="00AD595E">
      <w:pPr>
        <w:spacing w:before="120" w:after="120" w:line="480" w:lineRule="auto"/>
        <w:rPr>
          <w:rFonts w:ascii="Arial" w:hAnsi="Arial"/>
          <w:b/>
          <w:bCs/>
          <w:sz w:val="22"/>
          <w:szCs w:val="22"/>
        </w:rPr>
      </w:pPr>
      <w:r w:rsidRPr="00AD595E">
        <w:rPr>
          <w:rFonts w:ascii="Arial" w:hAnsi="Arial"/>
          <w:b/>
          <w:bCs/>
          <w:sz w:val="22"/>
          <w:szCs w:val="22"/>
        </w:rPr>
        <w:t>Data Summary</w:t>
      </w:r>
    </w:p>
    <w:p w14:paraId="2777596A" w14:textId="24604FBE" w:rsidR="00AA2234" w:rsidRPr="007D0473" w:rsidRDefault="00AD595E" w:rsidP="00AD595E">
      <w:pPr>
        <w:spacing w:before="120" w:after="120" w:line="480" w:lineRule="auto"/>
        <w:rPr>
          <w:rFonts w:ascii="Arial" w:hAnsi="Arial"/>
          <w:sz w:val="22"/>
          <w:szCs w:val="22"/>
        </w:rPr>
      </w:pPr>
      <w:r w:rsidRPr="00AD595E">
        <w:rPr>
          <w:rFonts w:ascii="Arial" w:hAnsi="Arial"/>
          <w:sz w:val="22"/>
          <w:szCs w:val="22"/>
        </w:rPr>
        <w:t>The raw sequencing reads from the 193 GBS isolates used in this study are available from the European Nucleotide Archive under the project accession number PRJEB18093 [24] and genome assemblies are available under project accession number PRJEB48944. Accession numbers for individual GBS isolates are provided in Table S1.</w:t>
      </w:r>
      <w:r w:rsidR="00AA2234" w:rsidRPr="007D0473">
        <w:rPr>
          <w:rFonts w:ascii="Arial" w:hAnsi="Arial"/>
          <w:sz w:val="22"/>
          <w:szCs w:val="22"/>
        </w:rPr>
        <w:br w:type="page"/>
      </w:r>
    </w:p>
    <w:p w14:paraId="4C2BB268" w14:textId="1CF96A7F" w:rsidR="004B2F1D" w:rsidRPr="007D0473" w:rsidRDefault="004B2F1D" w:rsidP="00DB7C46">
      <w:pPr>
        <w:spacing w:before="120" w:after="120" w:line="480" w:lineRule="auto"/>
        <w:rPr>
          <w:rFonts w:ascii="Arial" w:hAnsi="Arial"/>
          <w:b/>
          <w:bCs/>
          <w:sz w:val="22"/>
          <w:szCs w:val="22"/>
        </w:rPr>
      </w:pPr>
      <w:r w:rsidRPr="007D0473">
        <w:rPr>
          <w:rFonts w:ascii="Arial" w:hAnsi="Arial"/>
          <w:b/>
          <w:bCs/>
          <w:sz w:val="22"/>
          <w:szCs w:val="22"/>
        </w:rPr>
        <w:lastRenderedPageBreak/>
        <w:t>Introduction</w:t>
      </w:r>
    </w:p>
    <w:p w14:paraId="436812A7" w14:textId="3EA97C5E" w:rsidR="0069437D" w:rsidRPr="007D0473" w:rsidRDefault="4AD6FA40" w:rsidP="00DB7C46">
      <w:pPr>
        <w:spacing w:before="120" w:after="120" w:line="480" w:lineRule="auto"/>
        <w:rPr>
          <w:rFonts w:ascii="Arial" w:hAnsi="Arial"/>
          <w:sz w:val="22"/>
          <w:szCs w:val="22"/>
        </w:rPr>
      </w:pPr>
      <w:r w:rsidRPr="007D0473">
        <w:rPr>
          <w:rFonts w:ascii="Arial" w:hAnsi="Arial"/>
          <w:i/>
          <w:iCs/>
          <w:sz w:val="22"/>
          <w:szCs w:val="22"/>
        </w:rPr>
        <w:t xml:space="preserve">Streptococcus agalactiae </w:t>
      </w:r>
      <w:r w:rsidRPr="007D0473">
        <w:rPr>
          <w:rFonts w:ascii="Arial" w:hAnsi="Arial"/>
          <w:sz w:val="22"/>
          <w:szCs w:val="22"/>
        </w:rPr>
        <w:t>(</w:t>
      </w:r>
      <w:r w:rsidR="68B813C6" w:rsidRPr="007D0473">
        <w:rPr>
          <w:rFonts w:ascii="Arial" w:hAnsi="Arial"/>
          <w:sz w:val="22"/>
          <w:szCs w:val="22"/>
        </w:rPr>
        <w:t>or G</w:t>
      </w:r>
      <w:r w:rsidRPr="007D0473">
        <w:rPr>
          <w:rFonts w:ascii="Arial" w:hAnsi="Arial"/>
          <w:sz w:val="22"/>
          <w:szCs w:val="22"/>
        </w:rPr>
        <w:t xml:space="preserve">roup B streptococcus, GBS) is a </w:t>
      </w:r>
      <w:r w:rsidR="00667225" w:rsidRPr="007B3A9C">
        <w:rPr>
          <w:rFonts w:ascii="Arial" w:hAnsi="Arial"/>
          <w:sz w:val="22"/>
          <w:szCs w:val="22"/>
        </w:rPr>
        <w:t>g</w:t>
      </w:r>
      <w:r w:rsidRPr="007B3A9C">
        <w:rPr>
          <w:rFonts w:ascii="Arial" w:hAnsi="Arial"/>
          <w:sz w:val="22"/>
          <w:szCs w:val="22"/>
        </w:rPr>
        <w:t>ram-positive</w:t>
      </w:r>
      <w:r w:rsidRPr="007D0473">
        <w:rPr>
          <w:rFonts w:ascii="Arial" w:hAnsi="Arial"/>
          <w:sz w:val="22"/>
          <w:szCs w:val="22"/>
        </w:rPr>
        <w:t xml:space="preserve"> encapsulated </w:t>
      </w:r>
      <w:r w:rsidR="001A4072" w:rsidRPr="001A4072">
        <w:rPr>
          <w:rFonts w:ascii="Arial" w:hAnsi="Arial"/>
          <w:sz w:val="22"/>
          <w:szCs w:val="22"/>
        </w:rPr>
        <w:t xml:space="preserve">commensal pathogen </w:t>
      </w:r>
      <w:r w:rsidRPr="007D0473">
        <w:rPr>
          <w:rFonts w:ascii="Arial" w:hAnsi="Arial"/>
          <w:sz w:val="22"/>
          <w:szCs w:val="22"/>
        </w:rPr>
        <w:t>of the human genitourinary and gastrointestinal tract</w:t>
      </w:r>
      <w:r w:rsidR="00D23EF4">
        <w:rPr>
          <w:rFonts w:ascii="Arial" w:hAnsi="Arial"/>
          <w:sz w:val="22"/>
          <w:szCs w:val="22"/>
        </w:rPr>
        <w:t>, that can cause disease under certain circumstances (</w:t>
      </w:r>
      <w:proofErr w:type="gramStart"/>
      <w:r w:rsidR="00D23EF4">
        <w:rPr>
          <w:rFonts w:ascii="Arial" w:hAnsi="Arial"/>
          <w:sz w:val="22"/>
          <w:szCs w:val="22"/>
        </w:rPr>
        <w:t>e.g.</w:t>
      </w:r>
      <w:proofErr w:type="gramEnd"/>
      <w:r w:rsidR="00D23EF4">
        <w:rPr>
          <w:rFonts w:ascii="Arial" w:hAnsi="Arial"/>
          <w:sz w:val="22"/>
          <w:szCs w:val="22"/>
        </w:rPr>
        <w:t xml:space="preserve"> reduced immune function)</w:t>
      </w:r>
      <w:r w:rsidRPr="007D0473">
        <w:rPr>
          <w:rFonts w:ascii="Arial" w:hAnsi="Arial"/>
          <w:sz w:val="22"/>
          <w:szCs w:val="22"/>
        </w:rPr>
        <w:t xml:space="preserve">. </w:t>
      </w:r>
      <w:r w:rsidR="4B9B2113" w:rsidRPr="007D0473">
        <w:rPr>
          <w:rFonts w:ascii="Arial" w:hAnsi="Arial"/>
          <w:sz w:val="22"/>
          <w:szCs w:val="22"/>
        </w:rPr>
        <w:t>GBS</w:t>
      </w:r>
      <w:r w:rsidRPr="007D0473">
        <w:rPr>
          <w:rFonts w:ascii="Arial" w:hAnsi="Arial"/>
          <w:sz w:val="22"/>
          <w:szCs w:val="22"/>
        </w:rPr>
        <w:t xml:space="preserve"> is well established as a leading cause of bacterial sepsis and meningitis in neonates</w:t>
      </w:r>
      <w:r w:rsidR="72A601D0" w:rsidRPr="007D0473">
        <w:rPr>
          <w:rFonts w:ascii="Arial" w:hAnsi="Arial"/>
          <w:sz w:val="22"/>
          <w:szCs w:val="22"/>
        </w:rPr>
        <w:t xml:space="preserve"> </w:t>
      </w:r>
      <w:r w:rsidR="00967C0B" w:rsidRPr="007D0473">
        <w:rPr>
          <w:rFonts w:ascii="Arial" w:hAnsi="Arial"/>
          <w:sz w:val="22"/>
          <w:szCs w:val="22"/>
        </w:rPr>
        <w:fldChar w:fldCharType="begin" w:fldLock="1"/>
      </w:r>
      <w:r w:rsidR="00627EFE" w:rsidRPr="007D0473">
        <w:rPr>
          <w:rFonts w:ascii="Arial" w:hAnsi="Arial"/>
          <w:sz w:val="22"/>
          <w:szCs w:val="22"/>
        </w:rPr>
        <w:instrText>ADDIN CSL_CITATION {"citationItems":[{"id":"ITEM-1","itemData":{"DOI":"10.1016/j.vaccine.2013.01.009","ISSN":"0264410X","abstract":"Streptococcus agalactiae (group B streptococcus (GBS)), remains the leading cause of neonatal sepsis and meningitis in many countries and an important cause of disease in pregnant women, immunocompromised adults and the elderly. Intrapartum antibiotic strategies have reduced the incidence of early-onset neonatal GBS where applied, but have had no impact on late onset GBS infection and only a limited impact on disease in pregnant women. In low/middle income settings, the disease burden remains uncertain although in several countries of Southern Africa appears comparable to that of high-income countries. Disease may be rapidly fulminating and cases therefore missed before appropriate samples are obtained. This may lead to significant underestimation of the true burden and be a particular issue in many African and Asian countries; comprehensive epidemiological data from such countries are urgently required.The available data suggest that the serotype distribution of GBS isolates is similar in Africa, Western Pacific, Europe, the Americas and the Eastern Mediterranean regions and has not changed over the past 30 years. Five serotypes (Ia, Ib, II, III, V) account for the majority of disease; conjugate vaccines including some or all of these serotypes therefore hold great promise for preventing this important disease. © 2013 Elsevier Ltd.","author":[{"dropping-particle":"","family":"Doare","given":"Kirsty","non-dropping-particle":"Le","parse-names":false,"suffix":""},{"dropping-particle":"","family":"Heath","given":"Paul T.","non-dropping-particle":"","parse-names":false,"suffix":""}],"container-title":"Vaccine","id":"ITEM-1","issue":"S4","issued":{"date-parts":[["2013"]]},"title":"An overview of global GBS epidemiology","type":"article","volume":"31"},"uris":["http://www.mendeley.com/documents/?uuid=6ab1798a-b308-37e9-aed8-271dc17b82a5"]}],"mendeley":{"formattedCitation":"[1]","plainTextFormattedCitation":"[1]","previouslyFormattedCitation":"[1]"},"properties":{"noteIndex":0},"schema":"https://github.com/citation-style-language/schema/raw/master/csl-citation.json"}</w:instrText>
      </w:r>
      <w:r w:rsidR="00967C0B" w:rsidRPr="007D0473">
        <w:rPr>
          <w:rFonts w:ascii="Arial" w:hAnsi="Arial"/>
          <w:sz w:val="22"/>
          <w:szCs w:val="22"/>
        </w:rPr>
        <w:fldChar w:fldCharType="separate"/>
      </w:r>
      <w:r w:rsidR="72A601D0" w:rsidRPr="007D0473">
        <w:rPr>
          <w:rFonts w:ascii="Arial" w:hAnsi="Arial"/>
          <w:noProof/>
          <w:sz w:val="22"/>
          <w:szCs w:val="22"/>
        </w:rPr>
        <w:t>[1]</w:t>
      </w:r>
      <w:r w:rsidR="00967C0B" w:rsidRPr="007D0473">
        <w:rPr>
          <w:rFonts w:ascii="Arial" w:hAnsi="Arial"/>
          <w:sz w:val="22"/>
          <w:szCs w:val="22"/>
        </w:rPr>
        <w:fldChar w:fldCharType="end"/>
      </w:r>
      <w:r w:rsidRPr="007D0473">
        <w:rPr>
          <w:rFonts w:ascii="Arial" w:hAnsi="Arial"/>
          <w:sz w:val="22"/>
          <w:szCs w:val="22"/>
        </w:rPr>
        <w:t xml:space="preserve">  and </w:t>
      </w:r>
      <w:r w:rsidR="37638773" w:rsidRPr="007D0473">
        <w:rPr>
          <w:rFonts w:ascii="Arial" w:hAnsi="Arial"/>
          <w:sz w:val="22"/>
          <w:szCs w:val="22"/>
        </w:rPr>
        <w:t xml:space="preserve">is </w:t>
      </w:r>
      <w:r w:rsidRPr="007D0473">
        <w:rPr>
          <w:rFonts w:ascii="Arial" w:hAnsi="Arial"/>
          <w:sz w:val="22"/>
          <w:szCs w:val="22"/>
        </w:rPr>
        <w:t>increasingly associated with invasive infection</w:t>
      </w:r>
      <w:r w:rsidR="4D56B641" w:rsidRPr="007D0473">
        <w:rPr>
          <w:rFonts w:ascii="Arial" w:hAnsi="Arial"/>
          <w:sz w:val="22"/>
          <w:szCs w:val="22"/>
        </w:rPr>
        <w:t>s</w:t>
      </w:r>
      <w:r w:rsidRPr="007D0473">
        <w:rPr>
          <w:rFonts w:ascii="Arial" w:hAnsi="Arial"/>
          <w:sz w:val="22"/>
          <w:szCs w:val="22"/>
        </w:rPr>
        <w:t xml:space="preserve"> in adults</w:t>
      </w:r>
      <w:r w:rsidR="2F5E34EA" w:rsidRPr="007D0473">
        <w:rPr>
          <w:rFonts w:ascii="Arial" w:hAnsi="Arial"/>
          <w:sz w:val="22"/>
          <w:szCs w:val="22"/>
        </w:rPr>
        <w:t xml:space="preserve"> </w:t>
      </w:r>
      <w:r w:rsidR="00230AC0" w:rsidRPr="007D0473">
        <w:rPr>
          <w:rFonts w:ascii="Arial" w:hAnsi="Arial"/>
          <w:sz w:val="22"/>
          <w:szCs w:val="22"/>
        </w:rPr>
        <w:fldChar w:fldCharType="begin" w:fldLock="1"/>
      </w:r>
      <w:r w:rsidR="00627EFE" w:rsidRPr="007D0473">
        <w:rPr>
          <w:rFonts w:ascii="Arial" w:hAnsi="Arial"/>
          <w:sz w:val="22"/>
          <w:szCs w:val="22"/>
        </w:rPr>
        <w:instrText>ADDIN CSL_CITATION {"citationItems":[{"id":"ITEM-1","itemData":{"DOI":"10.1016/j.cmi.2015.11.020","ISSN":"1198-743X","abstract":"We studied the bacterial characteristics and incidence of invasive\ninfections caused by group B streptococci (GBS) in adults in Iceland in\n1975-2014. A total of 145 isolates were characterized by serotyping,\nantimicrobial susceptibility, multilocus sequence typing and surface\nprotein gene profiling. Disease incidence increased during the studied\nperiod (p &lt;0.001), reaching 2.17 cases/100 000 person-years in 2013-14.\nOverall, serotype Ia was the most frequently found (23%), but serotypes\nIb, II, III and V showed similar prevalence (14%-17%). Although there\nwere notable changes in the proportion of most serotypes during the\nstudy period, only the decline of serotype III was statistically\nsupported (p = 0.003) and was reflected in a decrease of clonal\ncomplexes CC17 and CC19 that included most serotype III isolates (p\n&lt;0.04). On the other hand, the increase in frequency of CC1 was caused\nby two lineages expressing distinct serotypes: ST1/V/alp3 and\nST196/IV/eps. Underlying the relative stability of serotype Ia were\nmajor changes in the lineages expressing this serotype, with an increase\nin the relative importance of CC23, including both ST23/Ia/eps and\nST24/Ia/bca lineages, and a decrease in CC7. Nine cases of invasive GBS\ndisease were caused by ST7, of possible zoonotic origin. All isolates\nwere susceptible to penicillin. Rates of erythromycin and clindamycin\nresistance were 8.3% and 9.7%, respectively. An over-representation of\nresistance solely to clindamycin was associated with the unusual lsaC\ngene and serotype III ST19/rib lineage (p &lt;0.001). (C) 2015 European\nSociety of Clinical Microbiology and Infectious Diseases. Published by\nElsevier Ltd. All rights reserved.","author":[{"dropping-particle":"","family":"Bjoernsdottir","given":"E S","non-dropping-particle":"","parse-names":false,"suffix":""},{"dropping-particle":"","family":"Martins","given":"E R","non-dropping-particle":"","parse-names":false,"suffix":""},{"dropping-particle":"","family":"Erlendsdottir","given":"H","non-dropping-particle":"","parse-names":false,"suffix":""},{"dropping-particle":"","family":"Haraldsson","given":"G","non-dropping-particle":"","parse-names":false,"suffix":""},{"dropping-particle":"","family":"Melo-Cristino","given":"J","non-dropping-particle":"","parse-names":false,"suffix":""},{"dropping-particle":"","family":"Kristinsson","given":"K G","non-dropping-particle":"","parse-names":false,"suffix":""},{"dropping-particle":"","family":"Ramirez","given":"M","non-dropping-particle":"","parse-names":false,"suffix":""}],"container-title":"CLINICAL MICROBIOLOGY AND INFECTION","id":"ITEM-1","issue":"4","issued":{"date-parts":[["2016","4"]]},"title":"Changing epidemiology of group B streptococcal infections among adults in Iceland: 1975-2014","type":"article-journal","volume":"22"},"uris":["http://www.mendeley.com/documents/?uuid=1341c6be-c4a9-499b-a220-4905981bc741"]},{"id":"ITEM-2","itemData":{"DOI":"10.1093/cid/cit337","ISBN":"1058-4838","ISSN":"10584838","PMID":"23845950","abstract":"Background. Few cross-population studies examining the epidemiology of invasive group B streptococcal (GBS) disease have been undertaken. To identify longitudinal trends in the burden and characteristics of infections, national surveillance data on diagnoses in England and Wales from 1991 to 2010 were analyzed. Methods. A parallel review of laboratory-confirmed invasive GBS infection surveillance reports and isolates submitted to the national reference laboratory was undertaken. Cases were defined as GBS isolated from a normally sterile site. Results. A total of 21 386 reports of invasive GBS infection were made between 1991 and 2010. The annual rate of reports doubled over the 20 years from 1.48 to 2.99 per 100 000 population. Significant increases were seen in all age groups but most pronounced in adults. Rates of early-onset (0-6 days) infant disease fluctuated but showed a general rise between 2000 and 2010 from 0.28 to 0.41 per 1000 live births. Rates of late-onset (7-90 days) disease increased steadily between 1991 and 2010 from 0.11 to 0.29 per 1000 live births. Resistance to erythromycin increased markedly from 2.5% in 1991 to 15% in 2010. The distribution of serotypes varied according to patient age and over time with type III increasing among early-onset cases and decreasing in adults. Conclusions. Although risk of invasive GBS infection remains highest within the first few days of life, the relative burden of disease is shifting toward adults. The rise in incidence and antibiotic resistance makes development of an effective and safe vaccine all the more pressing.","author":[{"dropping-particle":"","family":"Lamagni","given":"Theresa L.","non-dropping-particle":"","parse-names":false,"suffix":""},{"dropping-particle":"","family":"Keshishian","given":"Catherine","non-dropping-particle":"","parse-names":false,"suffix":""},{"dropping-particle":"","family":"Efstratiou","given":"Androulla","non-dropping-particle":"","parse-names":false,"suffix":""},{"dropping-particle":"","family":"Guy","given":"Rebecca","non-dropping-particle":"","parse-names":false,"suffix":""},{"dropping-particle":"","family":"Henderson","given":"Katherine L.","non-dropping-particle":"","parse-names":false,"suffix":""},{"dropping-particle":"","family":"Broughton","given":"Karen","non-dropping-particle":"","parse-names":false,"suffix":""},{"dropping-particle":"","family":"Sheridan","given":"Elizabeth","non-dropping-particle":"","parse-names":false,"suffix":""}],"container-title":"Clinical Infectious Diseases","id":"ITEM-2","issued":{"date-parts":[["2013"]]},"title":"Emerging trends in the epidemiology of invasive group B streptococcal disease in England and Wales, 1991-2010","type":"article-journal"},"uris":["http://www.mendeley.com/documents/?uuid=0f29b287-14ba-4a76-a32e-11422d042df3"]},{"id":"ITEM-3","itemData":{"DOI":"10.1001/jamainternmed.2018.7269","ISSN":"21686106","abstract":"Importance: Group B Streptococcus (GBS) is an important cause of invasive bacterial disease. Previous studies have shown a substantial and increasing burden of GBS infections among nonpregnant adults, particularly older adults and those with underlying medical conditions. Objective: To update trends of invasive GBS disease among US adults using population-based surveillance data. Design, Setting, and Participants: In this population-based surveillance study, a case was defined as isolation of GBS from a sterile site between January 1, 2008, and December 31, 2016. Demographic and clinical data were abstracted from medical records. Rates were calculated using US Census data. Antimicrobial susceptibility testing and serotyping were performed on a subset of isolates. Case patients were residents of 1 of 10 catchment areas of the Active Bacterial Core surveillance (ABCs) network, representing approximately 11.5% of the US adult population. Patients were included in the study if they were nonpregnant, were 18 years or older, were residents of an ABCs catchment site, and had a positive GBS culture from a normally sterile body site. Main Outcomes and Measures: Trends in GBS cases overall and by demographic characteristics (sex, age, and race), underlying clinical conditions of patients, and isolate characteristics are described. Results: The ABCs network detected 21250 patients with invasive GBS among nonpregnant adults from 2008 through 2016. The GBS incidence in this population increased from 8.1 cases per 100000 population in 2008 to 10.9 in 2016 (P =.002 for trend). There were 3146 cases reported in 2016 (59% male; median age, 64 years; age range, 18-103 years). The GBS incidence was higher among men than women and among blacks than whites and increased with age. Projected to the US population, an estimated 27729 cases of invasive disease and 1541 deaths occurred in the United States in 2016. Ninety-five percent of cases in 2016 occurred in someone with at least 1 underlying condition, most commonly obesity (53.9%) and diabetes (53.4%). Resistance to clindamycin increased from 37.0% of isolates in 2011 to 43.2% in 2016 (P =.02). Serotypes Ia, Ib, II, III, and V accounted for 86.4% of isolates in 2016; serotype IV increased from 4.7% in 2008 to 11.3% in 2016 (P &lt;.001 for trend). Conclusions and Relevance: The public health burden of invasive GBS disease among nonpregnant adults is substantial and continues to increase. Chronic diseases, such as obesity and d…","author":[{"dropping-particle":"","family":"Francois Watkins","given":"Louise K.","non-dropping-particle":"","parse-names":false,"suffix":""},{"dropping-particle":"","family":"McGee","given":"Lesley","non-dropping-particle":"","parse-names":false,"suffix":""},{"dropping-particle":"","family":"Schrag","given":"Stephanie J.","non-dropping-particle":"","parse-names":false,"suffix":""},{"dropping-particle":"","family":"Beall","given":"Bernard","non-dropping-particle":"","parse-names":false,"suffix":""},{"dropping-particle":"","family":"Jain","given":"Jennifer Hudson","non-dropping-particle":"","parse-names":false,"suffix":""},{"dropping-particle":"","family":"Pondo","given":"Tracy","non-dropping-particle":"","parse-names":false,"suffix":""},{"dropping-particle":"","family":"Farley","given":"Monica M.","non-dropping-particle":"","parse-names":false,"suffix":""},{"dropping-particle":"","family":"Harrison","given":"Lee H.","non-dropping-particle":"","parse-names":false,"suffix":""},{"dropping-particle":"","family":"Zansky","given":"Shelley M.","non-dropping-particle":"","parse-names":false,"suffix":""},{"dropping-particle":"","family":"Baumbach","given":"Joan","non-dropping-particle":"","parse-names":false,"suffix":""},{"dropping-particle":"","family":"Lynfield","given":"Ruth","non-dropping-particle":"","parse-names":false,"suffix":""},{"dropping-particle":"","family":"Snippes Vagnone","given":"Paula","non-dropping-particle":"","parse-names":false,"suffix":""},{"dropping-particle":"","family":"Miller","given":"Lisa A.","non-dropping-particle":"","parse-names":false,"suffix":""},{"dropping-particle":"","family":"Schaffner","given":"William","non-dropping-particle":"","parse-names":false,"suffix":""},{"dropping-particle":"","family":"Thomas","given":"Ann R.","non-dropping-particle":"","parse-names":false,"suffix":""},{"dropping-particle":"","family":"Watt","given":"James P.","non-dropping-particle":"","parse-names":false,"suffix":""},{"dropping-particle":"","family":"Petit","given":"Susan","non-dropping-particle":"","parse-names":false,"suffix":""},{"dropping-particle":"","family":"Langley","given":"Gayle E.","non-dropping-particle":"","parse-names":false,"suffix":""}],"container-title":"JAMA Internal Medicine","id":"ITEM-3","issue":"4","issued":{"date-parts":[["2019"]]},"title":"Epidemiology of Invasive Group B Streptococcal Infections among Nonpregnant Adults in the United States, 2008-2016","type":"article-journal","volume":"179"},"uris":["http://www.mendeley.com/documents/?uuid=66375715-8756-30ab-a496-73950128ff94"]}],"mendeley":{"formattedCitation":"[2–4]","plainTextFormattedCitation":"[2–4]","previouslyFormattedCitation":"[2–4]"},"properties":{"noteIndex":0},"schema":"https://github.com/citation-style-language/schema/raw/master/csl-citation.json"}</w:instrText>
      </w:r>
      <w:r w:rsidR="00230AC0" w:rsidRPr="007D0473">
        <w:rPr>
          <w:rFonts w:ascii="Arial" w:hAnsi="Arial"/>
          <w:sz w:val="22"/>
          <w:szCs w:val="22"/>
        </w:rPr>
        <w:fldChar w:fldCharType="separate"/>
      </w:r>
      <w:r w:rsidR="72A601D0" w:rsidRPr="007D0473">
        <w:rPr>
          <w:rFonts w:ascii="Arial" w:hAnsi="Arial"/>
          <w:noProof/>
          <w:sz w:val="22"/>
          <w:szCs w:val="22"/>
        </w:rPr>
        <w:t>[2–4]</w:t>
      </w:r>
      <w:r w:rsidR="00230AC0" w:rsidRPr="007D0473">
        <w:rPr>
          <w:rFonts w:ascii="Arial" w:hAnsi="Arial"/>
          <w:sz w:val="22"/>
          <w:szCs w:val="22"/>
        </w:rPr>
        <w:fldChar w:fldCharType="end"/>
      </w:r>
      <w:r w:rsidRPr="007D0473">
        <w:rPr>
          <w:rFonts w:ascii="Arial" w:hAnsi="Arial"/>
          <w:sz w:val="22"/>
          <w:szCs w:val="22"/>
        </w:rPr>
        <w:t xml:space="preserve">. </w:t>
      </w:r>
      <w:r w:rsidR="177677D3" w:rsidRPr="007D0473">
        <w:rPr>
          <w:rFonts w:ascii="Arial" w:eastAsia="Times New Roman" w:hAnsi="Arial"/>
          <w:color w:val="000000"/>
          <w:sz w:val="26"/>
          <w:szCs w:val="26"/>
          <w:shd w:val="clear" w:color="auto" w:fill="FFFFFF"/>
        </w:rPr>
        <w:t xml:space="preserve"> </w:t>
      </w:r>
      <w:r w:rsidR="54CE4625" w:rsidRPr="007D0473">
        <w:rPr>
          <w:rFonts w:ascii="Arial" w:hAnsi="Arial"/>
          <w:sz w:val="22"/>
          <w:szCs w:val="22"/>
        </w:rPr>
        <w:t xml:space="preserve">In the UK, cases of </w:t>
      </w:r>
      <w:r w:rsidR="1B42C19F" w:rsidRPr="007D0473">
        <w:rPr>
          <w:rFonts w:ascii="Arial" w:hAnsi="Arial"/>
          <w:sz w:val="22"/>
          <w:szCs w:val="22"/>
        </w:rPr>
        <w:t xml:space="preserve">invasive </w:t>
      </w:r>
      <w:r w:rsidR="54CE4625" w:rsidRPr="007D0473">
        <w:rPr>
          <w:rFonts w:ascii="Arial" w:hAnsi="Arial"/>
          <w:sz w:val="22"/>
          <w:szCs w:val="22"/>
        </w:rPr>
        <w:t>GBS (</w:t>
      </w:r>
      <w:proofErr w:type="spellStart"/>
      <w:r w:rsidR="54CE4625" w:rsidRPr="007D0473">
        <w:rPr>
          <w:rFonts w:ascii="Arial" w:hAnsi="Arial"/>
          <w:sz w:val="22"/>
          <w:szCs w:val="22"/>
        </w:rPr>
        <w:t>iGBS</w:t>
      </w:r>
      <w:proofErr w:type="spellEnd"/>
      <w:r w:rsidR="54CE4625" w:rsidRPr="007D0473">
        <w:rPr>
          <w:rFonts w:ascii="Arial" w:hAnsi="Arial"/>
          <w:sz w:val="22"/>
          <w:szCs w:val="22"/>
        </w:rPr>
        <w:t>) in the adult population, particularly the elderly and women of childbearing age, have  increas</w:t>
      </w:r>
      <w:r w:rsidR="01FC8A5E" w:rsidRPr="007D0473">
        <w:rPr>
          <w:rFonts w:ascii="Arial" w:hAnsi="Arial"/>
          <w:sz w:val="22"/>
          <w:szCs w:val="22"/>
        </w:rPr>
        <w:t>ed</w:t>
      </w:r>
      <w:r w:rsidR="54CE4625" w:rsidRPr="007D0473">
        <w:rPr>
          <w:rFonts w:ascii="Arial" w:hAnsi="Arial"/>
          <w:sz w:val="22"/>
          <w:szCs w:val="22"/>
        </w:rPr>
        <w:t xml:space="preserve"> over the last </w:t>
      </w:r>
      <w:r w:rsidR="012AF44C" w:rsidRPr="007D0473">
        <w:rPr>
          <w:rFonts w:ascii="Arial" w:hAnsi="Arial"/>
          <w:sz w:val="22"/>
          <w:szCs w:val="22"/>
        </w:rPr>
        <w:t>fifteen</w:t>
      </w:r>
      <w:r w:rsidR="54CE4625" w:rsidRPr="007D0473">
        <w:rPr>
          <w:rFonts w:ascii="Arial" w:hAnsi="Arial"/>
          <w:sz w:val="22"/>
          <w:szCs w:val="22"/>
        </w:rPr>
        <w:t xml:space="preserve"> years; with </w:t>
      </w:r>
      <w:r w:rsidR="50A7B848" w:rsidRPr="007D0473">
        <w:rPr>
          <w:rFonts w:ascii="Arial" w:hAnsi="Arial"/>
          <w:sz w:val="22"/>
          <w:szCs w:val="22"/>
        </w:rPr>
        <w:t xml:space="preserve">previous </w:t>
      </w:r>
      <w:r w:rsidR="54CE4625" w:rsidRPr="007D0473">
        <w:rPr>
          <w:rFonts w:ascii="Arial" w:hAnsi="Arial"/>
          <w:sz w:val="22"/>
          <w:szCs w:val="22"/>
        </w:rPr>
        <w:t>stud</w:t>
      </w:r>
      <w:r w:rsidR="37638773" w:rsidRPr="007D0473">
        <w:rPr>
          <w:rFonts w:ascii="Arial" w:hAnsi="Arial"/>
          <w:sz w:val="22"/>
          <w:szCs w:val="22"/>
        </w:rPr>
        <w:t>ies</w:t>
      </w:r>
      <w:r w:rsidR="50A7B848" w:rsidRPr="007D0473">
        <w:rPr>
          <w:rFonts w:ascii="Arial" w:hAnsi="Arial"/>
          <w:sz w:val="22"/>
          <w:szCs w:val="22"/>
        </w:rPr>
        <w:t xml:space="preserve"> </w:t>
      </w:r>
      <w:r w:rsidR="5BC1AC07" w:rsidRPr="007D0473">
        <w:rPr>
          <w:rFonts w:ascii="Arial" w:hAnsi="Arial"/>
          <w:sz w:val="22"/>
          <w:szCs w:val="22"/>
        </w:rPr>
        <w:t>reporting annual</w:t>
      </w:r>
      <w:r w:rsidR="177677D3" w:rsidRPr="007D0473">
        <w:rPr>
          <w:rFonts w:ascii="Arial" w:hAnsi="Arial"/>
          <w:sz w:val="22"/>
          <w:szCs w:val="22"/>
        </w:rPr>
        <w:t xml:space="preserve"> incidence</w:t>
      </w:r>
      <w:r w:rsidR="37638773" w:rsidRPr="007D0473">
        <w:rPr>
          <w:rFonts w:ascii="Arial" w:hAnsi="Arial"/>
          <w:sz w:val="22"/>
          <w:szCs w:val="22"/>
        </w:rPr>
        <w:t>s</w:t>
      </w:r>
      <w:r w:rsidR="177677D3" w:rsidRPr="007D0473">
        <w:rPr>
          <w:rFonts w:ascii="Arial" w:hAnsi="Arial"/>
          <w:sz w:val="22"/>
          <w:szCs w:val="22"/>
        </w:rPr>
        <w:t xml:space="preserve"> </w:t>
      </w:r>
      <w:r w:rsidR="54CE4625" w:rsidRPr="007D0473">
        <w:rPr>
          <w:rFonts w:ascii="Arial" w:hAnsi="Arial"/>
          <w:sz w:val="22"/>
          <w:szCs w:val="22"/>
        </w:rPr>
        <w:t>from 0.92 to 2.39/100,000 population</w:t>
      </w:r>
      <w:r w:rsidR="7E1DB3ED" w:rsidRPr="007D0473">
        <w:rPr>
          <w:rFonts w:ascii="Arial" w:hAnsi="Arial"/>
          <w:sz w:val="22"/>
          <w:szCs w:val="22"/>
        </w:rPr>
        <w:t xml:space="preserve"> </w:t>
      </w:r>
      <w:r w:rsidR="50A7B848" w:rsidRPr="007D0473">
        <w:rPr>
          <w:rFonts w:ascii="Arial" w:hAnsi="Arial"/>
          <w:sz w:val="22"/>
          <w:szCs w:val="22"/>
        </w:rPr>
        <w:t xml:space="preserve">during 1991-2010 </w:t>
      </w:r>
      <w:r w:rsidR="009436E0" w:rsidRPr="007D0473">
        <w:rPr>
          <w:rFonts w:ascii="Arial" w:hAnsi="Arial"/>
          <w:sz w:val="22"/>
          <w:szCs w:val="22"/>
        </w:rPr>
        <w:fldChar w:fldCharType="begin" w:fldLock="1"/>
      </w:r>
      <w:r w:rsidR="00474EF5" w:rsidRPr="007D0473">
        <w:rPr>
          <w:rFonts w:ascii="Arial" w:hAnsi="Arial"/>
          <w:sz w:val="22"/>
          <w:szCs w:val="22"/>
        </w:rPr>
        <w:instrText>ADDIN CSL_CITATION {"citationItems":[{"id":"ITEM-1","itemData":{"DOI":"10.1093/cid/cit337","ISBN":"1058-4838","ISSN":"10584838","PMID":"23845950","abstract":"Background. Few cross-population studies examining the epidemiology of invasive group B streptococcal (GBS) disease have been undertaken. To identify longitudinal trends in the burden and characteristics of infections, national surveillance data on diagnoses in England and Wales from 1991 to 2010 were analyzed. Methods. A parallel review of laboratory-confirmed invasive GBS infection surveillance reports and isolates submitted to the national reference laboratory was undertaken. Cases were defined as GBS isolated from a normally sterile site. Results. A total of 21 386 reports of invasive GBS infection were made between 1991 and 2010. The annual rate of reports doubled over the 20 years from 1.48 to 2.99 per 100 000 population. Significant increases were seen in all age groups but most pronounced in adults. Rates of early-onset (0-6 days) infant disease fluctuated but showed a general rise between 2000 and 2010 from 0.28 to 0.41 per 1000 live births. Rates of late-onset (7-90 days) disease increased steadily between 1991 and 2010 from 0.11 to 0.29 per 1000 live births. Resistance to erythromycin increased markedly from 2.5% in 1991 to 15% in 2010. The distribution of serotypes varied according to patient age and over time with type III increasing among early-onset cases and decreasing in adults. Conclusions. Although risk of invasive GBS infection remains highest within the first few days of life, the relative burden of disease is shifting toward adults. The rise in incidence and antibiotic resistance makes development of an effective and safe vaccine all the more pressing.","author":[{"dropping-particle":"","family":"Lamagni","given":"Theresa L.","non-dropping-particle":"","parse-names":false,"suffix":""},{"dropping-particle":"","family":"Keshishian","given":"Catherine","non-dropping-particle":"","parse-names":false,"suffix":""},{"dropping-particle":"","family":"Efstratiou","given":"Androulla","non-dropping-particle":"","parse-names":false,"suffix":""},{"dropping-particle":"","family":"Guy","given":"Rebecca","non-dropping-particle":"","parse-names":false,"suffix":""},{"dropping-particle":"","family":"Henderson","given":"Katherine L.","non-dropping-particle":"","parse-names":false,"suffix":""},{"dropping-particle":"","family":"Broughton","given":"Karen","non-dropping-particle":"","parse-names":false,"suffix":""},{"dropping-particle":"","family":"Sheridan","given":"Elizabeth","non-dropping-particle":"","parse-names":false,"suffix":""}],"container-title":"Clinical Infectious Diseases","id":"ITEM-1","issued":{"date-parts":[["2013"]]},"title":"Emerging trends in the epidemiology of invasive group B streptococcal disease in England and Wales, 1991-2010","type":"article-journal"},"uris":["http://www.mendeley.com/documents/?uuid=0f29b287-14ba-4a76-a32e-11422d042df3"]}],"mendeley":{"formattedCitation":"[3]","plainTextFormattedCitation":"[3]","previouslyFormattedCitation":"[3]"},"properties":{"noteIndex":0},"schema":"https://github.com/citation-style-language/schema/raw/master/csl-citation.json"}</w:instrText>
      </w:r>
      <w:r w:rsidR="009436E0" w:rsidRPr="007D0473">
        <w:rPr>
          <w:rFonts w:ascii="Arial" w:hAnsi="Arial"/>
          <w:sz w:val="22"/>
          <w:szCs w:val="22"/>
        </w:rPr>
        <w:fldChar w:fldCharType="separate"/>
      </w:r>
      <w:r w:rsidR="41FDABF9" w:rsidRPr="007D0473">
        <w:rPr>
          <w:rFonts w:ascii="Arial" w:hAnsi="Arial"/>
          <w:noProof/>
          <w:sz w:val="22"/>
          <w:szCs w:val="22"/>
        </w:rPr>
        <w:t>[3]</w:t>
      </w:r>
      <w:r w:rsidR="009436E0" w:rsidRPr="007D0473">
        <w:rPr>
          <w:rFonts w:ascii="Arial" w:hAnsi="Arial"/>
          <w:sz w:val="22"/>
          <w:szCs w:val="22"/>
        </w:rPr>
        <w:fldChar w:fldCharType="end"/>
      </w:r>
      <w:r w:rsidR="41FDABF9" w:rsidRPr="007D0473">
        <w:rPr>
          <w:rFonts w:ascii="Arial" w:hAnsi="Arial"/>
          <w:sz w:val="22"/>
          <w:szCs w:val="22"/>
        </w:rPr>
        <w:t>,</w:t>
      </w:r>
      <w:r w:rsidR="42B5F5C5" w:rsidRPr="007D0473">
        <w:rPr>
          <w:rFonts w:ascii="Arial" w:hAnsi="Arial"/>
          <w:sz w:val="22"/>
          <w:szCs w:val="22"/>
        </w:rPr>
        <w:t xml:space="preserve">  increas</w:t>
      </w:r>
      <w:r w:rsidR="0A80F2FC" w:rsidRPr="007D0473">
        <w:rPr>
          <w:rFonts w:ascii="Arial" w:hAnsi="Arial"/>
          <w:sz w:val="22"/>
          <w:szCs w:val="22"/>
        </w:rPr>
        <w:t>ing</w:t>
      </w:r>
      <w:r w:rsidR="42B5F5C5" w:rsidRPr="007D0473">
        <w:rPr>
          <w:rFonts w:ascii="Arial" w:hAnsi="Arial"/>
          <w:sz w:val="22"/>
          <w:szCs w:val="22"/>
        </w:rPr>
        <w:t xml:space="preserve"> to 3.48/100,000 population during 2015–2016 </w:t>
      </w:r>
      <w:r w:rsidR="000D5DA4" w:rsidRPr="007D0473">
        <w:rPr>
          <w:rFonts w:ascii="Arial" w:hAnsi="Arial"/>
          <w:sz w:val="22"/>
          <w:szCs w:val="22"/>
        </w:rPr>
        <w:fldChar w:fldCharType="begin" w:fldLock="1"/>
      </w:r>
      <w:r w:rsidR="009436E0" w:rsidRPr="007D0473">
        <w:rPr>
          <w:rFonts w:ascii="Arial" w:hAnsi="Arial"/>
          <w:sz w:val="22"/>
          <w:szCs w:val="22"/>
        </w:rPr>
        <w:instrText>ADDIN CSL_CITATION {"citationItems":[{"id":"ITEM-1","itemData":{"DOI":"10.3201/EID2606.191141","ISSN":"10806059","abstract":"During 2015-2016, a total of 3,156 episodes of invasive group B Streptococcus (iGBS) infection in adults (&gt;15 years of age) were recorded in England, corresponding to an annual incidence of 3.48/100,000 population. iGBS incidence was highest in older patients and women of childbearing age. The 493 pregnancy-related iGBS episodes correspond to a rate of 1.34/10,000 live births. In adults up to 60-69 years of age and in pregnant women, iGBS incidence increased with higher levels of socioeconomic deprivation. Hospital admissions associated with iGBS were predominantly emergency admissions (73% [2,260/3,099]); only 7% of nonpregnancy iGBS diagnoses were made &gt;48 hours after admission. Underlying conditions were highly prevalent in nonpregnant adult case-patients, including cardiovascular (57%), lung (43%), and kidney (45%) disease and diabetes (40%). Post-iGBS episode 30-day and 12-month all-cause mortality rates in nonpregnant adults were 12% and 24%, respectively. No pregnancy-related iGBS deaths were identified.","author":[{"dropping-particle":"","family":"Collin","given":"Simon M.","non-dropping-particle":"","parse-names":false,"suffix":""},{"dropping-particle":"","family":"Shetty","given":"Nandini","non-dropping-particle":"","parse-names":false,"suffix":""},{"dropping-particle":"","family":"Lamagni","given":"Theresa","non-dropping-particle":"","parse-names":false,"suffix":""}],"container-title":"Emerging Infectious Diseases","id":"ITEM-1","issue":"6","issued":{"date-parts":[["2020"]]},"title":"Invasive Group B streptococcus infections in adults, England, 2015-2016","type":"article-journal","volume":"26"},"uris":["http://www.mendeley.com/documents/?uuid=b717870e-8413-3a5c-a7b1-446d4928f9cf"]}],"mendeley":{"formattedCitation":"[5]","plainTextFormattedCitation":"[5]","previouslyFormattedCitation":"[5]"},"properties":{"noteIndex":0},"schema":"https://github.com/citation-style-language/schema/raw/master/csl-citation.json"}</w:instrText>
      </w:r>
      <w:r w:rsidR="000D5DA4" w:rsidRPr="007D0473">
        <w:rPr>
          <w:rFonts w:ascii="Arial" w:hAnsi="Arial"/>
          <w:sz w:val="22"/>
          <w:szCs w:val="22"/>
        </w:rPr>
        <w:fldChar w:fldCharType="separate"/>
      </w:r>
      <w:r w:rsidR="6BAD385B" w:rsidRPr="007D0473">
        <w:rPr>
          <w:rFonts w:ascii="Arial" w:hAnsi="Arial"/>
          <w:noProof/>
          <w:sz w:val="22"/>
          <w:szCs w:val="22"/>
        </w:rPr>
        <w:t>[5]</w:t>
      </w:r>
      <w:r w:rsidR="000D5DA4" w:rsidRPr="007D0473">
        <w:rPr>
          <w:rFonts w:ascii="Arial" w:hAnsi="Arial"/>
          <w:sz w:val="22"/>
          <w:szCs w:val="22"/>
        </w:rPr>
        <w:fldChar w:fldCharType="end"/>
      </w:r>
      <w:r w:rsidR="2CA6CAE4" w:rsidRPr="007D0473">
        <w:rPr>
          <w:rFonts w:ascii="Arial" w:hAnsi="Arial"/>
          <w:sz w:val="22"/>
          <w:szCs w:val="22"/>
        </w:rPr>
        <w:t xml:space="preserve">. </w:t>
      </w:r>
    </w:p>
    <w:p w14:paraId="0AA06677" w14:textId="77777777" w:rsidR="0087203A" w:rsidRPr="007D0473" w:rsidRDefault="0087203A" w:rsidP="00DB7C46">
      <w:pPr>
        <w:spacing w:before="120" w:after="120" w:line="480" w:lineRule="auto"/>
        <w:rPr>
          <w:rFonts w:ascii="Arial" w:hAnsi="Arial"/>
          <w:sz w:val="22"/>
          <w:szCs w:val="22"/>
        </w:rPr>
      </w:pPr>
    </w:p>
    <w:p w14:paraId="468795E2" w14:textId="0E6CDB26" w:rsidR="001B325B" w:rsidRPr="007D0473" w:rsidRDefault="4491160C" w:rsidP="00DB7C46">
      <w:pPr>
        <w:spacing w:before="120" w:after="120" w:line="480" w:lineRule="auto"/>
        <w:rPr>
          <w:rFonts w:ascii="Arial" w:hAnsi="Arial"/>
          <w:sz w:val="22"/>
          <w:szCs w:val="22"/>
        </w:rPr>
      </w:pPr>
      <w:r w:rsidRPr="007D0473">
        <w:rPr>
          <w:rFonts w:ascii="Arial" w:hAnsi="Arial"/>
          <w:sz w:val="22"/>
          <w:szCs w:val="22"/>
        </w:rPr>
        <w:t xml:space="preserve">GBS is </w:t>
      </w:r>
      <w:r w:rsidR="37638773" w:rsidRPr="007D0473">
        <w:rPr>
          <w:rFonts w:ascii="Arial" w:hAnsi="Arial"/>
          <w:sz w:val="22"/>
          <w:szCs w:val="22"/>
        </w:rPr>
        <w:t>sub</w:t>
      </w:r>
      <w:r w:rsidR="18E86807" w:rsidRPr="007D0473">
        <w:rPr>
          <w:rFonts w:ascii="Arial" w:hAnsi="Arial"/>
          <w:sz w:val="22"/>
          <w:szCs w:val="22"/>
        </w:rPr>
        <w:t>-</w:t>
      </w:r>
      <w:r w:rsidR="37638773" w:rsidRPr="007D0473">
        <w:rPr>
          <w:rFonts w:ascii="Arial" w:hAnsi="Arial"/>
          <w:sz w:val="22"/>
          <w:szCs w:val="22"/>
        </w:rPr>
        <w:t xml:space="preserve">divided </w:t>
      </w:r>
      <w:r w:rsidRPr="007D0473">
        <w:rPr>
          <w:rFonts w:ascii="Arial" w:hAnsi="Arial"/>
          <w:sz w:val="22"/>
          <w:szCs w:val="22"/>
        </w:rPr>
        <w:t>into ten serotypes (</w:t>
      </w:r>
      <w:proofErr w:type="spellStart"/>
      <w:r w:rsidRPr="007D0473">
        <w:rPr>
          <w:rFonts w:ascii="Arial" w:hAnsi="Arial"/>
          <w:sz w:val="22"/>
          <w:szCs w:val="22"/>
        </w:rPr>
        <w:t>Ia</w:t>
      </w:r>
      <w:proofErr w:type="spellEnd"/>
      <w:r w:rsidR="1D93A589" w:rsidRPr="007D0473">
        <w:rPr>
          <w:rFonts w:ascii="Arial" w:hAnsi="Arial"/>
          <w:sz w:val="22"/>
          <w:szCs w:val="22"/>
        </w:rPr>
        <w:t xml:space="preserve">, </w:t>
      </w:r>
      <w:proofErr w:type="spellStart"/>
      <w:r w:rsidR="1D93A589" w:rsidRPr="007D0473">
        <w:rPr>
          <w:rFonts w:ascii="Arial" w:hAnsi="Arial"/>
          <w:sz w:val="22"/>
          <w:szCs w:val="22"/>
        </w:rPr>
        <w:t>Ib</w:t>
      </w:r>
      <w:proofErr w:type="spellEnd"/>
      <w:r w:rsidR="1D93A589" w:rsidRPr="007D0473">
        <w:rPr>
          <w:rFonts w:ascii="Arial" w:hAnsi="Arial"/>
          <w:sz w:val="22"/>
          <w:szCs w:val="22"/>
        </w:rPr>
        <w:t>, II</w:t>
      </w:r>
      <w:r w:rsidRPr="007D0473">
        <w:rPr>
          <w:rFonts w:ascii="Arial" w:hAnsi="Arial"/>
          <w:sz w:val="22"/>
          <w:szCs w:val="22"/>
        </w:rPr>
        <w:t xml:space="preserve">-IX) based on capsular polysaccharides. </w:t>
      </w:r>
      <w:r w:rsidR="6261C8EE" w:rsidRPr="007D0473">
        <w:rPr>
          <w:rFonts w:ascii="Arial" w:hAnsi="Arial"/>
          <w:sz w:val="22"/>
          <w:szCs w:val="22"/>
        </w:rPr>
        <w:t xml:space="preserve">However, only </w:t>
      </w:r>
      <w:r w:rsidR="7971B7A9" w:rsidRPr="007D0473">
        <w:rPr>
          <w:rFonts w:ascii="Arial" w:hAnsi="Arial"/>
          <w:sz w:val="22"/>
          <w:szCs w:val="22"/>
        </w:rPr>
        <w:t xml:space="preserve">five serotypes, </w:t>
      </w:r>
      <w:proofErr w:type="spellStart"/>
      <w:r w:rsidR="7971B7A9" w:rsidRPr="007D0473">
        <w:rPr>
          <w:rFonts w:ascii="Arial" w:hAnsi="Arial"/>
          <w:sz w:val="22"/>
          <w:szCs w:val="22"/>
        </w:rPr>
        <w:t>Ia</w:t>
      </w:r>
      <w:proofErr w:type="spellEnd"/>
      <w:r w:rsidR="7971B7A9" w:rsidRPr="007D0473">
        <w:rPr>
          <w:rFonts w:ascii="Arial" w:hAnsi="Arial"/>
          <w:sz w:val="22"/>
          <w:szCs w:val="22"/>
        </w:rPr>
        <w:t xml:space="preserve">, </w:t>
      </w:r>
      <w:proofErr w:type="spellStart"/>
      <w:r w:rsidR="7971B7A9" w:rsidRPr="007D0473">
        <w:rPr>
          <w:rFonts w:ascii="Arial" w:hAnsi="Arial"/>
          <w:sz w:val="22"/>
          <w:szCs w:val="22"/>
        </w:rPr>
        <w:t>Ib</w:t>
      </w:r>
      <w:proofErr w:type="spellEnd"/>
      <w:r w:rsidR="7971B7A9" w:rsidRPr="007D0473">
        <w:rPr>
          <w:rFonts w:ascii="Arial" w:hAnsi="Arial"/>
          <w:sz w:val="22"/>
          <w:szCs w:val="22"/>
        </w:rPr>
        <w:t>, II, III, and V, account for 93-99% of cases of neonatal and adult infections globally</w:t>
      </w:r>
      <w:r w:rsidR="569A687B" w:rsidRPr="007D0473">
        <w:rPr>
          <w:rFonts w:ascii="Arial" w:hAnsi="Arial"/>
          <w:sz w:val="22"/>
          <w:szCs w:val="22"/>
        </w:rPr>
        <w:t xml:space="preserve"> </w:t>
      </w:r>
      <w:r w:rsidR="00F677D8" w:rsidRPr="007D0473">
        <w:rPr>
          <w:rFonts w:ascii="Arial" w:hAnsi="Arial"/>
          <w:sz w:val="22"/>
          <w:szCs w:val="22"/>
        </w:rPr>
        <w:fldChar w:fldCharType="begin" w:fldLock="1"/>
      </w:r>
      <w:r w:rsidR="00B31BD8">
        <w:rPr>
          <w:rFonts w:ascii="Arial" w:hAnsi="Arial"/>
          <w:sz w:val="22"/>
          <w:szCs w:val="22"/>
        </w:rPr>
        <w:instrText>ADDIN CSL_CITATION {"citationItems":[{"id":"ITEM-1","itemData":{"DOI":"10.1016/j.vaccine.2020.08.052","ISSN":"18732518","PMID":"32888741","abstract":"Background: 21 million pregnant women worldwide (18%) are estimated to carry Group B Streptococcus (GBS), which is a risk for invasive disease in newborns, pregnant women, and stillbirths. Adults ≥ 60 years or with underlying health conditions are also vulnerable to invasive GBS disease. We undertook systematic reviews on GBS organism characteristics including: capsular polysaccharide (serotype), sequence type (multi-locus sequence types (MLST)), and virulence proteins. We synthesised data by at-risk populations, to inform vaccine development. Methods: We conducted systematic reviews and meta-analyses to estimate proportions of GBS serotypes for at risk populations: maternal colonisation, invasive disease in pregnant women, stillbirths, infants 0–90 days age, and older adults (≥60 years). We considered regional variation and time trends (2001–2018). For these at-risk population groups, we summarised reported MLST and surface proteins. Results: Based on 198 studies (29247isolates), 93–99% of GBS isolates were serotypes Ia, Ib, II, III, IV and V. Regional variation is likely, but data gaps are apparent, even for maternal colonisation which has most data. Serotype III dominates for infant invasive disease (60%) and GBS-associated stillbirths (41%). ST17 accounted for a high proportion of infant invasive disease (41%; 95%CI: 35–47) and was found almost exclusively in serotype III strains, less present in maternal colonisation (9%; 95%CI:6–13),(4%; 95%CI:0–11) infant colonisation, and adult invasive disease (4%, 95%CI:2–6). Percentages of strains with at least one of alp 1, alp2/3, alpha C or Rib surface protein targets were 87% of maternal colonisation, 97% infant colonisation, 93% infant disease and 99% adult invasive disease. At least one of three pilus islands proteins were reported in all strains. Discussion: A hexavalent vaccine (serotypes Ia, Ib, II, III, IV and V) might provide comprehensive cover for all at-risk populations. Surveillance of circulating, disease-causing target proteins is useful to inform vaccines not targeting capsular polysaccharide. Addressing data gaps especially by world region and some at-risk populations (notably stillbirths) is fundamental to evidence-based decision-making during vaccine design.","author":[{"dropping-particle":"","family":"Bianchi-Jassir","given":"Fiorella","non-dropping-particle":"","parse-names":false,"suffix":""},{"dropping-particle":"","family":"Paul","given":"Proma","non-dropping-particle":"","parse-names":false,"suffix":""},{"dropping-particle":"","family":"To","given":"Ka Ning","non-dropping-particle":"","parse-names":false,"suffix":""},{"dropping-particle":"","family":"Carreras-Abad","given":"Clara","non-dropping-particle":"","parse-names":false,"suffix":""},{"dropping-particle":"","family":"Seale","given":"Anna C.","non-dropping-particle":"","parse-names":false,"suffix":""},{"dropping-particle":"","family":"Jauneikaite","given":"Elita","non-dropping-particle":"","parse-names":false,"suffix":""},{"dropping-particle":"","family":"Madhi","given":"Shabir A.","non-dropping-particle":"","parse-names":false,"suffix":""},{"dropping-particle":"","family":"Russell","given":"Neal J.","non-dropping-particle":"","parse-names":false,"suffix":""},{"dropping-particle":"","family":"Hall","given":"Jenny","non-dropping-particle":"","parse-names":false,"suffix":""},{"dropping-particle":"","family":"Madrid","given":"Lola","non-dropping-particle":"","parse-names":false,"suffix":""},{"dropping-particle":"","family":"Bassat","given":"Quique","non-dropping-particle":"","parse-names":false,"suffix":""},{"dropping-particle":"","family":"Kwatra","given":"Gaurav","non-dropping-particle":"","parse-names":false,"suffix":""},{"dropping-particle":"","family":"Doare","given":"Kirsty","non-dropping-particle":"Le","parse-names":false,"suffix":""},{"dropping-particle":"","family":"Lawn","given":"Joy E.","non-dropping-particle":"","parse-names":false,"suffix":""}],"container-title":"Vaccine","id":"ITEM-1","issue":"43","issued":{"date-parts":[["2020"]]},"title":"Systematic review of Group B Streptococcal capsular types, sequence types and surface proteins as potential vaccine candidates","type":"article","volume":"38"},"uris":["http://www.mendeley.com/documents/?uuid=eea2a2da-fe9a-4d21-9f86-c6895e2d399d"]}],"mendeley":{"formattedCitation":"[6]","plainTextFormattedCitation":"[6]","previouslyFormattedCitation":"[6]"},"properties":{"noteIndex":0},"schema":"https://github.com/citation-style-language/schema/raw/master/csl-citation.json"}</w:instrText>
      </w:r>
      <w:r w:rsidR="00F677D8" w:rsidRPr="007D0473">
        <w:rPr>
          <w:rFonts w:ascii="Arial" w:hAnsi="Arial"/>
          <w:sz w:val="22"/>
          <w:szCs w:val="22"/>
        </w:rPr>
        <w:fldChar w:fldCharType="separate"/>
      </w:r>
      <w:r w:rsidR="569A687B" w:rsidRPr="007D0473">
        <w:rPr>
          <w:rFonts w:ascii="Arial" w:hAnsi="Arial"/>
          <w:noProof/>
          <w:sz w:val="22"/>
          <w:szCs w:val="22"/>
        </w:rPr>
        <w:t>[6]</w:t>
      </w:r>
      <w:r w:rsidR="00F677D8" w:rsidRPr="007D0473">
        <w:rPr>
          <w:rFonts w:ascii="Arial" w:hAnsi="Arial"/>
          <w:sz w:val="22"/>
          <w:szCs w:val="22"/>
        </w:rPr>
        <w:fldChar w:fldCharType="end"/>
      </w:r>
      <w:r w:rsidR="046E5FFF" w:rsidRPr="007D0473">
        <w:rPr>
          <w:rFonts w:ascii="Arial" w:hAnsi="Arial"/>
          <w:sz w:val="22"/>
          <w:szCs w:val="22"/>
        </w:rPr>
        <w:t xml:space="preserve">; with serotypes V and </w:t>
      </w:r>
      <w:proofErr w:type="spellStart"/>
      <w:r w:rsidR="046E5FFF" w:rsidRPr="007D0473">
        <w:rPr>
          <w:rFonts w:ascii="Arial" w:hAnsi="Arial"/>
          <w:sz w:val="22"/>
          <w:szCs w:val="22"/>
        </w:rPr>
        <w:t>Ia</w:t>
      </w:r>
      <w:proofErr w:type="spellEnd"/>
      <w:r w:rsidR="046E5FFF" w:rsidRPr="007D0473">
        <w:rPr>
          <w:rFonts w:ascii="Arial" w:hAnsi="Arial"/>
          <w:sz w:val="22"/>
          <w:szCs w:val="22"/>
        </w:rPr>
        <w:t xml:space="preserve"> accounting for </w:t>
      </w:r>
      <w:r w:rsidR="36ACCB2A" w:rsidRPr="007D0473">
        <w:rPr>
          <w:rFonts w:ascii="Arial" w:hAnsi="Arial"/>
          <w:sz w:val="22"/>
          <w:szCs w:val="22"/>
        </w:rPr>
        <w:t xml:space="preserve">58% of elderly </w:t>
      </w:r>
      <w:proofErr w:type="spellStart"/>
      <w:r w:rsidR="36ACCB2A" w:rsidRPr="007D0473">
        <w:rPr>
          <w:rFonts w:ascii="Arial" w:hAnsi="Arial"/>
          <w:sz w:val="22"/>
          <w:szCs w:val="22"/>
        </w:rPr>
        <w:t>iGBS</w:t>
      </w:r>
      <w:proofErr w:type="spellEnd"/>
      <w:r w:rsidR="36ACCB2A" w:rsidRPr="007D0473">
        <w:rPr>
          <w:rFonts w:ascii="Arial" w:hAnsi="Arial"/>
          <w:sz w:val="22"/>
          <w:szCs w:val="22"/>
        </w:rPr>
        <w:t xml:space="preserve"> and </w:t>
      </w:r>
      <w:r w:rsidR="3C34DFBB" w:rsidRPr="007D0473">
        <w:rPr>
          <w:rFonts w:ascii="Arial" w:hAnsi="Arial"/>
          <w:sz w:val="22"/>
          <w:szCs w:val="22"/>
        </w:rPr>
        <w:t xml:space="preserve">serotype III dominating in neonatal </w:t>
      </w:r>
      <w:proofErr w:type="spellStart"/>
      <w:r w:rsidR="3C34DFBB" w:rsidRPr="007D0473">
        <w:rPr>
          <w:rFonts w:ascii="Arial" w:hAnsi="Arial"/>
          <w:sz w:val="22"/>
          <w:szCs w:val="22"/>
        </w:rPr>
        <w:t>iGBS</w:t>
      </w:r>
      <w:proofErr w:type="spellEnd"/>
      <w:r w:rsidR="3C34DFBB" w:rsidRPr="007D0473">
        <w:rPr>
          <w:rFonts w:ascii="Arial" w:hAnsi="Arial"/>
          <w:sz w:val="22"/>
          <w:szCs w:val="22"/>
        </w:rPr>
        <w:t xml:space="preserve"> cases </w:t>
      </w:r>
      <w:r w:rsidR="00F677D8" w:rsidRPr="007D0473">
        <w:rPr>
          <w:rFonts w:ascii="Arial" w:hAnsi="Arial"/>
          <w:sz w:val="22"/>
          <w:szCs w:val="22"/>
        </w:rPr>
        <w:fldChar w:fldCharType="begin" w:fldLock="1"/>
      </w:r>
      <w:r w:rsidR="00B31BD8">
        <w:rPr>
          <w:rFonts w:ascii="Arial" w:hAnsi="Arial"/>
          <w:sz w:val="22"/>
          <w:szCs w:val="22"/>
        </w:rPr>
        <w:instrText>ADDIN CSL_CITATION {"citationItems":[{"id":"ITEM-1","itemData":{"DOI":"10.1016/j.vaccine.2020.08.052","ISSN":"18732518","PMID":"32888741","abstract":"Background: 21 million pregnant women worldwide (18%) are estimated to carry Group B Streptococcus (GBS), which is a risk for invasive disease in newborns, pregnant women, and stillbirths. Adults ≥ 60 years or with underlying health conditions are also vulnerable to invasive GBS disease. We undertook systematic reviews on GBS organism characteristics including: capsular polysaccharide (serotype), sequence type (multi-locus sequence types (MLST)), and virulence proteins. We synthesised data by at-risk populations, to inform vaccine development. Methods: We conducted systematic reviews and meta-analyses to estimate proportions of GBS serotypes for at risk populations: maternal colonisation, invasive disease in pregnant women, stillbirths, infants 0–90 days age, and older adults (≥60 years). We considered regional variation and time trends (2001–2018). For these at-risk population groups, we summarised reported MLST and surface proteins. Results: Based on 198 studies (29247isolates), 93–99% of GBS isolates were serotypes Ia, Ib, II, III, IV and V. Regional variation is likely, but data gaps are apparent, even for maternal colonisation which has most data. Serotype III dominates for infant invasive disease (60%) and GBS-associated stillbirths (41%). ST17 accounted for a high proportion of infant invasive disease (41%; 95%CI: 35–47) and was found almost exclusively in serotype III strains, less present in maternal colonisation (9%; 95%CI:6–13),(4%; 95%CI:0–11) infant colonisation, and adult invasive disease (4%, 95%CI:2–6). Percentages of strains with at least one of alp 1, alp2/3, alpha C or Rib surface protein targets were 87% of maternal colonisation, 97% infant colonisation, 93% infant disease and 99% adult invasive disease. At least one of three pilus islands proteins were reported in all strains. Discussion: A hexavalent vaccine (serotypes Ia, Ib, II, III, IV and V) might provide comprehensive cover for all at-risk populations. Surveillance of circulating, disease-causing target proteins is useful to inform vaccines not targeting capsular polysaccharide. Addressing data gaps especially by world region and some at-risk populations (notably stillbirths) is fundamental to evidence-based decision-making during vaccine design.","author":[{"dropping-particle":"","family":"Bianchi-Jassir","given":"Fiorella","non-dropping-particle":"","parse-names":false,"suffix":""},{"dropping-particle":"","family":"Paul","given":"Proma","non-dropping-particle":"","parse-names":false,"suffix":""},{"dropping-particle":"","family":"To","given":"Ka Ning","non-dropping-particle":"","parse-names":false,"suffix":""},{"dropping-particle":"","family":"Carreras-Abad","given":"Clara","non-dropping-particle":"","parse-names":false,"suffix":""},{"dropping-particle":"","family":"Seale","given":"Anna C.","non-dropping-particle":"","parse-names":false,"suffix":""},{"dropping-particle":"","family":"Jauneikaite","given":"Elita","non-dropping-particle":"","parse-names":false,"suffix":""},{"dropping-particle":"","family":"Madhi","given":"Shabir A.","non-dropping-particle":"","parse-names":false,"suffix":""},{"dropping-particle":"","family":"Russell","given":"Neal J.","non-dropping-particle":"","parse-names":false,"suffix":""},{"dropping-particle":"","family":"Hall","given":"Jenny","non-dropping-particle":"","parse-names":false,"suffix":""},{"dropping-particle":"","family":"Madrid","given":"Lola","non-dropping-particle":"","parse-names":false,"suffix":""},{"dropping-particle":"","family":"Bassat","given":"Quique","non-dropping-particle":"","parse-names":false,"suffix":""},{"dropping-particle":"","family":"Kwatra","given":"Gaurav","non-dropping-particle":"","parse-names":false,"suffix":""},{"dropping-particle":"","family":"Doare","given":"Kirsty","non-dropping-particle":"Le","parse-names":false,"suffix":""},{"dropping-particle":"","family":"Lawn","given":"Joy E.","non-dropping-particle":"","parse-names":false,"suffix":""}],"container-title":"Vaccine","id":"ITEM-1","issue":"43","issued":{"date-parts":[["2020"]]},"title":"Systematic review of Group B Streptococcal capsular types, sequence types and surface proteins as potential vaccine candidates","type":"article","volume":"38"},"uris":["http://www.mendeley.com/documents/?uuid=eea2a2da-fe9a-4d21-9f86-c6895e2d399d"]}],"mendeley":{"formattedCitation":"[6]","plainTextFormattedCitation":"[6]","previouslyFormattedCitation":"[6]"},"properties":{"noteIndex":0},"schema":"https://github.com/citation-style-language/schema/raw/master/csl-citation.json"}</w:instrText>
      </w:r>
      <w:r w:rsidR="00F677D8" w:rsidRPr="007D0473">
        <w:rPr>
          <w:rFonts w:ascii="Arial" w:hAnsi="Arial"/>
          <w:sz w:val="22"/>
          <w:szCs w:val="22"/>
        </w:rPr>
        <w:fldChar w:fldCharType="separate"/>
      </w:r>
      <w:r w:rsidR="569A687B" w:rsidRPr="007D0473">
        <w:rPr>
          <w:rFonts w:ascii="Arial" w:hAnsi="Arial"/>
          <w:noProof/>
          <w:sz w:val="22"/>
          <w:szCs w:val="22"/>
        </w:rPr>
        <w:t>[6]</w:t>
      </w:r>
      <w:r w:rsidR="00F677D8" w:rsidRPr="007D0473">
        <w:rPr>
          <w:rFonts w:ascii="Arial" w:hAnsi="Arial"/>
          <w:sz w:val="22"/>
          <w:szCs w:val="22"/>
        </w:rPr>
        <w:fldChar w:fldCharType="end"/>
      </w:r>
      <w:r w:rsidR="59AA1A4F" w:rsidRPr="007D0473">
        <w:rPr>
          <w:rFonts w:ascii="Arial" w:hAnsi="Arial"/>
          <w:sz w:val="22"/>
          <w:szCs w:val="22"/>
        </w:rPr>
        <w:t>.</w:t>
      </w:r>
      <w:r w:rsidR="4710F62E" w:rsidRPr="007D0473">
        <w:rPr>
          <w:rFonts w:ascii="Arial" w:hAnsi="Arial"/>
          <w:sz w:val="22"/>
          <w:szCs w:val="22"/>
        </w:rPr>
        <w:t xml:space="preserve"> </w:t>
      </w:r>
      <w:r w:rsidR="16161E77" w:rsidRPr="007D0473">
        <w:rPr>
          <w:rFonts w:ascii="Arial" w:hAnsi="Arial"/>
          <w:sz w:val="22"/>
          <w:szCs w:val="22"/>
        </w:rPr>
        <w:t xml:space="preserve">Currently, </w:t>
      </w:r>
      <w:r w:rsidR="4B095973" w:rsidRPr="007D0473">
        <w:rPr>
          <w:rFonts w:ascii="Arial" w:hAnsi="Arial"/>
          <w:sz w:val="22"/>
          <w:szCs w:val="22"/>
        </w:rPr>
        <w:t>there are three main GBS vaccines in development: multi-capsular polysaccharide vaccines</w:t>
      </w:r>
      <w:r w:rsidR="37638773" w:rsidRPr="007D0473">
        <w:rPr>
          <w:rFonts w:ascii="Arial" w:hAnsi="Arial"/>
          <w:sz w:val="22"/>
          <w:szCs w:val="22"/>
        </w:rPr>
        <w:t xml:space="preserve">: </w:t>
      </w:r>
      <w:r w:rsidR="4B095973" w:rsidRPr="007D0473">
        <w:rPr>
          <w:rFonts w:ascii="Arial" w:hAnsi="Arial"/>
          <w:sz w:val="22"/>
          <w:szCs w:val="22"/>
        </w:rPr>
        <w:t xml:space="preserve">trivalent, covering serotypes </w:t>
      </w:r>
      <w:proofErr w:type="spellStart"/>
      <w:r w:rsidR="4B095973" w:rsidRPr="007D0473">
        <w:rPr>
          <w:rFonts w:ascii="Arial" w:hAnsi="Arial"/>
          <w:sz w:val="22"/>
          <w:szCs w:val="22"/>
        </w:rPr>
        <w:t>Ia</w:t>
      </w:r>
      <w:proofErr w:type="spellEnd"/>
      <w:r w:rsidR="4B095973" w:rsidRPr="007D0473">
        <w:rPr>
          <w:rFonts w:ascii="Arial" w:hAnsi="Arial"/>
          <w:sz w:val="22"/>
          <w:szCs w:val="22"/>
        </w:rPr>
        <w:t xml:space="preserve">, </w:t>
      </w:r>
      <w:proofErr w:type="spellStart"/>
      <w:r w:rsidR="4B095973" w:rsidRPr="007D0473">
        <w:rPr>
          <w:rFonts w:ascii="Arial" w:hAnsi="Arial"/>
          <w:sz w:val="22"/>
          <w:szCs w:val="22"/>
        </w:rPr>
        <w:t>Ib</w:t>
      </w:r>
      <w:proofErr w:type="spellEnd"/>
      <w:r w:rsidR="4B095973" w:rsidRPr="007D0473">
        <w:rPr>
          <w:rFonts w:ascii="Arial" w:hAnsi="Arial"/>
          <w:sz w:val="22"/>
          <w:szCs w:val="22"/>
        </w:rPr>
        <w:t xml:space="preserve"> and III  </w:t>
      </w:r>
      <w:r w:rsidR="00F677D8" w:rsidRPr="007D0473">
        <w:rPr>
          <w:rFonts w:ascii="Arial" w:hAnsi="Arial"/>
          <w:sz w:val="22"/>
          <w:szCs w:val="22"/>
        </w:rPr>
        <w:fldChar w:fldCharType="begin" w:fldLock="1"/>
      </w:r>
      <w:r w:rsidR="00F677D8" w:rsidRPr="007D0473">
        <w:rPr>
          <w:rFonts w:ascii="Arial" w:hAnsi="Arial"/>
          <w:sz w:val="22"/>
          <w:szCs w:val="22"/>
        </w:rPr>
        <w:instrText>ADDIN CSL_CITATION {"citationItems":[{"id":"ITEM-1","itemData":{"DOI":"10.1016/S1473-3099(16)00152-3","ISSN":"14744457","abstract":"Background Maternal group B streptococcus (GBS) serotype-specific capsular antibody concentrations are correlated with susceptibility to neonatal GBS invasive disease. Maternal immunisation against GBS during pregnancy might protect infants across the period of susceptibility to invasive disease, but no licensed vaccine exists. This study assessed the safety and immunogenicity of a CRM197-conjugated trivalent GBS vaccine in non-pregnant and pregnant women, and antibody transfer to their infants. Methods We did a phase 1b/2, randomised, observer-blind single-centre study of an investigational trivalent GBS vaccine in healthy non-pregnant women (cohort 1), and a dose-ranging study in healthy pregnant women (cohort 2). The study was done at the Chris Hani Baragwanath Academic Hospital in Soweto, South Africa. Participants were healthy non-pregnant or pregnant (28–35 weeks' gestation) women aged 18–40 years. In cohort 1, non-pregnant women were randomly assigned (2:1) to receive the investigational vaccine (two injections, 1 month apart, of a 20 μg dose [of each serotype] of aluminium hydroxide-adjuvanted investigational vaccine) or placebo. In cohort 2, pregnant women were randomly assigned (1:1:1:1) to receive one injection at 28–35 weeks' gestation of 0·5 μg, 2·5 μg, or 5·0 μg of the non-adjuvanted investigational vaccine (for each serotype), or placebo. All study participants and study staff not involved with vaccine preparation were masked to the randomisation group. The vaccine contained an equal dose (0·5 μg, 2·5 μg, 5·0 μg, or 20 μg) of each of three glycoconjugates (serotypes Ia, Ib and III). Reactogenicity was monitored to day 7 and unsolicited adverse events (adverse events) and infant safety were recorded throughout the study. The primary outcomes were tolerability and GBS-specific antibody response (measured as geometric mean concentrations [GMCs] in μg/mL) following the two injections for cohort 1, and selection of one vaccine dose based on analysis of serotype-specific antibody responses at delivery (+72 h) for use in subsequent studies. These outcomes were assessed in participants or infants of participants who correctly received the study vaccine with no major protocol deviations, and provided evaluable serum samples at day 1 and the scheduled timepoints throughout the study. This study is registered with ClinicalTrials.gov, NCT01193920. Findings Between Oct 5, 2010, and Sept 21, 2011, we screened 75 non-pregnant and 417 pregnant healthy So…","author":[{"dropping-particle":"","family":"Madhi","given":"Shabir A.","non-dropping-particle":"","parse-names":false,"suffix":""},{"dropping-particle":"","family":"Cutland","given":"Clare L.","non-dropping-particle":"","parse-names":false,"suffix":""},{"dropping-particle":"","family":"Jose","given":"Lisa","non-dropping-particle":"","parse-names":false,"suffix":""},{"dropping-particle":"","family":"Koen","given":"Anthonet","non-dropping-particle":"","parse-names":false,"suffix":""},{"dropping-particle":"","family":"Govender","given":"Niresha","non-dropping-particle":"","parse-names":false,"suffix":""},{"dropping-particle":"","family":"Wittke","given":"Frederick","non-dropping-particle":"","parse-names":false,"suffix":""},{"dropping-particle":"","family":"Olugbosi","given":"Morounfolu","non-dropping-particle":"","parse-names":false,"suffix":""},{"dropping-particle":"ter","family":"Meulen","given":"Ajoke Sobanjo","non-dropping-particle":"","parse-names":false,"suffix":""},{"dropping-particle":"","family":"Baker","given":"Sherryl","non-dropping-particle":"","parse-names":false,"suffix":""},{"dropping-particle":"","family":"Dull","given":"Peter M.","non-dropping-particle":"","parse-names":false,"suffix":""},{"dropping-particle":"","family":"Narasimhan","given":"Vas","non-dropping-particle":"","parse-names":false,"suffix":""},{"dropping-particle":"","family":"Slobod","given":"Karen","non-dropping-particle":"","parse-names":false,"suffix":""}],"container-title":"The Lancet Infectious Diseases","id":"ITEM-1","issue":"8","issued":{"date-parts":[["2016"]]},"title":"Safety and immunogenicity of an investigational maternal trivalent group B streptococcus vaccine in healthy women and their infants: a randomised phase 1b/2 trial","type":"article-journal","volume":"16"},"uris":["http://www.mendeley.com/documents/?uuid=da10bd3c-46bf-3bda-867f-c35d5e03d2a8"]}],"mendeley":{"formattedCitation":"[7]","plainTextFormattedCitation":"[7]","previouslyFormattedCitation":"[7]"},"properties":{"noteIndex":0},"schema":"https://github.com/citation-style-language/schema/raw/master/csl-citation.json"}</w:instrText>
      </w:r>
      <w:r w:rsidR="00F677D8" w:rsidRPr="007D0473">
        <w:rPr>
          <w:rFonts w:ascii="Arial" w:hAnsi="Arial"/>
          <w:sz w:val="22"/>
          <w:szCs w:val="22"/>
        </w:rPr>
        <w:fldChar w:fldCharType="separate"/>
      </w:r>
      <w:r w:rsidR="37DF431B" w:rsidRPr="007D0473">
        <w:rPr>
          <w:rFonts w:ascii="Arial" w:hAnsi="Arial"/>
          <w:noProof/>
          <w:sz w:val="22"/>
          <w:szCs w:val="22"/>
        </w:rPr>
        <w:t>[7]</w:t>
      </w:r>
      <w:r w:rsidR="00F677D8" w:rsidRPr="007D0473">
        <w:rPr>
          <w:rFonts w:ascii="Arial" w:hAnsi="Arial"/>
          <w:sz w:val="22"/>
          <w:szCs w:val="22"/>
        </w:rPr>
        <w:fldChar w:fldCharType="end"/>
      </w:r>
      <w:r w:rsidR="4B095973" w:rsidRPr="007D0473">
        <w:rPr>
          <w:rFonts w:ascii="Arial" w:hAnsi="Arial"/>
          <w:sz w:val="22"/>
          <w:szCs w:val="22"/>
        </w:rPr>
        <w:t xml:space="preserve">; hexavalent, covering serotypes </w:t>
      </w:r>
      <w:proofErr w:type="spellStart"/>
      <w:r w:rsidR="4B095973" w:rsidRPr="007D0473">
        <w:rPr>
          <w:rFonts w:ascii="Arial" w:hAnsi="Arial"/>
          <w:sz w:val="22"/>
          <w:szCs w:val="22"/>
        </w:rPr>
        <w:t>Ia</w:t>
      </w:r>
      <w:proofErr w:type="spellEnd"/>
      <w:r w:rsidR="4B095973" w:rsidRPr="007D0473">
        <w:rPr>
          <w:rFonts w:ascii="Arial" w:hAnsi="Arial"/>
          <w:sz w:val="22"/>
          <w:szCs w:val="22"/>
        </w:rPr>
        <w:t xml:space="preserve">, </w:t>
      </w:r>
      <w:proofErr w:type="spellStart"/>
      <w:r w:rsidR="4B095973" w:rsidRPr="007D0473">
        <w:rPr>
          <w:rFonts w:ascii="Arial" w:hAnsi="Arial"/>
          <w:sz w:val="22"/>
          <w:szCs w:val="22"/>
        </w:rPr>
        <w:t>Ib</w:t>
      </w:r>
      <w:proofErr w:type="spellEnd"/>
      <w:r w:rsidR="4B095973" w:rsidRPr="007D0473">
        <w:rPr>
          <w:rFonts w:ascii="Arial" w:hAnsi="Arial"/>
          <w:sz w:val="22"/>
          <w:szCs w:val="22"/>
        </w:rPr>
        <w:t xml:space="preserve">, II, III, IV and V </w:t>
      </w:r>
      <w:r w:rsidR="00F677D8" w:rsidRPr="007D0473">
        <w:rPr>
          <w:rFonts w:ascii="Arial" w:hAnsi="Arial"/>
          <w:sz w:val="22"/>
          <w:szCs w:val="22"/>
        </w:rPr>
        <w:fldChar w:fldCharType="begin" w:fldLock="1"/>
      </w:r>
      <w:r w:rsidR="00F677D8" w:rsidRPr="007D0473">
        <w:rPr>
          <w:rFonts w:ascii="Arial" w:hAnsi="Arial"/>
          <w:sz w:val="22"/>
          <w:szCs w:val="22"/>
        </w:rPr>
        <w:instrText>ADDIN CSL_CITATION {"citationItems":[{"id":"ITEM-1","itemData":{"DOI":"10.1093/infdis/jiz062","ISSN":"15376613","abstract":"Background: Group B streptococcus (GBS) causes serious diseases in newborn infants, often resulting in lifelong neurologic impairments or death. Prophylactic vaccination of pregnant women prior to delivery could provide comprehensive protection, as early onset and late-onset disease and maternal complications potentially could be addressed. Methods: Capsular polysaccharide conjugate vaccine GBS6 was designed using surveillance data yielded by whole-genome sequencing of a global collection of recently recovered GBS isolates responsible for invasive neonatal GBS disease. Capsular polysaccharides were isolated, oxidized using sodium periodate, and conjugated to CRM197 by reductive amination in dimethyl sulfoxide. Immune responses in mice and rhesus macaques were measured in a multiplex Luminex immunoglobulin G (IgG) assay and opsonophagocytic activity assays. Results: The optimized conjugates were immunogenic, alone and in combination, in mice and rhesus macaques, inducing IgG antibodies that mediated opsonophagocytic killing. Active immunization of murine dams with GBS6 prior to mating resulted in serotype-specific protection of pups from a lethal challenge with GBS. Protection following passive administration of serotype-specific IgG monoclonal antibodies to dams demonstrated conclusively that anticapsular polysaccharide IgG alone is sufficient for protection. Conclusions: The findings support the ongoing clinical evaluation of maternal GBS6 vaccination as a potential alternative method to prevent GBS disease in infants.","author":[{"dropping-particle":"","family":"Buurman","given":"Ed T.","non-dropping-particle":"","parse-names":false,"suffix":""},{"dropping-particle":"","family":"Timofeyeva","given":"Yekaterina","non-dropping-particle":"","parse-names":false,"suffix":""},{"dropping-particle":"","family":"Gu","given":"Jianxin","non-dropping-particle":"","parse-names":false,"suffix":""},{"dropping-particle":"","family":"Kim","given":"Jin Hwan","non-dropping-particle":"","parse-names":false,"suffix":""},{"dropping-particle":"","family":"Kodali","given":"Srinivas","non-dropping-particle":"","parse-names":false,"suffix":""},{"dropping-particle":"","family":"Liu","given":"Yongdong","non-dropping-particle":"","parse-names":false,"suffix":""},{"dropping-particle":"","family":"Mininni","given":"Terri","non-dropping-particle":"","parse-names":false,"suffix":""},{"dropping-particle":"","family":"Moghazeh","given":"Soraya","non-dropping-particle":"","parse-names":false,"suffix":""},{"dropping-particle":"","family":"Pavliakova","given":"Danka","non-dropping-particle":"","parse-names":false,"suffix":""},{"dropping-particle":"","family":"Singer","given":"Christine","non-dropping-particle":"","parse-names":false,"suffix":""},{"dropping-particle":"","family":"Singh","given":"Suddham","non-dropping-particle":"","parse-names":false,"suffix":""},{"dropping-particle":"","family":"Handke","given":"Luke D.","non-dropping-particle":"","parse-names":false,"suffix":""},{"dropping-particle":"","family":"Lotvin","given":"Jason","non-dropping-particle":"","parse-names":false,"suffix":""},{"dropping-particle":"","family":"Prasad","given":"A. Krishna","non-dropping-particle":"","parse-names":false,"suffix":""},{"dropping-particle":"","family":"Scully","given":"Ingrid L.","non-dropping-particle":"","parse-names":false,"suffix":""},{"dropping-particle":"","family":"Donald","given":"Robert G.K.","non-dropping-particle":"","parse-names":false,"suffix":""},{"dropping-particle":"","family":"Jansen","given":"Kathrin U.","non-dropping-particle":"","parse-names":false,"suffix":""},{"dropping-particle":"","family":"Anderson","given":"Annaliesa S.","non-dropping-particle":"","parse-names":false,"suffix":""}],"container-title":"Journal of Infectious Diseases","id":"ITEM-1","issue":"1","issued":{"date-parts":[["2019"]]},"title":"A Novel Hexavalent Capsular Polysaccharide Conjugate Vaccine (GBS6) for the Prevention of Neonatal Group B Streptococcal Infections by Maternal Immunization","type":"article-journal","volume":"220"},"uris":["http://www.mendeley.com/documents/?uuid=b7791481-5ae6-3405-8763-2787a6d76e57"]},{"id":"ITEM-2","itemData":{"DOI":"10.1016/S1473-3099(20)30478-3","ISSN":"14744457","abstract":"Background: Group B streptococcus (GBS) is a major cause of invasive disease in young infants. Infants born to women with sufficient pre-existing anti-GBS capsular IgG antibodies are at reduced risk of GBS disease, making maternal immunisation a potential strategy for prevention. We aimed to assess the safety and immunogenicity of a novel hexavalent (serotypes Ia, Ib, II, III, IV, and V) GBS conjugate vaccine (GBS6). Methods: This phase 1/2, placebo-controlled, observer-blinded, dose-escalation trial, was done at four clinical research centres in the USA (Kentucky, Georgia, and two sites in Utah). Healthy, non-pregnant adults aged 18–49 years were randomly assigned using an interactive, web-based response technology system. Within each dose group (low, medium, or high), participants in sentinel cohorts were randomly assigned 2:2:1 and expanded cohort participants were randomly assigned 4:4:1 to receive GBS6 with aluminium phosphate (AlPO4), GBS6 without AlPO4, or placebo (saline control). One 0·5 mL dose of either saline placebo or 5 μg capsular polysaccharide per serotype in the low-dose group, 10 μg capsular polysaccharide per serotype in the medium-dose group, or 20 μg capsular polysaccharide per serotype in the high-dose group was administered by intramuscular injection into the deltoid muscle on day 1. The primary outcome was safety up to 6 months after vaccination, including the proportion of sentinel cohort participants with clinical laboratory abnormalities at 1 week, the proportion of all participants reporting solicited local reactions, systemic events, or use of antipyretic or pain medication within 14 days, adverse events up to 1 month, and medically attended or serious adverse events up to 6 months. The secondary outcome was GBS immunogenicity (serotype-specific IgG geometric mean concentrations at 1 month). This study is registered with ClinicalTrials.gov, NCT03170609. Findings: Between June 5, 2017, and June 25, 2018, 365 participants were randomly assigned and 364 (52 in each dose group) were vaccinated and included in the safety analysis. Unsolicited adverse events were reported by 15 (29%) participants in the 5 μg with AlPO4 group, 13 (25%) in the 5 μg without AlPO4 group, 22 (42%) in the 10 μg with AlPO4 group, 12 (23%) in the 10 μg without AlPO4 group, 25 (48%) in the 20 μg with AlPO4 group, 21 (40%) in the 20 μg without AlPO4 group, and 20 (38%) in the placebo group. The most common unsolicited adverse events were in the system orga…","author":[{"dropping-particle":"","family":"Absalon","given":"Judith","non-dropping-particle":"","parse-names":false,"suffix":""},{"dropping-particle":"","family":"Segall","given":"Nathan","non-dropping-particle":"","parse-names":false,"suffix":""},{"dropping-particle":"","family":"Block","given":"Stan L.","non-dropping-particle":"","parse-names":false,"suffix":""},{"dropping-particle":"","family":"Center","given":"Kimberly J.","non-dropping-particle":"","parse-names":false,"suffix":""},{"dropping-particle":"","family":"Scully","given":"Ingrid L.","non-dropping-particle":"","parse-names":false,"suffix":""},{"dropping-particle":"","family":"Giardina","given":"Peter C.","non-dropping-particle":"","parse-names":false,"suffix":""},{"dropping-particle":"","family":"Peterson","given":"James","non-dropping-particle":"","parse-names":false,"suffix":""},{"dropping-particle":"","family":"Watson","given":"Wendy J.","non-dropping-particle":"","parse-names":false,"suffix":""},{"dropping-particle":"","family":"Gruber","given":"William C.","non-dropping-particle":"","parse-names":false,"suffix":""},{"dropping-particle":"","family":"Jansen","given":"Kathrin U.","non-dropping-particle":"","parse-names":false,"suffix":""},{"dropping-particle":"","family":"Peng","given":"Yahong","non-dropping-particle":"","parse-names":false,"suffix":""},{"dropping-particle":"","family":"Munson","given":"Samantha","non-dropping-particle":"","parse-names":false,"suffix":""},{"dropping-particle":"","family":"Pavliakova","given":"Danka","non-dropping-particle":"","parse-names":false,"suffix":""},{"dropping-particle":"","family":"Scott","given":"Daniel A.","non-dropping-particle":"","parse-names":false,"suffix":""},{"dropping-particle":"","family":"Anderson","given":"Annaliesa S.","non-dropping-particle":"","parse-names":false,"suffix":""}],"container-title":"The Lancet Infectious Diseases","id":"ITEM-2","issue":"2","issued":{"date-parts":[["2021"]]},"title":"Safety and immunogenicity of a novel hexavalent group B streptococcus conjugate vaccine in healthy, non-pregnant adults: a phase 1/2, randomised, placebo-controlled, observer-blinded, dose-escalation trial","type":"article-journal","volume":"21"},"uris":["http://www.mendeley.com/documents/?uuid=ba5fe22d-da0b-3249-a268-75fdf537f847"]}],"mendeley":{"formattedCitation":"[8,9]","plainTextFormattedCitation":"[8,9]","previouslyFormattedCitation":"[8,9]"},"properties":{"noteIndex":0},"schema":"https://github.com/citation-style-language/schema/raw/master/csl-citation.json"}</w:instrText>
      </w:r>
      <w:r w:rsidR="00F677D8" w:rsidRPr="007D0473">
        <w:rPr>
          <w:rFonts w:ascii="Arial" w:hAnsi="Arial"/>
          <w:sz w:val="22"/>
          <w:szCs w:val="22"/>
        </w:rPr>
        <w:fldChar w:fldCharType="separate"/>
      </w:r>
      <w:r w:rsidR="37DF431B" w:rsidRPr="007D0473">
        <w:rPr>
          <w:rFonts w:ascii="Arial" w:hAnsi="Arial"/>
          <w:noProof/>
          <w:sz w:val="22"/>
          <w:szCs w:val="22"/>
        </w:rPr>
        <w:t>[8,9]</w:t>
      </w:r>
      <w:r w:rsidR="00F677D8" w:rsidRPr="007D0473">
        <w:rPr>
          <w:rFonts w:ascii="Arial" w:hAnsi="Arial"/>
          <w:sz w:val="22"/>
          <w:szCs w:val="22"/>
        </w:rPr>
        <w:fldChar w:fldCharType="end"/>
      </w:r>
      <w:r w:rsidR="37638773" w:rsidRPr="007D0473">
        <w:rPr>
          <w:rFonts w:ascii="Arial" w:hAnsi="Arial"/>
          <w:sz w:val="22"/>
          <w:szCs w:val="22"/>
        </w:rPr>
        <w:t xml:space="preserve">; </w:t>
      </w:r>
      <w:r w:rsidR="4B095973" w:rsidRPr="007D0473">
        <w:rPr>
          <w:rFonts w:ascii="Arial" w:hAnsi="Arial"/>
          <w:sz w:val="22"/>
          <w:szCs w:val="22"/>
        </w:rPr>
        <w:t xml:space="preserve">and </w:t>
      </w:r>
      <w:r w:rsidR="37638773" w:rsidRPr="007D0473">
        <w:rPr>
          <w:rFonts w:ascii="Arial" w:hAnsi="Arial"/>
          <w:sz w:val="22"/>
          <w:szCs w:val="22"/>
        </w:rPr>
        <w:t xml:space="preserve">a </w:t>
      </w:r>
      <w:r w:rsidR="4B095973" w:rsidRPr="007D0473">
        <w:rPr>
          <w:rFonts w:ascii="Arial" w:hAnsi="Arial"/>
          <w:sz w:val="22"/>
          <w:szCs w:val="22"/>
        </w:rPr>
        <w:t xml:space="preserve">multivalent adjuvanted protein vaccines (NCT03807245). </w:t>
      </w:r>
      <w:r w:rsidR="015E3664" w:rsidRPr="007D0473">
        <w:rPr>
          <w:rFonts w:ascii="Arial" w:hAnsi="Arial"/>
          <w:sz w:val="22"/>
          <w:szCs w:val="22"/>
        </w:rPr>
        <w:t>With these GBS vaccines on the horizon, questions arise to predict if implementation of GBS polysaccharide-based vaccines will drive serotype replacement</w:t>
      </w:r>
      <w:r w:rsidR="37638773" w:rsidRPr="007D0473">
        <w:rPr>
          <w:rFonts w:ascii="Arial" w:hAnsi="Arial"/>
          <w:sz w:val="22"/>
          <w:szCs w:val="22"/>
        </w:rPr>
        <w:t>,</w:t>
      </w:r>
      <w:r w:rsidR="015E3664" w:rsidRPr="007D0473">
        <w:rPr>
          <w:rFonts w:ascii="Arial" w:hAnsi="Arial"/>
          <w:sz w:val="22"/>
          <w:szCs w:val="22"/>
        </w:rPr>
        <w:t xml:space="preserve"> or capsular switching</w:t>
      </w:r>
      <w:r w:rsidR="37638773" w:rsidRPr="007D0473">
        <w:rPr>
          <w:rFonts w:ascii="Arial" w:hAnsi="Arial"/>
          <w:sz w:val="22"/>
          <w:szCs w:val="22"/>
        </w:rPr>
        <w:t>, which</w:t>
      </w:r>
      <w:r w:rsidR="015E3664" w:rsidRPr="007D0473">
        <w:rPr>
          <w:rFonts w:ascii="Arial" w:hAnsi="Arial"/>
          <w:sz w:val="22"/>
          <w:szCs w:val="22"/>
        </w:rPr>
        <w:t xml:space="preserve"> has been reported </w:t>
      </w:r>
      <w:r w:rsidR="37638773" w:rsidRPr="007D0473">
        <w:rPr>
          <w:rFonts w:ascii="Arial" w:hAnsi="Arial"/>
          <w:sz w:val="22"/>
          <w:szCs w:val="22"/>
        </w:rPr>
        <w:t xml:space="preserve">for </w:t>
      </w:r>
      <w:r w:rsidR="015E3664" w:rsidRPr="007D0473">
        <w:rPr>
          <w:rFonts w:ascii="Arial" w:hAnsi="Arial"/>
          <w:sz w:val="22"/>
          <w:szCs w:val="22"/>
        </w:rPr>
        <w:t xml:space="preserve">other vaccine preventable bacterial pathogens such as </w:t>
      </w:r>
      <w:r w:rsidR="015E3664" w:rsidRPr="007D0473">
        <w:rPr>
          <w:rFonts w:ascii="Arial" w:hAnsi="Arial"/>
          <w:i/>
          <w:iCs/>
          <w:sz w:val="22"/>
          <w:szCs w:val="22"/>
        </w:rPr>
        <w:t>Streptococcus pneumoniae</w:t>
      </w:r>
      <w:r w:rsidR="015E3664" w:rsidRPr="007D0473">
        <w:rPr>
          <w:rFonts w:ascii="Arial" w:hAnsi="Arial"/>
          <w:sz w:val="22"/>
          <w:szCs w:val="22"/>
        </w:rPr>
        <w:t xml:space="preserve"> </w:t>
      </w:r>
      <w:r w:rsidR="00F677D8" w:rsidRPr="007D0473">
        <w:rPr>
          <w:rFonts w:ascii="Arial" w:hAnsi="Arial"/>
          <w:sz w:val="22"/>
          <w:szCs w:val="22"/>
        </w:rPr>
        <w:fldChar w:fldCharType="begin" w:fldLock="1"/>
      </w:r>
      <w:r w:rsidR="00F677D8" w:rsidRPr="007D0473">
        <w:rPr>
          <w:rFonts w:ascii="Arial" w:hAnsi="Arial"/>
          <w:sz w:val="22"/>
          <w:szCs w:val="22"/>
        </w:rPr>
        <w:instrText>ADDIN CSL_CITATION {"citationItems":[{"id":"ITEM-1","itemData":{"DOI":"10.1371/journal.pmed.1001517","ISSN":"15491277","abstract":"Background:Vaccine-serotype (VT) invasive pneumococcal disease (IPD) rates declined substantially following introduction of 7-valent pneumococcal conjugate vaccine (PCV7) into national immunization programs. Increases in non-vaccine-serotype (NVT) IPD rates occurred in some sites, presumably representing serotype replacement. We used a standardized approach to describe serotype-specific IPD changes among multiple sites after PCV7 introduction.Methods and Findings:Of 32 IPD surveillance datasets received, we identified 21 eligible databases with rate data ≥2 years before and ≥1 year after PCV7 introduction. Expected annual rates of IPD absent PCV7 introduction were estimated by extrapolation using either Poisson regression modeling of pre-PCV7 rates or averaging pre-PCV7 rates. To estimate whether changes in rates had occurred following PCV7 introduction, we calculated site specific rate ratios by dividing observed by expected IPD rates for each post-PCV7 year. We calculated summary rate ratios (RRs) using random effects meta-analysis. For children &lt;5 years old, overall IPD decreased by year 1 post-PCV7 (RR 0·55, 95% CI 0·46-0·65) and remained relatively stable through year 7 (RR 0·49, 95% CI 0·35-0·68). Point estimates for VT IPD decreased annually through year 7 (RR 0·03, 95% CI 0·01-0·10), while NVT IPD increased (year 7 RR 2·81, 95% CI 2·12-3·71). Among adults, decreases in overall IPD also occurred but were smaller and more variable by site than among children. At year 7 after introduction, significant reductions were observed (18-49 year-olds [RR 0·52, 95% CI 0·29-0·91], 50-64 year-olds [RR 0·84, 95% CI 0·77-0·93], and ≥65 year-olds [RR 0·74, 95% CI 0·58-0·95]).Conclusions:Consistent and significant decreases in both overall and VT IPD in children occurred quickly and were sustained for 7 years after PCV7 introduction, supporting use of PCVs. Increases in NVT IPD occurred in most sites, with variable magnitude. These findings may not represent the experience in low-income countries or the effects after introduction of higher valency PCVs. High-quality, population-based surveillance of serotype-specific IPD rates is needed to monitor vaccine impact as more countries, including low-income countries, introduce PCVs and as higher valency PCVs are used.Please see later in the article for the Editors' Summary.","author":[{"dropping-particle":"","family":"Feikin","given":"Daniel R.","non-dropping-particle":"","parse-names":false,"suffix":""},{"dropping-particle":"","family":"Kagucia","given":"Eunice W.","non-dropping-particle":"","parse-names":false,"suffix":""},{"dropping-particle":"","family":"Loo","given":"Jennifer D.","non-dropping-particle":"","parse-names":false,"suffix":""},{"dropping-particle":"","family":"Link-Gelles","given":"Ruth","non-dropping-particle":"","parse-names":false,"suffix":""},{"dropping-particle":"","family":"Puhan","given":"Milo A.","non-dropping-particle":"","parse-names":false,"suffix":""},{"dropping-particle":"","family":"Cherian","given":"Thomas","non-dropping-particle":"","parse-names":false,"suffix":""},{"dropping-particle":"","family":"Levine","given":"Orin S.","non-dropping-particle":"","parse-names":false,"suffix":""},{"dropping-particle":"","family":"Whitney","given":"Cynthia G.","non-dropping-particle":"","parse-names":false,"suffix":""},{"dropping-particle":"","family":"O'Brien","given":"Katherine L.","non-dropping-particle":"","parse-names":false,"suffix":""},{"dropping-particle":"","family":"Moore","given":"Matthew R.","non-dropping-particle":"","parse-names":false,"suffix":""},{"dropping-particle":"","family":"Feikin","given":"Daniel R.","non-dropping-particle":"","parse-names":false,"suffix":""},{"dropping-particle":"","family":"Link-Gelles","given":"Ruth","non-dropping-particle":"","parse-names":false,"suffix":""},{"dropping-particle":"","family":"Cherian","given":"Thomas","non-dropping-particle":"","parse-names":false,"suffix":""},{"dropping-particle":"","family":"Adegbola","given":"Richard A.","non-dropping-particle":"","parse-names":false,"suffix":""},{"dropping-particle":"","family":"Agocs","given":"Mary","non-dropping-particle":"","parse-names":false,"suffix":""},{"dropping-particle":"","family":"Ampofo","given":"Krow","non-dropping-particle":"","parse-names":false,"suffix":""},{"dropping-particle":"","family":"Andrews","given":"Nick","non-dropping-particle":"","parse-names":false,"suffix":""},{"dropping-particle":"","family":"Barton","given":"Theresa","non-dropping-particle":"","parse-names":false,"suffix":""},{"dropping-particle":"","family":"Benito","given":"Javier","non-dropping-particle":"","parse-names":false,"suffix":""},{"dropping-particle":"V.","family":"Broome","given":"Claire","non-dropping-particle":"","parse-names":false,"suffix":""},{"dropping-particle":"","family":"Bruce","given":"Michael G.","non-dropping-particle":"","parse-names":false,"suffix":""},{"dropping-particle":"","family":"Bulkow","given":"Lisa R.","non-dropping-particle":"","parse-names":false,"suffix":""},{"dropping-particle":"","family":"Byington","given":"Carrie L.","non-dropping-particle":"","parse-names":false,"suffix":""},{"dropping-particle":"","family":"Camou","given":"Teresa","non-dropping-particle":"","parse-names":false,"suffix":""},{"dropping-particle":"","family":"Cook","given":"Heather","non-dropping-particle":"","parse-names":false,"suffix":""},{"dropping-particle":"","family":"Cotter","given":"Suzanne","non-dropping-particle":"","parse-names":false,"suffix":""},{"dropping-particle":"","family":"Dagan","given":"Ron","non-dropping-particle":"","parse-names":false,"suffix":""},{"dropping-particle":"","family":"Wals","given":"Philippe","non-dropping-particle":"de","parse-names":false,"suffix":""},{"dropping-particle":"","family":"Deceuninck","given":"Geneviève","non-dropping-particle":"","parse-names":false,"suffix":""},{"dropping-particle":"","family":"Denham","given":"Barbara","non-dropping-particle":"","parse-names":false,"suffix":""},{"dropping-particle":"","family":"Edwards","given":"Giles","non-dropping-particle":"","parse-names":false,"suffix":""},{"dropping-particle":"","family":"Eskola","given":"Juhani","non-dropping-particle":"","parse-names":false,"suffix":""},{"dropping-particle":"","family":"Fitzgerald","given":"Margaret","non-dropping-particle":"","parse-names":false,"suffix":""},{"dropping-particle":"","family":"Galanakis","given":"Emmanouil","non-dropping-particle":"","parse-names":false,"suffix":""},{"dropping-particle":"","family":"Garcia-Gabarrot","given":"Gabriela","non-dropping-particle":"","parse-names":false,"suffix":""},{"dropping-particle":"","family":"Garcia-Garcia","given":"Juan J.","non-dropping-particle":"","parse-names":false,"suffix":""},{"dropping-particle":"","family":"Gene","given":"Amadeu","non-dropping-particle":"","parse-names":false,"suffix":""},{"dropping-particle":"","family":"Gomez","given":"Borja","non-dropping-particle":"","parse-names":false,"suffix":""},{"dropping-particle":"","family":"Heffernan","given":"Helen","non-dropping-particle":"","parse-names":false,"suffix":""},{"dropping-particle":"","family":"Hennessy","given":"Thomas W.","non-dropping-particle":"","parse-names":false,"suffix":""},{"dropping-particle":"","family":"Heuberger","given":"Sigrid","non-dropping-particle":"","parse-names":false,"suffix":""},{"dropping-particle":"","family":"Hilty","given":"Markus","non-dropping-particle":"","parse-names":false,"suffix":""},{"dropping-particle":"","family":"Ingels","given":"Helene","non-dropping-particle":"","parse-names":false,"suffix":""},{"dropping-particle":"","family":"Jayasinghe","given":"Sanjay","non-dropping-particle":"","parse-names":false,"suffix":""},{"dropping-particle":"","family":"Kagucia","given":"Eunice W.","non-dropping-particle":"","parse-names":false,"suffix":""},{"dropping-particle":"","family":"Kellner","given":"James D.","non-dropping-particle":"","parse-names":false,"suffix":""},{"dropping-particle":"","family":"Klein","given":"Nicola P.","non-dropping-particle":"","parse-names":false,"suffix":""},{"dropping-particle":"","family":"Kormann-Klement","given":"Andrea","non-dropping-particle":"","parse-names":false,"suffix":""},{"dropping-particle":"","family":"Kozakova","given":"Jana","non-dropping-particle":"","parse-names":false,"suffix":""},{"dropping-particle":"","family":"Krause","given":"Vicki","non-dropping-particle":"","parse-names":false,"suffix":""},{"dropping-particle":"","family":"Kriz","given":"Paula","non-dropping-particle":"","parse-names":false,"suffix":""},{"dropping-particle":"","family":"Lambertsen","given":"Lotte","non-dropping-particle":"","parse-names":false,"suffix":""},{"dropping-particle":"","family":"Lepoutre","given":"Agnès","non-dropping-particle":"","parse-names":false,"suffix":""},{"dropping-particle":"","family":"Levine","given":"Orin S.","non-dropping-particle":"","parse-names":false,"suffix":""},{"dropping-particle":"","family":"Lipsitch","given":"Marc","non-dropping-particle":"","parse-names":false,"suffix":""},{"dropping-particle":"","family":"Loo","given":"Jennifer D.","non-dropping-particle":"","parse-names":false,"suffix":""},{"dropping-particle":"","family":"Lopez-Vega","given":"Mariana","non-dropping-particle":"","parse-names":false,"suffix":""},{"dropping-particle":"","family":"Lovgren","given":"Marguerite","non-dropping-particle":"","parse-names":false,"suffix":""},{"dropping-particle":"","family":"Maraki","given":"Sofia","non-dropping-particle":"","parse-names":false,"suffix":""},{"dropping-particle":"","family":"Mason","given":"Edward O.","non-dropping-particle":"","parse-names":false,"suffix":""},{"dropping-particle":"","family":"McIntyre","given":"Peter B.","non-dropping-particle":"","parse-names":false,"suffix":""},{"dropping-particle":"","family":"Menzies","given":"Robert","non-dropping-particle":"","parse-names":false,"suffix":""},{"dropping-particle":"","family":"Messina","given":"Allison","non-dropping-particle":"","parse-names":false,"suffix":""},{"dropping-particle":"","family":"Miller","given":"Elizabeth","non-dropping-particle":"","parse-names":false,"suffix":""},{"dropping-particle":"","family":"Mintegi","given":"Santiago","non-dropping-particle":"","parse-names":false,"suffix":""},{"dropping-particle":"","family":"Moore","given":"Matthew R.","non-dropping-particle":"","parse-names":false,"suffix":""},{"dropping-particle":"","family":"Motlova","given":"Jitka","non-dropping-particle":"","parse-names":false,"suffix":""},{"dropping-particle":"","family":"Moulton","given":"Lawrence H.","non-dropping-particle":"","parse-names":false,"suffix":""},{"dropping-particle":"","family":"Mühlemann","given":"Kathrin","non-dropping-particle":"","parse-names":false,"suffix":""},{"dropping-particle":"","family":"Muñoz-Almagro","given":"Carmen","non-dropping-particle":"","parse-names":false,"suffix":""},{"dropping-particle":"","family":"O'Brien","given":"Katherine L.","non-dropping-particle":"","parse-names":false,"suffix":""},{"dropping-particle":"","family":"Murdoch","given":"David R.","non-dropping-particle":"","parse-names":false,"suffix":""},{"dropping-particle":"","family":"Park","given":"Daniel E.","non-dropping-particle":"","parse-names":false,"suffix":""},{"dropping-particle":"","family":"Puhan","given":"Milo A.","non-dropping-particle":"","parse-names":false,"suffix":""},{"dropping-particle":"","family":"Reingold","given":"Arthur L.","non-dropping-particle":"","parse-names":false,"suffix":""},{"dropping-particle":"","family":"Sa-Leao","given":"Raquel","non-dropping-particle":"","parse-names":false,"suffix":""},{"dropping-particle":"","family":"Sanyal","given":"Abanti","non-dropping-particle":"","parse-names":false,"suffix":""},{"dropping-particle":"","family":"Smith","given":"Peter G.","non-dropping-particle":"","parse-names":false,"suffix":""},{"dropping-particle":"","family":"Spanjaard","given":"Lodewijk","non-dropping-particle":"","parse-names":false,"suffix":""},{"dropping-particle":"","family":"Techasaensiri","given":"Chonnamet","non-dropping-particle":"","parse-names":false,"suffix":""},{"dropping-particle":"","family":"Thompson","given":"Richard E.","non-dropping-particle":"","parse-names":false,"suffix":""},{"dropping-particle":"","family":"Thoon","given":"Koh C.","non-dropping-particle":"","parse-names":false,"suffix":""},{"dropping-particle":"","family":"Tyrrell","given":"Gregory J.","non-dropping-particle":"","parse-names":false,"suffix":""},{"dropping-particle":"","family":"Valentiner-Branth","given":"Palle","non-dropping-particle":"","parse-names":false,"suffix":""},{"dropping-particle":"","family":"Ende","given":"Arie","non-dropping-particle":"van der","parse-names":false,"suffix":""},{"dropping-particle":"","family":"Vanderkooi","given":"Otto G.","non-dropping-particle":"","parse-names":false,"suffix":""},{"dropping-particle":"","family":"Linden","given":"Mark P.G.","non-dropping-particle":"van der","parse-names":false,"suffix":""},{"dropping-particle":"","family":"Varon","given":"Emmanuelle","non-dropping-particle":"","parse-names":false,"suffix":""},{"dropping-particle":"","family":"Verhaegen","given":"Jan","non-dropping-particle":"","parse-names":false,"suffix":""},{"dropping-particle":"","family":"Vestrheim","given":"Didrik F.","non-dropping-particle":"","parse-names":false,"suffix":""},{"dropping-particle":"","family":"Vickers","given":"Imelda","non-dropping-particle":"","parse-names":false,"suffix":""},{"dropping-particle":"","family":"Gottberg","given":"Anne","non-dropping-particle":"von","parse-names":false,"suffix":""},{"dropping-particle":"","family":"Kries","given":"Rüdiger","non-dropping-particle":"von","parse-names":false,"suffix":""},{"dropping-particle":"","family":"Waight","given":"Pauline","non-dropping-particle":"","parse-names":false,"suffix":""},{"dropping-particle":"","family":"Weatherholtz","given":"Robert","non-dropping-particle":"","parse-names":false,"suffix":""},{"dropping-particle":"","family":"Weiss","given":"Susanne","non-dropping-particle":"","parse-names":false,"suffix":""},{"dropping-particle":"","family":"Whitney","given":"Cynthia G.","non-dropping-particle":"","parse-names":false,"suffix":""},{"dropping-particle":"","family":"Yee","given":"Arnold","non-dropping-particle":"","parse-names":false,"suffix":""},{"dropping-particle":"","family":"Zaidi","given":"Anita K.M.","non-dropping-particle":"","parse-names":false,"suffix":""}],"container-title":"PLoS Medicine","id":"ITEM-1","issue":"9","issued":{"date-parts":[["2013"]]},"title":"Serotype-Specific Changes in Invasive Pneumococcal Disease after Pneumococcal Conjugate Vaccine Introduction: A Pooled Analysis of Multiple Surveillance Sites","type":"article-journal","volume":"10"},"uris":["http://www.mendeley.com/documents/?uuid=dcbf9d76-1c65-3632-a564-6dd06ab2c7b1"]},{"id":"ITEM-2","itemData":{"DOI":"10.1038/ng.2625","ISSN":"10614036","abstract":"Whole-genome sequencing of 616 asymptomatically carried Streptococcus pneumoniae isolates was used to study the impact of the 7-valent pneumococcal conjugate vaccine. Comparison of closely related isolates showed the role of transformation in facilitating capsule switching to non-vaccine serotypes and the emergence of drug resistance. However, such recombination was found to occur at significantly different rates across the species, and the evolution of the population was primarily driven by changes in the frequency of distinct genotypes extant before the introduction of the vaccine. These alterations resulted in little overall effect on accessory genome composition at the population level, contrasting with the decrease in pneumococcal disease rates after the vaccine's introduction. © 2013 Nature America, Inc. All rights reserved.","author":[{"dropping-particle":"","family":"Croucher","given":"Nicholas J.","non-dropping-particle":"","parse-names":false,"suffix":""},{"dropping-particle":"","family":"Finkelstein","given":"Jonathan A.","non-dropping-particle":"","parse-names":false,"suffix":""},{"dropping-particle":"","family":"Pelton","given":"Stephen I.","non-dropping-particle":"","parse-names":false,"suffix":""},{"dropping-particle":"","family":"Mitchell","given":"Patrick K.","non-dropping-particle":"","parse-names":false,"suffix":""},{"dropping-particle":"","family":"Lee","given":"Grace M.","non-dropping-particle":"","parse-names":false,"suffix":""},{"dropping-particle":"","family":"Parkhill","given":"Julian","non-dropping-particle":"","parse-names":false,"suffix":""},{"dropping-particle":"","family":"Bentley","given":"Stephen D.","non-dropping-particle":"","parse-names":false,"suffix":""},{"dropping-particle":"","family":"Hanage","given":"William P.","non-dropping-particle":"","parse-names":false,"suffix":""},{"dropping-particle":"","family":"Lipsitch","given":"Marc","non-dropping-particle":"","parse-names":false,"suffix":""}],"container-title":"Nature Genetics","id":"ITEM-2","issue":"6","issued":{"date-parts":[["2013"]]},"title":"Population genomics of post-vaccine changes in pneumococcal epidemiology","type":"article-journal","volume":"45"},"uris":["http://www.mendeley.com/documents/?uuid=f39f90af-589c-3091-9615-a68c96e924f8"]}],"mendeley":{"formattedCitation":"[10,11]","plainTextFormattedCitation":"[10,11]","previouslyFormattedCitation":"[10,11]"},"properties":{"noteIndex":0},"schema":"https://github.com/citation-style-language/schema/raw/master/csl-citation.json"}</w:instrText>
      </w:r>
      <w:r w:rsidR="00F677D8" w:rsidRPr="007D0473">
        <w:rPr>
          <w:rFonts w:ascii="Arial" w:hAnsi="Arial"/>
          <w:sz w:val="22"/>
          <w:szCs w:val="22"/>
        </w:rPr>
        <w:fldChar w:fldCharType="separate"/>
      </w:r>
      <w:r w:rsidR="37DF431B" w:rsidRPr="007D0473">
        <w:rPr>
          <w:rFonts w:ascii="Arial" w:hAnsi="Arial"/>
          <w:noProof/>
          <w:sz w:val="22"/>
          <w:szCs w:val="22"/>
        </w:rPr>
        <w:t>[10,11]</w:t>
      </w:r>
      <w:r w:rsidR="00F677D8" w:rsidRPr="007D0473">
        <w:rPr>
          <w:rFonts w:ascii="Arial" w:hAnsi="Arial"/>
          <w:sz w:val="22"/>
          <w:szCs w:val="22"/>
        </w:rPr>
        <w:fldChar w:fldCharType="end"/>
      </w:r>
      <w:r w:rsidR="015E3664" w:rsidRPr="007D0473">
        <w:rPr>
          <w:rFonts w:ascii="Arial" w:hAnsi="Arial"/>
          <w:sz w:val="22"/>
          <w:szCs w:val="22"/>
        </w:rPr>
        <w:t xml:space="preserve">. </w:t>
      </w:r>
      <w:r w:rsidR="3490BA78" w:rsidRPr="007D0473">
        <w:rPr>
          <w:rFonts w:ascii="Arial" w:hAnsi="Arial"/>
          <w:sz w:val="22"/>
          <w:szCs w:val="22"/>
        </w:rPr>
        <w:t>Increasing number</w:t>
      </w:r>
      <w:r w:rsidR="4EAB73AC" w:rsidRPr="007D0473">
        <w:rPr>
          <w:rFonts w:ascii="Arial" w:hAnsi="Arial"/>
          <w:sz w:val="22"/>
          <w:szCs w:val="22"/>
        </w:rPr>
        <w:t>s</w:t>
      </w:r>
      <w:r w:rsidR="3490BA78" w:rsidRPr="007D0473">
        <w:rPr>
          <w:rFonts w:ascii="Arial" w:hAnsi="Arial"/>
          <w:sz w:val="22"/>
          <w:szCs w:val="22"/>
        </w:rPr>
        <w:t xml:space="preserve"> of </w:t>
      </w:r>
      <w:r w:rsidR="6508078F" w:rsidRPr="007D0473">
        <w:rPr>
          <w:rFonts w:ascii="Arial" w:hAnsi="Arial"/>
          <w:sz w:val="22"/>
          <w:szCs w:val="22"/>
        </w:rPr>
        <w:t xml:space="preserve">GBS </w:t>
      </w:r>
      <w:r w:rsidR="3490BA78" w:rsidRPr="007D0473">
        <w:rPr>
          <w:rFonts w:ascii="Arial" w:hAnsi="Arial"/>
          <w:sz w:val="22"/>
          <w:szCs w:val="22"/>
        </w:rPr>
        <w:t>genomic epidemiology studies</w:t>
      </w:r>
      <w:r w:rsidR="6508078F" w:rsidRPr="007D0473">
        <w:rPr>
          <w:rFonts w:ascii="Arial" w:hAnsi="Arial"/>
          <w:sz w:val="22"/>
          <w:szCs w:val="22"/>
        </w:rPr>
        <w:t xml:space="preserve"> </w:t>
      </w:r>
      <w:r w:rsidR="3490BA78" w:rsidRPr="007D0473">
        <w:rPr>
          <w:rFonts w:ascii="Arial" w:hAnsi="Arial"/>
          <w:sz w:val="22"/>
          <w:szCs w:val="22"/>
        </w:rPr>
        <w:t>allow us to get</w:t>
      </w:r>
      <w:r w:rsidR="4EAB73AC" w:rsidRPr="007D0473">
        <w:rPr>
          <w:rFonts w:ascii="Arial" w:hAnsi="Arial"/>
          <w:sz w:val="22"/>
          <w:szCs w:val="22"/>
        </w:rPr>
        <w:t xml:space="preserve"> an</w:t>
      </w:r>
      <w:r w:rsidR="3490BA78" w:rsidRPr="007D0473">
        <w:rPr>
          <w:rFonts w:ascii="Arial" w:hAnsi="Arial"/>
          <w:sz w:val="22"/>
          <w:szCs w:val="22"/>
        </w:rPr>
        <w:t xml:space="preserve"> insight into c</w:t>
      </w:r>
      <w:r w:rsidR="541F4D57" w:rsidRPr="007D0473">
        <w:rPr>
          <w:rFonts w:ascii="Arial" w:hAnsi="Arial"/>
          <w:sz w:val="22"/>
          <w:szCs w:val="22"/>
        </w:rPr>
        <w:t>apsular switching events</w:t>
      </w:r>
      <w:r w:rsidR="3490BA78" w:rsidRPr="007D0473">
        <w:rPr>
          <w:rFonts w:ascii="Arial" w:hAnsi="Arial"/>
          <w:sz w:val="22"/>
          <w:szCs w:val="22"/>
        </w:rPr>
        <w:t xml:space="preserve">. </w:t>
      </w:r>
      <w:r w:rsidR="45AE0325" w:rsidRPr="007D0473">
        <w:rPr>
          <w:rFonts w:ascii="Arial" w:hAnsi="Arial"/>
          <w:sz w:val="22"/>
          <w:szCs w:val="22"/>
        </w:rPr>
        <w:t xml:space="preserve">To date, higher frequency of capsular switching events have been recorded in </w:t>
      </w:r>
      <w:r w:rsidR="624EF0EE" w:rsidRPr="007D0473">
        <w:rPr>
          <w:rFonts w:ascii="Arial" w:hAnsi="Arial"/>
          <w:sz w:val="22"/>
          <w:szCs w:val="22"/>
        </w:rPr>
        <w:t xml:space="preserve">ST1 </w:t>
      </w:r>
      <w:r w:rsidR="11C3354C" w:rsidRPr="007D0473">
        <w:rPr>
          <w:rFonts w:ascii="Arial" w:hAnsi="Arial"/>
          <w:sz w:val="22"/>
          <w:szCs w:val="22"/>
        </w:rPr>
        <w:t xml:space="preserve">GBS </w:t>
      </w:r>
      <w:r w:rsidR="624EF0EE" w:rsidRPr="007D0473">
        <w:rPr>
          <w:rFonts w:ascii="Arial" w:hAnsi="Arial"/>
          <w:sz w:val="22"/>
          <w:szCs w:val="22"/>
        </w:rPr>
        <w:t xml:space="preserve">lineage </w:t>
      </w:r>
      <w:r w:rsidR="00F677D8" w:rsidRPr="007D0473">
        <w:rPr>
          <w:rFonts w:ascii="Arial" w:hAnsi="Arial"/>
          <w:sz w:val="22"/>
          <w:szCs w:val="22"/>
        </w:rPr>
        <w:fldChar w:fldCharType="begin" w:fldLock="1"/>
      </w:r>
      <w:r w:rsidR="00F677D8" w:rsidRPr="007D0473">
        <w:rPr>
          <w:rFonts w:ascii="Arial" w:hAnsi="Arial"/>
          <w:sz w:val="22"/>
          <w:szCs w:val="22"/>
        </w:rPr>
        <w:instrText>ADDIN CSL_CITATION {"citationItems":[{"id":"ITEM-1","itemData":{"DOI":"10.3201//eid2211.152064","ISSN":"10806059","abstract":"We report several cases of recombination events leading to capsular switching among sequence type (ST) 1 group B Streptococcus strains. These strains otherwise shared a common genome backbone with serotype V ST1 strains. However, the genomes of ST1 serotype V strains and those of serotypes VI, VII, and VIII strains differed substantially.","author":[{"dropping-particle":"","family":"Neemuchwala","given":"Alefiya","non-dropping-particle":"","parse-names":false,"suffix":""},{"dropping-particle":"","family":"Teatero","given":"Sarah","non-dropping-particle":"","parse-names":false,"suffix":""},{"dropping-particle":"","family":"Athey","given":"Taryn B.T.","non-dropping-particle":"","parse-names":false,"suffix":""},{"dropping-particle":"","family":"McGeer","given":"Allison","non-dropping-particle":"","parse-names":false,"suffix":""},{"dropping-particle":"","family":"Fittipaldi","given":"Nahuel","non-dropping-particle":"","parse-names":false,"suffix":""}],"container-title":"Emerging Infectious Diseases","id":"ITEM-1","issue":"11","issued":{"date-parts":[["2016"]]},"title":"Capsular switching and other large-scale recombination events in invasive sequence type 1 group B Streptococcus","type":"article-journal","volume":"22"},"uris":["http://www.mendeley.com/documents/?uuid=11c6c8f3-14bc-3dcc-9faf-b2074e3d19a8"]},{"id":"ITEM-2","itemData":{"DOI":"10.1128/JCM.01615-16","ISSN":"1098660X","abstract":"Using serotyping, multilocus sequence typing, and whole-genome sequencing (WGS) of selected strains, we studied the population structure of 102 group B Streptococcus (GBS) isolates prospectively sampled in 2014 from vaginal/ rectal swabs of healthy pregnant women in metropolitan Toronto, Canada. We also determined the susceptibilities of each of the colonizing isolates to penicillin, erythromycin, clindamycin, tetracycline, and other antimicrobial agents. Overall, we observed a high rate of tetracycline resistance (89%) among colonizing GBS isolates. We found resistance to erythromycin in 36% of the strains, and 33% were constitutively or inducibly resistant to clindamycin. The most frequently identified serotypes were III (25%), Ia (23%), and V (19%). Serotype IV accounted for 6% of the colonizing isolates, a rate consistent with that observed among patients with invasive GBS infections in metropolitan Toronto. The majority of serotype IV isolates belonged to sequence type (ST)459, a tetracycline-, erythromycin-, and clindamycinresistant ST first identified in Minnesota, which is considered to be the main driver of serotype IV GBS expansion in North America. WGS revealed that ST459 isolates from Canada are clonally related to colonizing and invasive ST459 organisms circulating in regions of the United States. We also used WGS to study recombination in selected colonizing strains from metropolitan Toronto, which revealed multiple episodes of capsular switching. Present and future circulating GBS organisms and their genetic diversity may influence GBS vaccine development.","author":[{"dropping-particle":"","family":"Teatero","given":"Sarah","non-dropping-particle":"","parse-names":false,"suffix":""},{"dropping-particle":"","family":"Ferrieri","given":"Patricia","non-dropping-particle":"","parse-names":false,"suffix":""},{"dropping-particle":"","family":"Martin","given":"Irene","non-dropping-particle":"","parse-names":false,"suffix":""},{"dropping-particle":"","family":"Demczuk","given":"Walter","non-dropping-particle":"","parse-names":false,"suffix":""},{"dropping-particle":"","family":"CGeer","given":"Allison","non-dropping-particle":"","parse-names":false,"suffix":""},{"dropping-particle":"","family":"Fittipaldi","given":"Nahuel","non-dropping-particle":"","parse-names":false,"suffix":""}],"container-title":"Journal of Clinical Microbiology","id":"ITEM-2","issue":"2","issued":{"date-parts":[["2017"]]},"title":"Serotype distribution, population structure, and antimicrobial resistance of group b streptococcus strains recovered from colonized pregnant women","type":"article-journal","volume":"55"},"uris":["http://www.mendeley.com/documents/?uuid=7cd6ae0b-aca4-3968-91d2-caaf6376e908"]}],"mendeley":{"formattedCitation":"[12,13]","plainTextFormattedCitation":"[12,13]","previouslyFormattedCitation":"[12,13]"},"properties":{"noteIndex":0},"schema":"https://github.com/citation-style-language/schema/raw/master/csl-citation.json"}</w:instrText>
      </w:r>
      <w:r w:rsidR="00F677D8" w:rsidRPr="007D0473">
        <w:rPr>
          <w:rFonts w:ascii="Arial" w:hAnsi="Arial"/>
          <w:sz w:val="22"/>
          <w:szCs w:val="22"/>
        </w:rPr>
        <w:fldChar w:fldCharType="separate"/>
      </w:r>
      <w:r w:rsidR="34B8386E" w:rsidRPr="007D0473">
        <w:rPr>
          <w:rFonts w:ascii="Arial" w:hAnsi="Arial"/>
          <w:noProof/>
          <w:sz w:val="22"/>
          <w:szCs w:val="22"/>
        </w:rPr>
        <w:t>[12,13]</w:t>
      </w:r>
      <w:r w:rsidR="00F677D8" w:rsidRPr="007D0473">
        <w:rPr>
          <w:rFonts w:ascii="Arial" w:hAnsi="Arial"/>
          <w:sz w:val="22"/>
          <w:szCs w:val="22"/>
        </w:rPr>
        <w:fldChar w:fldCharType="end"/>
      </w:r>
      <w:r w:rsidR="34B8386E" w:rsidRPr="007D0473">
        <w:rPr>
          <w:rFonts w:ascii="Arial" w:hAnsi="Arial"/>
          <w:sz w:val="22"/>
          <w:szCs w:val="22"/>
        </w:rPr>
        <w:t>, which is  dominated by serotype V</w:t>
      </w:r>
      <w:r w:rsidR="11C3354C" w:rsidRPr="007D0473">
        <w:rPr>
          <w:rFonts w:ascii="Arial" w:hAnsi="Arial"/>
          <w:sz w:val="22"/>
          <w:szCs w:val="22"/>
        </w:rPr>
        <w:t xml:space="preserve"> and commonly</w:t>
      </w:r>
      <w:r w:rsidR="53E84A95" w:rsidRPr="007D0473">
        <w:rPr>
          <w:rFonts w:ascii="Arial" w:hAnsi="Arial"/>
          <w:sz w:val="22"/>
          <w:szCs w:val="22"/>
        </w:rPr>
        <w:t xml:space="preserve"> </w:t>
      </w:r>
      <w:r w:rsidR="11C3354C" w:rsidRPr="007D0473">
        <w:rPr>
          <w:rFonts w:ascii="Arial" w:hAnsi="Arial"/>
          <w:sz w:val="22"/>
          <w:szCs w:val="22"/>
        </w:rPr>
        <w:t xml:space="preserve">found in non-pregnant adult </w:t>
      </w:r>
      <w:proofErr w:type="spellStart"/>
      <w:r w:rsidR="11C3354C" w:rsidRPr="007D0473">
        <w:rPr>
          <w:rFonts w:ascii="Arial" w:hAnsi="Arial"/>
          <w:sz w:val="22"/>
          <w:szCs w:val="22"/>
        </w:rPr>
        <w:t>iGBS</w:t>
      </w:r>
      <w:proofErr w:type="spellEnd"/>
      <w:r w:rsidR="11C3354C" w:rsidRPr="007D0473">
        <w:rPr>
          <w:rFonts w:ascii="Arial" w:hAnsi="Arial"/>
          <w:sz w:val="22"/>
          <w:szCs w:val="22"/>
        </w:rPr>
        <w:t xml:space="preserve"> cases</w:t>
      </w:r>
      <w:r w:rsidR="34B8386E" w:rsidRPr="007D0473">
        <w:rPr>
          <w:rFonts w:ascii="Arial" w:hAnsi="Arial"/>
          <w:sz w:val="22"/>
          <w:szCs w:val="22"/>
        </w:rPr>
        <w:t xml:space="preserve">, </w:t>
      </w:r>
      <w:r w:rsidR="4EAB73AC" w:rsidRPr="007D0473">
        <w:rPr>
          <w:rFonts w:ascii="Arial" w:hAnsi="Arial"/>
          <w:sz w:val="22"/>
          <w:szCs w:val="22"/>
        </w:rPr>
        <w:t xml:space="preserve">and </w:t>
      </w:r>
      <w:r w:rsidR="34B8386E" w:rsidRPr="007D0473">
        <w:rPr>
          <w:rFonts w:ascii="Arial" w:hAnsi="Arial"/>
          <w:sz w:val="22"/>
          <w:szCs w:val="22"/>
        </w:rPr>
        <w:t xml:space="preserve">recombination of capsular sites for serotypes </w:t>
      </w:r>
      <w:proofErr w:type="spellStart"/>
      <w:r w:rsidR="34B8386E" w:rsidRPr="007D0473">
        <w:rPr>
          <w:rFonts w:ascii="Arial" w:hAnsi="Arial"/>
          <w:sz w:val="22"/>
          <w:szCs w:val="22"/>
        </w:rPr>
        <w:t>Ib</w:t>
      </w:r>
      <w:proofErr w:type="spellEnd"/>
      <w:r w:rsidR="34B8386E" w:rsidRPr="007D0473">
        <w:rPr>
          <w:rFonts w:ascii="Arial" w:hAnsi="Arial"/>
          <w:sz w:val="22"/>
          <w:szCs w:val="22"/>
        </w:rPr>
        <w:t xml:space="preserve">, II and IV </w:t>
      </w:r>
      <w:r w:rsidR="4EAB73AC" w:rsidRPr="007D0473">
        <w:rPr>
          <w:rFonts w:ascii="Arial" w:hAnsi="Arial"/>
          <w:sz w:val="22"/>
          <w:szCs w:val="22"/>
        </w:rPr>
        <w:t xml:space="preserve">have </w:t>
      </w:r>
      <w:r w:rsidR="34B8386E" w:rsidRPr="007D0473">
        <w:rPr>
          <w:rFonts w:ascii="Arial" w:hAnsi="Arial"/>
          <w:sz w:val="22"/>
          <w:szCs w:val="22"/>
        </w:rPr>
        <w:t>been reported for this lineage</w:t>
      </w:r>
      <w:r w:rsidR="4EAB73AC" w:rsidRPr="007D0473">
        <w:rPr>
          <w:rFonts w:ascii="Arial" w:hAnsi="Arial"/>
          <w:sz w:val="22"/>
          <w:szCs w:val="22"/>
        </w:rPr>
        <w:t xml:space="preserve"> </w:t>
      </w:r>
      <w:r w:rsidR="00F677D8" w:rsidRPr="007D0473">
        <w:rPr>
          <w:rFonts w:ascii="Arial" w:hAnsi="Arial"/>
          <w:sz w:val="22"/>
          <w:szCs w:val="22"/>
        </w:rPr>
        <w:fldChar w:fldCharType="begin" w:fldLock="1"/>
      </w:r>
      <w:r w:rsidR="00B31BD8">
        <w:rPr>
          <w:rFonts w:ascii="Arial" w:hAnsi="Arial"/>
          <w:sz w:val="22"/>
          <w:szCs w:val="22"/>
        </w:rPr>
        <w:instrText>ADDIN CSL_CITATION {"citationItems":[{"id":"ITEM-1","itemData":{"DOI":"10.1073/pnas.1504725112","ISBN":"0027-8424","ISSN":"0027-8424","PMID":"25941374","abstract":"The molecular mechanisms underlying pathogen emergence in humans is a critical but poorly understood area of microbiologic investigation. Serotype V group B Streptococcus (GBS) was first isolated from humans in 1975, and rates of invasive serotype V GBS disease significantly increased starting in the early 1990s. We found that 210 of 229 serotype V GBS strains (92%) isolated from the bloodstream of nonpregnant adults in the United States and Canada between 1992 and 2013 were multilocus sequence type (ST) 1. Elucidation of the complete genome of a 1992 ST-1 strain revealed that this strain had the highest homology with a GBS strain causing cow mastitis and that the 1992 ST-1 strain differed from serotype V strains isolated in the late 1970s by acquisition of cell surface proteins and antimicrobial resistance determinants. Whole-genome comparison of 202 invasive ST-1 strains detected significant recombination in only eight strains. The remaining 194 strains differed by an average of 97 SNPs. Phylogenetic analysis revealed a temporally dependent mode of genetic diversification consistent with the emergence in the 1990s of ST-1 GBS as major agents of human disease. Thirty-one loci were identified as being under positive selective pressure, and mutations at loci encoding polysaccharide capsule production proteins, regulators of pilus expression, and two-component gene regulatory systems were shown to affect the bacterial phenotype. These data reveal that phenotypic diversity among ST-1 GBS is mainly driven by small genetic changes rather than extensive recombination, thereby extending knowledge into how pathogens adapt to humans. ","author":[{"dropping-particle":"","family":"Flores","given":"Anthony R","non-dropping-particle":"","parse-names":false,"suffix":""},{"dropping-particle":"","family":"Galloway-Peña","given":"Jessica","non-dropping-particle":"","parse-names":false,"suffix":""},{"dropping-particle":"","family":"Sahasrabhojane","given":"Pranoti","non-dropping-particle":"","parse-names":false,"suffix":""},{"dropping-particle":"","family":"Saldaña","given":"Miguel","non-dropping-particle":"","parse-names":false,"suffix":""},{"dropping-particle":"","family":"Yao","given":"Hui","non-dropping-particle":"","parse-names":false,"suffix":""},{"dropping-particle":"","family":"Su","given":"Xiaoping","non-dropping-particle":"","parse-names":false,"suffix":""},{"dropping-particle":"","family":"Ajami","given":"Nadim J","non-dropping-particle":"","parse-names":false,"suffix":""},{"dropping-particle":"","family":"Holder","given":"Michael E","non-dropping-particle":"","parse-names":false,"suffix":""},{"dropping-particle":"","family":"Petrosino","given":"Joseph F","non-dropping-particle":"","parse-names":false,"suffix":""},{"dropping-particle":"","family":"Thompson","given":"Erika","non-dropping-particle":"","parse-names":false,"suffix":""},{"dropping-particle":"","family":"Margarit Y Ros","given":"Immaculada","non-dropping-particle":"","parse-names":false,"suffix":""},{"dropping-particle":"","family":"Rosini","given":"Roberto","non-dropping-particle":"","parse-names":false,"suffix":""},{"dropping-particle":"","family":"Grandi","given":"Guido","non-dropping-particle":"","parse-names":false,"suffix":""},{"dropping-particle":"","family":"Horstmann","given":"Nicola","non-dropping-particle":"","parse-names":false,"suffix":""},{"dropping-particle":"","family":"Teatero","given":"Sarah","non-dropping-particle":"","parse-names":false,"suffix":""},{"dropping-particle":"","family":"McGeer","given":"Allison","non-dropping-particle":"","parse-names":false,"suffix":""},{"dropping-particle":"","family":"Fittipaldi","given":"Nahuel","non-dropping-particle":"","parse-names":false,"suffix":""},{"dropping-particle":"","family":"Rappuoli","given":"Rino","non-dropping-particle":"","parse-names":false,"suffix":""},{"dropping-particle":"","family":"Baker","given":"Carol J","non-dropping-particle":"","parse-names":false,"suffix":""},{"dropping-particle":"","family":"Shelburne","given":"Samuel A","non-dropping-particle":"","parse-names":false,"suffix":""}],"container-title":"Proceedings of the National Academy of Sciences of the United States of America","id":"ITEM-1","issued":{"date-parts":[["2015"]]},"title":"Sequence type 1 group B Streptococcus, an emerging cause of invasive disease in adults, evolves by small genetic changes","type":"article-journal"},"uris":["http://www.mendeley.com/documents/?uuid=024701e9-a49e-4175-892b-2b0d63bfcb55"]},{"id":"ITEM-2","itemData":{"DOI":"10.1093/cid/cit337","ISBN":"1058-4838","ISSN":"10584838","PMID":"23845950","abstract":"Background. Few cross-population studies examining the epidemiology of invasive group B streptococcal (GBS) disease have been undertaken. To identify longitudinal trends in the burden and characteristics of infections, national surveillance data on diagnoses in England and Wales from 1991 to 2010 were analyzed. Methods. A parallel review of laboratory-confirmed invasive GBS infection surveillance reports and isolates submitted to the national reference laboratory was undertaken. Cases were defined as GBS isolated from a normally sterile site. Results. A total of 21 386 reports of invasive GBS infection were made between 1991 and 2010. The annual rate of reports doubled over the 20 years from 1.48 to 2.99 per 100 000 population. Significant increases were seen in all age groups but most pronounced in adults. Rates of early-onset (0-6 days) infant disease fluctuated but showed a general rise between 2000 and 2010 from 0.28 to 0.41 per 1000 live births. Rates of late-onset (7-90 days) disease increased steadily between 1991 and 2010 from 0.11 to 0.29 per 1000 live births. Resistance to erythromycin increased markedly from 2.5% in 1991 to 15% in 2010. The distribution of serotypes varied according to patient age and over time with type III increasing among early-onset cases and decreasing in adults. Conclusions. Although risk of invasive GBS infection remains highest within the first few days of life, the relative burden of disease is shifting toward adults. The rise in incidence and antibiotic resistance makes development of an effective and safe vaccine all the more pressing.","author":[{"dropping-particle":"","family":"Lamagni","given":"Theresa L.","non-dropping-particle":"","parse-names":false,"suffix":""},{"dropping-particle":"","family":"Keshishian","given":"Catherine","non-dropping-particle":"","parse-names":false,"suffix":""},{"dropping-particle":"","family":"Efstratiou","given":"Androulla","non-dropping-particle":"","parse-names":false,"suffix":""},{"dropping-particle":"","family":"Guy","given":"Rebecca","non-dropping-particle":"","parse-names":false,"suffix":""},{"dropping-particle":"","family":"Henderson","given":"Katherine L.","non-dropping-particle":"","parse-names":false,"suffix":""},{"dropping-particle":"","family":"Broughton","given":"Karen","non-dropping-particle":"","parse-names":false,"suffix":""},{"dropping-particle":"","family":"Sheridan","given":"Elizabeth","non-dropping-particle":"","parse-names":false,"suffix":""}],"container-title":"Clinical Infectious Diseases","id":"ITEM-2","issued":{"date-parts":[["2013"]]},"title":"Emerging trends in the epidemiology of invasive group B streptococcal disease in England and Wales, 1991-2010","type":"article-journal"},"uris":["http://www.mendeley.com/documents/?uuid=0f29b287-14ba-4a76-a32e-11422d042df3"]},{"id":"ITEM-3","itemData":{"DOI":"10.1093/cid/ciaa151","ISSN":"1058-4838","abstract":"BACKGROUND Group B Streptococcus (GBS) is a leading cause of neonatal sepsis and meningitis and an important cause of invasive infections in pregnant and nonpregnant adults. Vaccines targeting capsule polysaccharides and common proteins are under development. METHODS Using whole genome sequencing (WGS), a validated bioinformatics pipeline, and targeted antimicrobial susceptibility testing, we characterized 6,340 invasive GBS recovered during 2015-2017 through population-based Active Bacterial Core surveillance (ABCs) in eight states. RESULTS Six serotypes accounted for 98.4% of isolates (21.8% Ia, 17.6% V, 17.1% II, 15.6% III, 14.5% Ib, 11.8% IV). Most (94.2%) isolates were in eleven clonal complexes (CCs) comprised of multilocus sequence types (MLSTs) identical or closely related to STs 1, 8, 12, 17, 19, 22, 23, 28, 88, 452 and 459. Fifty-four isolates (0.87%) had point mutations within pbp2x associated with non-susceptibility to one or more β-lactam antibiotics. Genes conferring resistance to macrolides and/or lincosamides were found in 56% of isolates; 85.2% of isolates had tetracycline resistance genes. Two isolates carrying vanG were vancomycin-nonsusceptible (MIC 2µg/ml). Nearly all isolates possessed capsule genes, 1-2 of the three main pilus gene clusters, and one of four homologous Alpha/Rib family determinants. Presence of hvgA virulence gene was primarily restricted to serotype III/CC17 isolates (465 isolates), but 8 exceptions (7 IV/CC452 and 1 IV/CC17) were observed. CONCLUSIONS This first comprehensive, population-based quantitation of strain features in the United States suggests current vaccine candidates should have good coverage. Beta-lactams remain appropriate for first line treatment and prophylaxis, but emergence of nonsusceptibility warrants ongoing monitoring.","author":[{"dropping-particle":"","family":"McGee","given":"Lesley","non-dropping-particle":"","parse-names":false,"suffix":""},{"dropping-particle":"","family":"Chochua","given":"Sopio","non-dropping-particle":"","parse-names":false,"suffix":""},{"dropping-particle":"","family":"Li","given":"Zhongya","non-dropping-particle":"","parse-names":false,"suffix":""},{"dropping-particle":"","family":"Mathis","given":"Saundra","non-dropping-particle":"","parse-names":false,"suffix":""},{"dropping-particle":"","family":"Rivers","given":"Joy","non-dropping-particle":"","parse-names":false,"suffix":""},{"dropping-particle":"","family":"Metcalf","given":"Benjamin","non-dropping-particle":"","parse-names":false,"suffix":""},{"dropping-particle":"","family":"Ryan","given":"Alison","non-dropping-particle":"","parse-names":false,"suffix":""},{"dropping-particle":"","family":"Alden","given":"Nisha","non-dropping-particle":"","parse-names":false,"suffix":""},{"dropping-particle":"","family":"Farley","given":"Monica M","non-dropping-particle":"","parse-names":false,"suffix":""},{"dropping-particle":"","family":"Harrison","given":"Lee H","non-dropping-particle":"","parse-names":false,"suffix":""},{"dropping-particle":"","family":"Snippes Vagnone","given":"Paula","non-dropping-particle":"","parse-names":false,"suffix":""},{"dropping-particle":"","family":"Lynfield","given":"Ruth","non-dropping-particle":"","parse-names":false,"suffix":""},{"dropping-particle":"","family":"Smelser","given":"Chad","non-dropping-particle":"","parse-names":false,"suffix":""},{"dropping-particle":"","family":"Muse","given":"Alison","non-dropping-particle":"","parse-names":false,"suffix":""},{"dropping-particle":"","family":"Thomas","given":"Ann R","non-dropping-particle":"","parse-names":false,"suffix":""},{"dropping-particle":"","family":"Schrag","given":"Stephanie","non-dropping-particle":"","parse-names":false,"suffix":""},{"dropping-particle":"","family":"Beall","given":"Bernard W","non-dropping-particle":"","parse-names":false,"suffix":""}],"container-title":"Clinical Infectious Diseases","id":"ITEM-3","issued":{"date-parts":[["2020"]]},"title":"Multistate, Population-Based Distributions of Candidate Vaccine Targets, Clonal Complexes, and Resistance Features of Invasive Group B Streptococci Within the United States, 2015–2017","type":"article-journal"},"uris":["http://www.mendeley.com/documents/?uuid=ff17cb77-bae5-3fb3-ab3f-0d9348940ef8"]}],"mendeley":{"formattedCitation":"[3,14,15]","manualFormatting":"[14,15]","plainTextFormattedCitation":"[3,14,15]","previouslyFormattedCitation":"[3,14,15]"},"properties":{"noteIndex":0},"schema":"https://github.com/citation-style-language/schema/raw/master/csl-citation.json"}</w:instrText>
      </w:r>
      <w:r w:rsidR="00F677D8" w:rsidRPr="007D0473">
        <w:rPr>
          <w:rFonts w:ascii="Arial" w:hAnsi="Arial"/>
          <w:sz w:val="22"/>
          <w:szCs w:val="22"/>
        </w:rPr>
        <w:fldChar w:fldCharType="separate"/>
      </w:r>
      <w:r w:rsidR="4EAB73AC" w:rsidRPr="007D0473">
        <w:rPr>
          <w:rFonts w:ascii="Arial" w:hAnsi="Arial"/>
          <w:noProof/>
          <w:sz w:val="22"/>
          <w:szCs w:val="22"/>
        </w:rPr>
        <w:t>[14,15]</w:t>
      </w:r>
      <w:r w:rsidR="00F677D8" w:rsidRPr="007D0473">
        <w:rPr>
          <w:rFonts w:ascii="Arial" w:hAnsi="Arial"/>
          <w:sz w:val="22"/>
          <w:szCs w:val="22"/>
        </w:rPr>
        <w:fldChar w:fldCharType="end"/>
      </w:r>
      <w:r w:rsidR="34B8386E" w:rsidRPr="007D0473">
        <w:rPr>
          <w:rFonts w:ascii="Arial" w:hAnsi="Arial"/>
          <w:sz w:val="22"/>
          <w:szCs w:val="22"/>
        </w:rPr>
        <w:t xml:space="preserve">. </w:t>
      </w:r>
      <w:r w:rsidR="11C3354C" w:rsidRPr="007D0473">
        <w:rPr>
          <w:rFonts w:ascii="Arial" w:hAnsi="Arial"/>
          <w:sz w:val="22"/>
          <w:szCs w:val="22"/>
        </w:rPr>
        <w:t xml:space="preserve">On </w:t>
      </w:r>
      <w:r w:rsidR="4EAB73AC" w:rsidRPr="007D0473">
        <w:rPr>
          <w:rFonts w:ascii="Arial" w:hAnsi="Arial"/>
          <w:sz w:val="22"/>
          <w:szCs w:val="22"/>
        </w:rPr>
        <w:t xml:space="preserve">the </w:t>
      </w:r>
      <w:r w:rsidR="11C3354C" w:rsidRPr="007D0473">
        <w:rPr>
          <w:rFonts w:ascii="Arial" w:hAnsi="Arial"/>
          <w:sz w:val="22"/>
          <w:szCs w:val="22"/>
        </w:rPr>
        <w:t xml:space="preserve">contrary, </w:t>
      </w:r>
      <w:r w:rsidR="53E84A95" w:rsidRPr="007D0473">
        <w:rPr>
          <w:rFonts w:ascii="Arial" w:hAnsi="Arial"/>
          <w:sz w:val="22"/>
          <w:szCs w:val="22"/>
        </w:rPr>
        <w:t>ST17 lineage is uniformly dominated by serotype III</w:t>
      </w:r>
      <w:r w:rsidR="051998C2" w:rsidRPr="007D0473">
        <w:rPr>
          <w:rFonts w:ascii="Arial" w:hAnsi="Arial"/>
          <w:sz w:val="22"/>
          <w:szCs w:val="22"/>
        </w:rPr>
        <w:t xml:space="preserve"> and recombination events </w:t>
      </w:r>
      <w:r w:rsidR="058CFFDA" w:rsidRPr="007D0473">
        <w:rPr>
          <w:rFonts w:ascii="Arial" w:hAnsi="Arial"/>
          <w:sz w:val="22"/>
          <w:szCs w:val="22"/>
        </w:rPr>
        <w:t>that</w:t>
      </w:r>
      <w:r w:rsidR="4EAB73AC" w:rsidRPr="007D0473">
        <w:rPr>
          <w:rFonts w:ascii="Arial" w:hAnsi="Arial"/>
          <w:sz w:val="22"/>
          <w:szCs w:val="22"/>
        </w:rPr>
        <w:t xml:space="preserve"> have</w:t>
      </w:r>
      <w:r w:rsidR="058CFFDA" w:rsidRPr="007D0473">
        <w:rPr>
          <w:rFonts w:ascii="Arial" w:hAnsi="Arial"/>
          <w:sz w:val="22"/>
          <w:szCs w:val="22"/>
        </w:rPr>
        <w:t xml:space="preserve"> been </w:t>
      </w:r>
      <w:r w:rsidR="058CFFDA" w:rsidRPr="007D0473">
        <w:rPr>
          <w:rFonts w:ascii="Arial" w:hAnsi="Arial"/>
          <w:sz w:val="22"/>
          <w:szCs w:val="22"/>
        </w:rPr>
        <w:lastRenderedPageBreak/>
        <w:t>reported include member</w:t>
      </w:r>
      <w:r w:rsidR="4EAB73AC" w:rsidRPr="007D0473">
        <w:rPr>
          <w:rFonts w:ascii="Arial" w:hAnsi="Arial"/>
          <w:sz w:val="22"/>
          <w:szCs w:val="22"/>
        </w:rPr>
        <w:t>s</w:t>
      </w:r>
      <w:r w:rsidR="058CFFDA" w:rsidRPr="007D0473">
        <w:rPr>
          <w:rFonts w:ascii="Arial" w:hAnsi="Arial"/>
          <w:sz w:val="22"/>
          <w:szCs w:val="22"/>
        </w:rPr>
        <w:t xml:space="preserve"> of clonal complex (CC)17 </w:t>
      </w:r>
      <w:r w:rsidR="00F677D8" w:rsidRPr="007D0473">
        <w:rPr>
          <w:rFonts w:ascii="Arial" w:hAnsi="Arial"/>
          <w:sz w:val="22"/>
          <w:szCs w:val="22"/>
        </w:rPr>
        <w:fldChar w:fldCharType="begin" w:fldLock="1"/>
      </w:r>
      <w:r w:rsidR="00F677D8" w:rsidRPr="007D0473">
        <w:rPr>
          <w:rFonts w:ascii="Arial" w:hAnsi="Arial"/>
          <w:sz w:val="22"/>
          <w:szCs w:val="22"/>
        </w:rPr>
        <w:instrText>ADDIN CSL_CITATION {"citationItems":[{"id":"ITEM-1","itemData":{"DOI":"10.1093/infdis/jis605","ISSN":"00221899","PMID":"23002446","abstract":"BACKGROUND: The capsular polysaccharide (CPS) is an important virulence factor and a vaccine target of the major neonatal pathogen group B Streptococcus (GBS). Population studies revealed no strong correlation between CPS type and multilocus sequence typing (MLST) cluster, with the remarkable exception of the worldwide spread of hypervirulent GBS CC17, which were all until recently CPS type III.\\n\\nMETHODS: A total of 965 GBS strains from invasive infection isolated in France were CPS typed and the presence of the CC17-specific surface protein encoding gene hvgA gene was investigated. Three hvgA-positive GBS strains screened were surprisingly CPS type IV and thus further characterized by MLST typing, pulsed-field gel electrophoresis (PFGE), and whole genome sequencing.\\n\\nRESULTS: MLST and PFGE demonstrated a capsular switching from CPS type III to IV within the highly homogeneous GBS CC17. Sequence analysis revealed that this capsular switch was due to the exchange of a 35.5-kb DNA fragment containing the entire cps operon.\\n\\nCONCLUSIONS: This work shows that GBS CC17 hypervirulent strains have switched one of their main vaccine targets. Thus, continued surveillance of GBS population remains of the utmost importance during clinical trials of conjugate GBS vaccines.","author":[{"dropping-particle":"","family":"Bellais","given":"Samuel","non-dropping-particle":"","parse-names":false,"suffix":""},{"dropping-particle":"","family":"Six","given":"Anne","non-dropping-particle":"","parse-names":false,"suffix":""},{"dropping-particle":"","family":"Fouet","given":"Agnès","non-dropping-particle":"","parse-names":false,"suffix":""},{"dropping-particle":"","family":"Longo","given":"Magalie","non-dropping-particle":"","parse-names":false,"suffix":""},{"dropping-particle":"","family":"Dmytruk","given":"Nicolas","non-dropping-particle":"","parse-names":false,"suffix":""},{"dropping-particle":"","family":"Glaser","given":"Philippe","non-dropping-particle":"","parse-names":false,"suffix":""},{"dropping-particle":"","family":"Trieu-Cuot","given":"Patrick","non-dropping-particle":"","parse-names":false,"suffix":""},{"dropping-particle":"","family":"Poyart","given":"Claire","non-dropping-particle":"","parse-names":false,"suffix":""}],"container-title":"Journal of Infectious Diseases","id":"ITEM-1","issued":{"date-parts":[["2012"]]},"title":"Capsular switching in group B streptococcus CC17 hypervirulent clone: A future challenge for polysaccharide vaccine development","type":"article-journal"},"uris":["http://www.mendeley.com/documents/?uuid=e690f2a3-f283-4fe6-86e4-559ce28ca74d"]}],"mendeley":{"formattedCitation":"[16]","plainTextFormattedCitation":"[16]","previouslyFormattedCitation":"[16]"},"properties":{"noteIndex":0},"schema":"https://github.com/citation-style-language/schema/raw/master/csl-citation.json"}</w:instrText>
      </w:r>
      <w:r w:rsidR="00F677D8" w:rsidRPr="007D0473">
        <w:rPr>
          <w:rFonts w:ascii="Arial" w:hAnsi="Arial"/>
          <w:sz w:val="22"/>
          <w:szCs w:val="22"/>
        </w:rPr>
        <w:fldChar w:fldCharType="separate"/>
      </w:r>
      <w:r w:rsidR="058CFFDA" w:rsidRPr="007D0473">
        <w:rPr>
          <w:rFonts w:ascii="Arial" w:hAnsi="Arial"/>
          <w:noProof/>
          <w:sz w:val="22"/>
          <w:szCs w:val="22"/>
        </w:rPr>
        <w:t>[16]</w:t>
      </w:r>
      <w:r w:rsidR="00F677D8" w:rsidRPr="007D0473">
        <w:rPr>
          <w:rFonts w:ascii="Arial" w:hAnsi="Arial"/>
          <w:sz w:val="22"/>
          <w:szCs w:val="22"/>
        </w:rPr>
        <w:fldChar w:fldCharType="end"/>
      </w:r>
      <w:r w:rsidR="058CFFDA" w:rsidRPr="007D0473">
        <w:rPr>
          <w:rFonts w:ascii="Arial" w:hAnsi="Arial"/>
          <w:sz w:val="22"/>
          <w:szCs w:val="22"/>
        </w:rPr>
        <w:t xml:space="preserve"> rather than ST17 lineage. </w:t>
      </w:r>
      <w:r w:rsidR="165B9611" w:rsidRPr="007D0473">
        <w:rPr>
          <w:rFonts w:ascii="Arial" w:hAnsi="Arial"/>
          <w:sz w:val="22"/>
          <w:szCs w:val="22"/>
        </w:rPr>
        <w:t xml:space="preserve">As GBS has the potential to </w:t>
      </w:r>
      <w:r w:rsidR="19F5655D" w:rsidRPr="007D0473">
        <w:rPr>
          <w:rFonts w:ascii="Arial" w:hAnsi="Arial"/>
          <w:sz w:val="22"/>
          <w:szCs w:val="22"/>
        </w:rPr>
        <w:t xml:space="preserve">achieve </w:t>
      </w:r>
      <w:r w:rsidR="165B9611" w:rsidRPr="007D0473">
        <w:rPr>
          <w:rFonts w:ascii="Arial" w:hAnsi="Arial"/>
          <w:sz w:val="22"/>
          <w:szCs w:val="22"/>
        </w:rPr>
        <w:t>capsular switching</w:t>
      </w:r>
      <w:r w:rsidR="4D772C5B" w:rsidRPr="007D0473">
        <w:rPr>
          <w:rFonts w:ascii="Arial" w:hAnsi="Arial"/>
          <w:sz w:val="22"/>
          <w:szCs w:val="22"/>
        </w:rPr>
        <w:t xml:space="preserve">, there is potential for the less common serotypes to become established in </w:t>
      </w:r>
      <w:proofErr w:type="spellStart"/>
      <w:r w:rsidR="4D772C5B" w:rsidRPr="007D0473">
        <w:rPr>
          <w:rFonts w:ascii="Arial" w:hAnsi="Arial"/>
          <w:sz w:val="22"/>
          <w:szCs w:val="22"/>
        </w:rPr>
        <w:t>iGBS</w:t>
      </w:r>
      <w:proofErr w:type="spellEnd"/>
      <w:r w:rsidR="4D772C5B" w:rsidRPr="007D0473">
        <w:rPr>
          <w:rFonts w:ascii="Arial" w:hAnsi="Arial"/>
          <w:sz w:val="22"/>
          <w:szCs w:val="22"/>
        </w:rPr>
        <w:t>.</w:t>
      </w:r>
      <w:r w:rsidR="2BDDF1DA" w:rsidRPr="007D0473">
        <w:rPr>
          <w:rFonts w:ascii="Arial" w:hAnsi="Arial"/>
          <w:sz w:val="22"/>
          <w:szCs w:val="22"/>
        </w:rPr>
        <w:t xml:space="preserve"> T</w:t>
      </w:r>
      <w:r w:rsidR="6F9AEC94" w:rsidRPr="007D0473">
        <w:rPr>
          <w:rFonts w:ascii="Arial" w:hAnsi="Arial"/>
          <w:sz w:val="22"/>
          <w:szCs w:val="22"/>
        </w:rPr>
        <w:t xml:space="preserve">herefore, structured longitudinal surveillance of carriage and clinical GBS strains is important to </w:t>
      </w:r>
      <w:r w:rsidR="2BDDF1DA" w:rsidRPr="007D0473">
        <w:rPr>
          <w:rFonts w:ascii="Arial" w:hAnsi="Arial"/>
          <w:sz w:val="22"/>
          <w:szCs w:val="22"/>
        </w:rPr>
        <w:t xml:space="preserve">help underpin the </w:t>
      </w:r>
      <w:r w:rsidR="6F9AEC94" w:rsidRPr="007D0473">
        <w:rPr>
          <w:rFonts w:ascii="Arial" w:hAnsi="Arial"/>
          <w:sz w:val="22"/>
          <w:szCs w:val="22"/>
        </w:rPr>
        <w:t xml:space="preserve">prevalence </w:t>
      </w:r>
      <w:r w:rsidR="2BDDF1DA" w:rsidRPr="007D0473">
        <w:rPr>
          <w:rFonts w:ascii="Arial" w:hAnsi="Arial"/>
          <w:sz w:val="22"/>
          <w:szCs w:val="22"/>
        </w:rPr>
        <w:t xml:space="preserve">and conditions required for </w:t>
      </w:r>
      <w:r w:rsidR="6F9AEC94" w:rsidRPr="007D0473">
        <w:rPr>
          <w:rFonts w:ascii="Arial" w:hAnsi="Arial"/>
          <w:sz w:val="22"/>
          <w:szCs w:val="22"/>
        </w:rPr>
        <w:t>capsular switching events in the GBS population</w:t>
      </w:r>
      <w:r w:rsidR="2BDDF1DA" w:rsidRPr="007D0473">
        <w:rPr>
          <w:rFonts w:ascii="Arial" w:hAnsi="Arial"/>
          <w:sz w:val="22"/>
          <w:szCs w:val="22"/>
        </w:rPr>
        <w:t>,</w:t>
      </w:r>
      <w:r w:rsidR="6F9AEC94" w:rsidRPr="007D0473">
        <w:rPr>
          <w:rFonts w:ascii="Arial" w:hAnsi="Arial"/>
          <w:sz w:val="22"/>
          <w:szCs w:val="22"/>
        </w:rPr>
        <w:t xml:space="preserve"> and implications </w:t>
      </w:r>
      <w:r w:rsidR="2BDDF1DA" w:rsidRPr="007D0473">
        <w:rPr>
          <w:rFonts w:ascii="Arial" w:hAnsi="Arial"/>
          <w:sz w:val="22"/>
          <w:szCs w:val="22"/>
        </w:rPr>
        <w:t xml:space="preserve">of such events </w:t>
      </w:r>
      <w:r w:rsidR="6F9AEC94" w:rsidRPr="007D0473">
        <w:rPr>
          <w:rFonts w:ascii="Arial" w:hAnsi="Arial"/>
          <w:sz w:val="22"/>
          <w:szCs w:val="22"/>
        </w:rPr>
        <w:t xml:space="preserve">on clinical disease incidence </w:t>
      </w:r>
      <w:r w:rsidR="2BDDF1DA" w:rsidRPr="007D0473">
        <w:rPr>
          <w:rFonts w:ascii="Arial" w:hAnsi="Arial"/>
          <w:sz w:val="22"/>
          <w:szCs w:val="22"/>
        </w:rPr>
        <w:t xml:space="preserve">and </w:t>
      </w:r>
      <w:r w:rsidR="6F9AEC94" w:rsidRPr="007D0473">
        <w:rPr>
          <w:rFonts w:ascii="Arial" w:hAnsi="Arial"/>
          <w:sz w:val="22"/>
          <w:szCs w:val="22"/>
        </w:rPr>
        <w:t>the GBS vaccine implementation</w:t>
      </w:r>
      <w:r w:rsidR="2BDDF1DA" w:rsidRPr="007D0473">
        <w:rPr>
          <w:rFonts w:ascii="Arial" w:hAnsi="Arial"/>
          <w:sz w:val="22"/>
          <w:szCs w:val="22"/>
        </w:rPr>
        <w:t xml:space="preserve"> policy</w:t>
      </w:r>
      <w:r w:rsidR="4CCEFA61" w:rsidRPr="007D0473">
        <w:rPr>
          <w:rFonts w:ascii="Arial" w:hAnsi="Arial"/>
          <w:sz w:val="22"/>
          <w:szCs w:val="22"/>
        </w:rPr>
        <w:t xml:space="preserve">. </w:t>
      </w:r>
      <w:r w:rsidR="3C362577" w:rsidRPr="007D0473">
        <w:rPr>
          <w:rFonts w:ascii="Arial" w:hAnsi="Arial"/>
          <w:sz w:val="22"/>
          <w:szCs w:val="22"/>
        </w:rPr>
        <w:t xml:space="preserve">In the UK, </w:t>
      </w:r>
      <w:r w:rsidR="1A973CCD" w:rsidRPr="007D0473">
        <w:rPr>
          <w:rFonts w:ascii="Arial" w:hAnsi="Arial"/>
          <w:sz w:val="22"/>
          <w:szCs w:val="22"/>
        </w:rPr>
        <w:t xml:space="preserve">a detailed genomic surveillance of GBS isolates causing </w:t>
      </w:r>
      <w:r w:rsidR="4D778554" w:rsidRPr="007D0473">
        <w:rPr>
          <w:rFonts w:ascii="Arial" w:hAnsi="Arial"/>
          <w:sz w:val="22"/>
          <w:szCs w:val="22"/>
        </w:rPr>
        <w:t xml:space="preserve">early and </w:t>
      </w:r>
      <w:r w:rsidR="1A973CCD" w:rsidRPr="007D0473">
        <w:rPr>
          <w:rFonts w:ascii="Arial" w:hAnsi="Arial"/>
          <w:sz w:val="22"/>
          <w:szCs w:val="22"/>
        </w:rPr>
        <w:t>late-onset GBS disease in infants has been recently carried out</w:t>
      </w:r>
      <w:r w:rsidR="6F1B1155" w:rsidRPr="007D0473">
        <w:rPr>
          <w:rFonts w:ascii="Arial" w:hAnsi="Arial"/>
          <w:sz w:val="22"/>
          <w:szCs w:val="22"/>
        </w:rPr>
        <w:t xml:space="preserve"> which uncovered clusters of infection</w:t>
      </w:r>
      <w:r w:rsidR="000F1EBF" w:rsidRPr="007D0473">
        <w:rPr>
          <w:rFonts w:ascii="Arial" w:hAnsi="Arial"/>
          <w:sz w:val="22"/>
          <w:szCs w:val="22"/>
        </w:rPr>
        <w:t xml:space="preserve"> </w:t>
      </w:r>
      <w:r w:rsidR="00AD2744"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{"citationItems":[{"id":"ITEM-1","itemData":{"DOI":"10.1093/cid/ciaa1087","ISSN":"15376591","PMID":"32766850","abstract":"BACKGROUND: The true frequency of hospital outbreaks of invasive group B streptococcal (iGBS; Streptococcus agalactiae) disease in infants is unknown. We used whole genome sequencing (WGS) of iGBS isolates collected during a period of enhanced surveillance of infant iGBS disease in the UK and Ireland to determine the number of clustered cases. METHODS: Potentially linked iGBS cases from infants with early (&lt;7 days of life) or late-onset (7-89 days) disease were identified from WGS data (HiSeq 2500 platform, Illumina) from clinical sterile site isolates collected between 04/2014 and 04/2015. We assessed time and place of cases to determine a single-nucleotide polymorphism (SNP) difference threshold for clustered cases. Case details were augmented through linkage to national hospital admission data and hospital record review by local microbiologists. RESULTS: Analysis of sequences indicated a cutoff of ≤5 SNP differences to define iGBS clusters. Among 410 infant iGBS isolates, we identified 7 clusters (4 genetically identical pairs with 0 SNP differences, 1 pair with 3 SNP differences, 1 cluster of 4 cases with ≤1 SNP differences) of which 4 clusters were uncovered for the first time. The clusters comprised 16 cases, of which 15 were late-onset (of 192 late-onset cases with sequenced isolates) and 1 an early-onset index case. Serial intervals between cases ranged from 0 to 59 (median 12) days. CONCLUSIONS: Approximately 1 in 12 late-onset infant iGBS cases were part of a hospital cluster. Over half of the clusters were previously undetected, emphasizing the importance of routine submission of iGBS isolates to reference laboratories for cluster identification and genomic confirmation.","author":[{"dropping-particle":"","family":"Collin","given":"Simon M.","non-dropping-particle":"","parse-names":false,"suffix":""},{"dropping-particle":"","family":"Groves","given":"Natalie","non-dropping-particle":"","parse-names":false,"suffix":""},{"dropping-particle":"","family":"O'Sullivan","given":"Catherine","non-dropping-particle":"","parse-names":false,"suffix":""},{"dropping-particle":"","family":"Jauneikaite","given":"Elita","non-dropping-particle":"","parse-names":false,"suffix":""},{"dropping-particle":"","family":"Patel","given":"Darshana","non-dropping-particle":"","parse-names":false,"suffix":""},{"dropping-particle":"","family":"Cunney","given":"Robert","non-dropping-particle":"","parse-names":false,"suffix":""},{"dropping-particle":"","family":"Meehan","given":"Mary","non-dropping-particle":"","parse-names":false,"suffix":""},{"dropping-particle":"","family":"Reynolds","given":"Arlene","non-dropping-particle":"","parse-names":false,"suffix":""},{"dropping-particle":"","family":"Smith","given":"Andrew","non-dropping-particle":"","parse-names":false,"suffix":""},{"dropping-particle":"","family":"Lindsay","given":"Diane","non-dropping-particle":"","parse-names":false,"suffix":""},{"dropping-particle":"","family":"Doherty","given":"Lorraine","non-dropping-particle":"","parse-names":false,"suffix":""},{"dropping-particle":"","family":"Davies","given":"Eleri","non-dropping-particle":"","parse-names":false,"suffix":""},{"dropping-particle":"","family":"Chalker","given":"Victoria","non-dropping-particle":"","parse-names":false,"suffix":""},{"dropping-particle":"","family":"Lamb","given":"Peter","non-dropping-particle":"","parse-names":false,"suffix":""},{"dropping-particle":"","family":"Afshar","given":"Baharak","non-dropping-particle":"","parse-names":false,"suffix":""},{"dropping-particle":"","family":"Balasegaram","given":"Sooria","non-dropping-particle":"","parse-names":false,"suffix":""},{"dropping-particle":"","family":"Coelho","given":"Juliana","non-dropping-particle":"","parse-names":false,"suffix":""},{"dropping-particle":"","family":"Ready","given":"Derren","non-dropping-particle":"","parse-names":false,"suffix":""},{"dropping-particle":"","family":"Brown","given":"Colin S.","non-dropping-particle":"","parse-names":false,"suffix":""},{"dropping-particle":"","family":"Efstratiou","given":"Androulla","non-dropping-particle":"","parse-names":false,"suffix":""},{"dropping-particle":"","family":"Doare","given":"Kirsty","non-dropping-particle":"Le","parse-names":false,"suffix":""},{"dropping-particle":"","family":"Sriskandan","given":"Shiranee","non-dropping-particle":"","parse-names":false,"suffix":""},{"dropping-particle":"","family":"Heath","given":"Paul T.","non-dropping-particle":"","parse-names":false,"suffix":""},{"dropping-particle":"","family":"Lamagni","given":"Theresa","non-dropping-particle":"","parse-names":false,"suffix":""}],"container-title":"Clinical infectious diseases : an official publication of the Infectious Diseases Society of America","id":"ITEM-1","issue":"9","issued":{"date-parts":[["2021"]]},"page":"e296-e302","title":"Uncovering Infant Group B Streptococcal (GBS) Disease Clusters in the United Kingdom and Ireland Through Genomic Analysis: A Population-based Epidemiological Study","type":"article-journal","volume":"72"},"uris":["http://www.mendeley.com/documents/?uuid=cffb8a27-841b-3870-9d82-c91fca78bcd7"]}],"mendeley":{"formattedCitation":"[17]","plainTextFormattedCitation":"[17]","previouslyFormattedCitation":"[17]"},"properties":{"noteIndex":0},"schema":"https://github.com/citation-style-language/schema/raw/master/csl-citation.json"}</w:instrText>
      </w:r>
      <w:r w:rsidR="00AD2744" w:rsidRPr="007D0473">
        <w:rPr>
          <w:rFonts w:ascii="Arial" w:hAnsi="Arial"/>
          <w:sz w:val="22"/>
          <w:szCs w:val="22"/>
        </w:rPr>
        <w:fldChar w:fldCharType="separate"/>
      </w:r>
      <w:r w:rsidR="00AD2744" w:rsidRPr="007D0473">
        <w:rPr>
          <w:rFonts w:ascii="Arial" w:hAnsi="Arial"/>
          <w:noProof/>
          <w:sz w:val="22"/>
          <w:szCs w:val="22"/>
        </w:rPr>
        <w:t>[17]</w:t>
      </w:r>
      <w:r w:rsidR="00AD2744" w:rsidRPr="007D0473">
        <w:rPr>
          <w:rFonts w:ascii="Arial" w:hAnsi="Arial"/>
          <w:sz w:val="22"/>
          <w:szCs w:val="22"/>
        </w:rPr>
        <w:fldChar w:fldCharType="end"/>
      </w:r>
      <w:r w:rsidR="00AD2744" w:rsidRPr="007D0473">
        <w:rPr>
          <w:rFonts w:ascii="Arial" w:hAnsi="Arial"/>
          <w:sz w:val="22"/>
          <w:szCs w:val="22"/>
        </w:rPr>
        <w:t>,</w:t>
      </w:r>
      <w:r w:rsidR="1A973CCD" w:rsidRPr="007D0473">
        <w:rPr>
          <w:rFonts w:ascii="Arial" w:hAnsi="Arial"/>
          <w:sz w:val="22"/>
          <w:szCs w:val="22"/>
        </w:rPr>
        <w:t xml:space="preserve"> h</w:t>
      </w:r>
      <w:r w:rsidR="06564AD8" w:rsidRPr="007D0473">
        <w:rPr>
          <w:rFonts w:ascii="Arial" w:hAnsi="Arial"/>
          <w:sz w:val="22"/>
          <w:szCs w:val="22"/>
        </w:rPr>
        <w:t>owe</w:t>
      </w:r>
      <w:r w:rsidR="52296969" w:rsidRPr="007D0473">
        <w:rPr>
          <w:rFonts w:ascii="Arial" w:hAnsi="Arial"/>
          <w:sz w:val="22"/>
          <w:szCs w:val="22"/>
        </w:rPr>
        <w:t xml:space="preserve">ver, </w:t>
      </w:r>
      <w:r w:rsidR="1A973CCD" w:rsidRPr="007D0473">
        <w:rPr>
          <w:rFonts w:ascii="Arial" w:hAnsi="Arial"/>
          <w:sz w:val="22"/>
          <w:szCs w:val="22"/>
        </w:rPr>
        <w:t xml:space="preserve">detailed information on genomic features of </w:t>
      </w:r>
      <w:r w:rsidR="52296969" w:rsidRPr="007D0473">
        <w:rPr>
          <w:rFonts w:ascii="Arial" w:hAnsi="Arial"/>
          <w:sz w:val="22"/>
          <w:szCs w:val="22"/>
        </w:rPr>
        <w:t xml:space="preserve">adult GBS isolates </w:t>
      </w:r>
      <w:r w:rsidR="1A973CCD" w:rsidRPr="007D0473">
        <w:rPr>
          <w:rFonts w:ascii="Arial" w:hAnsi="Arial"/>
          <w:sz w:val="22"/>
          <w:szCs w:val="22"/>
        </w:rPr>
        <w:t xml:space="preserve">in the UK is lacking. </w:t>
      </w:r>
      <w:r w:rsidR="1C0B9955" w:rsidRPr="007D0473">
        <w:rPr>
          <w:rFonts w:ascii="Arial" w:hAnsi="Arial"/>
          <w:sz w:val="22"/>
          <w:szCs w:val="22"/>
        </w:rPr>
        <w:t>Here, we used whole genome sequencing to c</w:t>
      </w:r>
      <w:r w:rsidR="48E85642" w:rsidRPr="007D0473">
        <w:rPr>
          <w:rFonts w:ascii="Arial" w:hAnsi="Arial"/>
          <w:sz w:val="22"/>
          <w:szCs w:val="22"/>
        </w:rPr>
        <w:t xml:space="preserve">haracterise </w:t>
      </w:r>
      <w:r w:rsidR="78B169BF" w:rsidRPr="007D0473">
        <w:rPr>
          <w:rFonts w:ascii="Arial" w:hAnsi="Arial"/>
          <w:sz w:val="22"/>
          <w:szCs w:val="22"/>
        </w:rPr>
        <w:t>disease-causing GBS strains from the adult population in the UK</w:t>
      </w:r>
      <w:r w:rsidR="1C0B9955" w:rsidRPr="007D0473">
        <w:rPr>
          <w:rFonts w:ascii="Arial" w:hAnsi="Arial"/>
          <w:sz w:val="22"/>
          <w:szCs w:val="22"/>
        </w:rPr>
        <w:t xml:space="preserve"> </w:t>
      </w:r>
      <w:r w:rsidR="78B169BF" w:rsidRPr="007D0473">
        <w:rPr>
          <w:rFonts w:ascii="Arial" w:hAnsi="Arial"/>
          <w:sz w:val="22"/>
          <w:szCs w:val="22"/>
        </w:rPr>
        <w:t xml:space="preserve">and </w:t>
      </w:r>
      <w:r w:rsidR="5B419817" w:rsidRPr="007D0473">
        <w:rPr>
          <w:rFonts w:ascii="Arial" w:hAnsi="Arial"/>
          <w:sz w:val="22"/>
          <w:szCs w:val="22"/>
        </w:rPr>
        <w:t>report</w:t>
      </w:r>
      <w:r w:rsidR="1C0B9955" w:rsidRPr="007D0473">
        <w:rPr>
          <w:rFonts w:ascii="Arial" w:hAnsi="Arial"/>
          <w:sz w:val="22"/>
          <w:szCs w:val="22"/>
        </w:rPr>
        <w:t xml:space="preserve"> </w:t>
      </w:r>
      <w:r w:rsidR="78B169BF" w:rsidRPr="007D0473">
        <w:rPr>
          <w:rFonts w:ascii="Arial" w:hAnsi="Arial"/>
          <w:sz w:val="22"/>
          <w:szCs w:val="22"/>
        </w:rPr>
        <w:t>putative capsular switching events that occurred in this GBS population.</w:t>
      </w:r>
    </w:p>
    <w:p w14:paraId="5A8DD0D9" w14:textId="77777777" w:rsidR="00D646E4" w:rsidRPr="007D0473" w:rsidRDefault="00D646E4" w:rsidP="00DB7C46">
      <w:pPr>
        <w:spacing w:before="120" w:after="120" w:line="480" w:lineRule="auto"/>
        <w:rPr>
          <w:rFonts w:ascii="Arial" w:hAnsi="Arial"/>
          <w:b/>
          <w:bCs/>
          <w:sz w:val="22"/>
          <w:szCs w:val="22"/>
        </w:rPr>
      </w:pPr>
    </w:p>
    <w:p w14:paraId="0D91F531" w14:textId="77777777" w:rsidR="00D646E4" w:rsidRPr="007D0473" w:rsidRDefault="00D646E4" w:rsidP="00DB7C46">
      <w:pPr>
        <w:spacing w:before="120" w:after="120" w:line="480" w:lineRule="auto"/>
        <w:rPr>
          <w:rFonts w:ascii="Arial" w:hAnsi="Arial"/>
          <w:b/>
          <w:bCs/>
          <w:sz w:val="22"/>
          <w:szCs w:val="22"/>
        </w:rPr>
      </w:pPr>
    </w:p>
    <w:p w14:paraId="337822E8" w14:textId="625BB395" w:rsidR="001244E9" w:rsidRPr="007D0473" w:rsidRDefault="001244E9" w:rsidP="00DB7C46">
      <w:pPr>
        <w:spacing w:before="120" w:after="120" w:line="480" w:lineRule="auto"/>
        <w:rPr>
          <w:rFonts w:ascii="Arial" w:hAnsi="Arial"/>
          <w:b/>
          <w:bCs/>
          <w:sz w:val="22"/>
          <w:szCs w:val="22"/>
        </w:rPr>
      </w:pPr>
      <w:r w:rsidRPr="007D0473">
        <w:rPr>
          <w:rFonts w:ascii="Arial" w:hAnsi="Arial"/>
          <w:b/>
          <w:bCs/>
          <w:sz w:val="22"/>
          <w:szCs w:val="22"/>
        </w:rPr>
        <w:t>Methods</w:t>
      </w:r>
    </w:p>
    <w:p w14:paraId="22DFEA69" w14:textId="77777777" w:rsidR="001244E9" w:rsidRPr="007D0473" w:rsidRDefault="001244E9" w:rsidP="00DB7C46">
      <w:pPr>
        <w:spacing w:before="120" w:after="120" w:line="480" w:lineRule="auto"/>
        <w:rPr>
          <w:rFonts w:ascii="Arial" w:hAnsi="Arial"/>
          <w:b/>
          <w:bCs/>
          <w:i/>
          <w:iCs/>
          <w:sz w:val="22"/>
          <w:szCs w:val="22"/>
        </w:rPr>
      </w:pPr>
      <w:r w:rsidRPr="007D0473">
        <w:rPr>
          <w:rFonts w:ascii="Arial" w:hAnsi="Arial"/>
          <w:b/>
          <w:bCs/>
          <w:i/>
          <w:iCs/>
          <w:sz w:val="22"/>
          <w:szCs w:val="22"/>
        </w:rPr>
        <w:t>Genomic sequences of clinical GBS isolates</w:t>
      </w:r>
    </w:p>
    <w:p w14:paraId="0330869B" w14:textId="7B737441" w:rsidR="003E288B" w:rsidRPr="007D0473" w:rsidRDefault="7B242BD5" w:rsidP="00DB7C46">
      <w:pPr>
        <w:spacing w:before="120" w:after="120" w:line="480" w:lineRule="auto"/>
        <w:rPr>
          <w:rFonts w:ascii="Arial" w:hAnsi="Arial"/>
          <w:sz w:val="22"/>
          <w:szCs w:val="22"/>
        </w:rPr>
      </w:pPr>
      <w:r w:rsidRPr="007D0473">
        <w:rPr>
          <w:rFonts w:ascii="Arial" w:hAnsi="Arial"/>
          <w:sz w:val="22"/>
          <w:szCs w:val="22"/>
        </w:rPr>
        <w:t>Sterile site isolates from adults are</w:t>
      </w:r>
      <w:r w:rsidR="5431CB70" w:rsidRPr="007D0473">
        <w:rPr>
          <w:rFonts w:ascii="Arial" w:hAnsi="Arial"/>
          <w:sz w:val="22"/>
          <w:szCs w:val="22"/>
        </w:rPr>
        <w:t>,</w:t>
      </w:r>
      <w:r w:rsidRPr="007D0473">
        <w:rPr>
          <w:rFonts w:ascii="Arial" w:hAnsi="Arial"/>
          <w:sz w:val="22"/>
          <w:szCs w:val="22"/>
        </w:rPr>
        <w:t xml:space="preserve"> </w:t>
      </w:r>
      <w:r w:rsidR="5431CB70" w:rsidRPr="007D0473">
        <w:rPr>
          <w:rFonts w:ascii="Arial" w:hAnsi="Arial"/>
          <w:sz w:val="22"/>
          <w:szCs w:val="22"/>
        </w:rPr>
        <w:t>w</w:t>
      </w:r>
      <w:r w:rsidR="6BE66BE6" w:rsidRPr="007D0473">
        <w:rPr>
          <w:rFonts w:ascii="Arial" w:hAnsi="Arial"/>
          <w:sz w:val="22"/>
          <w:szCs w:val="22"/>
        </w:rPr>
        <w:t>h</w:t>
      </w:r>
      <w:r w:rsidR="5431CB70" w:rsidRPr="007D0473">
        <w:rPr>
          <w:rFonts w:ascii="Arial" w:hAnsi="Arial"/>
          <w:sz w:val="22"/>
          <w:szCs w:val="22"/>
        </w:rPr>
        <w:t xml:space="preserve">ere possible, </w:t>
      </w:r>
      <w:r w:rsidRPr="007D0473">
        <w:rPr>
          <w:rFonts w:ascii="Arial" w:hAnsi="Arial"/>
          <w:sz w:val="22"/>
          <w:szCs w:val="22"/>
        </w:rPr>
        <w:t xml:space="preserve">routinely submitted to the </w:t>
      </w:r>
      <w:r w:rsidR="004E0458">
        <w:rPr>
          <w:rFonts w:ascii="Arial" w:hAnsi="Arial"/>
          <w:sz w:val="22"/>
          <w:szCs w:val="22"/>
        </w:rPr>
        <w:t>UK Health Security Agency (UKHSA)</w:t>
      </w:r>
      <w:r w:rsidRPr="007D0473">
        <w:rPr>
          <w:rFonts w:ascii="Arial" w:hAnsi="Arial"/>
          <w:sz w:val="22"/>
          <w:szCs w:val="22"/>
        </w:rPr>
        <w:t xml:space="preserve"> reference laboratory as part of national surveillance.</w:t>
      </w:r>
      <w:r w:rsidR="18C8752D" w:rsidRPr="007D0473">
        <w:rPr>
          <w:rFonts w:ascii="Arial" w:hAnsi="Arial"/>
          <w:sz w:val="22"/>
          <w:szCs w:val="22"/>
        </w:rPr>
        <w:t xml:space="preserve"> In 2014 to 2015, isolates were mainly submitted from laboratories in England with a small proportion of submissions from elsewhere in the UK.</w:t>
      </w:r>
      <w:r w:rsidRPr="007D0473">
        <w:rPr>
          <w:rFonts w:ascii="Arial" w:hAnsi="Arial"/>
          <w:sz w:val="22"/>
          <w:szCs w:val="22"/>
        </w:rPr>
        <w:t xml:space="preserve"> </w:t>
      </w:r>
      <w:r w:rsidR="5A6375A3" w:rsidRPr="007D0473">
        <w:rPr>
          <w:rFonts w:ascii="Arial" w:hAnsi="Arial"/>
          <w:sz w:val="22"/>
          <w:szCs w:val="22"/>
        </w:rPr>
        <w:t>Isolates received are from patients of all ages, with the majority from neonates</w:t>
      </w:r>
      <w:r w:rsidR="498CF975" w:rsidRPr="007D0473">
        <w:rPr>
          <w:rFonts w:ascii="Arial" w:hAnsi="Arial"/>
          <w:sz w:val="22"/>
          <w:szCs w:val="22"/>
        </w:rPr>
        <w:t xml:space="preserve"> (estimated &gt;9</w:t>
      </w:r>
      <w:r w:rsidR="00F2030F" w:rsidRPr="007D0473">
        <w:rPr>
          <w:rFonts w:ascii="Arial" w:hAnsi="Arial"/>
          <w:sz w:val="22"/>
          <w:szCs w:val="22"/>
        </w:rPr>
        <w:t>0</w:t>
      </w:r>
      <w:r w:rsidR="498CF975" w:rsidRPr="007D0473">
        <w:rPr>
          <w:rFonts w:ascii="Arial" w:hAnsi="Arial"/>
          <w:sz w:val="22"/>
          <w:szCs w:val="22"/>
        </w:rPr>
        <w:t>%)</w:t>
      </w:r>
      <w:r w:rsidR="5A6375A3" w:rsidRPr="007D0473">
        <w:rPr>
          <w:rFonts w:ascii="Arial" w:hAnsi="Arial"/>
          <w:sz w:val="22"/>
          <w:szCs w:val="22"/>
        </w:rPr>
        <w:t xml:space="preserve"> and women of child-bearing age</w:t>
      </w:r>
      <w:r w:rsidR="7352384C" w:rsidRPr="007D0473">
        <w:rPr>
          <w:rFonts w:ascii="Arial" w:hAnsi="Arial"/>
          <w:sz w:val="22"/>
          <w:szCs w:val="22"/>
        </w:rPr>
        <w:t xml:space="preserve">, with an estimated </w:t>
      </w:r>
      <w:r w:rsidR="5DADEE35" w:rsidRPr="007D0473">
        <w:rPr>
          <w:rFonts w:ascii="Arial" w:hAnsi="Arial"/>
          <w:sz w:val="22"/>
          <w:szCs w:val="22"/>
        </w:rPr>
        <w:t xml:space="preserve">total </w:t>
      </w:r>
      <w:r w:rsidR="3661A5A4" w:rsidRPr="007D0473">
        <w:rPr>
          <w:rFonts w:ascii="Arial" w:hAnsi="Arial"/>
          <w:sz w:val="22"/>
          <w:szCs w:val="22"/>
        </w:rPr>
        <w:t xml:space="preserve">adult </w:t>
      </w:r>
      <w:r w:rsidR="25FF3536" w:rsidRPr="007D0473">
        <w:rPr>
          <w:rFonts w:ascii="Arial" w:hAnsi="Arial"/>
          <w:sz w:val="22"/>
          <w:szCs w:val="22"/>
        </w:rPr>
        <w:t>isolate</w:t>
      </w:r>
      <w:r w:rsidR="3661A5A4" w:rsidRPr="007D0473">
        <w:rPr>
          <w:rFonts w:ascii="Arial" w:hAnsi="Arial"/>
          <w:sz w:val="22"/>
          <w:szCs w:val="22"/>
        </w:rPr>
        <w:t xml:space="preserve"> submission </w:t>
      </w:r>
      <w:r w:rsidR="7352384C" w:rsidRPr="007D0473">
        <w:rPr>
          <w:rFonts w:ascii="Arial" w:hAnsi="Arial"/>
          <w:sz w:val="22"/>
          <w:szCs w:val="22"/>
        </w:rPr>
        <w:t xml:space="preserve">proportion of less than </w:t>
      </w:r>
      <w:r w:rsidR="00201E57" w:rsidRPr="007D0473">
        <w:rPr>
          <w:rFonts w:ascii="Arial" w:hAnsi="Arial"/>
          <w:sz w:val="22"/>
          <w:szCs w:val="22"/>
        </w:rPr>
        <w:t>10</w:t>
      </w:r>
      <w:r w:rsidR="7352384C" w:rsidRPr="007D0473">
        <w:rPr>
          <w:rFonts w:ascii="Arial" w:hAnsi="Arial"/>
          <w:sz w:val="22"/>
          <w:szCs w:val="22"/>
        </w:rPr>
        <w:t>%</w:t>
      </w:r>
      <w:r w:rsidR="4A57D9F5" w:rsidRPr="007D0473">
        <w:rPr>
          <w:rFonts w:ascii="Arial" w:hAnsi="Arial"/>
          <w:sz w:val="22"/>
          <w:szCs w:val="22"/>
        </w:rPr>
        <w:t xml:space="preserve"> of all invasive cases</w:t>
      </w:r>
      <w:r w:rsidR="7352384C" w:rsidRPr="001A4072">
        <w:rPr>
          <w:rFonts w:ascii="Arial" w:hAnsi="Arial"/>
          <w:sz w:val="22"/>
          <w:szCs w:val="22"/>
        </w:rPr>
        <w:t>.</w:t>
      </w:r>
      <w:r w:rsidR="5A6375A3" w:rsidRPr="001A4072">
        <w:rPr>
          <w:rFonts w:ascii="Arial" w:hAnsi="Arial"/>
          <w:sz w:val="22"/>
          <w:szCs w:val="22"/>
        </w:rPr>
        <w:t xml:space="preserve"> </w:t>
      </w:r>
      <w:r w:rsidR="001A4072" w:rsidRPr="001A4072">
        <w:rPr>
          <w:rFonts w:ascii="Arial" w:hAnsi="Arial"/>
          <w:sz w:val="22"/>
          <w:szCs w:val="22"/>
        </w:rPr>
        <w:t xml:space="preserve">All available GBS isolates from invasive and non-invasive adult disease cases submitted to </w:t>
      </w:r>
      <w:r w:rsidR="00B31BD8">
        <w:rPr>
          <w:rFonts w:ascii="Arial" w:hAnsi="Arial"/>
          <w:sz w:val="22"/>
          <w:szCs w:val="22"/>
        </w:rPr>
        <w:t>UKHSA</w:t>
      </w:r>
      <w:r w:rsidR="001A4072" w:rsidRPr="001A4072">
        <w:rPr>
          <w:rFonts w:ascii="Arial" w:hAnsi="Arial"/>
          <w:sz w:val="22"/>
          <w:szCs w:val="22"/>
        </w:rPr>
        <w:t xml:space="preserve"> between January 2014 and December 2015 were whole genome sequenced and used in this study.</w:t>
      </w:r>
      <w:r w:rsidR="001A4072">
        <w:rPr>
          <w:rFonts w:ascii="Arial" w:hAnsi="Arial"/>
          <w:sz w:val="22"/>
          <w:szCs w:val="22"/>
        </w:rPr>
        <w:t xml:space="preserve"> </w:t>
      </w:r>
      <w:r w:rsidR="00FF3899" w:rsidRPr="007D0473">
        <w:rPr>
          <w:rFonts w:ascii="Arial" w:hAnsi="Arial"/>
          <w:sz w:val="22"/>
          <w:szCs w:val="22"/>
        </w:rPr>
        <w:t xml:space="preserve">Available </w:t>
      </w:r>
      <w:r w:rsidR="32CDE0C0" w:rsidRPr="007D0473">
        <w:rPr>
          <w:rFonts w:ascii="Arial" w:hAnsi="Arial"/>
          <w:sz w:val="22"/>
          <w:szCs w:val="22"/>
        </w:rPr>
        <w:t xml:space="preserve">anonymised </w:t>
      </w:r>
      <w:r w:rsidRPr="007D0473">
        <w:rPr>
          <w:rFonts w:ascii="Arial" w:hAnsi="Arial"/>
          <w:sz w:val="22"/>
          <w:szCs w:val="22"/>
        </w:rPr>
        <w:t>clinical dat</w:t>
      </w:r>
      <w:r w:rsidR="64302F98" w:rsidRPr="007D0473">
        <w:rPr>
          <w:rFonts w:ascii="Arial" w:hAnsi="Arial"/>
          <w:sz w:val="22"/>
          <w:szCs w:val="22"/>
        </w:rPr>
        <w:t>a</w:t>
      </w:r>
      <w:r w:rsidRPr="007D0473">
        <w:rPr>
          <w:rFonts w:ascii="Arial" w:hAnsi="Arial"/>
          <w:sz w:val="22"/>
          <w:szCs w:val="22"/>
        </w:rPr>
        <w:t xml:space="preserve"> </w:t>
      </w:r>
      <w:r w:rsidR="49AB5AF3" w:rsidRPr="007D0473">
        <w:rPr>
          <w:rFonts w:ascii="Arial" w:hAnsi="Arial"/>
          <w:sz w:val="22"/>
          <w:szCs w:val="22"/>
        </w:rPr>
        <w:t xml:space="preserve">included information on </w:t>
      </w:r>
      <w:r w:rsidRPr="007D0473">
        <w:rPr>
          <w:rFonts w:ascii="Arial" w:hAnsi="Arial"/>
          <w:sz w:val="22"/>
          <w:szCs w:val="22"/>
        </w:rPr>
        <w:t>age</w:t>
      </w:r>
      <w:r w:rsidR="5D48302C" w:rsidRPr="007D0473">
        <w:rPr>
          <w:rFonts w:ascii="Arial" w:hAnsi="Arial"/>
          <w:sz w:val="22"/>
          <w:szCs w:val="22"/>
        </w:rPr>
        <w:t>-range</w:t>
      </w:r>
      <w:r w:rsidRPr="007D0473">
        <w:rPr>
          <w:rFonts w:ascii="Arial" w:hAnsi="Arial"/>
          <w:sz w:val="22"/>
          <w:szCs w:val="22"/>
        </w:rPr>
        <w:t xml:space="preserve"> and sex of the patient, </w:t>
      </w:r>
      <w:proofErr w:type="gramStart"/>
      <w:r w:rsidR="73E4B7CF" w:rsidRPr="007D0473">
        <w:rPr>
          <w:rFonts w:ascii="Arial" w:hAnsi="Arial"/>
          <w:sz w:val="22"/>
          <w:szCs w:val="22"/>
        </w:rPr>
        <w:t>year</w:t>
      </w:r>
      <w:proofErr w:type="gramEnd"/>
      <w:r w:rsidR="403ED26A" w:rsidRPr="007D0473">
        <w:rPr>
          <w:rFonts w:ascii="Arial" w:hAnsi="Arial"/>
          <w:sz w:val="22"/>
          <w:szCs w:val="22"/>
        </w:rPr>
        <w:t xml:space="preserve"> </w:t>
      </w:r>
      <w:r w:rsidR="00003EA8" w:rsidRPr="007D0473">
        <w:rPr>
          <w:rFonts w:ascii="Arial" w:hAnsi="Arial"/>
          <w:sz w:val="22"/>
          <w:szCs w:val="22"/>
        </w:rPr>
        <w:t xml:space="preserve">and </w:t>
      </w:r>
      <w:r w:rsidR="00ED2148" w:rsidRPr="00ED2148">
        <w:rPr>
          <w:rFonts w:ascii="Arial" w:hAnsi="Arial"/>
          <w:sz w:val="22"/>
          <w:szCs w:val="22"/>
        </w:rPr>
        <w:t xml:space="preserve">sample type </w:t>
      </w:r>
      <w:r w:rsidR="00C42B6C" w:rsidRPr="00ED2148">
        <w:rPr>
          <w:rFonts w:ascii="Arial" w:hAnsi="Arial"/>
          <w:sz w:val="22"/>
          <w:szCs w:val="22"/>
        </w:rPr>
        <w:t>where GBS was isolated</w:t>
      </w:r>
      <w:r w:rsidRPr="007D0473">
        <w:rPr>
          <w:rFonts w:ascii="Arial" w:hAnsi="Arial"/>
          <w:sz w:val="22"/>
          <w:szCs w:val="22"/>
        </w:rPr>
        <w:t xml:space="preserve">. DNA </w:t>
      </w:r>
      <w:r w:rsidR="69359ECE" w:rsidRPr="007D0473">
        <w:rPr>
          <w:rFonts w:ascii="Arial" w:hAnsi="Arial"/>
          <w:sz w:val="22"/>
          <w:szCs w:val="22"/>
        </w:rPr>
        <w:t xml:space="preserve">was </w:t>
      </w:r>
      <w:r w:rsidR="1056EDE1" w:rsidRPr="007D0473">
        <w:rPr>
          <w:rFonts w:ascii="Arial" w:hAnsi="Arial"/>
          <w:sz w:val="22"/>
          <w:szCs w:val="22"/>
        </w:rPr>
        <w:t>extract</w:t>
      </w:r>
      <w:r w:rsidR="6A0F2DBA" w:rsidRPr="007D0473">
        <w:rPr>
          <w:rFonts w:ascii="Arial" w:hAnsi="Arial"/>
          <w:sz w:val="22"/>
          <w:szCs w:val="22"/>
        </w:rPr>
        <w:t xml:space="preserve">ed using </w:t>
      </w:r>
      <w:r w:rsidRPr="007D0473">
        <w:rPr>
          <w:rFonts w:ascii="Arial" w:hAnsi="Arial"/>
          <w:sz w:val="22"/>
          <w:szCs w:val="22"/>
        </w:rPr>
        <w:lastRenderedPageBreak/>
        <w:t xml:space="preserve">Wizard Genomic DNA Purification kit (Promega, USA). </w:t>
      </w:r>
      <w:proofErr w:type="spellStart"/>
      <w:r w:rsidRPr="007D0473">
        <w:rPr>
          <w:rFonts w:ascii="Arial" w:hAnsi="Arial"/>
          <w:sz w:val="22"/>
          <w:szCs w:val="22"/>
        </w:rPr>
        <w:t>Nextera</w:t>
      </w:r>
      <w:proofErr w:type="spellEnd"/>
      <w:r w:rsidRPr="007D0473">
        <w:rPr>
          <w:rFonts w:ascii="Arial" w:hAnsi="Arial"/>
          <w:sz w:val="22"/>
          <w:szCs w:val="22"/>
        </w:rPr>
        <w:t xml:space="preserve"> XT DNA Library Preparation kit (Illumina, USA) was used to prepare multiplexed DNA sequencing libraries. Whole genome sequencing was undertaken using Illumina </w:t>
      </w:r>
      <w:proofErr w:type="spellStart"/>
      <w:r w:rsidRPr="007D0473">
        <w:rPr>
          <w:rFonts w:ascii="Arial" w:hAnsi="Arial"/>
          <w:sz w:val="22"/>
          <w:szCs w:val="22"/>
        </w:rPr>
        <w:t>HiSeq</w:t>
      </w:r>
      <w:proofErr w:type="spellEnd"/>
      <w:r w:rsidRPr="007D0473">
        <w:rPr>
          <w:rFonts w:ascii="Arial" w:hAnsi="Arial"/>
          <w:sz w:val="22"/>
          <w:szCs w:val="22"/>
        </w:rPr>
        <w:t xml:space="preserve"> 2500 System (Illumina, US) and 2 x </w:t>
      </w:r>
      <w:r w:rsidRPr="007D0473">
        <w:rPr>
          <w:rFonts w:ascii="Arial" w:hAnsi="Arial"/>
          <w:color w:val="000000" w:themeColor="text1"/>
          <w:sz w:val="22"/>
          <w:szCs w:val="22"/>
        </w:rPr>
        <w:t>100bp</w:t>
      </w:r>
      <w:r w:rsidRPr="007D0473">
        <w:rPr>
          <w:rFonts w:ascii="Arial" w:hAnsi="Arial"/>
          <w:sz w:val="22"/>
          <w:szCs w:val="22"/>
        </w:rPr>
        <w:t xml:space="preserve"> paired-end mode. </w:t>
      </w:r>
    </w:p>
    <w:p w14:paraId="77A88E38" w14:textId="77777777" w:rsidR="001244E9" w:rsidRPr="007D0473" w:rsidRDefault="001244E9" w:rsidP="00DB7C46">
      <w:pPr>
        <w:spacing w:before="120" w:after="120" w:line="480" w:lineRule="auto"/>
        <w:rPr>
          <w:rFonts w:ascii="Arial" w:hAnsi="Arial"/>
          <w:sz w:val="22"/>
          <w:szCs w:val="22"/>
        </w:rPr>
      </w:pPr>
    </w:p>
    <w:p w14:paraId="1864F71B" w14:textId="77777777" w:rsidR="001244E9" w:rsidRPr="007D0473" w:rsidRDefault="001244E9" w:rsidP="00DB7C46">
      <w:pPr>
        <w:spacing w:before="120" w:after="120" w:line="480" w:lineRule="auto"/>
        <w:rPr>
          <w:rFonts w:ascii="Arial" w:hAnsi="Arial"/>
          <w:b/>
          <w:bCs/>
          <w:i/>
          <w:iCs/>
          <w:sz w:val="22"/>
          <w:szCs w:val="22"/>
        </w:rPr>
      </w:pPr>
      <w:r w:rsidRPr="007D0473">
        <w:rPr>
          <w:rFonts w:ascii="Arial" w:hAnsi="Arial"/>
          <w:b/>
          <w:bCs/>
          <w:i/>
          <w:iCs/>
          <w:sz w:val="22"/>
          <w:szCs w:val="22"/>
        </w:rPr>
        <w:t>Assembly and Annotation</w:t>
      </w:r>
    </w:p>
    <w:p w14:paraId="74687B7B" w14:textId="2837B36C" w:rsidR="001244E9" w:rsidRPr="007D0473" w:rsidRDefault="7B242BD5" w:rsidP="00DB7C46">
      <w:pPr>
        <w:spacing w:before="120" w:after="120" w:line="480" w:lineRule="auto"/>
        <w:rPr>
          <w:rFonts w:ascii="Arial" w:hAnsi="Arial"/>
          <w:sz w:val="22"/>
          <w:szCs w:val="22"/>
        </w:rPr>
      </w:pPr>
      <w:r w:rsidRPr="007D0473">
        <w:rPr>
          <w:rFonts w:ascii="Arial" w:hAnsi="Arial"/>
          <w:sz w:val="22"/>
          <w:szCs w:val="22"/>
        </w:rPr>
        <w:t xml:space="preserve">High-quality reads were </w:t>
      </w:r>
      <w:r w:rsidRPr="007D0473">
        <w:rPr>
          <w:rFonts w:ascii="Arial" w:hAnsi="Arial"/>
          <w:i/>
          <w:iCs/>
          <w:sz w:val="22"/>
          <w:szCs w:val="22"/>
        </w:rPr>
        <w:t>de novo</w:t>
      </w:r>
      <w:r w:rsidRPr="007D0473">
        <w:rPr>
          <w:rFonts w:ascii="Arial" w:hAnsi="Arial"/>
          <w:sz w:val="22"/>
          <w:szCs w:val="22"/>
        </w:rPr>
        <w:t xml:space="preserve"> assembled using Spades v3.9.0. </w:t>
      </w:r>
      <w:r w:rsidR="001244E9"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{"citationItems":[{"id":"ITEM-1","itemData":{"DOI":"10.1089/cmb.2012.0021","ISBN":"1066-5277","ISSN":"1066-5277","PMID":"22506599","abstract":"The lion's share of bacteria in various environments cannot be cloned in the laboratory and thus cannot be sequenced using existing technologies. A major goal of single-cell genomics is to complement gene-centric metagenomic data with whole-genome assemblies of uncultivated organisms. Assembly of single-cell data is challenging because of highly non-uniform read coverage as well as elevated levels of sequencing errors and chimeric reads. We describe SPAdes, a new assembler for both single-cell and standard (multicell) assembly, and demonstrate that it improves on the recently released E+V-SC assembler (specialized for single-cell data) and on popular assemblers Velvet and SoapDeNovo (for multicell data). SPAdes generates single-cell assemblies, providing information about genomes of uncultivatable bacteria that vastly exceeds what may be obtained via traditional metagenomics studies. SPAdes is available online ( http://bioinf.spbau.ru/spades ). It is distributed as open source software.","author":[{"dropping-particle":"","family":"Bankevich","given":"Anton","non-dropping-particle":"","parse-names":false,"suffix":""},{"dropping-particle":"","family":"Nurk","given":"Sergey","non-dropping-particle":"","parse-names":false,"suffix":""},{"dropping-particle":"","family":"Antipov","given":"Dmitry","non-dropping-particle":"","parse-names":false,"suffix":""},{"dropping-particle":"","family":"Gurevich","given":"Alexey A.","non-dropping-particle":"","parse-names":false,"suffix":""},{"dropping-particle":"","family":"Dvorkin","given":"Mikhail","non-dropping-particle":"","parse-names":false,"suffix":""},{"dropping-particle":"","family":"Kulikov","given":"Alexander S.","non-dropping-particle":"","parse-names":false,"suffix":""},{"dropping-particle":"","family":"Lesin","given":"Valery M.","non-dropping-particle":"","parse-names":false,"suffix":""},{"dropping-particle":"","family":"Nikolenko","given":"Sergey I.","non-dropping-particle":"","parse-names":false,"suffix":""},{"dropping-particle":"","family":"Pham","given":"Son","non-dropping-particle":"","parse-names":false,"suffix":""},{"dropping-particle":"","family":"Prjibelski","given":"Andrey D.","non-dropping-particle":"","parse-names":false,"suffix":""},{"dropping-particle":"V.","family":"Pyshkin","given":"Alexey","non-dropping-particle":"","parse-names":false,"suffix":""},{"dropping-particle":"V.","family":"Sirotkin","given":"Alexander","non-dropping-particle":"","parse-names":false,"suffix":""},{"dropping-particle":"","family":"Vyahhi","given":"Nikolay","non-dropping-particle":"","parse-names":false,"suffix":""},{"dropping-particle":"","family":"Tesler","given":"Glenn","non-dropping-particle":"","parse-names":false,"suffix":""},{"dropping-particle":"","family":"Alekseyev","given":"Max A.","non-dropping-particle":"","parse-names":false,"suffix":""},{"dropping-particle":"","family":"Pevzner","given":"Pavel A.","non-dropping-particle":"","parse-names":false,"suffix":""}],"container-title":"Journal of Computational Biology","id":"ITEM-1","issued":{"date-parts":[["2012"]]},"title":"SPAdes: A New Genome Assembly Algorithm and Its Applications to Single-Cell Sequencing","type":"article-journal"},"uris":["http://www.mendeley.com/documents/?uuid=0c0acaf2-87db-4660-94a0-0e4727144540"]}],"mendeley":{"formattedCitation":"[18]","plainTextFormattedCitation":"[18]","previouslyFormattedCitation":"[18]"},"properties":{"noteIndex":0},"schema":"https://github.com/citation-style-language/schema/raw/master/csl-citation.json"}</w:instrText>
      </w:r>
      <w:r w:rsidR="001244E9" w:rsidRPr="007D0473">
        <w:rPr>
          <w:rFonts w:ascii="Arial" w:hAnsi="Arial"/>
          <w:sz w:val="22"/>
          <w:szCs w:val="22"/>
        </w:rPr>
        <w:fldChar w:fldCharType="separate"/>
      </w:r>
      <w:r w:rsidR="00AD2744" w:rsidRPr="007D0473">
        <w:rPr>
          <w:rFonts w:ascii="Arial" w:hAnsi="Arial"/>
          <w:noProof/>
          <w:sz w:val="22"/>
          <w:szCs w:val="22"/>
        </w:rPr>
        <w:t>[18]</w:t>
      </w:r>
      <w:r w:rsidR="001244E9" w:rsidRPr="007D0473">
        <w:rPr>
          <w:rFonts w:ascii="Arial" w:hAnsi="Arial"/>
          <w:sz w:val="22"/>
          <w:szCs w:val="22"/>
        </w:rPr>
        <w:fldChar w:fldCharType="end"/>
      </w:r>
      <w:r w:rsidR="59DFF8FF" w:rsidRPr="007D0473">
        <w:rPr>
          <w:rFonts w:ascii="Arial" w:hAnsi="Arial"/>
          <w:sz w:val="22"/>
          <w:szCs w:val="22"/>
        </w:rPr>
        <w:t xml:space="preserve">. </w:t>
      </w:r>
      <w:r w:rsidRPr="007D0473">
        <w:rPr>
          <w:rFonts w:ascii="Arial" w:hAnsi="Arial"/>
          <w:sz w:val="22"/>
          <w:szCs w:val="22"/>
        </w:rPr>
        <w:t xml:space="preserve">Pilon v1.22 </w:t>
      </w:r>
      <w:r w:rsidR="001244E9"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{"citationItems":[{"id":"ITEM-1","itemData":{"DOI":"10.1371/journal.pone.0112963","ISSN":"19326203","abstract":"Advances in modern sequencing technologies allow us to generate sufficient data to analyze hundreds of bacterial genomes from a single machine in a single day. This potential for sequencing massive numbers of genomes calls for fully automated methods to produce high-quality assemblies and variant calls. We introduce Pilon, a fully automated, all-in-one tool for correcting draft assemblies and calling sequence variants of multiple sizes, including very large insertions and deletions. Pilon works with many types of sequence data, but is particularly strong when supplied with paired end data from two Illumina libraries with small e.g., 180 bp and large e.g., 3-5 Kb inserts. Pilon significantly improves draft genome assemblies by correcting bases, fixing mis-assemblies and filling gaps. For both haploid and diploid genomes, Pilon produces more contiguous genomes with fewer errors, enabling identification of more biologically relevant genes. Furthermore, Pilon identifies small variants with high accuracy as compared to state-of-the-art tools and is unique in its ability to accurately identify large sequence variants including duplications and resolve large insertions. Pilon is being used to improve the assemblies of thousands of new genomes and to identify variants from thousands of clinically relevant bacterial strains. Pilon is freely available as open source software.","author":[{"dropping-particle":"","family":"Walker","given":"Bruce J.","non-dropping-particle":"","parse-names":false,"suffix":""},{"dropping-particle":"","family":"Abeel","given":"Thomas","non-dropping-particle":"","parse-names":false,"suffix":""},{"dropping-particle":"","family":"Shea","given":"Terrance","non-dropping-particle":"","parse-names":false,"suffix":""},{"dropping-particle":"","family":"Priest","given":"Margaret","non-dropping-particle":"","parse-names":false,"suffix":""},{"dropping-particle":"","family":"Abouelliel","given":"Amr","non-dropping-particle":"","parse-names":false,"suffix":""},{"dropping-particle":"","family":"Sakthikumar","given":"Sharadha","non-dropping-particle":"","parse-names":false,"suffix":""},{"dropping-particle":"","family":"Cuomo","given":"Christina A.","non-dropping-particle":"","parse-names":false,"suffix":""},{"dropping-particle":"","family":"Zeng","given":"Qiandong","non-dropping-particle":"","parse-names":false,"suffix":""},{"dropping-particle":"","family":"Wortman","given":"Jennifer","non-dropping-particle":"","parse-names":false,"suffix":""},{"dropping-particle":"","family":"Young","given":"Sarah K.","non-dropping-particle":"","parse-names":false,"suffix":""},{"dropping-particle":"","family":"Earl","given":"Ashlee M.","non-dropping-particle":"","parse-names":false,"suffix":""}],"container-title":"PLoS ONE","id":"ITEM-1","issue":"11","issued":{"date-parts":[["2014"]]},"title":"Pilon: An integrated tool for comprehensive microbial variant detection and genome assembly improvement","type":"article-journal","volume":"9"},"uris":["http://www.mendeley.com/documents/?uuid=c356649a-7d90-313b-aae0-95450e375773"]}],"mendeley":{"formattedCitation":"[19]","plainTextFormattedCitation":"[19]","previouslyFormattedCitation":"[19]"},"properties":{"noteIndex":0},"schema":"https://github.com/citation-style-language/schema/raw/master/csl-citation.json"}</w:instrText>
      </w:r>
      <w:r w:rsidR="001244E9" w:rsidRPr="007D0473">
        <w:rPr>
          <w:rFonts w:ascii="Arial" w:hAnsi="Arial"/>
          <w:sz w:val="22"/>
          <w:szCs w:val="22"/>
        </w:rPr>
        <w:fldChar w:fldCharType="separate"/>
      </w:r>
      <w:r w:rsidR="00AD2744" w:rsidRPr="007D0473">
        <w:rPr>
          <w:rFonts w:ascii="Arial" w:hAnsi="Arial"/>
          <w:noProof/>
          <w:sz w:val="22"/>
          <w:szCs w:val="22"/>
        </w:rPr>
        <w:t>[19]</w:t>
      </w:r>
      <w:r w:rsidR="001244E9" w:rsidRPr="007D0473">
        <w:rPr>
          <w:rFonts w:ascii="Arial" w:hAnsi="Arial"/>
          <w:sz w:val="22"/>
          <w:szCs w:val="22"/>
        </w:rPr>
        <w:fldChar w:fldCharType="end"/>
      </w:r>
      <w:r w:rsidR="30721CA6" w:rsidRPr="007D0473">
        <w:rPr>
          <w:rFonts w:ascii="Arial" w:hAnsi="Arial"/>
          <w:sz w:val="22"/>
          <w:szCs w:val="22"/>
        </w:rPr>
        <w:t xml:space="preserve"> </w:t>
      </w:r>
      <w:r w:rsidRPr="007D0473">
        <w:rPr>
          <w:rFonts w:ascii="Arial" w:hAnsi="Arial"/>
          <w:sz w:val="22"/>
          <w:szCs w:val="22"/>
        </w:rPr>
        <w:t xml:space="preserve">and flash v1.2.11 </w:t>
      </w:r>
      <w:r w:rsidR="001244E9"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{"citationItems":[{"id":"ITEM-1","itemData":{"DOI":"10.1093/bioinformatics/btr507","ISSN":"13674803","abstract":"Motivation: Next-generation sequencing technologies generate very large numbers of short reads. Even with very deep genome coverage, short read lengths cause problems in de novo assemblies. The use of paired-end libraries with a fragment size shorter than twice the read length provides an opportunity to generate much longer reads by overlapping and merging read pairs before assembling a genome. Results: We present FLASH, a fast computational tool to extend the length of short reads by overlapping paired-end reads from fragment libraries that are sufficiently short. We tested the correctness of the tool on one million simulated read pairs, and we then applied it as a pre-processor for genome assemblies of Illumina reads from the bacterium Staphylococcus aureus and human chromosome 14. FLASH correctly extended and merged reads &gt;99% of the time on simulated reads with an error rate of &lt;1%. With adequately set parameters, FLASH correctly merged reads over 90% of the time even when the reads contained up to 5% errors. When FLASH was used to extend reads prior to assembly, the resulting assemblies had substantially greater N50 lengths for both contigs and scaffolds. © The Author 2011. Published by Oxford University Press. All rights reserved.","author":[{"dropping-particle":"","family":"Magoč","given":"Tanja","non-dropping-particle":"","parse-names":false,"suffix":""},{"dropping-particle":"","family":"Salzberg","given":"Steven L.","non-dropping-particle":"","parse-names":false,"suffix":""}],"container-title":"Bioinformatics","id":"ITEM-1","issue":"21","issued":{"date-parts":[["2011"]]},"title":"FLASH: Fast length adjustment of short reads to improve genome assemblies","type":"article-journal","volume":"27"},"uris":["http://www.mendeley.com/documents/?uuid=6d394951-d566-3dae-8a39-94c474ec1ca3"]}],"mendeley":{"formattedCitation":"[20]","plainTextFormattedCitation":"[20]","previouslyFormattedCitation":"[20]"},"properties":{"noteIndex":0},"schema":"https://github.com/citation-style-language/schema/raw/master/csl-citation.json"}</w:instrText>
      </w:r>
      <w:r w:rsidR="001244E9" w:rsidRPr="007D0473">
        <w:rPr>
          <w:rFonts w:ascii="Arial" w:hAnsi="Arial"/>
          <w:sz w:val="22"/>
          <w:szCs w:val="22"/>
        </w:rPr>
        <w:fldChar w:fldCharType="separate"/>
      </w:r>
      <w:r w:rsidR="00AD2744" w:rsidRPr="007D0473">
        <w:rPr>
          <w:rFonts w:ascii="Arial" w:hAnsi="Arial"/>
          <w:noProof/>
          <w:sz w:val="22"/>
          <w:szCs w:val="22"/>
        </w:rPr>
        <w:t>[20]</w:t>
      </w:r>
      <w:r w:rsidR="001244E9" w:rsidRPr="007D0473">
        <w:rPr>
          <w:rFonts w:ascii="Arial" w:hAnsi="Arial"/>
          <w:sz w:val="22"/>
          <w:szCs w:val="22"/>
        </w:rPr>
        <w:fldChar w:fldCharType="end"/>
      </w:r>
      <w:r w:rsidRPr="007D0473">
        <w:rPr>
          <w:rFonts w:ascii="Arial" w:hAnsi="Arial"/>
          <w:sz w:val="22"/>
          <w:szCs w:val="22"/>
        </w:rPr>
        <w:t xml:space="preserve"> were used to improve draft genome assemblies by correcting bases, fixing mis</w:t>
      </w:r>
      <w:r w:rsidR="6BE66BE6" w:rsidRPr="007D0473">
        <w:rPr>
          <w:rFonts w:ascii="Arial" w:hAnsi="Arial"/>
          <w:sz w:val="22"/>
          <w:szCs w:val="22"/>
        </w:rPr>
        <w:t>-</w:t>
      </w:r>
      <w:r w:rsidRPr="007D0473">
        <w:rPr>
          <w:rFonts w:ascii="Arial" w:hAnsi="Arial"/>
          <w:sz w:val="22"/>
          <w:szCs w:val="22"/>
        </w:rPr>
        <w:t xml:space="preserve">assemblies and </w:t>
      </w:r>
      <w:r w:rsidR="6A67BDC6" w:rsidRPr="007D0473">
        <w:rPr>
          <w:rFonts w:ascii="Arial" w:hAnsi="Arial"/>
          <w:sz w:val="22"/>
          <w:szCs w:val="22"/>
        </w:rPr>
        <w:t xml:space="preserve">gap </w:t>
      </w:r>
      <w:r w:rsidRPr="007D0473">
        <w:rPr>
          <w:rFonts w:ascii="Arial" w:hAnsi="Arial"/>
          <w:sz w:val="22"/>
          <w:szCs w:val="22"/>
        </w:rPr>
        <w:t xml:space="preserve">filling. Quast v2.1 </w:t>
      </w:r>
      <w:r w:rsidR="001244E9"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{"citationItems":[{"id":"ITEM-1","itemData":{"DOI":"10.1093/bioinformatics/btt086","ISSN":"13674803","abstract":"Limitations of genome sequencing techniques have led to dozens of assembly algorithms, none of which is perfect. A number of methods for comparing assemblers have been developed, but none is yet a recognized benchmark. Further, most existing methods for comparing assemblies are only applicable to new assemblies of finished genomes; the problem of evaluating assemblies of previously unsequenced species has not been adequately considered. Here, we present QUAST - a quality assessment tool for evaluating and comparing genome assemblies. This tool improves on leading assembly comparison software with new ideas and quality metrics. QUAST can evaluate assemblies both with a reference genome, as well as without a reference. QUAST produces many reports, summary tables and plots to help scientists in their research and in their publications. In this study, we used QUAST to compare several genome assemblers on three datasets. QUAST tables and plots for all of them are available in the Supplementary Material, and interactive versions of these reports are on the QUAST website. © 2013 The Author.","author":[{"dropping-particle":"","family":"Gurevich","given":"Alexey","non-dropping-particle":"","parse-names":false,"suffix":""},{"dropping-particle":"","family":"Saveliev","given":"Vladislav","non-dropping-particle":"","parse-names":false,"suffix":""},{"dropping-particle":"","family":"Vyahhi","given":"Nikolay","non-dropping-particle":"","parse-names":false,"suffix":""},{"dropping-particle":"","family":"Tesler","given":"Glenn","non-dropping-particle":"","parse-names":false,"suffix":""}],"container-title":"Bioinformatics","id":"ITEM-1","issue":"8","issued":{"date-parts":[["2013"]]},"title":"QUAST: Quality assessment tool for genome assemblies","type":"article-journal","volume":"29"},"uris":["http://www.mendeley.com/documents/?uuid=05c0bf44-c7c7-3c3f-b01c-659e731bfa94"]}],"mendeley":{"formattedCitation":"[21]","plainTextFormattedCitation":"[21]","previouslyFormattedCitation":"[21]"},"properties":{"noteIndex":0},"schema":"https://github.com/citation-style-language/schema/raw/master/csl-citation.json"}</w:instrText>
      </w:r>
      <w:r w:rsidR="001244E9" w:rsidRPr="007D0473">
        <w:rPr>
          <w:rFonts w:ascii="Arial" w:hAnsi="Arial"/>
          <w:sz w:val="22"/>
          <w:szCs w:val="22"/>
        </w:rPr>
        <w:fldChar w:fldCharType="separate"/>
      </w:r>
      <w:r w:rsidR="00AD2744" w:rsidRPr="007D0473">
        <w:rPr>
          <w:rFonts w:ascii="Arial" w:hAnsi="Arial"/>
          <w:noProof/>
          <w:sz w:val="22"/>
          <w:szCs w:val="22"/>
        </w:rPr>
        <w:t>[21]</w:t>
      </w:r>
      <w:r w:rsidR="001244E9" w:rsidRPr="007D0473">
        <w:rPr>
          <w:rFonts w:ascii="Arial" w:hAnsi="Arial"/>
          <w:sz w:val="22"/>
          <w:szCs w:val="22"/>
        </w:rPr>
        <w:fldChar w:fldCharType="end"/>
      </w:r>
      <w:r w:rsidRPr="007D0473">
        <w:rPr>
          <w:rFonts w:ascii="Arial" w:hAnsi="Arial"/>
          <w:sz w:val="22"/>
          <w:szCs w:val="22"/>
        </w:rPr>
        <w:t xml:space="preserve"> was used to summarize statistics for genome assemblies</w:t>
      </w:r>
      <w:r w:rsidR="074D65C1" w:rsidRPr="007D0473">
        <w:rPr>
          <w:rFonts w:ascii="Arial" w:hAnsi="Arial"/>
          <w:sz w:val="22"/>
          <w:szCs w:val="22"/>
        </w:rPr>
        <w:t xml:space="preserve"> (</w:t>
      </w:r>
      <w:r w:rsidR="074D65C1" w:rsidRPr="007D0473">
        <w:rPr>
          <w:rFonts w:ascii="Arial" w:hAnsi="Arial"/>
          <w:b/>
          <w:bCs/>
          <w:sz w:val="22"/>
          <w:szCs w:val="22"/>
        </w:rPr>
        <w:t>Table S</w:t>
      </w:r>
      <w:r w:rsidR="485528D4" w:rsidRPr="007D0473">
        <w:rPr>
          <w:rFonts w:ascii="Arial" w:hAnsi="Arial"/>
          <w:b/>
          <w:bCs/>
          <w:sz w:val="22"/>
          <w:szCs w:val="22"/>
        </w:rPr>
        <w:t>1</w:t>
      </w:r>
      <w:r w:rsidR="074D65C1" w:rsidRPr="007D0473">
        <w:rPr>
          <w:rFonts w:ascii="Arial" w:hAnsi="Arial"/>
          <w:sz w:val="22"/>
          <w:szCs w:val="22"/>
        </w:rPr>
        <w:t>)</w:t>
      </w:r>
      <w:r w:rsidRPr="007D0473">
        <w:rPr>
          <w:rFonts w:ascii="Arial" w:hAnsi="Arial"/>
          <w:sz w:val="22"/>
          <w:szCs w:val="22"/>
        </w:rPr>
        <w:t xml:space="preserve">. Genome annotation was performed using </w:t>
      </w:r>
      <w:proofErr w:type="spellStart"/>
      <w:r w:rsidRPr="007D0473">
        <w:rPr>
          <w:rFonts w:ascii="Arial" w:hAnsi="Arial"/>
          <w:sz w:val="22"/>
          <w:szCs w:val="22"/>
        </w:rPr>
        <w:t>Prokka</w:t>
      </w:r>
      <w:proofErr w:type="spellEnd"/>
      <w:r w:rsidRPr="007D0473">
        <w:rPr>
          <w:rFonts w:ascii="Arial" w:hAnsi="Arial"/>
          <w:sz w:val="22"/>
          <w:szCs w:val="22"/>
        </w:rPr>
        <w:t xml:space="preserve"> v1.12 </w:t>
      </w:r>
      <w:r w:rsidR="001244E9"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{"citationItems":[{"id":"ITEM-1","itemData":{"DOI":"10.1093/bioinformatics/btu153","ISSN":"14602059","PMID":"24642063","abstract":"The multiplex capability and high yield of current day DNA-sequencing instruments has made bacterial whole genome sequencing a routine affair. The subsequent de novo assembly of reads into contigs has been well addressed. The final step of annotating all relevant genomic features on those contigs can be achieved slowly using existing web- and email-based systems, but these are not applicable for sensitive data or integrating into computational pipelines. Here we introduce Prokka, a command line software tool to fully annotate a draft bacterial genome in about 10 min on a typical desktop computer. It produces standards-compliant output files for further analysis or viewing in genome browsers. © 2014 The Author 2014.","author":[{"dropping-particle":"","family":"Seemann","given":"Torsten","non-dropping-particle":"","parse-names":false,"suffix":""}],"container-title":"Bioinformatics","id":"ITEM-1","issued":{"date-parts":[["2014"]]},"title":"Prokka: Rapid prokaryotic genome annotation","type":"article-journal"},"uris":["http://www.mendeley.com/documents/?uuid=437d2f76-42e8-443b-b0c3-1c77d0773385"]}],"mendeley":{"formattedCitation":"[22]","plainTextFormattedCitation":"[22]","previouslyFormattedCitation":"[22]"},"properties":{"noteIndex":0},"schema":"https://github.com/citation-style-language/schema/raw/master/csl-citation.json"}</w:instrText>
      </w:r>
      <w:r w:rsidR="001244E9" w:rsidRPr="007D0473">
        <w:rPr>
          <w:rFonts w:ascii="Arial" w:hAnsi="Arial"/>
          <w:sz w:val="22"/>
          <w:szCs w:val="22"/>
        </w:rPr>
        <w:fldChar w:fldCharType="separate"/>
      </w:r>
      <w:r w:rsidR="00AD2744" w:rsidRPr="007D0473">
        <w:rPr>
          <w:rFonts w:ascii="Arial" w:hAnsi="Arial"/>
          <w:noProof/>
          <w:sz w:val="22"/>
          <w:szCs w:val="22"/>
        </w:rPr>
        <w:t>[22]</w:t>
      </w:r>
      <w:r w:rsidR="001244E9" w:rsidRPr="007D0473">
        <w:rPr>
          <w:rFonts w:ascii="Arial" w:hAnsi="Arial"/>
          <w:sz w:val="22"/>
          <w:szCs w:val="22"/>
        </w:rPr>
        <w:fldChar w:fldCharType="end"/>
      </w:r>
      <w:r w:rsidR="12DE9E26" w:rsidRPr="007D0473">
        <w:rPr>
          <w:rFonts w:ascii="Arial" w:hAnsi="Arial"/>
          <w:sz w:val="22"/>
          <w:szCs w:val="22"/>
        </w:rPr>
        <w:t xml:space="preserve"> a</w:t>
      </w:r>
      <w:r w:rsidRPr="007D0473">
        <w:rPr>
          <w:rFonts w:ascii="Arial" w:hAnsi="Arial"/>
          <w:sz w:val="22"/>
          <w:szCs w:val="22"/>
        </w:rPr>
        <w:t xml:space="preserve">nd </w:t>
      </w:r>
      <w:proofErr w:type="spellStart"/>
      <w:r w:rsidRPr="007D0473">
        <w:rPr>
          <w:rFonts w:ascii="Arial" w:hAnsi="Arial"/>
          <w:sz w:val="22"/>
          <w:szCs w:val="22"/>
        </w:rPr>
        <w:t>Geneious</w:t>
      </w:r>
      <w:proofErr w:type="spellEnd"/>
      <w:r w:rsidRPr="007D0473">
        <w:rPr>
          <w:rFonts w:ascii="Arial" w:hAnsi="Arial"/>
          <w:sz w:val="22"/>
          <w:szCs w:val="22"/>
        </w:rPr>
        <w:t xml:space="preserve"> </w:t>
      </w:r>
      <w:r w:rsidR="3813B402" w:rsidRPr="007D0473">
        <w:rPr>
          <w:rFonts w:ascii="Arial" w:hAnsi="Arial"/>
          <w:sz w:val="22"/>
          <w:szCs w:val="22"/>
        </w:rPr>
        <w:t>v</w:t>
      </w:r>
      <w:r w:rsidRPr="007D0473">
        <w:rPr>
          <w:rFonts w:ascii="Arial" w:hAnsi="Arial"/>
          <w:sz w:val="22"/>
          <w:szCs w:val="22"/>
        </w:rPr>
        <w:t>11</w:t>
      </w:r>
      <w:r w:rsidR="3813B402" w:rsidRPr="007D0473">
        <w:rPr>
          <w:rFonts w:ascii="Arial" w:hAnsi="Arial"/>
          <w:sz w:val="22"/>
          <w:szCs w:val="22"/>
        </w:rPr>
        <w:t>.0.5</w:t>
      </w:r>
      <w:r w:rsidRPr="007D0473">
        <w:rPr>
          <w:rFonts w:ascii="Arial" w:hAnsi="Arial"/>
          <w:sz w:val="22"/>
          <w:szCs w:val="22"/>
        </w:rPr>
        <w:t xml:space="preserve"> (Biomatters ltd. New Zealand</w:t>
      </w:r>
      <w:r w:rsidR="2F5E34EA" w:rsidRPr="007D0473">
        <w:rPr>
          <w:rFonts w:ascii="Arial" w:hAnsi="Arial"/>
          <w:sz w:val="22"/>
          <w:szCs w:val="22"/>
        </w:rPr>
        <w:t xml:space="preserve">) </w:t>
      </w:r>
      <w:r w:rsidR="001244E9"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{"citationItems":[{"id":"ITEM-1","itemData":{"DOI":"10.3732/apps.1400062","ISSN":"2168-0450","abstract":"• Premise of the study: As systematists grapple with how to best harness the power of next-generation sequencing (NGS), a deluge of review papers, methods, and analytical tools make choosing the right method diffi cult. Oreocarya (Boraginaceae), a genus of 63 species, is a good example of a group lacking both species-level resolution and genomic resources. The use of Geneious removes bioinformatic barriers and makes NGS genome skimming accessible to even the least tech-savvy systematists. • Methods: A combination of de novo and reference-guided assemblies was used to process 100-bp single-end Illumina HiSeq 2000 reads. A subset of 25 taxa was used to test the suitability of genome skimming for future systematic studies in recalcitrant lineages like Oreocarya . • Results: The nuclear ribosomal cistron, the plastome, and 12 mitochondrial genes were recovered from all 25 taxa. All data processing and phylogenomic analyses were performed in Geneious. We report possible future multiplexing levels and pub- lished low-copy nuclear genes represented within de novo contigs. • Discussion: Genome skimming represents a much-improved primary data collection over PCR +Sanger sequencing when chlo- roplast DNA (cpDNA), nuclear ribosomal DNA (nrDNA), and mitochondrial DNA (mtDNA) are the target sequences. This study details methods that plant systematists can employ to study their own taxa of interest.","author":[{"dropping-particle":"","family":"Ripma","given":"Lee A.","non-dropping-particle":"","parse-names":false,"suffix":""},{"dropping-particle":"","family":"Simpson","given":"Michael G.","non-dropping-particle":"","parse-names":false,"suffix":""},{"dropping-particle":"","family":"Hasenstab-Lehman","given":"Kristen","non-dropping-particle":"","parse-names":false,"suffix":""}],"container-title":"Applications in Plant Sciences","id":"ITEM-1","issue":"12","issued":{"date-parts":[["2014"]]},"title":" Geneious! Simplified Genome Skimming Methods for Phylogenetic Systematic Studies: A Case Study in Oreocarya (Boraginaceae) ","type":"article-journal","volume":"2"},"uris":["http://www.mendeley.com/documents/?uuid=767afb36-f77f-3a90-b521-a6c0df3768ef"]}],"mendeley":{"formattedCitation":"[23]","plainTextFormattedCitation":"[23]","previouslyFormattedCitation":"[23]"},"properties":{"noteIndex":0},"schema":"https://github.com/citation-style-language/schema/raw/master/csl-citation.json"}</w:instrText>
      </w:r>
      <w:r w:rsidR="001244E9" w:rsidRPr="007D0473">
        <w:rPr>
          <w:rFonts w:ascii="Arial" w:hAnsi="Arial"/>
          <w:sz w:val="22"/>
          <w:szCs w:val="22"/>
        </w:rPr>
        <w:fldChar w:fldCharType="separate"/>
      </w:r>
      <w:r w:rsidR="00AD2744" w:rsidRPr="007D0473">
        <w:rPr>
          <w:rFonts w:ascii="Arial" w:hAnsi="Arial"/>
          <w:noProof/>
          <w:sz w:val="22"/>
          <w:szCs w:val="22"/>
        </w:rPr>
        <w:t>[23]</w:t>
      </w:r>
      <w:r w:rsidR="001244E9" w:rsidRPr="007D0473">
        <w:rPr>
          <w:rFonts w:ascii="Arial" w:hAnsi="Arial"/>
          <w:sz w:val="22"/>
          <w:szCs w:val="22"/>
        </w:rPr>
        <w:fldChar w:fldCharType="end"/>
      </w:r>
      <w:r w:rsidRPr="007D0473">
        <w:rPr>
          <w:rFonts w:ascii="Arial" w:hAnsi="Arial"/>
          <w:sz w:val="22"/>
          <w:szCs w:val="22"/>
        </w:rPr>
        <w:t>.</w:t>
      </w:r>
    </w:p>
    <w:p w14:paraId="6756121F" w14:textId="77777777" w:rsidR="001244E9" w:rsidRPr="007D0473" w:rsidRDefault="001244E9" w:rsidP="00DB7C46">
      <w:pPr>
        <w:spacing w:before="120" w:after="120" w:line="480" w:lineRule="auto"/>
        <w:rPr>
          <w:rFonts w:ascii="Arial" w:hAnsi="Arial"/>
          <w:sz w:val="22"/>
          <w:szCs w:val="22"/>
        </w:rPr>
      </w:pPr>
    </w:p>
    <w:p w14:paraId="6C021397" w14:textId="77777777" w:rsidR="001244E9" w:rsidRPr="007D0473" w:rsidRDefault="001244E9" w:rsidP="00DB7C46">
      <w:pPr>
        <w:spacing w:before="120" w:after="120" w:line="480" w:lineRule="auto"/>
        <w:rPr>
          <w:rFonts w:ascii="Arial" w:hAnsi="Arial"/>
          <w:b/>
          <w:bCs/>
          <w:i/>
          <w:iCs/>
          <w:sz w:val="22"/>
          <w:szCs w:val="22"/>
        </w:rPr>
      </w:pPr>
      <w:r w:rsidRPr="007D0473">
        <w:rPr>
          <w:rFonts w:ascii="Arial" w:hAnsi="Arial"/>
          <w:b/>
          <w:bCs/>
          <w:i/>
          <w:iCs/>
          <w:sz w:val="22"/>
          <w:szCs w:val="22"/>
        </w:rPr>
        <w:t>Capsular serotyping and Multi-locus Sequence Typing</w:t>
      </w:r>
      <w:r w:rsidR="00A95DA4" w:rsidRPr="007D0473">
        <w:rPr>
          <w:rFonts w:ascii="Arial" w:hAnsi="Arial"/>
          <w:b/>
          <w:bCs/>
          <w:i/>
          <w:iCs/>
          <w:sz w:val="22"/>
          <w:szCs w:val="22"/>
        </w:rPr>
        <w:t xml:space="preserve"> (MLST)</w:t>
      </w:r>
    </w:p>
    <w:p w14:paraId="26B66A03" w14:textId="1C251E51" w:rsidR="006F26B1" w:rsidRPr="007D0473" w:rsidRDefault="7CC5ACE2" w:rsidP="00DB7C46">
      <w:pPr>
        <w:spacing w:before="120" w:after="120" w:line="480" w:lineRule="auto"/>
        <w:rPr>
          <w:rFonts w:ascii="Arial" w:hAnsi="Arial"/>
          <w:b/>
          <w:bCs/>
          <w:sz w:val="22"/>
          <w:szCs w:val="22"/>
        </w:rPr>
      </w:pPr>
      <w:r w:rsidRPr="007D0473">
        <w:rPr>
          <w:rFonts w:ascii="Arial" w:hAnsi="Arial"/>
          <w:sz w:val="22"/>
          <w:szCs w:val="22"/>
        </w:rPr>
        <w:t xml:space="preserve">GBS </w:t>
      </w:r>
      <w:r w:rsidR="00563767" w:rsidRPr="007D0473">
        <w:rPr>
          <w:rFonts w:ascii="Arial" w:hAnsi="Arial"/>
          <w:sz w:val="22"/>
          <w:szCs w:val="22"/>
        </w:rPr>
        <w:t>c</w:t>
      </w:r>
      <w:r w:rsidR="7B242BD5" w:rsidRPr="007D0473">
        <w:rPr>
          <w:rFonts w:ascii="Arial" w:hAnsi="Arial"/>
          <w:sz w:val="22"/>
          <w:szCs w:val="22"/>
        </w:rPr>
        <w:t xml:space="preserve">apsular serotype was assigned </w:t>
      </w:r>
      <w:r w:rsidR="7B242BD5" w:rsidRPr="007D0473">
        <w:rPr>
          <w:rFonts w:ascii="Arial" w:hAnsi="Arial"/>
          <w:i/>
          <w:iCs/>
          <w:sz w:val="22"/>
          <w:szCs w:val="22"/>
        </w:rPr>
        <w:t>in silico</w:t>
      </w:r>
      <w:r w:rsidR="7B242BD5" w:rsidRPr="007D0473">
        <w:rPr>
          <w:rFonts w:ascii="Arial" w:hAnsi="Arial"/>
          <w:sz w:val="22"/>
          <w:szCs w:val="22"/>
        </w:rPr>
        <w:t xml:space="preserve"> </w:t>
      </w:r>
      <w:r w:rsidR="699D872E" w:rsidRPr="007D0473">
        <w:rPr>
          <w:rFonts w:ascii="Arial" w:hAnsi="Arial"/>
          <w:sz w:val="22"/>
          <w:szCs w:val="22"/>
        </w:rPr>
        <w:t>as</w:t>
      </w:r>
      <w:r w:rsidR="36819D34" w:rsidRPr="007D0473">
        <w:rPr>
          <w:rFonts w:ascii="Arial" w:hAnsi="Arial"/>
          <w:sz w:val="22"/>
          <w:szCs w:val="22"/>
        </w:rPr>
        <w:t xml:space="preserve"> </w:t>
      </w:r>
      <w:r w:rsidR="00563767" w:rsidRPr="007D0473">
        <w:rPr>
          <w:rFonts w:ascii="Arial" w:hAnsi="Arial"/>
          <w:sz w:val="22"/>
          <w:szCs w:val="22"/>
        </w:rPr>
        <w:t>described</w:t>
      </w:r>
      <w:r w:rsidR="7B242BD5" w:rsidRPr="007D0473">
        <w:rPr>
          <w:rFonts w:ascii="Arial" w:hAnsi="Arial"/>
          <w:sz w:val="22"/>
          <w:szCs w:val="22"/>
        </w:rPr>
        <w:t xml:space="preserve"> previously</w:t>
      </w:r>
      <w:r w:rsidR="00FC373A" w:rsidRPr="007D0473">
        <w:rPr>
          <w:rFonts w:ascii="Arial" w:hAnsi="Arial"/>
          <w:sz w:val="22"/>
          <w:szCs w:val="22"/>
        </w:rPr>
        <w:t xml:space="preserve"> </w:t>
      </w:r>
      <w:r w:rsidR="00FC373A"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{"citationItems":[{"id":"ITEM-1","itemData":{"DOI":"10.1186/s12864-017-3820-5","ISSN":"1471-2164","PMID":"28571573","abstract":"Background: Group B streptococcus (GBS) capsular polysaccharide is one of the major virulence factors underlying invasive GBS disease and a component of forthcoming vaccines. Serotype classification of GBS is based on the capsule polysaccharide of which ten variants are known to exist (Ia, Ib, II-IX). Current methods for GBS serotype assignment rely on latex agglutination or PCR while more recently a whole genome sequencing method was reported. In this study, three distinct algorithms for serotype assignment from genomic data were assessed using a panel of 790 clinical isolates. Methods: The first approach utilised the entire capsular locus coupled with a mapping methodology. The second approach continues from the first and utilised a SNP-based methodology across the conserved cpsD-G region to differentiate serotypes Ia-VII and IX. Finally the third approach used the variable cpsG -K region coupled with a mapping methodology. All three approaches were assessed for typeability (percentage of isolates assigned a serotype) and concordance to the latex agglutination methodology. Results: Following comparisons, the third approach using the variable cpsG-K region demonstrated the best performance with 99.9% typeability and 86.7% concordance. Overall, of the 105 discordant isolates, 71 were resolved following retesting of latex agglutination and whole genome sequencing, 20 failed to assign a serotype using latex agglutination and only 14 were found to be truly discordant on re-testing. Comparison of this final approach with the previously described assembly-based approach returned identical results. Conclusions: These results demonstrated that molecular capsular typing using whole genome sequencing and a mapping-based approach is a viable alternative to the traditional, latex agglutination-based serotyping method and can be implemented in a public health microbiology setting.","author":[{"dropping-particle":"","family":"Kapatai","given":"Georgia","non-dropping-particle":"","parse-names":false,"suffix":""},{"dropping-particle":"","family":"Patel","given":"Darshana","non-dropping-particle":"","parse-names":false,"suffix":""},{"dropping-particle":"","family":"Efstratiou","given":"Androulla","non-dropping-particle":"","parse-names":false,"suffix":""},{"dropping-particle":"","family":"Chalker","given":"Victoria J.","non-dropping-particle":"","parse-names":false,"suffix":""}],"container-title":"BMC Genomics","id":"ITEM-1","issue":"1","issued":{"date-parts":[["2017","12","1"]]},"page":"429","title":"Comparison of molecular serotyping approaches of Streptococcus agalactiae from genomic sequences","type":"article-journal","volume":"18"},"uris":["http://www.mendeley.com/documents/?uuid=2ee2f97e-d4db-338d-bfb1-49d909f6f27b"]}],"mendeley":{"formattedCitation":"[24]","plainTextFormattedCitation":"[24]","previouslyFormattedCitation":"[24]"},"properties":{"noteIndex":0},"schema":"https://github.com/citation-style-language/schema/raw/master/csl-citation.json"}</w:instrText>
      </w:r>
      <w:r w:rsidR="00FC373A" w:rsidRPr="007D0473">
        <w:rPr>
          <w:rFonts w:ascii="Arial" w:hAnsi="Arial"/>
          <w:sz w:val="22"/>
          <w:szCs w:val="22"/>
        </w:rPr>
        <w:fldChar w:fldCharType="separate"/>
      </w:r>
      <w:r w:rsidR="00FC373A" w:rsidRPr="007D0473">
        <w:rPr>
          <w:rFonts w:ascii="Arial" w:hAnsi="Arial"/>
          <w:noProof/>
          <w:sz w:val="22"/>
          <w:szCs w:val="22"/>
        </w:rPr>
        <w:t>[24]</w:t>
      </w:r>
      <w:r w:rsidR="00FC373A" w:rsidRPr="007D0473">
        <w:rPr>
          <w:rFonts w:ascii="Arial" w:hAnsi="Arial"/>
          <w:sz w:val="22"/>
          <w:szCs w:val="22"/>
        </w:rPr>
        <w:fldChar w:fldCharType="end"/>
      </w:r>
      <w:r w:rsidR="7B242BD5" w:rsidRPr="007D0473">
        <w:rPr>
          <w:rFonts w:ascii="Arial" w:hAnsi="Arial"/>
          <w:sz w:val="22"/>
          <w:szCs w:val="22"/>
        </w:rPr>
        <w:t xml:space="preserve">. Further validation of </w:t>
      </w:r>
      <w:r w:rsidR="39940C98" w:rsidRPr="007D0473">
        <w:rPr>
          <w:rFonts w:ascii="Arial" w:hAnsi="Arial"/>
          <w:sz w:val="22"/>
          <w:szCs w:val="22"/>
        </w:rPr>
        <w:t xml:space="preserve">capsular </w:t>
      </w:r>
      <w:r w:rsidR="7B242BD5" w:rsidRPr="007D0473">
        <w:rPr>
          <w:rFonts w:ascii="Arial" w:hAnsi="Arial"/>
          <w:sz w:val="22"/>
          <w:szCs w:val="22"/>
        </w:rPr>
        <w:t xml:space="preserve">serotype was performed using BLAST tool in </w:t>
      </w:r>
      <w:proofErr w:type="spellStart"/>
      <w:r w:rsidR="7B242BD5" w:rsidRPr="007D0473">
        <w:rPr>
          <w:rFonts w:ascii="Arial" w:hAnsi="Arial"/>
          <w:sz w:val="22"/>
          <w:szCs w:val="22"/>
        </w:rPr>
        <w:t>Geneious</w:t>
      </w:r>
      <w:proofErr w:type="spellEnd"/>
      <w:r w:rsidR="7B242BD5" w:rsidRPr="007D0473">
        <w:rPr>
          <w:rFonts w:ascii="Arial" w:hAnsi="Arial"/>
          <w:sz w:val="22"/>
          <w:szCs w:val="22"/>
        </w:rPr>
        <w:t xml:space="preserve"> </w:t>
      </w:r>
      <w:r w:rsidR="7FB67F24" w:rsidRPr="007D0473">
        <w:rPr>
          <w:rFonts w:ascii="Arial" w:hAnsi="Arial"/>
          <w:sz w:val="22"/>
          <w:szCs w:val="22"/>
        </w:rPr>
        <w:t>v</w:t>
      </w:r>
      <w:r w:rsidR="7B242BD5" w:rsidRPr="007D0473">
        <w:rPr>
          <w:rFonts w:ascii="Arial" w:hAnsi="Arial"/>
          <w:sz w:val="22"/>
          <w:szCs w:val="22"/>
        </w:rPr>
        <w:t xml:space="preserve">11.0.5 </w:t>
      </w:r>
      <w:r w:rsidR="00563767" w:rsidRPr="007D0473">
        <w:rPr>
          <w:rFonts w:ascii="Arial" w:hAnsi="Arial"/>
          <w:sz w:val="22"/>
          <w:szCs w:val="22"/>
        </w:rPr>
        <w:t xml:space="preserve">(Biomatters ltd. New Zealand) </w:t>
      </w:r>
      <w:r w:rsidR="7B242BD5" w:rsidRPr="007D0473">
        <w:rPr>
          <w:rFonts w:ascii="Arial" w:hAnsi="Arial"/>
          <w:sz w:val="22"/>
          <w:szCs w:val="22"/>
        </w:rPr>
        <w:t xml:space="preserve">and sequence-based serotype allocation using serotype references as follows: serotype </w:t>
      </w:r>
      <w:proofErr w:type="spellStart"/>
      <w:r w:rsidR="7B242BD5" w:rsidRPr="007D0473">
        <w:rPr>
          <w:rFonts w:ascii="Arial" w:hAnsi="Arial"/>
          <w:sz w:val="22"/>
          <w:szCs w:val="22"/>
        </w:rPr>
        <w:t>Ia</w:t>
      </w:r>
      <w:proofErr w:type="spellEnd"/>
      <w:r w:rsidR="7B242BD5" w:rsidRPr="007D0473">
        <w:rPr>
          <w:rFonts w:ascii="Arial" w:hAnsi="Arial"/>
          <w:sz w:val="22"/>
          <w:szCs w:val="22"/>
        </w:rPr>
        <w:t xml:space="preserve"> (AB028896.2) </w:t>
      </w:r>
      <w:r w:rsidR="00C64F78"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{"citationItems":[{"id":"ITEM-1","itemData":{"DOI":"10.1128/jb.181.17.5176-5184.1999","ISSN":"00219193","abstract":"The type-specific capsular polysaccharide (CP) of a group B streptococcus, Streptococcus agalactiae type Ia, is a high-molecular-weight polymer consisting of the pentasaccharide repeating unit 4)-[α-D-NeupNAc- (2→3)β-D-Galp-(1→4)-β-D-GlcpNAc-(1→3)]-[β-D-Galp-(1→4)-β-D-Glcp-(1. Here, cloning, sequencing, and transcription of the type Ia-specific capsular polysaccharide synthesis (cps) genes and functional analysis of these gene products are described. A 26-kb DNA fragment containing 18 complete open reading frames (ORFs) was cloned. These ORFs were designated cpsIaA to cpsIaL, neu (neuraminic acid synthesis gene) A to D, orf1 and ung (uracil DNA glycosylase). The cps gene products of S. agalactiae type Ia were homologous to proteins involved in CP synthesis of S. agalactiae type III and S. pneumoniae serotype 14. Unlike the cps gene cluster of S. pneumoniae serotype 14, transcription of this operon may start from cpsIaA, cpsIaE, and orf1 because putative promoter sequences were found in front of these genes. Northern hybridization, reverse transcription-PCR, and primer extension analyses supported this hypothesis. DNA sequence analysis showed that there were two transcriptional terminators in the 3' end of this operon (downstream of orf1 and ung). The functions of CpsIaE, CpsIaG, CpsIaI, and CpsIaJ were examined by glycosyltransferase assay by using the gene products expressed in Escherichia coli JM109 harboring plasmids containing various S. agalactiae type Ia cps gene fragments. Enzyme assays suggested that the gene products of cpsIaE, cpsIaG, cpsIaI, and cpsIaJ are putative glucosyltransferase, β-1,4- galactosyltransferase, β-1,3-N-acetylglucosaminyltransferase, and β-1,4- galactosyltransferase, respectively.","author":[{"dropping-particle":"","family":"Yamamoto","given":"Shin","non-dropping-particle":"","parse-names":false,"suffix":""},{"dropping-particle":"","family":"Miyake","given":"Katsuhide","non-dropping-particle":"","parse-names":false,"suffix":""},{"dropping-particle":"","family":"Koike","given":"Yoichi","non-dropping-particle":"","parse-names":false,"suffix":""},{"dropping-particle":"","family":"Watanabe","given":"Masaki","non-dropping-particle":"","parse-names":false,"suffix":""},{"dropping-particle":"","family":"Machida","given":"Yuichi","non-dropping-particle":"","parse-names":false,"suffix":""},{"dropping-particle":"","family":"Ohta","given":"Michio","non-dropping-particle":"","parse-names":false,"suffix":""},{"dropping-particle":"","family":"Iijima","given":"Shinji","non-dropping-particle":"","parse-names":false,"suffix":""}],"container-title":"Journal of Bacteriology","id":"ITEM-1","issue":"17","issued":{"date-parts":[["1999"]]},"title":"Molecular characterization of type-specific capsular polysaccharide biosynthesis genes of Streptococcus agalactiae type Ia","type":"article-journal","volume":"181"},"uris":["http://www.mendeley.com/documents/?uuid=508dce6c-367a-306b-b294-1c30664d07b3"]}],"mendeley":{"formattedCitation":"[25]","plainTextFormattedCitation":"[25]","previouslyFormattedCitation":"[25]"},"properties":{"noteIndex":0},"schema":"https://github.com/citation-style-language/schema/raw/master/csl-citation.json"}</w:instrText>
      </w:r>
      <w:r w:rsidR="00C64F78" w:rsidRPr="007D0473">
        <w:rPr>
          <w:rFonts w:ascii="Arial" w:hAnsi="Arial"/>
          <w:sz w:val="22"/>
          <w:szCs w:val="22"/>
        </w:rPr>
        <w:fldChar w:fldCharType="separate"/>
      </w:r>
      <w:r w:rsidR="00FC373A" w:rsidRPr="007D0473">
        <w:rPr>
          <w:rFonts w:ascii="Arial" w:hAnsi="Arial"/>
          <w:noProof/>
          <w:sz w:val="22"/>
          <w:szCs w:val="22"/>
        </w:rPr>
        <w:t>[25]</w:t>
      </w:r>
      <w:r w:rsidR="00C64F78" w:rsidRPr="007D0473">
        <w:rPr>
          <w:rFonts w:ascii="Arial" w:hAnsi="Arial"/>
          <w:sz w:val="22"/>
          <w:szCs w:val="22"/>
        </w:rPr>
        <w:fldChar w:fldCharType="end"/>
      </w:r>
      <w:r w:rsidR="7B242BD5" w:rsidRPr="007D0473">
        <w:rPr>
          <w:rFonts w:ascii="Arial" w:hAnsi="Arial"/>
          <w:sz w:val="22"/>
          <w:szCs w:val="22"/>
        </w:rPr>
        <w:t xml:space="preserve">, serotype </w:t>
      </w:r>
      <w:proofErr w:type="spellStart"/>
      <w:r w:rsidR="7B242BD5" w:rsidRPr="007D0473">
        <w:rPr>
          <w:rFonts w:ascii="Arial" w:hAnsi="Arial"/>
          <w:sz w:val="22"/>
          <w:szCs w:val="22"/>
        </w:rPr>
        <w:t>Ib</w:t>
      </w:r>
      <w:proofErr w:type="spellEnd"/>
      <w:r w:rsidR="7B242BD5" w:rsidRPr="007D0473">
        <w:rPr>
          <w:rFonts w:ascii="Arial" w:hAnsi="Arial"/>
          <w:sz w:val="22"/>
          <w:szCs w:val="22"/>
        </w:rPr>
        <w:t xml:space="preserve"> (AB050723.1) </w:t>
      </w:r>
      <w:r w:rsidR="002B5267"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{"citationItems":[{"id":"ITEM-1","itemData":{"DOI":"10.1093/oxfordjournals.jbchem.a003086","ISSN":"0021924X","PMID":"11820930","abstract":"A group B streptococcus, Streptococcus agalactiae type Ib, produces a high-molecular-weight polysaccharide consisting of the following pentasaccharide repeating unit: ↑4)-[α-D-NeupNAc-(2↑3)-β-D-Galp-(1↑3)-β-D- GlcpNAc-(1↑3)]-β-D-Galp-(1↑4)-β-D-Glcp-(1↑. The type-specific capsular polysaccharide (CP) synthesis (cps) genes of this strain were cloned and analyzed. A cloned 10-kb DNA fragment contained cpsIbE to L and neu (neuraminic acid synthesis gene) B. Comparison of the gene products with those of S. agalactiae type Ia, which has a similar but distinct CP, showed that the translation products of cpsIa and cpsIb genes exhibited very high homology except for those of cpsJ and K. In the type Ia strain, cpsIaJ encodes β1,4 -galactosyltransferase, which catalyzes the transfer of galactose as the fourth monosaccharide of the sugar repeating unit. In the type Ib CP, this galactose forms a β1,3-linkage to GlcNAc. The low homology between the type Ia and Ib CpsJs seems to reflect this difference. By enzymatic activity measurement, the cpsIbJ product was found to display β1,3 -galactosyltransferase activity. Furthermore, hydrophobic cluster analysis clarified the similarities and differences of the structures in N-terminal regions, including the DXD motif, between the galactosyltransferases. © 2002, by the Japanese Biochemical Society.","author":[{"dropping-particle":"","family":"Watanabe","given":"Masaki","non-dropping-particle":"","parse-names":false,"suffix":""},{"dropping-particle":"","family":"Miyake","given":"Katsuhide","non-dropping-particle":"","parse-names":false,"suffix":""},{"dropping-particle":"","family":"Yanae","given":"Kouji","non-dropping-particle":"","parse-names":false,"suffix":""},{"dropping-particle":"","family":"Kataoka","given":"Yohei","non-dropping-particle":"","parse-names":false,"suffix":""},{"dropping-particle":"","family":"Koizumi","given":"Satoshi","non-dropping-particle":"","parse-names":false,"suffix":""},{"dropping-particle":"","family":"Endo","given":"Tetsuo","non-dropping-particle":"","parse-names":false,"suffix":""},{"dropping-particle":"","family":"Ozaki","given":"Akio","non-dropping-particle":"","parse-names":false,"suffix":""},{"dropping-particle":"","family":"Iijima","given":"Shinji","non-dropping-particle":"","parse-names":false,"suffix":""}],"container-title":"Journal of Biochemistry","id":"ITEM-1","issue":"2","issued":{"date-parts":[["2002"]]},"page":"183-191","title":"Molecular characterization of a novel β1,3-galactosyltransferase for capsular polysaccharide synthesis by Streptococcus agalactiae type Ib","type":"article-journal","volume":"131"},"uris":["http://www.mendeley.com/documents/?uuid=d08c6689-c5ea-43fc-924d-cf2a72299590"]}],"mendeley":{"formattedCitation":"[26]","plainTextFormattedCitation":"[26]","previouslyFormattedCitation":"[26]"},"properties":{"noteIndex":0},"schema":"https://github.com/citation-style-language/schema/raw/master/csl-citation.json"}</w:instrText>
      </w:r>
      <w:r w:rsidR="002B5267" w:rsidRPr="007D0473">
        <w:rPr>
          <w:rFonts w:ascii="Arial" w:hAnsi="Arial"/>
          <w:sz w:val="22"/>
          <w:szCs w:val="22"/>
        </w:rPr>
        <w:fldChar w:fldCharType="separate"/>
      </w:r>
      <w:r w:rsidR="00FC373A" w:rsidRPr="007D0473">
        <w:rPr>
          <w:rFonts w:ascii="Arial" w:hAnsi="Arial"/>
          <w:noProof/>
          <w:sz w:val="22"/>
          <w:szCs w:val="22"/>
        </w:rPr>
        <w:t>[26]</w:t>
      </w:r>
      <w:r w:rsidR="002B5267" w:rsidRPr="007D0473">
        <w:rPr>
          <w:rFonts w:ascii="Arial" w:hAnsi="Arial"/>
          <w:sz w:val="22"/>
          <w:szCs w:val="22"/>
        </w:rPr>
        <w:fldChar w:fldCharType="end"/>
      </w:r>
      <w:r w:rsidR="7B242BD5" w:rsidRPr="007D0473">
        <w:rPr>
          <w:rFonts w:ascii="Arial" w:hAnsi="Arial"/>
          <w:sz w:val="22"/>
          <w:szCs w:val="22"/>
        </w:rPr>
        <w:t>, serotype II</w:t>
      </w:r>
      <w:r w:rsidR="001244E9" w:rsidRPr="007D0473">
        <w:rPr>
          <w:rFonts w:ascii="Arial" w:hAnsi="Arial"/>
          <w:noProof/>
          <w:sz w:val="22"/>
          <w:szCs w:val="22"/>
        </w:rPr>
        <w:drawing>
          <wp:anchor distT="0" distB="0" distL="114300" distR="114300" simplePos="0" relativeHeight="251659264" behindDoc="1" locked="0" layoutInCell="1" allowOverlap="1" wp14:anchorId="4397874B" wp14:editId="272E1E0A">
            <wp:simplePos x="0" y="0"/>
            <wp:positionH relativeFrom="column">
              <wp:posOffset>794385</wp:posOffset>
            </wp:positionH>
            <wp:positionV relativeFrom="paragraph">
              <wp:posOffset>685800</wp:posOffset>
            </wp:positionV>
            <wp:extent cx="5768340"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8340" cy="6350"/>
                    </a:xfrm>
                    <a:prstGeom prst="rect">
                      <a:avLst/>
                    </a:prstGeom>
                    <a:noFill/>
                  </pic:spPr>
                </pic:pic>
              </a:graphicData>
            </a:graphic>
            <wp14:sizeRelH relativeFrom="page">
              <wp14:pctWidth>0</wp14:pctWidth>
            </wp14:sizeRelH>
            <wp14:sizeRelV relativeFrom="page">
              <wp14:pctHeight>0</wp14:pctHeight>
            </wp14:sizeRelV>
          </wp:anchor>
        </w:drawing>
      </w:r>
      <w:r w:rsidR="7B242BD5" w:rsidRPr="007D0473">
        <w:rPr>
          <w:rFonts w:ascii="Arial" w:hAnsi="Arial"/>
          <w:sz w:val="22"/>
          <w:szCs w:val="22"/>
        </w:rPr>
        <w:t xml:space="preserve"> </w:t>
      </w:r>
      <w:bookmarkStart w:id="0" w:name="page7"/>
      <w:bookmarkEnd w:id="0"/>
      <w:r w:rsidR="7B242BD5" w:rsidRPr="007D0473">
        <w:rPr>
          <w:rFonts w:ascii="Arial" w:hAnsi="Arial"/>
          <w:sz w:val="22"/>
          <w:szCs w:val="22"/>
        </w:rPr>
        <w:t xml:space="preserve">(LT671985.1) </w:t>
      </w:r>
      <w:r w:rsidR="007B0B75"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{"citationItems":[{"id":"ITEM-1","itemData":{"DOI":"10.1186/s12864-017-3820-5","ISSN":"1471-2164","PMID":"28571573","abstract":"Background: Group B streptococcus (GBS) capsular polysaccharide is one of the major virulence factors underlying invasive GBS disease and a component of forthcoming vaccines. Serotype classification of GBS is based on the capsule polysaccharide of which ten variants are known to exist (Ia, Ib, II-IX). Current methods for GBS serotype assignment rely on latex agglutination or PCR while more recently a whole genome sequencing method was reported. In this study, three distinct algorithms for serotype assignment from genomic data were assessed using a panel of 790 clinical isolates. Methods: The first approach utilised the entire capsular locus coupled with a mapping methodology. The second approach continues from the first and utilised a SNP-based methodology across the conserved cpsD-G region to differentiate serotypes Ia-VII and IX. Finally the third approach used the variable cpsG -K region coupled with a mapping methodology. All three approaches were assessed for typeability (percentage of isolates assigned a serotype) and concordance to the latex agglutination methodology. Results: Following comparisons, the third approach using the variable cpsG-K region demonstrated the best performance with 99.9% typeability and 86.7% concordance. Overall, of the 105 discordant isolates, 71 were resolved following retesting of latex agglutination and whole genome sequencing, 20 failed to assign a serotype using latex agglutination and only 14 were found to be truly discordant on re-testing. Comparison of this final approach with the previously described assembly-based approach returned identical results. Conclusions: These results demonstrated that molecular capsular typing using whole genome sequencing and a mapping-based approach is a viable alternative to the traditional, latex agglutination-based serotyping method and can be implemented in a public health microbiology setting.","author":[{"dropping-particle":"","family":"Kapatai","given":"Georgia","non-dropping-particle":"","parse-names":false,"suffix":""},{"dropping-particle":"","family":"Patel","given":"Darshana","non-dropping-particle":"","parse-names":false,"suffix":""},{"dropping-particle":"","family":"Efstratiou","given":"Androulla","non-dropping-particle":"","parse-names":false,"suffix":""},{"dropping-particle":"","family":"Chalker","given":"Victoria J.","non-dropping-particle":"","parse-names":false,"suffix":""}],"container-title":"BMC Genomics","id":"ITEM-1","issue":"1","issued":{"date-parts":[["2017","12","1"]]},"page":"429","title":"Comparison of molecular serotyping approaches of Streptococcus agalactiae from genomic sequences","type":"article-journal","volume":"18"},"uris":["http://www.mendeley.com/documents/?uuid=2ee2f97e-d4db-338d-bfb1-49d909f6f27b"]}],"mendeley":{"formattedCitation":"[24]","plainTextFormattedCitation":"[24]","previouslyFormattedCitation":"[24]"},"properties":{"noteIndex":0},"schema":"https://github.com/citation-style-language/schema/raw/master/csl-citation.json"}</w:instrText>
      </w:r>
      <w:r w:rsidR="007B0B75" w:rsidRPr="007D0473">
        <w:rPr>
          <w:rFonts w:ascii="Arial" w:hAnsi="Arial"/>
          <w:sz w:val="22"/>
          <w:szCs w:val="22"/>
        </w:rPr>
        <w:fldChar w:fldCharType="separate"/>
      </w:r>
      <w:r w:rsidR="00FC373A" w:rsidRPr="007D0473">
        <w:rPr>
          <w:rFonts w:ascii="Arial" w:hAnsi="Arial"/>
          <w:noProof/>
          <w:sz w:val="22"/>
          <w:szCs w:val="22"/>
        </w:rPr>
        <w:t>[24]</w:t>
      </w:r>
      <w:r w:rsidR="007B0B75" w:rsidRPr="007D0473">
        <w:rPr>
          <w:rFonts w:ascii="Arial" w:hAnsi="Arial"/>
          <w:sz w:val="22"/>
          <w:szCs w:val="22"/>
        </w:rPr>
        <w:fldChar w:fldCharType="end"/>
      </w:r>
      <w:r w:rsidR="7B242BD5" w:rsidRPr="007D0473">
        <w:rPr>
          <w:rFonts w:ascii="Arial" w:hAnsi="Arial"/>
          <w:sz w:val="22"/>
          <w:szCs w:val="22"/>
        </w:rPr>
        <w:t>, serotype III (AF163833.1</w:t>
      </w:r>
      <w:r w:rsidR="19332CDB" w:rsidRPr="007D0473">
        <w:rPr>
          <w:rFonts w:ascii="Arial" w:hAnsi="Arial"/>
          <w:sz w:val="22"/>
          <w:szCs w:val="22"/>
        </w:rPr>
        <w:t xml:space="preserve">) </w:t>
      </w:r>
      <w:r w:rsidR="008F7173"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{"citationItems":[{"id":"ITEM-1","itemData":{"DOI":"10.1128/JB.182.16.4466-4477.2000","ISSN":"00219193","abstract":"Streptococcus agalactiae is a primary cause of neonatal morbidity and mortality. Essential to the virulence of this pathogen is the production of a type-specific capsular polysaccharide (CPS) that enables the bacteria to evade host immune defenses. The identification, cloning, sequencing, and functional characterization of seven genes involved in type III capsule production have been previously reported. Here, we describe the cloning and sequencing of nine additional adjacent genes, cps(III)FGHIJKL, neu(III)B, and neu(III)C. Sequence comparisons suggested that these genes are involved in sialic acid synthesis, pentasaccharide repeating unit formation, and oligosaccharide transport and polymerization. The type III CPS (cpsIII) locus was comprised of 16 genes within 15.5 kb of contiguous chromosomal DNA. Primer extension analysis and investigation of mRNA from mutants with polar insertions in their cpsIII loci supported the hypothesis that the operon is transcribed as a single polycistronic message. The translated cpsIII sequences were compared to those of the S. agalactiae cpsIa locus, and the primary difference between the operons was found to reside in cps(III)H, the putative CPS polymerase gene. Expression of cps(III)H in a type Ia strain resulted in suppression of CPS Ia synthesis and in production of a CPS which reacted with type III-specific polyclonal antibody. Likewise, expression of the putative type Ia polymerase gene in a type III strain reduced synthesis of type III CPS with production of a type Ia immunoreactive capsule. Based on the similar structures of the oligosaccharide repeating units of the type Ia and III capsules, our observations demonstrated that cps(1a)H and cps(III)H encoded the type Ia and III CPS polymerases, respectively. Additionally, these findings suggested that a single gene can confer serotype specificity in organisms that produce complex polysaccharides.","author":[{"dropping-particle":"","family":"Chaffin","given":"Donald O.","non-dropping-particle":"","parse-names":false,"suffix":""},{"dropping-particle":"","family":"Beres","given":"Stephen B.","non-dropping-particle":"","parse-names":false,"suffix":""},{"dropping-particle":"","family":"Yim","given":"Harry H.","non-dropping-particle":"","parse-names":false,"suffix":""},{"dropping-particle":"","family":"Rubens","given":"Craig E.","non-dropping-particle":"","parse-names":false,"suffix":""}],"container-title":"Journal of Bacteriology","id":"ITEM-1","issue":"16","issued":{"date-parts":[["2000"]]},"title":"The serotype of type Ia and III group B streptococci is determined by the polymerase gene within the polycistronic capsule operon","type":"article-journal","volume":"182"},"uris":["http://www.mendeley.com/documents/?uuid=4c4eb867-e10e-3a06-8750-93afadad38b7"]}],"mendeley":{"formattedCitation":"[27]","plainTextFormattedCitation":"[27]","previouslyFormattedCitation":"[27]"},"properties":{"noteIndex":0},"schema":"https://github.com/citation-style-language/schema/raw/master/csl-citation.json"}</w:instrText>
      </w:r>
      <w:r w:rsidR="008F7173" w:rsidRPr="007D0473">
        <w:rPr>
          <w:rFonts w:ascii="Arial" w:hAnsi="Arial"/>
          <w:sz w:val="22"/>
          <w:szCs w:val="22"/>
        </w:rPr>
        <w:fldChar w:fldCharType="separate"/>
      </w:r>
      <w:r w:rsidR="00FC373A" w:rsidRPr="007D0473">
        <w:rPr>
          <w:rFonts w:ascii="Arial" w:hAnsi="Arial"/>
          <w:noProof/>
          <w:sz w:val="22"/>
          <w:szCs w:val="22"/>
        </w:rPr>
        <w:t>[27]</w:t>
      </w:r>
      <w:r w:rsidR="008F7173" w:rsidRPr="007D0473">
        <w:rPr>
          <w:rFonts w:ascii="Arial" w:hAnsi="Arial"/>
          <w:sz w:val="22"/>
          <w:szCs w:val="22"/>
        </w:rPr>
        <w:fldChar w:fldCharType="end"/>
      </w:r>
      <w:r w:rsidR="7B242BD5" w:rsidRPr="007D0473">
        <w:rPr>
          <w:rFonts w:ascii="Arial" w:hAnsi="Arial"/>
          <w:sz w:val="22"/>
          <w:szCs w:val="22"/>
        </w:rPr>
        <w:t xml:space="preserve">, serotype IV (AF355776.1) </w:t>
      </w:r>
      <w:r w:rsidR="00BE4001"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{"citationItems":[{"id":"ITEM-1","itemData":{"DOI":"10.1128/IAI.73.5.3096-3103.2005","ISSN":"00199567","abstract":"Group B Streptococcus (GBS) is an important pathogen of neonates, pregnant women, and immunocompromised individuals. GBS isolates associated with human infection produce one of nine antigenically distinct capsular polysaccharides which are thought to play a key role in virulence. A comparison of GBS polysaccharide structures of all nine known GBS serotypes together with the predicted amino acid sequences of the proteins that direct their synthesis suggests that the evolution of serotype-specific capsular polysaccharides has proceeded through en bloc replacement of individual glycosyltransferase genes with DNA sequences that encode enzymes with new linkage specificities. We found striking heterogeneity in amino acid sequences of synthetic enzymes with very similar functions, an observation that supports horizontal gene transfer rather than stepwise mutagenesis as a mechanism for capsule variation. Eight of the nine serotypes appear to be closely related both structurally and genetically, whereas serotype VIII is more distantly related. This similarity in polysaccharide structure strongly suggests that the evolutionary pressure toward antigenic variation exerted by acquired immunity is counterbalanced by a survival advantage conferred by conserved structural motifs of the GBS polysaccharides. Copyright © 2005, American Society for Microbiology. All Rights Reserved.","author":[{"dropping-particle":"","family":"Cieslewicz","given":"Michael J.","non-dropping-particle":"","parse-names":false,"suffix":""},{"dropping-particle":"","family":"Chaffin","given":"Donald","non-dropping-particle":"","parse-names":false,"suffix":""},{"dropping-particle":"","family":"Glusman","given":"Gustavo","non-dropping-particle":"","parse-names":false,"suffix":""},{"dropping-particle":"","family":"Kasper","given":"Dennis","non-dropping-particle":"","parse-names":false,"suffix":""},{"dropping-particle":"","family":"Madan","given":"Anup","non-dropping-particle":"","parse-names":false,"suffix":""},{"dropping-particle":"","family":"Rodrigues","given":"Stephani","non-dropping-particle":"","parse-names":false,"suffix":""},{"dropping-particle":"","family":"Fahey","given":"Jessica","non-dropping-particle":"","parse-names":false,"suffix":""},{"dropping-particle":"","family":"Wessels","given":"Michael R.","non-dropping-particle":"","parse-names":false,"suffix":""},{"dropping-particle":"","family":"Rubens","given":"Craig E.","non-dropping-particle":"","parse-names":false,"suffix":""}],"container-title":"Infection and Immunity","id":"ITEM-1","issue":"5","issued":{"date-parts":[["2005"]]},"title":"Structural and genetic diversity of group B Streptococcus capsular polysaccharides","type":"article-journal","volume":"73"},"uris":["http://www.mendeley.com/documents/?uuid=66e75c04-d628-382a-9ef3-e64cfec418f4"]}],"mendeley":{"formattedCitation":"[28]","plainTextFormattedCitation":"[28]","previouslyFormattedCitation":"[28]"},"properties":{"noteIndex":0},"schema":"https://github.com/citation-style-language/schema/raw/master/csl-citation.json"}</w:instrText>
      </w:r>
      <w:r w:rsidR="00BE4001" w:rsidRPr="007D0473">
        <w:rPr>
          <w:rFonts w:ascii="Arial" w:hAnsi="Arial"/>
          <w:sz w:val="22"/>
          <w:szCs w:val="22"/>
        </w:rPr>
        <w:fldChar w:fldCharType="separate"/>
      </w:r>
      <w:r w:rsidR="00FC373A" w:rsidRPr="007D0473">
        <w:rPr>
          <w:rFonts w:ascii="Arial" w:hAnsi="Arial"/>
          <w:noProof/>
          <w:sz w:val="22"/>
          <w:szCs w:val="22"/>
        </w:rPr>
        <w:t>[28]</w:t>
      </w:r>
      <w:r w:rsidR="00BE4001" w:rsidRPr="007D0473">
        <w:rPr>
          <w:rFonts w:ascii="Arial" w:hAnsi="Arial"/>
          <w:sz w:val="22"/>
          <w:szCs w:val="22"/>
        </w:rPr>
        <w:fldChar w:fldCharType="end"/>
      </w:r>
      <w:r w:rsidR="7B242BD5" w:rsidRPr="007D0473">
        <w:rPr>
          <w:rFonts w:ascii="Arial" w:hAnsi="Arial"/>
          <w:sz w:val="22"/>
          <w:szCs w:val="22"/>
        </w:rPr>
        <w:t xml:space="preserve">, serotype V (AF349539.1) </w:t>
      </w:r>
      <w:r w:rsidR="00F05F5B"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{"citationItems":[{"id":"ITEM-1","itemData":{"DOI":"10.1128/IAI.73.5.3096-3103.2005","ISSN":"00199567","abstract":"Group B Streptococcus (GBS) is an important pathogen of neonates, pregnant women, and immunocompromised individuals. GBS isolates associated with human infection produce one of nine antigenically distinct capsular polysaccharides which are thought to play a key role in virulence. A comparison of GBS polysaccharide structures of all nine known GBS serotypes together with the predicted amino acid sequences of the proteins that direct their synthesis suggests that the evolution of serotype-specific capsular polysaccharides has proceeded through en bloc replacement of individual glycosyltransferase genes with DNA sequences that encode enzymes with new linkage specificities. We found striking heterogeneity in amino acid sequences of synthetic enzymes with very similar functions, an observation that supports horizontal gene transfer rather than stepwise mutagenesis as a mechanism for capsule variation. Eight of the nine serotypes appear to be closely related both structurally and genetically, whereas serotype VIII is more distantly related. This similarity in polysaccharide structure strongly suggests that the evolutionary pressure toward antigenic variation exerted by acquired immunity is counterbalanced by a survival advantage conferred by conserved structural motifs of the GBS polysaccharides. Copyright © 2005, American Society for Microbiology. All Rights Reserved.","author":[{"dropping-particle":"","family":"Cieslewicz","given":"Michael J.","non-dropping-particle":"","parse-names":false,"suffix":""},{"dropping-particle":"","family":"Chaffin","given":"Donald","non-dropping-particle":"","parse-names":false,"suffix":""},{"dropping-particle":"","family":"Glusman","given":"Gustavo","non-dropping-particle":"","parse-names":false,"suffix":""},{"dropping-particle":"","family":"Kasper","given":"Dennis","non-dropping-particle":"","parse-names":false,"suffix":""},{"dropping-particle":"","family":"Madan","given":"Anup","non-dropping-particle":"","parse-names":false,"suffix":""},{"dropping-particle":"","family":"Rodrigues","given":"Stephani","non-dropping-particle":"","parse-names":false,"suffix":""},{"dropping-particle":"","family":"Fahey","given":"Jessica","non-dropping-particle":"","parse-names":false,"suffix":""},{"dropping-particle":"","family":"Wessels","given":"Michael R.","non-dropping-particle":"","parse-names":false,"suffix":""},{"dropping-particle":"","family":"Rubens","given":"Craig E.","non-dropping-particle":"","parse-names":false,"suffix":""}],"container-title":"Infection and Immunity","id":"ITEM-1","issue":"5","issued":{"date-parts":[["2005"]]},"title":"Structural and genetic diversity of group B Streptococcus capsular polysaccharides","type":"article-journal","volume":"73"},"uris":["http://www.mendeley.com/documents/?uuid=66e75c04-d628-382a-9ef3-e64cfec418f4"]}],"mendeley":{"formattedCitation":"[28]","plainTextFormattedCitation":"[28]","previouslyFormattedCitation":"[28]"},"properties":{"noteIndex":0},"schema":"https://github.com/citation-style-language/schema/raw/master/csl-citation.json"}</w:instrText>
      </w:r>
      <w:r w:rsidR="00F05F5B" w:rsidRPr="007D0473">
        <w:rPr>
          <w:rFonts w:ascii="Arial" w:hAnsi="Arial"/>
          <w:sz w:val="22"/>
          <w:szCs w:val="22"/>
        </w:rPr>
        <w:fldChar w:fldCharType="separate"/>
      </w:r>
      <w:r w:rsidR="00FC373A" w:rsidRPr="007D0473">
        <w:rPr>
          <w:rFonts w:ascii="Arial" w:hAnsi="Arial"/>
          <w:noProof/>
          <w:sz w:val="22"/>
          <w:szCs w:val="22"/>
        </w:rPr>
        <w:t>[28]</w:t>
      </w:r>
      <w:r w:rsidR="00F05F5B" w:rsidRPr="007D0473">
        <w:rPr>
          <w:rFonts w:ascii="Arial" w:hAnsi="Arial"/>
          <w:sz w:val="22"/>
          <w:szCs w:val="22"/>
        </w:rPr>
        <w:fldChar w:fldCharType="end"/>
      </w:r>
      <w:r w:rsidR="7B242BD5" w:rsidRPr="007D0473">
        <w:rPr>
          <w:rFonts w:ascii="Arial" w:hAnsi="Arial"/>
          <w:sz w:val="22"/>
          <w:szCs w:val="22"/>
        </w:rPr>
        <w:t xml:space="preserve">, serotype VI (AF337958.1) </w:t>
      </w:r>
      <w:r w:rsidR="007065D2"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{"citationItems":[{"id":"ITEM-1","itemData":{"DOI":"10.1128/IAI.73.5.3096-3103.2005","ISSN":"00199567","abstract":"Group B Streptococcus (GBS) is an important pathogen of neonates, pregnant women, and immunocompromised individuals. GBS isolates associated with human infection produce one of nine antigenically distinct capsular polysaccharides which are thought to play a key role in virulence. A comparison of GBS polysaccharide structures of all nine known GBS serotypes together with the predicted amino acid sequences of the proteins that direct their synthesis suggests that the evolution of serotype-specific capsular polysaccharides has proceeded through en bloc replacement of individual glycosyltransferase genes with DNA sequences that encode enzymes with new linkage specificities. We found striking heterogeneity in amino acid sequences of synthetic enzymes with very similar functions, an observation that supports horizontal gene transfer rather than stepwise mutagenesis as a mechanism for capsule variation. Eight of the nine serotypes appear to be closely related both structurally and genetically, whereas serotype VIII is more distantly related. This similarity in polysaccharide structure strongly suggests that the evolutionary pressure toward antigenic variation exerted by acquired immunity is counterbalanced by a survival advantage conferred by conserved structural motifs of the GBS polysaccharides. Copyright © 2005, American Society for Microbiology. All Rights Reserved.","author":[{"dropping-particle":"","family":"Cieslewicz","given":"Michael J.","non-dropping-particle":"","parse-names":false,"suffix":""},{"dropping-particle":"","family":"Chaffin","given":"Donald","non-dropping-particle":"","parse-names":false,"suffix":""},{"dropping-particle":"","family":"Glusman","given":"Gustavo","non-dropping-particle":"","parse-names":false,"suffix":""},{"dropping-particle":"","family":"Kasper","given":"Dennis","non-dropping-particle":"","parse-names":false,"suffix":""},{"dropping-particle":"","family":"Madan","given":"Anup","non-dropping-particle":"","parse-names":false,"suffix":""},{"dropping-particle":"","family":"Rodrigues","given":"Stephani","non-dropping-particle":"","parse-names":false,"suffix":""},{"dropping-particle":"","family":"Fahey","given":"Jessica","non-dropping-particle":"","parse-names":false,"suffix":""},{"dropping-particle":"","family":"Wessels","given":"Michael R.","non-dropping-particle":"","parse-names":false,"suffix":""},{"dropping-particle":"","family":"Rubens","given":"Craig E.","non-dropping-particle":"","parse-names":false,"suffix":""}],"container-title":"Infection and Immunity","id":"ITEM-1","issue":"5","issued":{"date-parts":[["2005"]]},"title":"Structural and genetic diversity of group B Streptococcus capsular polysaccharides","type":"article-journal","volume":"73"},"uris":["http://www.mendeley.com/documents/?uuid=66e75c04-d628-382a-9ef3-e64cfec418f4"]}],"mendeley":{"formattedCitation":"[28]","plainTextFormattedCitation":"[28]","previouslyFormattedCitation":"[28]"},"properties":{"noteIndex":0},"schema":"https://github.com/citation-style-language/schema/raw/master/csl-citation.json"}</w:instrText>
      </w:r>
      <w:r w:rsidR="007065D2" w:rsidRPr="007D0473">
        <w:rPr>
          <w:rFonts w:ascii="Arial" w:hAnsi="Arial"/>
          <w:sz w:val="22"/>
          <w:szCs w:val="22"/>
        </w:rPr>
        <w:fldChar w:fldCharType="separate"/>
      </w:r>
      <w:r w:rsidR="00FC373A" w:rsidRPr="007D0473">
        <w:rPr>
          <w:rFonts w:ascii="Arial" w:hAnsi="Arial"/>
          <w:noProof/>
          <w:sz w:val="22"/>
          <w:szCs w:val="22"/>
        </w:rPr>
        <w:t>[28]</w:t>
      </w:r>
      <w:r w:rsidR="007065D2" w:rsidRPr="007D0473">
        <w:rPr>
          <w:rFonts w:ascii="Arial" w:hAnsi="Arial"/>
          <w:sz w:val="22"/>
          <w:szCs w:val="22"/>
        </w:rPr>
        <w:fldChar w:fldCharType="end"/>
      </w:r>
      <w:r w:rsidR="7B242BD5" w:rsidRPr="007D0473">
        <w:rPr>
          <w:rFonts w:ascii="Arial" w:hAnsi="Arial"/>
          <w:sz w:val="22"/>
          <w:szCs w:val="22"/>
        </w:rPr>
        <w:t xml:space="preserve">, serotype IX (LT671992.1) </w:t>
      </w:r>
      <w:r w:rsidR="007B0B75"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{"citationItems":[{"id":"ITEM-1","itemData":{"DOI":"10.1186/s12864-017-3820-5","ISSN":"1471-2164","PMID":"28571573","abstract":"Background: Group B streptococcus (GBS) capsular polysaccharide is one of the major virulence factors underlying invasive GBS disease and a component of forthcoming vaccines. Serotype classification of GBS is based on the capsule polysaccharide of which ten variants are known to exist (Ia, Ib, II-IX). Current methods for GBS serotype assignment rely on latex agglutination or PCR while more recently a whole genome sequencing method was reported. In this study, three distinct algorithms for serotype assignment from genomic data were assessed using a panel of 790 clinical isolates. Methods: The first approach utilised the entire capsular locus coupled with a mapping methodology. The second approach continues from the first and utilised a SNP-based methodology across the conserved cpsD-G region to differentiate serotypes Ia-VII and IX. Finally the third approach used the variable cpsG -K region coupled with a mapping methodology. All three approaches were assessed for typeability (percentage of isolates assigned a serotype) and concordance to the latex agglutination methodology. Results: Following comparisons, the third approach using the variable cpsG-K region demonstrated the best performance with 99.9% typeability and 86.7% concordance. Overall, of the 105 discordant isolates, 71 were resolved following retesting of latex agglutination and whole genome sequencing, 20 failed to assign a serotype using latex agglutination and only 14 were found to be truly discordant on re-testing. Comparison of this final approach with the previously described assembly-based approach returned identical results. Conclusions: These results demonstrated that molecular capsular typing using whole genome sequencing and a mapping-based approach is a viable alternative to the traditional, latex agglutination-based serotyping method and can be implemented in a public health microbiology setting.","author":[{"dropping-particle":"","family":"Kapatai","given":"Georgia","non-dropping-particle":"","parse-names":false,"suffix":""},{"dropping-particle":"","family":"Patel","given":"Darshana","non-dropping-particle":"","parse-names":false,"suffix":""},{"dropping-particle":"","family":"Efstratiou","given":"Androulla","non-dropping-particle":"","parse-names":false,"suffix":""},{"dropping-particle":"","family":"Chalker","given":"Victoria J.","non-dropping-particle":"","parse-names":false,"suffix":""}],"container-title":"BMC Genomics","id":"ITEM-1","issue":"1","issued":{"date-parts":[["2017","12","1"]]},"page":"429","title":"Comparison of molecular serotyping approaches of Streptococcus agalactiae from genomic sequences","type":"article-journal","volume":"18"},"uris":["http://www.mendeley.com/documents/?uuid=2ee2f97e-d4db-338d-bfb1-49d909f6f27b"]}],"mendeley":{"formattedCitation":"[24]","plainTextFormattedCitation":"[24]","previouslyFormattedCitation":"[24]"},"properties":{"noteIndex":0},"schema":"https://github.com/citation-style-language/schema/raw/master/csl-citation.json"}</w:instrText>
      </w:r>
      <w:r w:rsidR="007B0B75" w:rsidRPr="007D0473">
        <w:rPr>
          <w:rFonts w:ascii="Arial" w:hAnsi="Arial"/>
          <w:sz w:val="22"/>
          <w:szCs w:val="22"/>
        </w:rPr>
        <w:fldChar w:fldCharType="separate"/>
      </w:r>
      <w:r w:rsidR="00FC373A" w:rsidRPr="007D0473">
        <w:rPr>
          <w:rFonts w:ascii="Arial" w:hAnsi="Arial"/>
          <w:noProof/>
          <w:sz w:val="22"/>
          <w:szCs w:val="22"/>
        </w:rPr>
        <w:t>[24]</w:t>
      </w:r>
      <w:r w:rsidR="007B0B75" w:rsidRPr="007D0473">
        <w:rPr>
          <w:rFonts w:ascii="Arial" w:hAnsi="Arial"/>
          <w:sz w:val="22"/>
          <w:szCs w:val="22"/>
        </w:rPr>
        <w:fldChar w:fldCharType="end"/>
      </w:r>
      <w:r w:rsidR="7B242BD5" w:rsidRPr="007D0473">
        <w:rPr>
          <w:rFonts w:ascii="Arial" w:hAnsi="Arial"/>
          <w:sz w:val="22"/>
          <w:szCs w:val="22"/>
        </w:rPr>
        <w:t>. MLST was assigned using SRST2</w:t>
      </w:r>
      <w:r w:rsidR="4F6B6501" w:rsidRPr="007D0473">
        <w:rPr>
          <w:rFonts w:ascii="Arial" w:hAnsi="Arial"/>
          <w:sz w:val="22"/>
          <w:szCs w:val="22"/>
        </w:rPr>
        <w:t xml:space="preserve"> v0.2.0 </w:t>
      </w:r>
      <w:r w:rsidR="00DA3266" w:rsidRPr="007D0473">
        <w:rPr>
          <w:rFonts w:ascii="Arial" w:hAnsi="Arial"/>
          <w:sz w:val="22"/>
          <w:szCs w:val="22"/>
        </w:rPr>
        <w:fldChar w:fldCharType="begin" w:fldLock="1"/>
      </w:r>
      <w:r w:rsidR="00B31BD8">
        <w:rPr>
          <w:rFonts w:ascii="Arial" w:hAnsi="Arial"/>
          <w:sz w:val="22"/>
          <w:szCs w:val="22"/>
        </w:rPr>
        <w:instrText>ADDIN CSL_CITATION {"citationItems":[{"id":"ITEM-1","itemData":{"DOI":"10.1186/s13073-014-0090-6","ISBN":"1756-994X","ISSN":"1756994X","PMID":"25422674","abstract":"Rapid molecular typing of bacterial pathogens is critical for public health epidemiology, surveillance and infection control, yet routine use of whole genome sequencing (WGS) for these purposes poses significant challenges. Here we present SRST2, a read mapping-based tool for fast and accurate detection of genes, alleles and multi-locus sequence types (MLST) from WGS data. Using &gt;900 genomes from common pathogens, we show SRST2 is highly accurate and outperforms assembly-based methods in terms of both gene detection and allele assignment. We include validation of SRST2 within a public health laboratory, and demonstrate its use for microbial genome surveillance in the hospital setting. In the face of rising threats of antimicrobial resistance and emerging virulence among bacterial pathogens, SRST2 represents a powerful tool for rapidly extracting clinically useful information from raw WGS data. Source code is available from http://katholt.github.io/srst2/.","author":[{"dropping-particle":"","family":"Inouye","given":"Michael","non-dropping-particle":"","parse-names":false,"suffix":""},{"dropping-particle":"","family":"Dashnow","given":"Harriet","non-dropping-particle":"","parse-names":false,"suffix":""},{"dropping-particle":"","family":"Raven","given":"Lesley Ann","non-dropping-particle":"","parse-names":false,"suffix":""},{"dropping-particle":"","family":"Schultz","given":"Mark B.","non-dropping-particle":"","parse-names":false,"suffix":""},{"dropping-particle":"","family":"Pope","given":"Bernard J.","non-dropping-particle":"","parse-names":false,"suffix":""},{"dropping-particle":"","family":"Tomita","given":"Takehiro","non-dropping-particle":"","parse-names":false,"suffix":""},{"dropping-particle":"","family":"Zobel","given":"Justin","non-dropping-particle":"","parse-names":false,"suffix":""},{"dropping-particle":"","family":"Holt","given":"Kathryn E.","non-dropping-particle":"","parse-names":false,"suffix":""}],"container-title":"Genome Medicine","id":"ITEM-1","issued":{"date-parts":[["2014"]]},"title":"SRST2: Rapid genomic surveillance for public health and hospital microbiology labs","type":"article-journal"},"uris":["http://www.mendeley.com/documents/?uuid=49d08771-eee9-4ffd-90ea-6fe8d7a951b4"]}],"mendeley":{"formattedCitation":"[29]","plainTextFormattedCitation":"[29]","previouslyFormattedCitation":"[29]"},"properties":{"noteIndex":0},"schema":"https://github.com/citation-style-language/schema/raw/master/csl-citation.json"}</w:instrText>
      </w:r>
      <w:r w:rsidR="00DA3266" w:rsidRPr="007D0473">
        <w:rPr>
          <w:rFonts w:ascii="Arial" w:hAnsi="Arial"/>
          <w:sz w:val="22"/>
          <w:szCs w:val="22"/>
        </w:rPr>
        <w:fldChar w:fldCharType="separate"/>
      </w:r>
      <w:r w:rsidR="00FC373A" w:rsidRPr="007D0473">
        <w:rPr>
          <w:rFonts w:ascii="Arial" w:hAnsi="Arial"/>
          <w:noProof/>
          <w:sz w:val="22"/>
          <w:szCs w:val="22"/>
        </w:rPr>
        <w:t>[29]</w:t>
      </w:r>
      <w:r w:rsidR="00DA3266" w:rsidRPr="007D0473">
        <w:rPr>
          <w:rFonts w:ascii="Arial" w:hAnsi="Arial"/>
          <w:sz w:val="22"/>
          <w:szCs w:val="22"/>
        </w:rPr>
        <w:fldChar w:fldCharType="end"/>
      </w:r>
      <w:r w:rsidR="485528D4" w:rsidRPr="007D0473">
        <w:rPr>
          <w:rFonts w:ascii="Arial" w:hAnsi="Arial"/>
          <w:sz w:val="22"/>
          <w:szCs w:val="22"/>
        </w:rPr>
        <w:t xml:space="preserve">. </w:t>
      </w:r>
      <w:r w:rsidR="7B242BD5" w:rsidRPr="007D0473">
        <w:rPr>
          <w:rFonts w:ascii="Arial" w:hAnsi="Arial"/>
          <w:sz w:val="22"/>
          <w:szCs w:val="22"/>
        </w:rPr>
        <w:t xml:space="preserve">Alleles and STs not previously described were deposited </w:t>
      </w:r>
      <w:r w:rsidR="7D9320E3" w:rsidRPr="007D0473">
        <w:rPr>
          <w:rFonts w:ascii="Arial" w:hAnsi="Arial"/>
          <w:sz w:val="22"/>
          <w:szCs w:val="22"/>
        </w:rPr>
        <w:t>to</w:t>
      </w:r>
      <w:r w:rsidR="7B242BD5" w:rsidRPr="007D0473">
        <w:rPr>
          <w:rFonts w:ascii="Arial" w:hAnsi="Arial"/>
          <w:sz w:val="22"/>
          <w:szCs w:val="22"/>
        </w:rPr>
        <w:t xml:space="preserve"> the </w:t>
      </w:r>
      <w:r w:rsidR="7B242BD5" w:rsidRPr="007D0473">
        <w:rPr>
          <w:rFonts w:ascii="Arial" w:hAnsi="Arial"/>
          <w:i/>
          <w:iCs/>
          <w:sz w:val="22"/>
          <w:szCs w:val="22"/>
        </w:rPr>
        <w:t>S. agalactiae</w:t>
      </w:r>
      <w:r w:rsidR="7B242BD5" w:rsidRPr="007D0473">
        <w:rPr>
          <w:rFonts w:ascii="Arial" w:hAnsi="Arial"/>
          <w:sz w:val="22"/>
          <w:szCs w:val="22"/>
        </w:rPr>
        <w:t xml:space="preserve"> MLST database</w:t>
      </w:r>
      <w:r w:rsidR="3F91EFB9" w:rsidRPr="007D0473">
        <w:rPr>
          <w:rFonts w:ascii="Arial" w:hAnsi="Arial"/>
          <w:sz w:val="22"/>
          <w:szCs w:val="22"/>
        </w:rPr>
        <w:t xml:space="preserve"> </w:t>
      </w:r>
      <w:r w:rsidR="7B242BD5" w:rsidRPr="007D0473">
        <w:rPr>
          <w:rFonts w:ascii="Arial" w:hAnsi="Arial"/>
          <w:sz w:val="22"/>
          <w:szCs w:val="22"/>
        </w:rPr>
        <w:t xml:space="preserve">(https://pubmlst.org/sagalactiae/). </w:t>
      </w:r>
      <w:proofErr w:type="spellStart"/>
      <w:r w:rsidR="7B242BD5" w:rsidRPr="007D0473">
        <w:rPr>
          <w:rFonts w:ascii="Arial" w:hAnsi="Arial"/>
          <w:sz w:val="22"/>
          <w:szCs w:val="22"/>
        </w:rPr>
        <w:t>P</w:t>
      </w:r>
      <w:r w:rsidR="03EA32E6" w:rsidRPr="007D0473">
        <w:rPr>
          <w:rFonts w:ascii="Arial" w:hAnsi="Arial"/>
          <w:sz w:val="22"/>
          <w:szCs w:val="22"/>
        </w:rPr>
        <w:t>HYLOViZ</w:t>
      </w:r>
      <w:proofErr w:type="spellEnd"/>
      <w:r w:rsidR="7B242BD5" w:rsidRPr="007D0473">
        <w:rPr>
          <w:rFonts w:ascii="Arial" w:hAnsi="Arial"/>
          <w:sz w:val="22"/>
          <w:szCs w:val="22"/>
        </w:rPr>
        <w:t xml:space="preserve"> v2</w:t>
      </w:r>
      <w:r w:rsidR="03EA32E6" w:rsidRPr="007D0473">
        <w:rPr>
          <w:rFonts w:ascii="Arial" w:hAnsi="Arial"/>
          <w:sz w:val="22"/>
          <w:szCs w:val="22"/>
        </w:rPr>
        <w:t>.0</w:t>
      </w:r>
      <w:r w:rsidR="7B242BD5" w:rsidRPr="007D0473">
        <w:rPr>
          <w:rFonts w:ascii="Arial" w:hAnsi="Arial"/>
          <w:sz w:val="22"/>
          <w:szCs w:val="22"/>
        </w:rPr>
        <w:t xml:space="preserve"> </w:t>
      </w:r>
      <w:r w:rsidR="00631EC4"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{"citationItems":[{"id":"ITEM-1","itemData":{"DOI":"10.1093/bioinformatics/btw582","ISSN":"14602059","abstract":"High Throughput Sequencing provides a cost effective means of generating high resolution data for hundreds or even thousands of strains, and is rapidly superseding methodologies based on a few genomic loci. The wealth of genomic data deposited on public databases such as Sequence Read Archive/European Nucleotide Archive provides a powerful resource for evolutionary analysis and epidemiological surveillance. However, many of the analysis tools currently available do not scale well to these large datasets, nor provide the means to fully integrate ancillary data. Here we present PHYLOViZ 2.0, an extension of PHYLOViZ tool, a platform independent Java tool that allows phylogenetic inference and data visualization for large datasets of sequence based typing methods, including Single Nucleotide Polymorphism (SNP) and whole genome/core genome Multilocus Sequence Typing (wg/cgMLST) analysis. PHYLOViZ 2.0 incorporates new data analysis algorithms and new visualization modules, as well as the capability of saving projects for subsequent work or for dissemination of results.","author":[{"dropping-particle":"","family":"Nascimento","given":"Marta","non-dropping-particle":"","parse-names":false,"suffix":""},{"dropping-particle":"","family":"Sousa","given":"Adriano","non-dropping-particle":"","parse-names":false,"suffix":""},{"dropping-particle":"","family":"Ramirez","given":"Mário","non-dropping-particle":"","parse-names":false,"suffix":""},{"dropping-particle":"","family":"Francisco","given":"Alexandre P.","non-dropping-particle":"","parse-names":false,"suffix":""},{"dropping-particle":"","family":"Carriço","given":"João A.","non-dropping-particle":"","parse-names":false,"suffix":""},{"dropping-particle":"","family":"Vaz","given":"Cátia","non-dropping-particle":"","parse-names":false,"suffix":""}],"container-title":"Bioinformatics","id":"ITEM-1","issue":"1","issued":{"date-parts":[["2017"]]},"title":"PHYLOViZ 2.0: Providing scalable data integration and visualization for multiple phylogenetic inference methods","type":"article-journal","volume":"33"},"uris":["http://www.mendeley.com/documents/?uuid=155022e6-68fe-34a3-b9e4-9809515e8d04"]}],"mendeley":{"formattedCitation":"[30]","plainTextFormattedCitation":"[30]","previouslyFormattedCitation":"[30]"},"properties":{"noteIndex":0},"schema":"https://github.com/citation-style-language/schema/raw/master/csl-citation.json"}</w:instrText>
      </w:r>
      <w:r w:rsidR="00631EC4" w:rsidRPr="007D0473">
        <w:rPr>
          <w:rFonts w:ascii="Arial" w:hAnsi="Arial"/>
          <w:sz w:val="22"/>
          <w:szCs w:val="22"/>
        </w:rPr>
        <w:fldChar w:fldCharType="separate"/>
      </w:r>
      <w:r w:rsidR="00FC373A" w:rsidRPr="007D0473">
        <w:rPr>
          <w:rFonts w:ascii="Arial" w:hAnsi="Arial"/>
          <w:noProof/>
          <w:sz w:val="22"/>
          <w:szCs w:val="22"/>
        </w:rPr>
        <w:t>[30]</w:t>
      </w:r>
      <w:r w:rsidR="00631EC4" w:rsidRPr="007D0473">
        <w:rPr>
          <w:rFonts w:ascii="Arial" w:hAnsi="Arial"/>
          <w:sz w:val="22"/>
          <w:szCs w:val="22"/>
        </w:rPr>
        <w:fldChar w:fldCharType="end"/>
      </w:r>
      <w:r w:rsidR="388BB98D" w:rsidRPr="007D0473">
        <w:rPr>
          <w:rFonts w:ascii="Arial" w:hAnsi="Arial"/>
          <w:sz w:val="22"/>
          <w:szCs w:val="22"/>
        </w:rPr>
        <w:t xml:space="preserve"> </w:t>
      </w:r>
      <w:r w:rsidR="7B242BD5" w:rsidRPr="007D0473">
        <w:rPr>
          <w:rFonts w:ascii="Arial" w:hAnsi="Arial"/>
          <w:sz w:val="22"/>
          <w:szCs w:val="22"/>
        </w:rPr>
        <w:t xml:space="preserve">and </w:t>
      </w:r>
      <w:proofErr w:type="spellStart"/>
      <w:r w:rsidR="7B242BD5" w:rsidRPr="007D0473">
        <w:rPr>
          <w:rFonts w:ascii="Arial" w:hAnsi="Arial"/>
          <w:sz w:val="22"/>
          <w:szCs w:val="22"/>
        </w:rPr>
        <w:t>goeBURST</w:t>
      </w:r>
      <w:proofErr w:type="spellEnd"/>
      <w:r w:rsidR="7B242BD5" w:rsidRPr="007D0473">
        <w:rPr>
          <w:rFonts w:ascii="Arial" w:hAnsi="Arial"/>
          <w:sz w:val="22"/>
          <w:szCs w:val="22"/>
        </w:rPr>
        <w:t xml:space="preserve"> algorithm was used to establish relationships between STs using “3” as minimum SLV count for subgroup definition and “6” as minimum n</w:t>
      </w:r>
      <w:r w:rsidR="11ECFE5F" w:rsidRPr="007D0473">
        <w:rPr>
          <w:rFonts w:ascii="Arial" w:hAnsi="Arial"/>
          <w:sz w:val="22"/>
          <w:szCs w:val="22"/>
        </w:rPr>
        <w:t>umber</w:t>
      </w:r>
      <w:r w:rsidR="7B242BD5" w:rsidRPr="007D0473">
        <w:rPr>
          <w:rFonts w:ascii="Arial" w:hAnsi="Arial"/>
          <w:sz w:val="22"/>
          <w:szCs w:val="22"/>
        </w:rPr>
        <w:t xml:space="preserve"> of identical loci for group definition. </w:t>
      </w:r>
    </w:p>
    <w:p w14:paraId="3F0DCD22" w14:textId="77777777" w:rsidR="006F26B1" w:rsidRPr="007D0473" w:rsidRDefault="006F26B1" w:rsidP="00DB7C46">
      <w:pPr>
        <w:spacing w:before="120" w:after="120" w:line="480" w:lineRule="auto"/>
        <w:rPr>
          <w:rFonts w:ascii="Arial" w:hAnsi="Arial"/>
          <w:sz w:val="22"/>
          <w:szCs w:val="22"/>
        </w:rPr>
      </w:pPr>
    </w:p>
    <w:p w14:paraId="0F83553D" w14:textId="77777777" w:rsidR="001244E9" w:rsidRPr="007D0473" w:rsidRDefault="00B0084C" w:rsidP="00DB7C46">
      <w:pPr>
        <w:spacing w:before="120" w:after="120" w:line="480" w:lineRule="auto"/>
        <w:rPr>
          <w:rFonts w:ascii="Arial" w:hAnsi="Arial"/>
          <w:b/>
          <w:bCs/>
          <w:i/>
          <w:iCs/>
          <w:sz w:val="22"/>
          <w:szCs w:val="22"/>
        </w:rPr>
      </w:pPr>
      <w:r w:rsidRPr="007D0473">
        <w:rPr>
          <w:rFonts w:ascii="Arial" w:hAnsi="Arial"/>
          <w:b/>
          <w:bCs/>
          <w:i/>
          <w:iCs/>
          <w:sz w:val="22"/>
          <w:szCs w:val="22"/>
        </w:rPr>
        <w:t>Genes for p</w:t>
      </w:r>
      <w:r w:rsidR="001244E9" w:rsidRPr="007D0473">
        <w:rPr>
          <w:rFonts w:ascii="Arial" w:hAnsi="Arial"/>
          <w:b/>
          <w:bCs/>
          <w:i/>
          <w:iCs/>
          <w:sz w:val="22"/>
          <w:szCs w:val="22"/>
        </w:rPr>
        <w:t xml:space="preserve">ilus </w:t>
      </w:r>
      <w:r w:rsidRPr="007D0473">
        <w:rPr>
          <w:rFonts w:ascii="Arial" w:hAnsi="Arial"/>
          <w:b/>
          <w:bCs/>
          <w:i/>
          <w:iCs/>
          <w:sz w:val="22"/>
          <w:szCs w:val="22"/>
        </w:rPr>
        <w:t>i</w:t>
      </w:r>
      <w:r w:rsidR="001244E9" w:rsidRPr="007D0473">
        <w:rPr>
          <w:rFonts w:ascii="Arial" w:hAnsi="Arial"/>
          <w:b/>
          <w:bCs/>
          <w:i/>
          <w:iCs/>
          <w:sz w:val="22"/>
          <w:szCs w:val="22"/>
        </w:rPr>
        <w:t xml:space="preserve">sland, </w:t>
      </w:r>
      <w:proofErr w:type="spellStart"/>
      <w:r w:rsidR="001244E9" w:rsidRPr="007D0473">
        <w:rPr>
          <w:rFonts w:ascii="Arial" w:hAnsi="Arial"/>
          <w:b/>
          <w:bCs/>
          <w:i/>
          <w:iCs/>
          <w:sz w:val="22"/>
          <w:szCs w:val="22"/>
        </w:rPr>
        <w:t>hvgA</w:t>
      </w:r>
      <w:proofErr w:type="spellEnd"/>
      <w:r w:rsidR="001244E9" w:rsidRPr="007D0473">
        <w:rPr>
          <w:rFonts w:ascii="Arial" w:hAnsi="Arial"/>
          <w:b/>
          <w:bCs/>
          <w:i/>
          <w:iCs/>
          <w:sz w:val="22"/>
          <w:szCs w:val="22"/>
        </w:rPr>
        <w:t xml:space="preserve">, and </w:t>
      </w:r>
      <w:r w:rsidRPr="007D0473">
        <w:rPr>
          <w:rFonts w:ascii="Arial" w:hAnsi="Arial"/>
          <w:b/>
          <w:bCs/>
          <w:i/>
          <w:iCs/>
          <w:sz w:val="22"/>
          <w:szCs w:val="22"/>
        </w:rPr>
        <w:t>s</w:t>
      </w:r>
      <w:r w:rsidR="001244E9" w:rsidRPr="007D0473">
        <w:rPr>
          <w:rFonts w:ascii="Arial" w:hAnsi="Arial"/>
          <w:b/>
          <w:bCs/>
          <w:i/>
          <w:iCs/>
          <w:sz w:val="22"/>
          <w:szCs w:val="22"/>
        </w:rPr>
        <w:t>urface protein</w:t>
      </w:r>
      <w:r w:rsidRPr="007D0473">
        <w:rPr>
          <w:rFonts w:ascii="Arial" w:hAnsi="Arial"/>
          <w:b/>
          <w:bCs/>
          <w:i/>
          <w:iCs/>
          <w:sz w:val="22"/>
          <w:szCs w:val="22"/>
        </w:rPr>
        <w:t>s</w:t>
      </w:r>
      <w:r w:rsidR="001244E9" w:rsidRPr="007D0473">
        <w:rPr>
          <w:rFonts w:ascii="Arial" w:hAnsi="Arial"/>
          <w:b/>
          <w:bCs/>
          <w:i/>
          <w:iCs/>
          <w:sz w:val="22"/>
          <w:szCs w:val="22"/>
        </w:rPr>
        <w:t xml:space="preserve"> </w:t>
      </w:r>
    </w:p>
    <w:p w14:paraId="3C69CE5E" w14:textId="184B00A2" w:rsidR="001244E9" w:rsidRPr="007D0473" w:rsidRDefault="001244E9" w:rsidP="00DB7C46">
      <w:pPr>
        <w:spacing w:before="120" w:after="120" w:line="480" w:lineRule="auto"/>
        <w:rPr>
          <w:rFonts w:ascii="Arial" w:hAnsi="Arial"/>
          <w:sz w:val="22"/>
          <w:szCs w:val="22"/>
        </w:rPr>
      </w:pPr>
      <w:r w:rsidRPr="007D0473">
        <w:rPr>
          <w:rFonts w:ascii="Arial" w:hAnsi="Arial"/>
          <w:sz w:val="22"/>
          <w:szCs w:val="22"/>
        </w:rPr>
        <w:lastRenderedPageBreak/>
        <w:t>The presence of surface protein genes,</w:t>
      </w:r>
      <w:r w:rsidR="00C115E5" w:rsidRPr="007D0473">
        <w:rPr>
          <w:rFonts w:ascii="Arial" w:hAnsi="Arial"/>
          <w:sz w:val="22"/>
          <w:szCs w:val="22"/>
        </w:rPr>
        <w:t xml:space="preserve"> </w:t>
      </w:r>
      <w:r w:rsidRPr="007D0473">
        <w:rPr>
          <w:rFonts w:ascii="Arial" w:hAnsi="Arial"/>
          <w:i/>
          <w:iCs/>
          <w:sz w:val="22"/>
          <w:szCs w:val="22"/>
        </w:rPr>
        <w:t>alp</w:t>
      </w:r>
      <w:r w:rsidRPr="007D0473">
        <w:rPr>
          <w:rFonts w:ascii="Arial" w:hAnsi="Arial"/>
          <w:sz w:val="22"/>
          <w:szCs w:val="22"/>
        </w:rPr>
        <w:t xml:space="preserve">2 and </w:t>
      </w:r>
      <w:r w:rsidRPr="007D0473">
        <w:rPr>
          <w:rFonts w:ascii="Arial" w:hAnsi="Arial"/>
          <w:i/>
          <w:iCs/>
          <w:sz w:val="22"/>
          <w:szCs w:val="22"/>
        </w:rPr>
        <w:t>alp</w:t>
      </w:r>
      <w:r w:rsidRPr="007D0473">
        <w:rPr>
          <w:rFonts w:ascii="Arial" w:hAnsi="Arial"/>
          <w:sz w:val="22"/>
          <w:szCs w:val="22"/>
        </w:rPr>
        <w:t>3</w:t>
      </w:r>
      <w:r w:rsidR="00C115E5" w:rsidRPr="007D0473">
        <w:rPr>
          <w:rFonts w:ascii="Arial" w:hAnsi="Arial"/>
          <w:sz w:val="22"/>
          <w:szCs w:val="22"/>
        </w:rPr>
        <w:t>,</w:t>
      </w:r>
      <w:r w:rsidRPr="007D0473">
        <w:rPr>
          <w:rFonts w:ascii="Arial" w:hAnsi="Arial"/>
          <w:sz w:val="22"/>
          <w:szCs w:val="22"/>
        </w:rPr>
        <w:t xml:space="preserve"> </w:t>
      </w:r>
      <w:proofErr w:type="spellStart"/>
      <w:r w:rsidRPr="007D0473">
        <w:rPr>
          <w:rFonts w:ascii="Arial" w:hAnsi="Arial"/>
          <w:i/>
          <w:iCs/>
          <w:sz w:val="22"/>
          <w:szCs w:val="22"/>
        </w:rPr>
        <w:t>hvgA</w:t>
      </w:r>
      <w:proofErr w:type="spellEnd"/>
      <w:r w:rsidRPr="007D0473">
        <w:rPr>
          <w:rFonts w:ascii="Arial" w:hAnsi="Arial"/>
          <w:sz w:val="22"/>
          <w:szCs w:val="22"/>
        </w:rPr>
        <w:t xml:space="preserve"> gene and the pilus islands </w:t>
      </w:r>
      <w:r w:rsidRPr="007D0473">
        <w:rPr>
          <w:rFonts w:ascii="Arial" w:hAnsi="Arial"/>
          <w:i/>
          <w:iCs/>
          <w:sz w:val="22"/>
          <w:szCs w:val="22"/>
        </w:rPr>
        <w:t>PI-1</w:t>
      </w:r>
      <w:r w:rsidRPr="007D0473">
        <w:rPr>
          <w:rFonts w:ascii="Arial" w:hAnsi="Arial"/>
          <w:sz w:val="22"/>
          <w:szCs w:val="22"/>
        </w:rPr>
        <w:t xml:space="preserve">, </w:t>
      </w:r>
      <w:r w:rsidRPr="007D0473">
        <w:rPr>
          <w:rFonts w:ascii="Arial" w:hAnsi="Arial"/>
          <w:i/>
          <w:iCs/>
          <w:sz w:val="22"/>
          <w:szCs w:val="22"/>
        </w:rPr>
        <w:t>PI-2a</w:t>
      </w:r>
      <w:r w:rsidRPr="007D0473">
        <w:rPr>
          <w:rFonts w:ascii="Arial" w:hAnsi="Arial"/>
          <w:sz w:val="22"/>
          <w:szCs w:val="22"/>
        </w:rPr>
        <w:t xml:space="preserve">, and </w:t>
      </w:r>
      <w:r w:rsidRPr="007D0473">
        <w:rPr>
          <w:rFonts w:ascii="Arial" w:hAnsi="Arial"/>
          <w:i/>
          <w:iCs/>
          <w:sz w:val="22"/>
          <w:szCs w:val="22"/>
        </w:rPr>
        <w:t>PI-2b</w:t>
      </w:r>
      <w:r w:rsidRPr="007D0473">
        <w:rPr>
          <w:rFonts w:ascii="Arial" w:hAnsi="Arial"/>
          <w:sz w:val="22"/>
          <w:szCs w:val="22"/>
        </w:rPr>
        <w:t xml:space="preserve"> </w:t>
      </w:r>
      <w:r w:rsidR="006F26B1" w:rsidRPr="007D0473">
        <w:rPr>
          <w:rFonts w:ascii="Arial" w:hAnsi="Arial"/>
          <w:sz w:val="22"/>
          <w:szCs w:val="22"/>
        </w:rPr>
        <w:t xml:space="preserve">genes </w:t>
      </w:r>
      <w:r w:rsidRPr="007D0473">
        <w:rPr>
          <w:rFonts w:ascii="Arial" w:hAnsi="Arial"/>
          <w:sz w:val="22"/>
          <w:szCs w:val="22"/>
        </w:rPr>
        <w:t>w</w:t>
      </w:r>
      <w:r w:rsidR="006F26B1" w:rsidRPr="007D0473">
        <w:rPr>
          <w:rFonts w:ascii="Arial" w:hAnsi="Arial"/>
          <w:sz w:val="22"/>
          <w:szCs w:val="22"/>
        </w:rPr>
        <w:t>ere</w:t>
      </w:r>
      <w:r w:rsidRPr="007D0473">
        <w:rPr>
          <w:rFonts w:ascii="Arial" w:hAnsi="Arial"/>
          <w:sz w:val="22"/>
          <w:szCs w:val="22"/>
        </w:rPr>
        <w:t xml:space="preserve"> determined </w:t>
      </w:r>
      <w:r w:rsidR="00BD54FB" w:rsidRPr="007D0473">
        <w:rPr>
          <w:rFonts w:ascii="Arial" w:hAnsi="Arial"/>
          <w:i/>
          <w:iCs/>
          <w:sz w:val="22"/>
          <w:szCs w:val="22"/>
        </w:rPr>
        <w:t>in silico</w:t>
      </w:r>
      <w:r w:rsidR="00BD54FB" w:rsidRPr="007D0473">
        <w:rPr>
          <w:rFonts w:ascii="Arial" w:hAnsi="Arial"/>
          <w:sz w:val="22"/>
          <w:szCs w:val="22"/>
        </w:rPr>
        <w:t xml:space="preserve"> </w:t>
      </w:r>
      <w:r w:rsidRPr="007D0473">
        <w:rPr>
          <w:rFonts w:ascii="Arial" w:hAnsi="Arial"/>
          <w:sz w:val="22"/>
          <w:szCs w:val="22"/>
        </w:rPr>
        <w:t>using oligonucleotide primers published previously</w:t>
      </w:r>
      <w:r w:rsidR="00BA7C2B" w:rsidRPr="007D0473">
        <w:rPr>
          <w:rFonts w:ascii="Arial" w:hAnsi="Arial"/>
          <w:sz w:val="22"/>
          <w:szCs w:val="22"/>
        </w:rPr>
        <w:t xml:space="preserve"> </w:t>
      </w:r>
      <w:r w:rsidR="00FF4F19" w:rsidRPr="007D0473">
        <w:rPr>
          <w:rFonts w:ascii="Arial" w:hAnsi="Arial"/>
          <w:sz w:val="22"/>
          <w:szCs w:val="22"/>
        </w:rPr>
        <w:fldChar w:fldCharType="begin" w:fldLock="1"/>
      </w:r>
      <w:r w:rsidR="00934FC9" w:rsidRPr="007D0473">
        <w:rPr>
          <w:rFonts w:ascii="Arial" w:hAnsi="Arial"/>
          <w:sz w:val="22"/>
          <w:szCs w:val="22"/>
        </w:rPr>
        <w:instrText>ADDIN CSL_CITATION {"citationItems":[{"id":"ITEM-1","itemData":{"DOI":"10.2807/1560-7917.ES.2018.23.21.1700473","ISSN":"1560-7917","author":[{"dropping-particle":"","family":"Lopes","given":"Elísia","non-dropping-particle":"","parse-names":false,"suffix":""},{"dropping-particle":"","family":"Fernandes","given":"Tânia","non-dropping-particle":"","parse-names":false,"suffix":""},{"dropping-particle":"","family":"Machado","given":"Miguel P","non-dropping-particle":"","parse-names":false,"suffix":""},{"dropping-particle":"","family":"Carriço","given":"João André","non-dropping-particle":"","parse-names":false,"suffix":""},{"dropping-particle":"","family":"Melo-Cristino","given":"José","non-dropping-particle":"","parse-names":false,"suffix":""},{"dropping-particle":"","family":"Ramirez","given":"Mário","non-dropping-particle":"","parse-names":false,"suffix":""},{"dropping-particle":"","family":"Martins","given":"Elisabete R","non-dropping-particle":"","parse-names":false,"suffix":""}],"container-title":"Eurosurveillance","id":"ITEM-1","issue":"21","issued":{"date-parts":[["2018","5"]]},"title":"Increasing macrolide resistance among Streptococcus agalactiae causing invasive disease in non-pregnant adults was driven by a single capsular-transformed lineage, Portugal, 2009 to 2015","type":"article-journal","volume":"23"},"uris":["http://www.mendeley.com/documents/?uuid=4bad89a0-aadc-4c1f-b5d7-c78a4fbcfe92"]},{"id":"ITEM-2","itemData":{"DOI":"10.1128/JCM.03554-13","ISSN":"1098660X","abstract":"We determined the capsular polysaccharide (CPS) type of 600 group B Streptococcus (GBS) (also known as Streptococcus agalactiae) strains recovered from patients with invasive infections in the greater Toronto area, Canada, between 2009 and 2012. GBS strains of CPS type III were the most prevalent among infants (44% in those with early-onset disease, 75% in those with lateonset disease), while type V strains were most frequently isolated from adult patients (26% in patients ≥19 years old). We next investigated the presence in our collection of GBS strains belonging to the hypervirulent multilocus sequence typing clonal complex 17 (CC17). We used a PCR test described as specific for the detection of CC17 strains, which targets the gene encoding the major virulence factor HvgA. We identified 91 hvgA-positive strains; of these, 88 were CPS type III, 2 were CPS type IV, and 1 was CPS type V. Using whole-genome sequencing, we showed that the two hvgA-positive CPS type IV strains are CC17 strains which underwent capsular switching. However, sequence analysis revealed that the hvgA-positive CPS type V strain does not belong to CC17 but instead is a bona fide CC1 strain which acquired hvgA, probably by recombination from a CC17 donor. Our findings underline the importance of recombination in GBS pathogenesis and caution against the use of single-gene-based PCR tests to detect CC17 GBS strains. Copyright © 2014, American Society for Microbiology. All Rights Reserved.","author":[{"dropping-particle":"","family":"Teatero","given":"Sarah","non-dropping-particle":"","parse-names":false,"suffix":""},{"dropping-particle":"","family":"McGeer","given":"Allison","non-dropping-particle":"","parse-names":false,"suffix":""},{"dropping-particle":"","family":"Low","given":"Donald E.","non-dropping-particle":"","parse-names":false,"suffix":""},{"dropping-particle":"","family":"Li","given":"Aimin","non-dropping-particle":"","parse-names":false,"suffix":""},{"dropping-particle":"","family":"Demczuk","given":"Walter","non-dropping-particle":"","parse-names":false,"suffix":""},{"dropping-particle":"","family":"Martin","given":"Irene","non-dropping-particle":"","parse-names":false,"suffix":""},{"dropping-particle":"","family":"Fittipaldia","given":"Nahuel","non-dropping-particle":"","parse-names":false,"suffix":""}],"container-title":"Journal of Clinical Microbiology","id":"ITEM-2","issue":"5","issued":{"date-parts":[["2014"]]},"title":"Characterization of invasive group B Streptococcus strains from the greater Toronto area, Canada","type":"article-journal","volume":"52"},"uris":["http://www.mendeley.com/documents/?uuid=52374ce9-1640-3f9e-aa20-701f8330f149"]}],"mendeley":{"formattedCitation":"[31,32]","plainTextFormattedCitation":"[31,32]","previouslyFormattedCitation":"[31,32]"},"properties":{"noteIndex":0},"schema":"https://github.com/citation-style-language/schema/raw/master/csl-citation.json"}</w:instrText>
      </w:r>
      <w:r w:rsidR="00FF4F19" w:rsidRPr="007D0473">
        <w:rPr>
          <w:rFonts w:ascii="Arial" w:hAnsi="Arial"/>
          <w:sz w:val="22"/>
          <w:szCs w:val="22"/>
        </w:rPr>
        <w:fldChar w:fldCharType="separate"/>
      </w:r>
      <w:r w:rsidR="00FC373A" w:rsidRPr="007D0473">
        <w:rPr>
          <w:rFonts w:ascii="Arial" w:hAnsi="Arial"/>
          <w:noProof/>
          <w:sz w:val="22"/>
          <w:szCs w:val="22"/>
        </w:rPr>
        <w:t>[31,32]</w:t>
      </w:r>
      <w:r w:rsidR="00FF4F19" w:rsidRPr="007D0473">
        <w:rPr>
          <w:rFonts w:ascii="Arial" w:hAnsi="Arial"/>
          <w:sz w:val="22"/>
          <w:szCs w:val="22"/>
        </w:rPr>
        <w:fldChar w:fldCharType="end"/>
      </w:r>
      <w:r w:rsidRPr="007D0473">
        <w:rPr>
          <w:rFonts w:ascii="Arial" w:hAnsi="Arial"/>
          <w:sz w:val="22"/>
          <w:szCs w:val="22"/>
        </w:rPr>
        <w:t>. Presence and absence of virulence genes alpha and alpha-like surface protein (</w:t>
      </w:r>
      <w:proofErr w:type="spellStart"/>
      <w:r w:rsidRPr="007D0473">
        <w:rPr>
          <w:rFonts w:ascii="Arial" w:hAnsi="Arial"/>
          <w:i/>
          <w:iCs/>
          <w:sz w:val="22"/>
          <w:szCs w:val="22"/>
        </w:rPr>
        <w:t>bca</w:t>
      </w:r>
      <w:proofErr w:type="spellEnd"/>
      <w:r w:rsidRPr="007D0473">
        <w:rPr>
          <w:rFonts w:ascii="Arial" w:hAnsi="Arial"/>
          <w:sz w:val="22"/>
          <w:szCs w:val="22"/>
        </w:rPr>
        <w:t xml:space="preserve">, </w:t>
      </w:r>
      <w:r w:rsidRPr="007D0473">
        <w:rPr>
          <w:rFonts w:ascii="Arial" w:hAnsi="Arial"/>
          <w:i/>
          <w:iCs/>
          <w:sz w:val="22"/>
          <w:szCs w:val="22"/>
        </w:rPr>
        <w:t>cba</w:t>
      </w:r>
      <w:r w:rsidRPr="007D0473">
        <w:rPr>
          <w:rFonts w:ascii="Arial" w:hAnsi="Arial"/>
          <w:sz w:val="22"/>
          <w:szCs w:val="22"/>
        </w:rPr>
        <w:t xml:space="preserve">, </w:t>
      </w:r>
      <w:r w:rsidRPr="007D0473">
        <w:rPr>
          <w:rFonts w:ascii="Arial" w:hAnsi="Arial"/>
          <w:i/>
          <w:iCs/>
          <w:sz w:val="22"/>
          <w:szCs w:val="22"/>
        </w:rPr>
        <w:t>rib</w:t>
      </w:r>
      <w:r w:rsidRPr="007D0473">
        <w:rPr>
          <w:rFonts w:ascii="Arial" w:hAnsi="Arial"/>
          <w:sz w:val="22"/>
          <w:szCs w:val="22"/>
        </w:rPr>
        <w:t xml:space="preserve">) and bacterial adhesin, </w:t>
      </w:r>
      <w:proofErr w:type="spellStart"/>
      <w:r w:rsidRPr="007D0473">
        <w:rPr>
          <w:rFonts w:ascii="Arial" w:hAnsi="Arial"/>
          <w:i/>
          <w:iCs/>
          <w:sz w:val="22"/>
          <w:szCs w:val="22"/>
        </w:rPr>
        <w:t>bib</w:t>
      </w:r>
      <w:r w:rsidRPr="007D0473">
        <w:rPr>
          <w:rFonts w:ascii="Arial" w:hAnsi="Arial"/>
          <w:sz w:val="22"/>
          <w:szCs w:val="22"/>
        </w:rPr>
        <w:t>A</w:t>
      </w:r>
      <w:proofErr w:type="spellEnd"/>
      <w:r w:rsidRPr="007D0473">
        <w:rPr>
          <w:rFonts w:ascii="Arial" w:hAnsi="Arial"/>
          <w:sz w:val="22"/>
          <w:szCs w:val="22"/>
        </w:rPr>
        <w:t xml:space="preserve">, was evaluated using SRST2 </w:t>
      </w:r>
      <w:r w:rsidR="008E61EE" w:rsidRPr="007D0473">
        <w:rPr>
          <w:rFonts w:ascii="Arial" w:hAnsi="Arial"/>
          <w:sz w:val="22"/>
          <w:szCs w:val="22"/>
        </w:rPr>
        <w:t xml:space="preserve">v0.2.0 </w:t>
      </w:r>
      <w:r w:rsidR="008E61EE" w:rsidRPr="007D0473">
        <w:rPr>
          <w:rFonts w:ascii="Arial" w:hAnsi="Arial"/>
          <w:sz w:val="22"/>
          <w:szCs w:val="22"/>
        </w:rPr>
        <w:fldChar w:fldCharType="begin" w:fldLock="1"/>
      </w:r>
      <w:r w:rsidR="00B31BD8">
        <w:rPr>
          <w:rFonts w:ascii="Arial" w:hAnsi="Arial"/>
          <w:sz w:val="22"/>
          <w:szCs w:val="22"/>
        </w:rPr>
        <w:instrText>ADDIN CSL_CITATION {"citationItems":[{"id":"ITEM-1","itemData":{"DOI":"10.1186/s13073-014-0090-6","ISBN":"1756-994X","ISSN":"1756994X","PMID":"25422674","abstract":"Rapid molecular typing of bacterial pathogens is critical for public health epidemiology, surveillance and infection control, yet routine use of whole genome sequencing (WGS) for these purposes poses significant challenges. Here we present SRST2, a read mapping-based tool for fast and accurate detection of genes, alleles and multi-locus sequence types (MLST) from WGS data. Using &gt;900 genomes from common pathogens, we show SRST2 is highly accurate and outperforms assembly-based methods in terms of both gene detection and allele assignment. We include validation of SRST2 within a public health laboratory, and demonstrate its use for microbial genome surveillance in the hospital setting. In the face of rising threats of antimicrobial resistance and emerging virulence among bacterial pathogens, SRST2 represents a powerful tool for rapidly extracting clinically useful information from raw WGS data. Source code is available from http://katholt.github.io/srst2/.","author":[{"dropping-particle":"","family":"Inouye","given":"Michael","non-dropping-particle":"","parse-names":false,"suffix":""},{"dropping-particle":"","family":"Dashnow","given":"Harriet","non-dropping-particle":"","parse-names":false,"suffix":""},{"dropping-particle":"","family":"Raven","given":"Lesley Ann","non-dropping-particle":"","parse-names":false,"suffix":""},{"dropping-particle":"","family":"Schultz","given":"Mark B.","non-dropping-particle":"","parse-names":false,"suffix":""},{"dropping-particle":"","family":"Pope","given":"Bernard J.","non-dropping-particle":"","parse-names":false,"suffix":""},{"dropping-particle":"","family":"Tomita","given":"Takehiro","non-dropping-particle":"","parse-names":false,"suffix":""},{"dropping-particle":"","family":"Zobel","given":"Justin","non-dropping-particle":"","parse-names":false,"suffix":""},{"dropping-particle":"","family":"Holt","given":"Kathryn E.","non-dropping-particle":"","parse-names":false,"suffix":""}],"container-title":"Genome Medicine","id":"ITEM-1","issued":{"date-parts":[["2014"]]},"title":"SRST2: Rapid genomic surveillance for public health and hospital microbiology labs","type":"article-journal"},"uris":["http://www.mendeley.com/documents/?uuid=49d08771-eee9-4ffd-90ea-6fe8d7a951b4"]}],"mendeley":{"formattedCitation":"[29]","plainTextFormattedCitation":"[29]","previouslyFormattedCitation":"[29]"},"properties":{"noteIndex":0},"schema":"https://github.com/citation-style-language/schema/raw/master/csl-citation.json"}</w:instrText>
      </w:r>
      <w:r w:rsidR="008E61EE" w:rsidRPr="007D0473">
        <w:rPr>
          <w:rFonts w:ascii="Arial" w:hAnsi="Arial"/>
          <w:sz w:val="22"/>
          <w:szCs w:val="22"/>
        </w:rPr>
        <w:fldChar w:fldCharType="separate"/>
      </w:r>
      <w:r w:rsidR="00FC373A" w:rsidRPr="007D0473">
        <w:rPr>
          <w:rFonts w:ascii="Arial" w:hAnsi="Arial"/>
          <w:noProof/>
          <w:sz w:val="22"/>
          <w:szCs w:val="22"/>
        </w:rPr>
        <w:t>[29]</w:t>
      </w:r>
      <w:r w:rsidR="008E61EE" w:rsidRPr="007D0473">
        <w:rPr>
          <w:rFonts w:ascii="Arial" w:hAnsi="Arial"/>
          <w:sz w:val="22"/>
          <w:szCs w:val="22"/>
        </w:rPr>
        <w:fldChar w:fldCharType="end"/>
      </w:r>
      <w:r w:rsidRPr="007D0473">
        <w:rPr>
          <w:rFonts w:ascii="Arial" w:hAnsi="Arial"/>
          <w:sz w:val="22"/>
          <w:szCs w:val="22"/>
        </w:rPr>
        <w:t xml:space="preserve"> and </w:t>
      </w:r>
      <w:proofErr w:type="spellStart"/>
      <w:r w:rsidRPr="007D0473">
        <w:rPr>
          <w:rFonts w:ascii="Arial" w:hAnsi="Arial"/>
          <w:sz w:val="22"/>
          <w:szCs w:val="22"/>
        </w:rPr>
        <w:t>Geneious</w:t>
      </w:r>
      <w:proofErr w:type="spellEnd"/>
      <w:r w:rsidRPr="007D0473">
        <w:rPr>
          <w:rFonts w:ascii="Arial" w:hAnsi="Arial"/>
          <w:sz w:val="22"/>
          <w:szCs w:val="22"/>
        </w:rPr>
        <w:t xml:space="preserve"> 11.0.5</w:t>
      </w:r>
      <w:r w:rsidR="008E61EE" w:rsidRPr="007D0473">
        <w:rPr>
          <w:rFonts w:ascii="Arial" w:hAnsi="Arial"/>
          <w:sz w:val="22"/>
          <w:szCs w:val="22"/>
        </w:rPr>
        <w:t xml:space="preserve"> </w:t>
      </w:r>
      <w:r w:rsidR="00C41B79" w:rsidRPr="007D0473">
        <w:rPr>
          <w:rFonts w:ascii="Arial" w:hAnsi="Arial"/>
          <w:sz w:val="22"/>
          <w:szCs w:val="22"/>
        </w:rPr>
        <w:fldChar w:fldCharType="begin" w:fldLock="1"/>
      </w:r>
      <w:r w:rsidR="00FC373A" w:rsidRPr="007D0473">
        <w:rPr>
          <w:rFonts w:ascii="Arial" w:hAnsi="Arial"/>
          <w:sz w:val="22"/>
          <w:szCs w:val="22"/>
        </w:rPr>
        <w:instrText>ADDIN CSL_CITATION {"citationItems":[{"id":"ITEM-1","itemData":{"DOI":"10.3732/apps.1400062","ISSN":"2168-0450","abstract":"• Premise of the study: As systematists grapple with how to best harness the power of next-generation sequencing (NGS), a deluge of review papers, methods, and analytical tools make choosing the right method diffi cult. Oreocarya (Boraginaceae), a genus of 63 species, is a good example of a group lacking both species-level resolution and genomic resources. The use of Geneious removes bioinformatic barriers and makes NGS genome skimming accessible to even the least tech-savvy systematists. • Methods: A combination of de novo and reference-guided assemblies was used to process 100-bp single-end Illumina HiSeq 2000 reads. A subset of 25 taxa was used to test the suitability of genome skimming for future systematic studies in recalcitrant lineages like Oreocarya . • Results: The nuclear ribosomal cistron, the plastome, and 12 mitochondrial genes were recovered from all 25 taxa. All data processing and phylogenomic analyses were performed in Geneious. We report possible future multiplexing levels and pub- lished low-copy nuclear genes represented within de novo contigs. • Discussion: Genome skimming represents a much-improved primary data collection over PCR +Sanger sequencing when chlo- roplast DNA (cpDNA), nuclear ribosomal DNA (nrDNA), and mitochondrial DNA (mtDNA) are the target sequences. This study details methods that plant systematists can employ to study their own taxa of interest.","author":[{"dropping-particle":"","family":"Ripma","given":"Lee A.","non-dropping-particle":"","parse-names":false,"suffix":""},{"dropping-particle":"","family":"Simpson","given":"Michael G.","non-dropping-particle":"","parse-names":false,"suffix":""},{"dropping-particle":"","family":"Hasenstab-Lehman","given":"Kristen","non-dropping-particle":"","parse-names":false,"suffix":""}],"container-title":"Applications in Plant Sciences","id":"ITEM-1","issue":"12","issued":{"date-parts":[["2014"]]},"title":" Geneious! Simplified Genome Skimming Methods for Phylogenetic Systematic Studies: A Case Study in Oreocarya (Boraginaceae) ","type":"article-journal","volume":"2"},"uris":["http://www.mendeley.com/documents/?uuid=767afb36-f77f-3a90-b521-a6c0df3768ef"]}],"mendeley":{"formattedCitation":"[23]","plainTextFormattedCitation":"[23]","previouslyFormattedCitation":"[23]"},"properties":{"noteIndex":0},"schema":"https://github.com/citation-style-language/schema/raw/master/csl-citation.json"}</w:instrText>
      </w:r>
      <w:r w:rsidR="00C41B79" w:rsidRPr="007D0473">
        <w:rPr>
          <w:rFonts w:ascii="Arial" w:hAnsi="Arial"/>
          <w:sz w:val="22"/>
          <w:szCs w:val="22"/>
        </w:rPr>
        <w:fldChar w:fldCharType="separate"/>
      </w:r>
      <w:r w:rsidR="00AD2744" w:rsidRPr="007D0473">
        <w:rPr>
          <w:rFonts w:ascii="Arial" w:hAnsi="Arial"/>
          <w:noProof/>
          <w:sz w:val="22"/>
          <w:szCs w:val="22"/>
        </w:rPr>
        <w:t>[23]</w:t>
      </w:r>
      <w:r w:rsidR="00C41B79" w:rsidRPr="007D0473">
        <w:rPr>
          <w:rFonts w:ascii="Arial" w:hAnsi="Arial"/>
          <w:sz w:val="22"/>
          <w:szCs w:val="22"/>
        </w:rPr>
        <w:fldChar w:fldCharType="end"/>
      </w:r>
      <w:r w:rsidRPr="007D0473">
        <w:rPr>
          <w:rFonts w:ascii="Arial" w:hAnsi="Arial"/>
          <w:sz w:val="22"/>
          <w:szCs w:val="22"/>
        </w:rPr>
        <w:t>.</w:t>
      </w:r>
    </w:p>
    <w:p w14:paraId="421EB162" w14:textId="77777777" w:rsidR="001244E9" w:rsidRPr="007D0473" w:rsidRDefault="001244E9" w:rsidP="00DB7C46">
      <w:pPr>
        <w:spacing w:before="120" w:after="120" w:line="480" w:lineRule="auto"/>
        <w:rPr>
          <w:rFonts w:ascii="Arial" w:hAnsi="Arial"/>
          <w:sz w:val="22"/>
          <w:szCs w:val="22"/>
        </w:rPr>
      </w:pPr>
    </w:p>
    <w:p w14:paraId="2E87D026" w14:textId="77777777" w:rsidR="001244E9" w:rsidRPr="007D0473" w:rsidRDefault="001244E9" w:rsidP="00DB7C46">
      <w:pPr>
        <w:spacing w:before="120" w:after="120" w:line="480" w:lineRule="auto"/>
        <w:rPr>
          <w:rFonts w:ascii="Arial" w:hAnsi="Arial"/>
          <w:b/>
          <w:bCs/>
          <w:i/>
          <w:iCs/>
          <w:sz w:val="22"/>
          <w:szCs w:val="22"/>
        </w:rPr>
      </w:pPr>
      <w:r w:rsidRPr="007D0473">
        <w:rPr>
          <w:rFonts w:ascii="Arial" w:hAnsi="Arial"/>
          <w:b/>
          <w:bCs/>
          <w:i/>
          <w:iCs/>
          <w:sz w:val="22"/>
          <w:szCs w:val="22"/>
        </w:rPr>
        <w:t>Phylogenetic Analysis</w:t>
      </w:r>
    </w:p>
    <w:p w14:paraId="2B490996" w14:textId="4A4AB3A2" w:rsidR="001244E9" w:rsidRPr="007D0473" w:rsidRDefault="166D54BD" w:rsidP="00DB7C46">
      <w:pPr>
        <w:spacing w:before="120" w:after="120" w:line="480" w:lineRule="auto"/>
        <w:rPr>
          <w:rFonts w:ascii="Arial" w:hAnsi="Arial"/>
          <w:sz w:val="22"/>
          <w:szCs w:val="22"/>
        </w:rPr>
      </w:pPr>
      <w:r w:rsidRPr="007D0473">
        <w:rPr>
          <w:rFonts w:ascii="Arial" w:hAnsi="Arial"/>
          <w:sz w:val="22"/>
          <w:szCs w:val="22"/>
        </w:rPr>
        <w:t>Raw reads</w:t>
      </w:r>
      <w:r w:rsidR="7B242BD5" w:rsidRPr="007D0473">
        <w:rPr>
          <w:rFonts w:ascii="Arial" w:hAnsi="Arial"/>
          <w:sz w:val="22"/>
          <w:szCs w:val="22"/>
        </w:rPr>
        <w:t xml:space="preserve"> were mapped to</w:t>
      </w:r>
      <w:r w:rsidR="1636F041" w:rsidRPr="007D0473">
        <w:rPr>
          <w:rFonts w:ascii="Arial" w:hAnsi="Arial"/>
          <w:sz w:val="22"/>
          <w:szCs w:val="22"/>
        </w:rPr>
        <w:t xml:space="preserve"> a </w:t>
      </w:r>
      <w:r w:rsidR="7B242BD5" w:rsidRPr="007D0473">
        <w:rPr>
          <w:rFonts w:ascii="Arial" w:hAnsi="Arial"/>
          <w:sz w:val="22"/>
          <w:szCs w:val="22"/>
        </w:rPr>
        <w:t xml:space="preserve">reference genome and Single Nucleotide Polymorphisms (SNPs) were called using snippy v3.2 (https://github.com/tseemann/snippy). </w:t>
      </w:r>
      <w:r w:rsidR="00D1540C" w:rsidRPr="00D1540C">
        <w:rPr>
          <w:rFonts w:ascii="Arial" w:hAnsi="Arial"/>
          <w:sz w:val="22"/>
          <w:szCs w:val="22"/>
        </w:rPr>
        <w:t xml:space="preserve">For the SNPs based genomic analysis we have selected genetically closest closed reference genome available from NCBI (available from NCBI </w:t>
      </w:r>
      <w:hyperlink r:id="rId13" w:history="1">
        <w:r w:rsidR="00D1540C" w:rsidRPr="00D1540C">
          <w:rPr>
            <w:rStyle w:val="Hyperlink"/>
            <w:rFonts w:ascii="Arial" w:hAnsi="Arial"/>
            <w:sz w:val="22"/>
            <w:szCs w:val="22"/>
          </w:rPr>
          <w:t>https://www.ncbi.nlm.nih.gov/genome/browse/#!/prokaryotes/186/</w:t>
        </w:r>
      </w:hyperlink>
      <w:r w:rsidR="00D1540C" w:rsidRPr="00D1540C">
        <w:rPr>
          <w:rFonts w:ascii="Arial" w:hAnsi="Arial"/>
          <w:sz w:val="22"/>
          <w:szCs w:val="22"/>
        </w:rPr>
        <w:t>) that matched our isolates</w:t>
      </w:r>
      <w:r w:rsidR="00B04AA3">
        <w:rPr>
          <w:rFonts w:ascii="Arial" w:hAnsi="Arial"/>
          <w:sz w:val="22"/>
          <w:szCs w:val="22"/>
        </w:rPr>
        <w:t xml:space="preserve"> </w:t>
      </w:r>
      <w:r w:rsidR="00D1540C" w:rsidRPr="00D1540C">
        <w:rPr>
          <w:rFonts w:ascii="Arial" w:hAnsi="Arial"/>
          <w:sz w:val="22"/>
          <w:szCs w:val="22"/>
        </w:rPr>
        <w:t>by the most common MLST genotype and serotype</w:t>
      </w:r>
      <w:r w:rsidR="00D1540C">
        <w:rPr>
          <w:rFonts w:ascii="Arial" w:hAnsi="Arial"/>
          <w:i/>
          <w:iCs/>
          <w:sz w:val="22"/>
          <w:szCs w:val="22"/>
        </w:rPr>
        <w:t xml:space="preserve"> </w:t>
      </w:r>
      <w:r w:rsidR="7B242BD5" w:rsidRPr="007D0473">
        <w:rPr>
          <w:rFonts w:ascii="Arial" w:hAnsi="Arial"/>
          <w:sz w:val="22"/>
          <w:szCs w:val="22"/>
        </w:rPr>
        <w:t xml:space="preserve">observed within the CCs as follows: for the analysis of CC1 isolates, reference sequence SS1 (NZ_CP010867.1) was used; for the CC17 reference sequence COH1 (NZ_HG939456.1), for the CC19 reference sequence SG-M25 (CP021867), for the analysis of CC8 reference sequence Sag37 (NZ_CP019978.1) and for CC23 reference sequence FDAARGO_512 (NZ_CP033822.1). </w:t>
      </w:r>
      <w:r w:rsidR="00C401D1" w:rsidRPr="007D0473">
        <w:rPr>
          <w:rFonts w:ascii="Arial" w:hAnsi="Arial"/>
          <w:sz w:val="22"/>
          <w:szCs w:val="22"/>
        </w:rPr>
        <w:t xml:space="preserve">Gubbins v.2.3.4 </w:t>
      </w:r>
      <w:r w:rsidR="00C401D1" w:rsidRPr="007D0473">
        <w:rPr>
          <w:rFonts w:ascii="Arial" w:hAnsi="Arial"/>
          <w:sz w:val="22"/>
          <w:szCs w:val="22"/>
        </w:rPr>
        <w:fldChar w:fldCharType="begin" w:fldLock="1"/>
      </w:r>
      <w:r w:rsidR="00874F6E" w:rsidRPr="007D0473">
        <w:rPr>
          <w:rFonts w:ascii="Arial" w:hAnsi="Arial"/>
          <w:sz w:val="22"/>
          <w:szCs w:val="22"/>
        </w:rPr>
        <w:instrText>ADDIN CSL_CITATION {"citationItems":[{"id":"ITEM-1","itemData":{"DOI":"10.1093/nar/gku1196","ISSN":"13624962","abstract":"The emergence of new sequencing technologies has facilitated the use of bacterial whole genome alignments for evolutionary studies and outbreak analyses. These datasets, of increasing size, often include examples of multiple different mechanisms of horizontal sequence transfer resulting in substantial alterations to prokaryotic chromosomes. The impact of these processes demands rapid and flexible approaches able to account for recombination when reconstructing isolates' recent diversification. Gubbins is an iterative algorithm that uses spatial scanning statistics to identify loci containing elevated densities of base substitutions suggestive of horizontal sequence transfer while concurrently constructing a maximum likelihood phylogeny based on the putative point mutations outside these regions of high sequence diversity. Simulations demonstrate the algorithm generates highly accurate reconstructions under realistically parameterized models of bacterial evolution, and achieves convergence in only a few hours on alignments of hundreds of bacterial genome sequences. Gubbins is appropriate for reconstructing the recent evolutionary history of a variety of haploid genotype alignments, as it makes no assumptions about the underlying mechanism of recombination. The software is freely available for download at github.com/sangerpathogens/Gubbins, implemented in Python and C and supported on Linux and Mac OS X.","author":[{"dropping-particle":"","family":"Croucher","given":"Nicholas J.","non-dropping-particle":"","parse-names":false,"suffix":""},{"dropping-particle":"","family":"Page","given":"Andrew J.","non-dropping-particle":"","parse-names":false,"suffix":""},{"dropping-particle":"","family":"Connor","given":"Thomas R.","non-dropping-particle":"","parse-names":false,"suffix":""},{"dropping-particle":"","family":"Delaney","given":"Aidan J.","non-dropping-particle":"","parse-names":false,"suffix":""},{"dropping-particle":"","family":"Keane","given":"Jacqueline A.","non-dropping-particle":"","parse-names":false,"suffix":""},{"dropping-particle":"","family":"Bentley","given":"Stephen D.","non-dropping-particle":"","parse-names":false,"suffix":""},{"dropping-particle":"","family":"Parkhill","given":"Julian","non-dropping-particle":"","parse-names":false,"suffix":""},{"dropping-particle":"","family":"Harris","given":"Simon R.","non-dropping-particle":"","parse-names":false,"suffix":""}],"container-title":"Nucleic Acids Research","id":"ITEM-1","issue":"3","issued":{"date-parts":[["2015"]]},"title":"Rapid phylogenetic analysis of large samples of recombinant bacterial whole genome sequences using Gubbins","type":"article-journal","volume":"43"},"uris":["http://www.mendeley.com/documents/?uuid=9e42c985-509f-33ad-8c1e-e72957dd210d"]}],"mendeley":{"formattedCitation":"[33]","plainTextFormattedCitation":"[33]","previouslyFormattedCitation":"[33]"},"properties":{"noteIndex":0},"schema":"https://github.com/citation-style-language/schema/raw/master/csl-citation.json"}</w:instrText>
      </w:r>
      <w:r w:rsidR="00C401D1" w:rsidRPr="007D0473">
        <w:rPr>
          <w:rFonts w:ascii="Arial" w:hAnsi="Arial"/>
          <w:sz w:val="22"/>
          <w:szCs w:val="22"/>
        </w:rPr>
        <w:fldChar w:fldCharType="separate"/>
      </w:r>
      <w:r w:rsidR="00C401D1" w:rsidRPr="007D0473">
        <w:rPr>
          <w:rFonts w:ascii="Arial" w:hAnsi="Arial"/>
          <w:noProof/>
          <w:sz w:val="22"/>
          <w:szCs w:val="22"/>
        </w:rPr>
        <w:t>[33]</w:t>
      </w:r>
      <w:r w:rsidR="00C401D1" w:rsidRPr="007D0473">
        <w:rPr>
          <w:rFonts w:ascii="Arial" w:hAnsi="Arial"/>
          <w:sz w:val="22"/>
          <w:szCs w:val="22"/>
        </w:rPr>
        <w:fldChar w:fldCharType="end"/>
      </w:r>
      <w:r w:rsidR="00C401D1" w:rsidRPr="007D0473">
        <w:rPr>
          <w:rFonts w:ascii="Arial" w:hAnsi="Arial"/>
          <w:sz w:val="22"/>
          <w:szCs w:val="22"/>
        </w:rPr>
        <w:t xml:space="preserve"> was used to identify and remove the recombination regions prior reconstructing a m</w:t>
      </w:r>
      <w:r w:rsidR="503F62D7" w:rsidRPr="007D0473">
        <w:rPr>
          <w:rFonts w:ascii="Arial" w:hAnsi="Arial"/>
          <w:sz w:val="22"/>
          <w:szCs w:val="22"/>
        </w:rPr>
        <w:t xml:space="preserve">aximum-likelihood phylogenetic </w:t>
      </w:r>
      <w:r w:rsidR="00C401D1" w:rsidRPr="007D0473">
        <w:rPr>
          <w:rFonts w:ascii="Arial" w:hAnsi="Arial"/>
          <w:sz w:val="22"/>
          <w:szCs w:val="22"/>
        </w:rPr>
        <w:t xml:space="preserve">tree using </w:t>
      </w:r>
      <w:r w:rsidR="503F62D7" w:rsidRPr="007D0473">
        <w:rPr>
          <w:rFonts w:ascii="Arial" w:hAnsi="Arial"/>
          <w:sz w:val="22"/>
          <w:szCs w:val="22"/>
        </w:rPr>
        <w:t xml:space="preserve">core SNPs alignment </w:t>
      </w:r>
      <w:r w:rsidR="00C401D1" w:rsidRPr="007D0473">
        <w:rPr>
          <w:rFonts w:ascii="Arial" w:hAnsi="Arial"/>
          <w:sz w:val="22"/>
          <w:szCs w:val="22"/>
        </w:rPr>
        <w:t xml:space="preserve">and </w:t>
      </w:r>
      <w:proofErr w:type="spellStart"/>
      <w:r w:rsidR="00C401D1" w:rsidRPr="007D0473">
        <w:rPr>
          <w:rFonts w:ascii="Arial" w:hAnsi="Arial"/>
          <w:sz w:val="22"/>
          <w:szCs w:val="22"/>
        </w:rPr>
        <w:t>RAxML</w:t>
      </w:r>
      <w:proofErr w:type="spellEnd"/>
      <w:r w:rsidR="00C401D1" w:rsidRPr="007D0473">
        <w:rPr>
          <w:rFonts w:ascii="Arial" w:hAnsi="Arial"/>
          <w:sz w:val="22"/>
          <w:szCs w:val="22"/>
        </w:rPr>
        <w:t xml:space="preserve"> </w:t>
      </w:r>
      <w:r w:rsidR="00987E17" w:rsidRPr="007D0473">
        <w:rPr>
          <w:rFonts w:ascii="Arial" w:hAnsi="Arial"/>
          <w:sz w:val="22"/>
          <w:szCs w:val="22"/>
        </w:rPr>
        <w:fldChar w:fldCharType="begin" w:fldLock="1"/>
      </w:r>
      <w:r w:rsidR="004C2EAA" w:rsidRPr="007D0473">
        <w:rPr>
          <w:rFonts w:ascii="Arial" w:hAnsi="Arial"/>
          <w:sz w:val="22"/>
          <w:szCs w:val="22"/>
        </w:rPr>
        <w:instrText>ADDIN CSL_CITATION {"citationItems":[{"id":"ITEM-1","itemData":{"DOI":"10.1093/bioinformatics/btu033","ISBN":"1367-4811","ISSN":"14602059","PMID":"24451623","abstract":"MOTIVATION: Phylogenies are increasingly used in all fields of medical and biological research. Moreover, because of the next-generation sequencing revolution, datasets used for conducting phylogenetic analyses grow at an unprecedented pace. RAxML (Randomized Axelerated Maximum Likelihood) is a popular program for phylogenetic analyses of large datasets under maximum likelihood. Since the last RAxML paper in 2006, it has been continuously maintained and extended to accommodate the increasingly growing input datasets and to serve the needs of the user community.\\n\\nRESULTS: I present some of the most notable new features and extensions of RAxML, such as a substantial extension of substitution models and supported data types, the introduction of SSE3, AVX and AVX2 vector intrinsics, techniques for reducing the memory requirements of the code and a plethora of operations for conducting post-analyses on sets of trees. In addition, an up-to-date 50-page user manual covering all new RAxML options is available.","author":[{"dropping-particle":"","family":"Stamatakis","given":"Alexandros","non-dropping-particle":"","parse-names":false,"suffix":""}],"container-title":"Bioinformatics","id":"ITEM-1","issued":{"date-parts":[["2014"]]},"title":"RAxML version 8: A tool for phylogenetic analysis and post-analysis of large phylogenies","type":"article-journal"},"uris":["http://www.mendeley.com/documents/?uuid=1ef9720e-f2e9-4bc7-89c4-30dee6adcd85"]}],"mendeley":{"formattedCitation":"[34]","plainTextFormattedCitation":"[34]","previouslyFormattedCitation":"[34]"},"properties":{"noteIndex":0},"schema":"https://github.com/citation-style-language/schema/raw/master/csl-citation.json"}</w:instrText>
      </w:r>
      <w:r w:rsidR="00987E17" w:rsidRPr="007D0473">
        <w:rPr>
          <w:rFonts w:ascii="Arial" w:hAnsi="Arial"/>
          <w:sz w:val="22"/>
          <w:szCs w:val="22"/>
        </w:rPr>
        <w:fldChar w:fldCharType="separate"/>
      </w:r>
      <w:r w:rsidR="00987E17" w:rsidRPr="007D0473">
        <w:rPr>
          <w:rFonts w:ascii="Arial" w:hAnsi="Arial"/>
          <w:noProof/>
          <w:sz w:val="22"/>
          <w:szCs w:val="22"/>
        </w:rPr>
        <w:t>[34]</w:t>
      </w:r>
      <w:r w:rsidR="00987E17" w:rsidRPr="007D0473">
        <w:rPr>
          <w:rFonts w:ascii="Arial" w:hAnsi="Arial"/>
          <w:sz w:val="22"/>
          <w:szCs w:val="22"/>
        </w:rPr>
        <w:fldChar w:fldCharType="end"/>
      </w:r>
      <w:r w:rsidR="503F62D7" w:rsidRPr="007D0473">
        <w:rPr>
          <w:rFonts w:ascii="Arial" w:hAnsi="Arial"/>
          <w:sz w:val="22"/>
          <w:szCs w:val="22"/>
        </w:rPr>
        <w:t>. P</w:t>
      </w:r>
      <w:r w:rsidR="7B242BD5" w:rsidRPr="007D0473">
        <w:rPr>
          <w:rFonts w:ascii="Arial" w:hAnsi="Arial"/>
          <w:sz w:val="22"/>
          <w:szCs w:val="22"/>
        </w:rPr>
        <w:t>hylogenetic trees were visualized using the Interactive tree of life (</w:t>
      </w:r>
      <w:proofErr w:type="spellStart"/>
      <w:r w:rsidR="7B242BD5" w:rsidRPr="007D0473">
        <w:rPr>
          <w:rFonts w:ascii="Arial" w:hAnsi="Arial"/>
          <w:sz w:val="22"/>
          <w:szCs w:val="22"/>
        </w:rPr>
        <w:t>iTOL</w:t>
      </w:r>
      <w:proofErr w:type="spellEnd"/>
      <w:r w:rsidR="7B242BD5" w:rsidRPr="007D0473">
        <w:rPr>
          <w:rFonts w:ascii="Arial" w:hAnsi="Arial"/>
          <w:sz w:val="22"/>
          <w:szCs w:val="22"/>
        </w:rPr>
        <w:t>) (</w:t>
      </w:r>
      <w:hyperlink r:id="rId14">
        <w:r w:rsidR="7B242BD5" w:rsidRPr="007D0473">
          <w:rPr>
            <w:rStyle w:val="Hyperlink"/>
            <w:rFonts w:ascii="Arial" w:hAnsi="Arial"/>
            <w:sz w:val="22"/>
            <w:szCs w:val="22"/>
          </w:rPr>
          <w:t>https://itol.embl.de/</w:t>
        </w:r>
      </w:hyperlink>
      <w:r w:rsidR="7B242BD5" w:rsidRPr="007D0473">
        <w:rPr>
          <w:rFonts w:ascii="Arial" w:hAnsi="Arial"/>
          <w:sz w:val="22"/>
          <w:szCs w:val="22"/>
        </w:rPr>
        <w:t xml:space="preserve">) </w:t>
      </w:r>
      <w:r w:rsidR="00DB15A0" w:rsidRPr="007D0473">
        <w:rPr>
          <w:rFonts w:ascii="Arial" w:hAnsi="Arial"/>
          <w:sz w:val="22"/>
          <w:szCs w:val="22"/>
        </w:rPr>
        <w:fldChar w:fldCharType="begin" w:fldLock="1"/>
      </w:r>
      <w:r w:rsidR="004C2EAA" w:rsidRPr="007D0473">
        <w:rPr>
          <w:rFonts w:ascii="Arial" w:hAnsi="Arial"/>
          <w:sz w:val="22"/>
          <w:szCs w:val="22"/>
        </w:rPr>
        <w:instrText>ADDIN CSL_CITATION {"citationItems":[{"id":"ITEM-1","itemData":{"DOI":"10.1093/nar/gkz239","ISSN":"13624962","abstract":"The Interactive Tree Of Life (https://itol.embl.de) is an online tool for the display, manipulation and annotation of phylogenetic and other trees. It is freely available and open to everyone. The current version introduces four new dataset types, together with numerous new features. Annotation options have been expanded and new control options added for many display elements. An interactive spreadsheet-like editor has been implemented, providing dataset creation and editing directly in the web interface. Font support has been rewritten with full support for UTF-8 character encoding throughout the user interface. Google Web Fonts are now fully supported in the tree text labels. iTOL v4 is the first tool which supports direct visualization of Qiime 2 trees and associated annotations. The user account system has been streamlined and expanded with new navigation options, and currently handles &gt;700 000 trees from more than 40 000 individual users. Full batch access has been implemented allowing programmatic upload and export of trees and annotations.","author":[{"dropping-particle":"","family":"Letunic","given":"Ivica","non-dropping-particle":"","parse-names":false,"suffix":""},{"dropping-particle":"","family":"Bork","given":"Peer","non-dropping-particle":"","parse-names":false,"suffix":""}],"container-title":"Nucleic Acids Research","id":"ITEM-1","issue":"W1","issued":{"date-parts":[["2019"]]},"title":"Interactive Tree of Life (iTOL) v4: Recent updates and new developments","type":"article-journal","volume":"47"},"uris":["http://www.mendeley.com/documents/?uuid=7c46ffd3-1386-34be-b323-d1c875f3f379"]}],"mendeley":{"formattedCitation":"[35]","plainTextFormattedCitation":"[35]","previouslyFormattedCitation":"[35]"},"properties":{"noteIndex":0},"schema":"https://github.com/citation-style-language/schema/raw/master/csl-citation.json"}</w:instrText>
      </w:r>
      <w:r w:rsidR="00DB15A0" w:rsidRPr="007D0473">
        <w:rPr>
          <w:rFonts w:ascii="Arial" w:hAnsi="Arial"/>
          <w:sz w:val="22"/>
          <w:szCs w:val="22"/>
        </w:rPr>
        <w:fldChar w:fldCharType="separate"/>
      </w:r>
      <w:r w:rsidR="00987E17" w:rsidRPr="007D0473">
        <w:rPr>
          <w:rFonts w:ascii="Arial" w:hAnsi="Arial"/>
          <w:noProof/>
          <w:sz w:val="22"/>
          <w:szCs w:val="22"/>
        </w:rPr>
        <w:t>[35]</w:t>
      </w:r>
      <w:r w:rsidR="00DB15A0" w:rsidRPr="007D0473">
        <w:rPr>
          <w:rFonts w:ascii="Arial" w:hAnsi="Arial"/>
          <w:sz w:val="22"/>
          <w:szCs w:val="22"/>
        </w:rPr>
        <w:fldChar w:fldCharType="end"/>
      </w:r>
      <w:r w:rsidR="7B242BD5" w:rsidRPr="007D0473">
        <w:rPr>
          <w:rFonts w:ascii="Arial" w:hAnsi="Arial"/>
          <w:sz w:val="22"/>
          <w:szCs w:val="22"/>
        </w:rPr>
        <w:t>.</w:t>
      </w:r>
    </w:p>
    <w:p w14:paraId="2C0199C8" w14:textId="77777777" w:rsidR="001244E9" w:rsidRPr="007D0473" w:rsidRDefault="001244E9" w:rsidP="00DB7C46">
      <w:pPr>
        <w:spacing w:before="120" w:after="120" w:line="480" w:lineRule="auto"/>
        <w:rPr>
          <w:rFonts w:ascii="Arial" w:hAnsi="Arial"/>
          <w:sz w:val="22"/>
          <w:szCs w:val="22"/>
        </w:rPr>
      </w:pPr>
      <w:bookmarkStart w:id="1" w:name="page8"/>
      <w:bookmarkEnd w:id="1"/>
    </w:p>
    <w:p w14:paraId="547562C6" w14:textId="77777777" w:rsidR="001244E9" w:rsidRPr="007D0473" w:rsidRDefault="001244E9" w:rsidP="00DB7C46">
      <w:pPr>
        <w:spacing w:before="120" w:after="120" w:line="480" w:lineRule="auto"/>
        <w:rPr>
          <w:rFonts w:ascii="Arial" w:hAnsi="Arial"/>
          <w:b/>
          <w:bCs/>
          <w:i/>
          <w:iCs/>
          <w:sz w:val="22"/>
          <w:szCs w:val="22"/>
        </w:rPr>
      </w:pPr>
      <w:r w:rsidRPr="007D0473">
        <w:rPr>
          <w:rFonts w:ascii="Arial" w:hAnsi="Arial"/>
          <w:b/>
          <w:bCs/>
          <w:i/>
          <w:iCs/>
          <w:sz w:val="22"/>
          <w:szCs w:val="22"/>
        </w:rPr>
        <w:t>Recombination analysis to detect potential capsular switching events</w:t>
      </w:r>
    </w:p>
    <w:p w14:paraId="365B2CF5" w14:textId="2EDA3B2C" w:rsidR="008A1ED4" w:rsidRPr="007D0473" w:rsidRDefault="001244E9" w:rsidP="00DB7C46">
      <w:pPr>
        <w:spacing w:before="120" w:after="120" w:line="480" w:lineRule="auto"/>
        <w:rPr>
          <w:rFonts w:ascii="Arial" w:hAnsi="Arial"/>
          <w:b/>
          <w:bCs/>
          <w:sz w:val="22"/>
          <w:szCs w:val="22"/>
        </w:rPr>
      </w:pPr>
      <w:r w:rsidRPr="007D0473">
        <w:rPr>
          <w:rFonts w:ascii="Arial" w:hAnsi="Arial"/>
          <w:sz w:val="22"/>
          <w:szCs w:val="22"/>
        </w:rPr>
        <w:t xml:space="preserve">Gubbins </w:t>
      </w:r>
      <w:r w:rsidR="000F2EC0" w:rsidRPr="007D0473">
        <w:rPr>
          <w:rFonts w:ascii="Arial" w:hAnsi="Arial"/>
          <w:sz w:val="22"/>
          <w:szCs w:val="22"/>
        </w:rPr>
        <w:fldChar w:fldCharType="begin" w:fldLock="1"/>
      </w:r>
      <w:r w:rsidR="00874F6E" w:rsidRPr="007D0473">
        <w:rPr>
          <w:rFonts w:ascii="Arial" w:hAnsi="Arial"/>
          <w:sz w:val="22"/>
          <w:szCs w:val="22"/>
        </w:rPr>
        <w:instrText>ADDIN CSL_CITATION {"citationItems":[{"id":"ITEM-1","itemData":{"DOI":"10.1093/nar/gku1196","ISSN":"13624962","abstract":"The emergence of new sequencing technologies has facilitated the use of bacterial whole genome alignments for evolutionary studies and outbreak analyses. These datasets, of increasing size, often include examples of multiple different mechanisms of horizontal sequence transfer resulting in substantial alterations to prokaryotic chromosomes. The impact of these processes demands rapid and flexible approaches able to account for recombination when reconstructing isolates' recent diversification. Gubbins is an iterative algorithm that uses spatial scanning statistics to identify loci containing elevated densities of base substitutions suggestive of horizontal sequence transfer while concurrently constructing a maximum likelihood phylogeny based on the putative point mutations outside these regions of high sequence diversity. Simulations demonstrate the algorithm generates highly accurate reconstructions under realistically parameterized models of bacterial evolution, and achieves convergence in only a few hours on alignments of hundreds of bacterial genome sequences. Gubbins is appropriate for reconstructing the recent evolutionary history of a variety of haploid genotype alignments, as it makes no assumptions about the underlying mechanism of recombination. The software is freely available for download at github.com/sangerpathogens/Gubbins, implemented in Python and C and supported on Linux and Mac OS X.","author":[{"dropping-particle":"","family":"Croucher","given":"Nicholas J.","non-dropping-particle":"","parse-names":false,"suffix":""},{"dropping-particle":"","family":"Page","given":"Andrew J.","non-dropping-particle":"","parse-names":false,"suffix":""},{"dropping-particle":"","family":"Connor","given":"Thomas R.","non-dropping-particle":"","parse-names":false,"suffix":""},{"dropping-particle":"","family":"Delaney","given":"Aidan J.","non-dropping-particle":"","parse-names":false,"suffix":""},{"dropping-particle":"","family":"Keane","given":"Jacqueline A.","non-dropping-particle":"","parse-names":false,"suffix":""},{"dropping-particle":"","family":"Bentley","given":"Stephen D.","non-dropping-particle":"","parse-names":false,"suffix":""},{"dropping-particle":"","family":"Parkhill","given":"Julian","non-dropping-particle":"","parse-names":false,"suffix":""},{"dropping-particle":"","family":"Harris","given":"Simon R.","non-dropping-particle":"","parse-names":false,"suffix":""}],"container-title":"Nucleic Acids Research","id":"ITEM-1","issue":"3","issued":{"date-parts":[["2015"]]},"title":"Rapid phylogenetic analysis of large samples of recombinant bacterial whole genome sequences using Gubbins","type":"article-journal","volume":"43"},"uris":["http://www.mendeley.com/documents/?uuid=9e42c985-509f-33ad-8c1e-e72957dd210d"]}],"mendeley":{"formattedCitation":"[33]","plainTextFormattedCitation":"[33]","previouslyFormattedCitation":"[33]"},"properties":{"noteIndex":0},"schema":"https://github.com/citation-style-language/schema/raw/master/csl-citation.json"}</w:instrText>
      </w:r>
      <w:r w:rsidR="000F2EC0" w:rsidRPr="007D0473">
        <w:rPr>
          <w:rFonts w:ascii="Arial" w:hAnsi="Arial"/>
          <w:sz w:val="22"/>
          <w:szCs w:val="22"/>
        </w:rPr>
        <w:fldChar w:fldCharType="separate"/>
      </w:r>
      <w:r w:rsidR="00C401D1" w:rsidRPr="007D0473">
        <w:rPr>
          <w:rFonts w:ascii="Arial" w:hAnsi="Arial"/>
          <w:noProof/>
          <w:sz w:val="22"/>
          <w:szCs w:val="22"/>
        </w:rPr>
        <w:t>[33]</w:t>
      </w:r>
      <w:r w:rsidR="000F2EC0" w:rsidRPr="007D0473">
        <w:rPr>
          <w:rFonts w:ascii="Arial" w:hAnsi="Arial"/>
          <w:sz w:val="22"/>
          <w:szCs w:val="22"/>
        </w:rPr>
        <w:fldChar w:fldCharType="end"/>
      </w:r>
      <w:r w:rsidR="000F2EC0" w:rsidRPr="007D0473">
        <w:rPr>
          <w:rFonts w:ascii="Arial" w:hAnsi="Arial"/>
          <w:sz w:val="22"/>
          <w:szCs w:val="22"/>
        </w:rPr>
        <w:t xml:space="preserve"> </w:t>
      </w:r>
      <w:r w:rsidRPr="007D0473">
        <w:rPr>
          <w:rFonts w:ascii="Arial" w:hAnsi="Arial"/>
          <w:sz w:val="22"/>
          <w:szCs w:val="22"/>
        </w:rPr>
        <w:t xml:space="preserve">was used to </w:t>
      </w:r>
      <w:r w:rsidR="001B13BB" w:rsidRPr="007D0473">
        <w:rPr>
          <w:rFonts w:ascii="Arial" w:hAnsi="Arial"/>
          <w:sz w:val="22"/>
          <w:szCs w:val="22"/>
        </w:rPr>
        <w:t xml:space="preserve">detect </w:t>
      </w:r>
      <w:r w:rsidRPr="007D0473">
        <w:rPr>
          <w:rFonts w:ascii="Arial" w:hAnsi="Arial"/>
          <w:sz w:val="22"/>
          <w:szCs w:val="22"/>
        </w:rPr>
        <w:t xml:space="preserve">recombination hotspots and the BLAST ring image generator (BRIG) </w:t>
      </w:r>
      <w:r w:rsidR="007E01C8" w:rsidRPr="007D0473">
        <w:rPr>
          <w:rFonts w:ascii="Arial" w:hAnsi="Arial"/>
          <w:sz w:val="22"/>
          <w:szCs w:val="22"/>
        </w:rPr>
        <w:fldChar w:fldCharType="begin" w:fldLock="1"/>
      </w:r>
      <w:r w:rsidR="004C2EAA" w:rsidRPr="007D0473">
        <w:rPr>
          <w:rFonts w:ascii="Arial" w:hAnsi="Arial"/>
          <w:sz w:val="22"/>
          <w:szCs w:val="22"/>
        </w:rPr>
        <w:instrText>ADDIN CSL_CITATION {"citationItems":[{"id":"ITEM-1","itemData":{"DOI":"10.1186/1471-2164-12-402","ISSN":"14712164","PMID":"21824423","abstract":"Background: Visualisation of genome comparisons is invaluable for helping to determine genotypic differences between closely related prokaryotes. New visualisation and abstraction methods are required in order to improve the validation, interpretation and communication of genome sequence information; especially with the increasing amount of data arising from next-generation sequencing projects. Visualising a prokaryote genome as a circular image has become a powerful means of displaying informative comparisons of one genome to a number of others. Several programs, imaging libraries and internet resources already exist for this purpose, however, most are either limited in the number of comparisons they can show, are unable to adequately utilise draft genome sequence data, or require a knowledge of command-line scripting for implementation. Currently, there is no freely available desktop application that enables users to rapidly visualise comparisons between hundreds of draft or complete genomes in a single image.Results: BLAST Ring Image Generator (BRIG) can generate images that show multiple prokaryote genome comparisons, without an arbitrary limit on the number of genomes compared. The output image shows similarity between a central reference sequence and other sequences as a set of concentric rings, where BLAST matches are coloured on a sliding scale indicating a defined percentage identity. Images can also include draft genome assembly information to show read coverage, assembly breakpoints and collapsed repeats. In addition, BRIG supports the mapping of unassembled sequencing reads against one or more central reference sequences. Many types of custom data and annotations can be shown using BRIG, making it a versatile approach for visualising a range of genomic comparison data. BRIG is readily accessible to any user, as it assumes no specialist computational knowledge and will perform all required file parsing and BLAST comparisons automatically.Conclusions: There is a clear need for a user-friendly program that can produce genome comparisons for a large number of prokaryote genomes with an emphasis on rapidly utilising unfinished or unassembled genome data. Here we present BRIG, a cross-platform application that enables the interactive generation of comparative genomic images via a simple graphical-user interface. BRIG is freely available for all operating systems at http://sourceforge.net/projects/brig/. © 2011 Alikhan et al; licensee BioMed Centra…","author":[{"dropping-particle":"","family":"Alikhan","given":"Nabil Fareed","non-dropping-particle":"","parse-names":false,"suffix":""},{"dropping-particle":"","family":"Petty","given":"Nicola K.","non-dropping-particle":"","parse-names":false,"suffix":""},{"dropping-particle":"","family":"Zakour","given":"Nouri L.","non-dropping-particle":"Ben","parse-names":false,"suffix":""},{"dropping-particle":"","family":"Beatson","given":"Scott A.","non-dropping-particle":"","parse-names":false,"suffix":""}],"container-title":"BMC Genomics","id":"ITEM-1","issued":{"date-parts":[["2011"]]},"title":"BLAST Ring Image Generator (BRIG): Simple prokaryote genome comparisons","type":"article-journal"},"uris":["http://www.mendeley.com/documents/?uuid=b7409adf-1ecc-4e7f-9c4e-75eab9c9c219"]}],"mendeley":{"formattedCitation":"[36]","plainTextFormattedCitation":"[36]","previouslyFormattedCitation":"[36]"},"properties":{"noteIndex":0},"schema":"https://github.com/citation-style-language/schema/raw/master/csl-citation.json"}</w:instrText>
      </w:r>
      <w:r w:rsidR="007E01C8" w:rsidRPr="007D0473">
        <w:rPr>
          <w:rFonts w:ascii="Arial" w:hAnsi="Arial"/>
          <w:sz w:val="22"/>
          <w:szCs w:val="22"/>
        </w:rPr>
        <w:fldChar w:fldCharType="separate"/>
      </w:r>
      <w:r w:rsidR="00987E17" w:rsidRPr="007D0473">
        <w:rPr>
          <w:rFonts w:ascii="Arial" w:hAnsi="Arial"/>
          <w:noProof/>
          <w:sz w:val="22"/>
          <w:szCs w:val="22"/>
        </w:rPr>
        <w:t>[36]</w:t>
      </w:r>
      <w:r w:rsidR="007E01C8" w:rsidRPr="007D0473">
        <w:rPr>
          <w:rFonts w:ascii="Arial" w:hAnsi="Arial"/>
          <w:sz w:val="22"/>
          <w:szCs w:val="22"/>
        </w:rPr>
        <w:fldChar w:fldCharType="end"/>
      </w:r>
      <w:r w:rsidRPr="007D0473">
        <w:rPr>
          <w:rFonts w:ascii="Arial" w:hAnsi="Arial"/>
          <w:sz w:val="22"/>
          <w:szCs w:val="22"/>
        </w:rPr>
        <w:t xml:space="preserve"> was used to visualize </w:t>
      </w:r>
      <w:r w:rsidRPr="007B3A9C">
        <w:rPr>
          <w:rFonts w:ascii="Arial" w:hAnsi="Arial"/>
          <w:sz w:val="22"/>
          <w:szCs w:val="22"/>
        </w:rPr>
        <w:t xml:space="preserve">these recombination </w:t>
      </w:r>
      <w:r w:rsidR="00913367" w:rsidRPr="007B3A9C">
        <w:rPr>
          <w:rFonts w:ascii="Arial" w:hAnsi="Arial"/>
          <w:sz w:val="22"/>
          <w:szCs w:val="22"/>
        </w:rPr>
        <w:t>events</w:t>
      </w:r>
      <w:r w:rsidRPr="007B3A9C">
        <w:rPr>
          <w:rFonts w:ascii="Arial" w:hAnsi="Arial"/>
          <w:sz w:val="22"/>
          <w:szCs w:val="22"/>
        </w:rPr>
        <w:t>.</w:t>
      </w:r>
      <w:r w:rsidRPr="007D0473">
        <w:rPr>
          <w:rFonts w:ascii="Arial" w:hAnsi="Arial"/>
          <w:sz w:val="22"/>
          <w:szCs w:val="22"/>
        </w:rPr>
        <w:t xml:space="preserve"> Recombination analysis was performed against a reference genome</w:t>
      </w:r>
      <w:r w:rsidR="001F22FB" w:rsidRPr="007D0473">
        <w:rPr>
          <w:rFonts w:ascii="Arial" w:hAnsi="Arial"/>
          <w:sz w:val="22"/>
          <w:szCs w:val="22"/>
        </w:rPr>
        <w:t>:</w:t>
      </w:r>
      <w:r w:rsidRPr="007D0473">
        <w:rPr>
          <w:rFonts w:ascii="Arial" w:hAnsi="Arial"/>
          <w:sz w:val="22"/>
          <w:szCs w:val="22"/>
        </w:rPr>
        <w:t xml:space="preserve"> in non-serotype V ST1 isolates </w:t>
      </w:r>
      <w:r w:rsidR="00FF1F6D" w:rsidRPr="007D0473">
        <w:rPr>
          <w:rFonts w:ascii="Arial" w:hAnsi="Arial"/>
          <w:sz w:val="22"/>
          <w:szCs w:val="22"/>
        </w:rPr>
        <w:t>(n=</w:t>
      </w:r>
      <w:r w:rsidR="00E83DBA" w:rsidRPr="007D0473">
        <w:rPr>
          <w:rFonts w:ascii="Arial" w:hAnsi="Arial"/>
          <w:sz w:val="22"/>
          <w:szCs w:val="22"/>
        </w:rPr>
        <w:t>6</w:t>
      </w:r>
      <w:r w:rsidR="00FF1F6D" w:rsidRPr="007D0473">
        <w:rPr>
          <w:rFonts w:ascii="Arial" w:hAnsi="Arial"/>
          <w:sz w:val="22"/>
          <w:szCs w:val="22"/>
        </w:rPr>
        <w:t>)</w:t>
      </w:r>
      <w:r w:rsidR="00E83DBA" w:rsidRPr="007D0473">
        <w:rPr>
          <w:rFonts w:ascii="Arial" w:hAnsi="Arial"/>
          <w:sz w:val="22"/>
          <w:szCs w:val="22"/>
        </w:rPr>
        <w:t xml:space="preserve"> </w:t>
      </w:r>
      <w:r w:rsidRPr="007D0473">
        <w:rPr>
          <w:rFonts w:ascii="Arial" w:hAnsi="Arial"/>
          <w:sz w:val="22"/>
          <w:szCs w:val="22"/>
        </w:rPr>
        <w:t xml:space="preserve">using reference sequence SS1 (NZ_CP010867.1), for CC17 serotype IV </w:t>
      </w:r>
      <w:proofErr w:type="spellStart"/>
      <w:r w:rsidRPr="007D0473">
        <w:rPr>
          <w:rFonts w:ascii="Arial" w:hAnsi="Arial"/>
          <w:i/>
          <w:iCs/>
          <w:sz w:val="22"/>
          <w:szCs w:val="22"/>
        </w:rPr>
        <w:t>hvgA</w:t>
      </w:r>
      <w:proofErr w:type="spellEnd"/>
      <w:r w:rsidRPr="007D0473">
        <w:rPr>
          <w:rFonts w:ascii="Arial" w:hAnsi="Arial"/>
          <w:sz w:val="22"/>
          <w:szCs w:val="22"/>
        </w:rPr>
        <w:t xml:space="preserve"> positive </w:t>
      </w:r>
      <w:r w:rsidRPr="007D0473">
        <w:rPr>
          <w:rFonts w:ascii="Arial" w:hAnsi="Arial"/>
          <w:sz w:val="22"/>
          <w:szCs w:val="22"/>
        </w:rPr>
        <w:lastRenderedPageBreak/>
        <w:t>isolate (n=1) reference sequence COH1 (NZ_HG939456.1) was used</w:t>
      </w:r>
      <w:r w:rsidR="00B4230B" w:rsidRPr="007D0473">
        <w:rPr>
          <w:rFonts w:ascii="Arial" w:hAnsi="Arial"/>
          <w:sz w:val="22"/>
          <w:szCs w:val="22"/>
        </w:rPr>
        <w:t xml:space="preserve">, </w:t>
      </w:r>
      <w:r w:rsidRPr="007D0473">
        <w:rPr>
          <w:rFonts w:ascii="Arial" w:hAnsi="Arial"/>
          <w:sz w:val="22"/>
          <w:szCs w:val="22"/>
        </w:rPr>
        <w:t>for serotype V ST19 isolates (n=5) reference sequence SG-M25 (CP021867) was used</w:t>
      </w:r>
      <w:r w:rsidR="00B4230B" w:rsidRPr="007D0473">
        <w:rPr>
          <w:rFonts w:ascii="Arial" w:hAnsi="Arial"/>
          <w:sz w:val="22"/>
          <w:szCs w:val="22"/>
        </w:rPr>
        <w:t xml:space="preserve"> and for serotype V ST498 isolates (n=2) reference sequence FDAARGO_512 (NZ_CP033822.1) was used. </w:t>
      </w:r>
    </w:p>
    <w:p w14:paraId="62D8837A" w14:textId="35EF0FC3" w:rsidR="008A1ED4" w:rsidRDefault="008A1ED4" w:rsidP="00DB7C46">
      <w:pPr>
        <w:spacing w:before="120" w:after="120" w:line="480" w:lineRule="auto"/>
        <w:rPr>
          <w:rFonts w:ascii="Arial" w:hAnsi="Arial"/>
          <w:sz w:val="22"/>
          <w:szCs w:val="22"/>
        </w:rPr>
      </w:pPr>
    </w:p>
    <w:p w14:paraId="1D0476CB" w14:textId="77777777" w:rsidR="000957B0" w:rsidRPr="000957B0" w:rsidRDefault="000957B0" w:rsidP="000957B0">
      <w:pPr>
        <w:spacing w:before="120" w:after="120" w:line="480" w:lineRule="auto"/>
        <w:rPr>
          <w:rFonts w:ascii="Arial" w:hAnsi="Arial"/>
          <w:b/>
          <w:bCs/>
          <w:i/>
          <w:iCs/>
          <w:sz w:val="22"/>
          <w:szCs w:val="22"/>
        </w:rPr>
      </w:pPr>
      <w:r w:rsidRPr="000957B0">
        <w:rPr>
          <w:rFonts w:ascii="Arial" w:hAnsi="Arial"/>
          <w:b/>
          <w:bCs/>
          <w:i/>
          <w:iCs/>
          <w:sz w:val="22"/>
          <w:szCs w:val="22"/>
        </w:rPr>
        <w:t xml:space="preserve">Statistical analysis </w:t>
      </w:r>
    </w:p>
    <w:p w14:paraId="14AF73C4" w14:textId="372F7AEF" w:rsidR="00213436" w:rsidRPr="00673475" w:rsidRDefault="002444B6" w:rsidP="00DB7C46">
      <w:pPr>
        <w:spacing w:before="120" w:after="120" w:line="480" w:lineRule="auto"/>
        <w:rPr>
          <w:rFonts w:ascii="Arial" w:hAnsi="Arial"/>
          <w:sz w:val="22"/>
          <w:szCs w:val="22"/>
        </w:rPr>
      </w:pPr>
      <w:r w:rsidRPr="00673475">
        <w:rPr>
          <w:rFonts w:ascii="Arial" w:hAnsi="Arial"/>
          <w:sz w:val="22"/>
          <w:szCs w:val="22"/>
        </w:rPr>
        <w:t>Chi</w:t>
      </w:r>
      <w:r w:rsidR="00213436" w:rsidRPr="00673475">
        <w:rPr>
          <w:rFonts w:ascii="Arial" w:hAnsi="Arial"/>
          <w:sz w:val="22"/>
          <w:szCs w:val="22"/>
        </w:rPr>
        <w:t>-</w:t>
      </w:r>
      <w:r w:rsidRPr="00673475">
        <w:rPr>
          <w:rFonts w:ascii="Arial" w:hAnsi="Arial"/>
          <w:sz w:val="22"/>
          <w:szCs w:val="22"/>
        </w:rPr>
        <w:t>square</w:t>
      </w:r>
      <w:r w:rsidR="00213436" w:rsidRPr="00673475">
        <w:rPr>
          <w:rFonts w:ascii="Arial" w:hAnsi="Arial"/>
          <w:sz w:val="22"/>
          <w:szCs w:val="22"/>
        </w:rPr>
        <w:t xml:space="preserve">d and Fisher’s exact test were used to assess associations between </w:t>
      </w:r>
      <w:r w:rsidR="00081CDA" w:rsidRPr="00673475">
        <w:rPr>
          <w:rFonts w:ascii="Arial" w:hAnsi="Arial"/>
          <w:sz w:val="22"/>
          <w:szCs w:val="22"/>
        </w:rPr>
        <w:t xml:space="preserve">GBS serotype and patient gender. </w:t>
      </w:r>
      <w:r w:rsidR="00FB5372">
        <w:rPr>
          <w:rFonts w:ascii="Arial" w:hAnsi="Arial"/>
          <w:sz w:val="22"/>
          <w:szCs w:val="22"/>
        </w:rPr>
        <w:t xml:space="preserve">Data was visualised using ggplot2 </w:t>
      </w:r>
      <w:r w:rsidR="001D09F3">
        <w:rPr>
          <w:rFonts w:ascii="Arial" w:hAnsi="Arial"/>
          <w:sz w:val="22"/>
          <w:szCs w:val="22"/>
        </w:rPr>
        <w:fldChar w:fldCharType="begin" w:fldLock="1"/>
      </w:r>
      <w:r w:rsidR="001D09F3">
        <w:rPr>
          <w:rFonts w:ascii="Arial" w:hAnsi="Arial"/>
          <w:sz w:val="22"/>
          <w:szCs w:val="22"/>
        </w:rPr>
        <w:instrText>ADDIN CSL_CITATION {"citationItems":[{"id":"ITEM-1","itemData":{"ISSN":"0006341X","abstract":"1. 1 Welcome to ggplot2 ggplot2 is an R package for producing statistical, or data, graphics, but it is unlike most other graphics packages because it has a deep underlying grammar. This grammar, based on the Grammar of Graphics (Wilkinson, 2005), is composed of a set of independent components that can be composed in many di?erent ways. This makesggplot2 very powerful, because you are not limited to a set of pre-speci?ed graphics, but you can create new graphics that are precisely tailored for your problem. This may sound overwhelming, but because there is a simple set of core principles and very few special cases, ggplot2 is also easy to learn (although it may take a little time to forget your preconceptions from other graphics tools). Practically,ggplot2 provides beautiful, hassle-free plots, that take care of ?ddly details like drawing legends. The plots can be built up iteratively and edited later. A carefully chosen set of defaults means that most of the time you can produce a publication-quality graphic in seconds, but if you do have special formatting requirements, a comprehensive theming system makes it easy to do what you want. Instead of spending time making your graph look pretty, you can focus on creating a graph that best reveals the messages in your data.","author":[{"dropping-particle":"","family":"Wickham","given":"Hadley","non-dropping-particle":"","parse-names":false,"suffix":""}],"container-title":"Media","id":"ITEM-1","issue":"July","issued":{"date-parts":[["2009"]]},"title":"ggplot2: Elegant Graphics for Data Analysis. Springer-Verlag New York","type":"book","volume":"35"},"uris":["http://www.mendeley.com/documents/?uuid=ddcc95c6-6610-3ae0-9f0a-50265e93bcc5"]}],"mendeley":{"formattedCitation":"[37]","plainTextFormattedCitation":"[37]","previouslyFormattedCitation":"[37]"},"properties":{"noteIndex":0},"schema":"https://github.com/citation-style-language/schema/raw/master/csl-citation.json"}</w:instrText>
      </w:r>
      <w:r w:rsidR="001D09F3">
        <w:rPr>
          <w:rFonts w:ascii="Arial" w:hAnsi="Arial"/>
          <w:sz w:val="22"/>
          <w:szCs w:val="22"/>
        </w:rPr>
        <w:fldChar w:fldCharType="separate"/>
      </w:r>
      <w:r w:rsidR="001D09F3" w:rsidRPr="001D09F3">
        <w:rPr>
          <w:rFonts w:ascii="Arial" w:hAnsi="Arial"/>
          <w:noProof/>
          <w:sz w:val="22"/>
          <w:szCs w:val="22"/>
        </w:rPr>
        <w:t>[37]</w:t>
      </w:r>
      <w:r w:rsidR="001D09F3">
        <w:rPr>
          <w:rFonts w:ascii="Arial" w:hAnsi="Arial"/>
          <w:sz w:val="22"/>
          <w:szCs w:val="22"/>
        </w:rPr>
        <w:fldChar w:fldCharType="end"/>
      </w:r>
      <w:r w:rsidR="00673475">
        <w:rPr>
          <w:rFonts w:ascii="Arial" w:hAnsi="Arial"/>
          <w:sz w:val="22"/>
          <w:szCs w:val="22"/>
        </w:rPr>
        <w:t xml:space="preserve"> </w:t>
      </w:r>
      <w:r w:rsidR="00FB5372">
        <w:rPr>
          <w:rFonts w:ascii="Arial" w:hAnsi="Arial"/>
          <w:sz w:val="22"/>
          <w:szCs w:val="22"/>
        </w:rPr>
        <w:t xml:space="preserve">and </w:t>
      </w:r>
      <w:r w:rsidR="00FB5372" w:rsidRPr="00FB5372">
        <w:rPr>
          <w:rFonts w:ascii="Arial" w:hAnsi="Arial"/>
          <w:sz w:val="22"/>
          <w:szCs w:val="22"/>
        </w:rPr>
        <w:t>R version 4.0.2</w:t>
      </w:r>
      <w:r w:rsidR="001D09F3">
        <w:rPr>
          <w:rFonts w:ascii="Arial" w:hAnsi="Arial"/>
          <w:sz w:val="22"/>
          <w:szCs w:val="22"/>
        </w:rPr>
        <w:t xml:space="preserve"> </w:t>
      </w:r>
      <w:r w:rsidR="001D09F3">
        <w:rPr>
          <w:rFonts w:ascii="Arial" w:hAnsi="Arial"/>
          <w:sz w:val="22"/>
          <w:szCs w:val="22"/>
        </w:rPr>
        <w:fldChar w:fldCharType="begin" w:fldLock="1"/>
      </w:r>
      <w:r w:rsidR="00525F7B">
        <w:rPr>
          <w:rFonts w:ascii="Arial" w:hAnsi="Arial"/>
          <w:sz w:val="22"/>
          <w:szCs w:val="22"/>
        </w:rPr>
        <w:instrText>ADDIN CSL_CITATION {"citationItems":[{"id":"ITEM-1","itemData":{"abstract":"R Development Core Team (2011). R: A language and environment for statistical computing . R Foundation for Statistical Computing , Vienna, Austria. ISBN 3-900051-07-0, URL http://www.R-project.org/. ... The impact of open source software on the strategic choices ... \\n","author":[{"dropping-particle":"","family":"R Core Team","given":"","non-dropping-particle":"","parse-names":false,"suffix":""}],"container-title":"R Foundation for Statistical Computing","id":"ITEM-1","issued":{"date-parts":[["2019"]]},"title":"R: A language and environment for statistical computing.","type":"article"},"uris":["http://www.mendeley.com/documents/?uuid=3e4e1af1-3911-3a7d-b57e-bc253b82b918"]}],"mendeley":{"formattedCitation":"[38]","plainTextFormattedCitation":"[38]","previouslyFormattedCitation":"[38]"},"properties":{"noteIndex":0},"schema":"https://github.com/citation-style-language/schema/raw/master/csl-citation.json"}</w:instrText>
      </w:r>
      <w:r w:rsidR="001D09F3">
        <w:rPr>
          <w:rFonts w:ascii="Arial" w:hAnsi="Arial"/>
          <w:sz w:val="22"/>
          <w:szCs w:val="22"/>
        </w:rPr>
        <w:fldChar w:fldCharType="separate"/>
      </w:r>
      <w:r w:rsidR="001D09F3" w:rsidRPr="001D09F3">
        <w:rPr>
          <w:rFonts w:ascii="Arial" w:hAnsi="Arial"/>
          <w:noProof/>
          <w:sz w:val="22"/>
          <w:szCs w:val="22"/>
        </w:rPr>
        <w:t>[38]</w:t>
      </w:r>
      <w:r w:rsidR="001D09F3">
        <w:rPr>
          <w:rFonts w:ascii="Arial" w:hAnsi="Arial"/>
          <w:sz w:val="22"/>
          <w:szCs w:val="22"/>
        </w:rPr>
        <w:fldChar w:fldCharType="end"/>
      </w:r>
      <w:r w:rsidR="00FB5372">
        <w:rPr>
          <w:rFonts w:ascii="Arial" w:hAnsi="Arial"/>
          <w:sz w:val="22"/>
          <w:szCs w:val="22"/>
        </w:rPr>
        <w:t xml:space="preserve">. </w:t>
      </w:r>
    </w:p>
    <w:p w14:paraId="14AE65DD" w14:textId="77777777" w:rsidR="00CB07BE" w:rsidRPr="002444B6" w:rsidRDefault="00CB07BE" w:rsidP="00DB7C46">
      <w:pPr>
        <w:spacing w:before="120" w:after="120" w:line="480" w:lineRule="auto"/>
        <w:rPr>
          <w:rFonts w:ascii="Arial" w:hAnsi="Arial"/>
          <w:i/>
          <w:iCs/>
          <w:sz w:val="22"/>
          <w:szCs w:val="22"/>
        </w:rPr>
      </w:pPr>
    </w:p>
    <w:p w14:paraId="6FC361A5" w14:textId="77777777" w:rsidR="000957B0" w:rsidRPr="000957B0" w:rsidRDefault="000957B0" w:rsidP="000957B0">
      <w:pPr>
        <w:spacing w:before="120" w:after="120" w:line="480" w:lineRule="auto"/>
        <w:rPr>
          <w:rFonts w:ascii="Arial" w:hAnsi="Arial"/>
          <w:b/>
          <w:bCs/>
          <w:i/>
          <w:iCs/>
          <w:sz w:val="22"/>
          <w:szCs w:val="22"/>
        </w:rPr>
      </w:pPr>
      <w:r w:rsidRPr="000957B0">
        <w:rPr>
          <w:rFonts w:ascii="Arial" w:hAnsi="Arial"/>
          <w:b/>
          <w:bCs/>
          <w:i/>
          <w:iCs/>
          <w:sz w:val="22"/>
          <w:szCs w:val="22"/>
        </w:rPr>
        <w:t>Ethics</w:t>
      </w:r>
    </w:p>
    <w:p w14:paraId="3585EE61" w14:textId="77777777" w:rsidR="000957B0" w:rsidRPr="000957B0" w:rsidRDefault="000957B0" w:rsidP="000957B0">
      <w:pPr>
        <w:spacing w:before="120" w:after="120" w:line="480" w:lineRule="auto"/>
        <w:rPr>
          <w:rFonts w:ascii="Arial" w:hAnsi="Arial"/>
          <w:sz w:val="22"/>
          <w:szCs w:val="22"/>
        </w:rPr>
      </w:pPr>
      <w:r w:rsidRPr="000957B0">
        <w:rPr>
          <w:rFonts w:ascii="Arial" w:hAnsi="Arial"/>
          <w:sz w:val="22"/>
          <w:szCs w:val="22"/>
          <w:lang w:val="en"/>
        </w:rPr>
        <w:t>All data were collected within statutory approvals granted to the respective public health authorities in the United Kingdom and Ireland for infectious disease surveillance and control. Information was held securely and in accordance with the Data Protection Act 2018 and Caldicott guidelines.</w:t>
      </w:r>
      <w:r w:rsidRPr="000957B0">
        <w:rPr>
          <w:rFonts w:ascii="Arial" w:hAnsi="Arial"/>
          <w:i/>
          <w:iCs/>
          <w:sz w:val="22"/>
          <w:szCs w:val="22"/>
          <w:lang w:val="en"/>
        </w:rPr>
        <w:t> </w:t>
      </w:r>
      <w:r w:rsidRPr="000957B0">
        <w:rPr>
          <w:rFonts w:ascii="Arial" w:hAnsi="Arial"/>
          <w:sz w:val="22"/>
          <w:szCs w:val="22"/>
          <w:lang w:val="en"/>
        </w:rPr>
        <w:t>Ethical approval was not required, as only bacterial isolates from routine diagnostic samples were analysed; </w:t>
      </w:r>
      <w:r w:rsidRPr="000957B0">
        <w:rPr>
          <w:rFonts w:ascii="Arial" w:hAnsi="Arial"/>
          <w:sz w:val="22"/>
          <w:szCs w:val="22"/>
        </w:rPr>
        <w:t xml:space="preserve">metadata included was anonymised and aggregated by age-group.  </w:t>
      </w:r>
    </w:p>
    <w:p w14:paraId="0C35927A" w14:textId="77777777" w:rsidR="00571191" w:rsidRPr="007D0473" w:rsidRDefault="00571191" w:rsidP="00DB7C46">
      <w:pPr>
        <w:spacing w:before="120" w:after="120" w:line="480" w:lineRule="auto"/>
        <w:rPr>
          <w:rFonts w:ascii="Arial" w:hAnsi="Arial"/>
          <w:b/>
          <w:bCs/>
          <w:sz w:val="22"/>
          <w:szCs w:val="22"/>
        </w:rPr>
      </w:pPr>
    </w:p>
    <w:p w14:paraId="7E4109EA" w14:textId="77777777" w:rsidR="000973CA" w:rsidRPr="007D0473" w:rsidRDefault="000973CA" w:rsidP="00DB7C46">
      <w:pPr>
        <w:spacing w:before="120" w:after="120" w:line="480" w:lineRule="auto"/>
        <w:rPr>
          <w:rFonts w:ascii="Arial" w:hAnsi="Arial"/>
          <w:b/>
          <w:bCs/>
          <w:sz w:val="22"/>
          <w:szCs w:val="22"/>
        </w:rPr>
      </w:pPr>
    </w:p>
    <w:p w14:paraId="20264DAC" w14:textId="77777777" w:rsidR="00571191" w:rsidRPr="007D0473" w:rsidRDefault="00571191" w:rsidP="00DB7C46">
      <w:pPr>
        <w:spacing w:before="120" w:after="120" w:line="480" w:lineRule="auto"/>
        <w:rPr>
          <w:rFonts w:ascii="Arial" w:hAnsi="Arial"/>
          <w:sz w:val="22"/>
          <w:szCs w:val="22"/>
        </w:rPr>
      </w:pPr>
      <w:r w:rsidRPr="007D0473">
        <w:rPr>
          <w:rFonts w:ascii="Arial" w:hAnsi="Arial"/>
          <w:b/>
          <w:sz w:val="22"/>
          <w:szCs w:val="22"/>
        </w:rPr>
        <w:t>R</w:t>
      </w:r>
      <w:r w:rsidR="0066768C" w:rsidRPr="007D0473">
        <w:rPr>
          <w:rFonts w:ascii="Arial" w:hAnsi="Arial"/>
          <w:b/>
          <w:sz w:val="22"/>
          <w:szCs w:val="22"/>
        </w:rPr>
        <w:t>esults</w:t>
      </w:r>
    </w:p>
    <w:p w14:paraId="787E761B" w14:textId="77777777" w:rsidR="00571191" w:rsidRPr="007D0473" w:rsidRDefault="00571191" w:rsidP="00DB7C46">
      <w:pPr>
        <w:spacing w:before="120" w:after="120" w:line="480" w:lineRule="auto"/>
        <w:rPr>
          <w:rFonts w:ascii="Arial" w:hAnsi="Arial"/>
          <w:b/>
          <w:bCs/>
          <w:i/>
          <w:iCs/>
          <w:sz w:val="22"/>
          <w:szCs w:val="22"/>
        </w:rPr>
      </w:pPr>
      <w:r w:rsidRPr="007D0473">
        <w:rPr>
          <w:rFonts w:ascii="Arial" w:hAnsi="Arial"/>
          <w:b/>
          <w:bCs/>
          <w:i/>
          <w:iCs/>
          <w:sz w:val="22"/>
          <w:szCs w:val="22"/>
        </w:rPr>
        <w:t>Population characteristics and serotype distribution</w:t>
      </w:r>
    </w:p>
    <w:p w14:paraId="2685D39C" w14:textId="22B9A36F" w:rsidR="007D57C8" w:rsidRPr="007D0473" w:rsidRDefault="1AA9A494" w:rsidP="00DB7C46">
      <w:pPr>
        <w:spacing w:before="120" w:after="120" w:line="480" w:lineRule="auto"/>
        <w:rPr>
          <w:rFonts w:ascii="Arial" w:hAnsi="Arial"/>
          <w:sz w:val="22"/>
          <w:szCs w:val="22"/>
        </w:rPr>
      </w:pPr>
      <w:r w:rsidRPr="007D0473">
        <w:rPr>
          <w:rFonts w:ascii="Arial" w:hAnsi="Arial"/>
          <w:sz w:val="22"/>
          <w:szCs w:val="22"/>
        </w:rPr>
        <w:t xml:space="preserve">A total </w:t>
      </w:r>
      <w:r w:rsidR="0AEAE1BD" w:rsidRPr="007D0473">
        <w:rPr>
          <w:rFonts w:ascii="Arial" w:hAnsi="Arial"/>
          <w:sz w:val="22"/>
          <w:szCs w:val="22"/>
        </w:rPr>
        <w:t xml:space="preserve">of </w:t>
      </w:r>
      <w:r w:rsidRPr="007D0473">
        <w:rPr>
          <w:rFonts w:ascii="Arial" w:hAnsi="Arial"/>
          <w:sz w:val="22"/>
          <w:szCs w:val="22"/>
        </w:rPr>
        <w:t>19</w:t>
      </w:r>
      <w:r w:rsidR="6397F9C3" w:rsidRPr="007D0473">
        <w:rPr>
          <w:rFonts w:ascii="Arial" w:hAnsi="Arial"/>
          <w:sz w:val="22"/>
          <w:szCs w:val="22"/>
        </w:rPr>
        <w:t>3</w:t>
      </w:r>
      <w:r w:rsidRPr="007D0473">
        <w:rPr>
          <w:rFonts w:ascii="Arial" w:hAnsi="Arial"/>
          <w:sz w:val="22"/>
          <w:szCs w:val="22"/>
        </w:rPr>
        <w:t xml:space="preserve"> GBS isolates</w:t>
      </w:r>
      <w:r w:rsidR="290E1AAB" w:rsidRPr="007D0473">
        <w:rPr>
          <w:rFonts w:ascii="Arial" w:hAnsi="Arial"/>
          <w:sz w:val="22"/>
          <w:szCs w:val="22"/>
        </w:rPr>
        <w:t>, 1</w:t>
      </w:r>
      <w:r w:rsidR="5E44B199" w:rsidRPr="007D0473">
        <w:rPr>
          <w:rFonts w:ascii="Arial" w:hAnsi="Arial"/>
          <w:sz w:val="22"/>
          <w:szCs w:val="22"/>
        </w:rPr>
        <w:t>8</w:t>
      </w:r>
      <w:r w:rsidR="00DF3235" w:rsidRPr="007D0473">
        <w:rPr>
          <w:rFonts w:ascii="Arial" w:hAnsi="Arial"/>
          <w:sz w:val="22"/>
          <w:szCs w:val="22"/>
        </w:rPr>
        <w:t>4</w:t>
      </w:r>
      <w:r w:rsidR="290E1AAB" w:rsidRPr="007D0473">
        <w:rPr>
          <w:rFonts w:ascii="Arial" w:hAnsi="Arial"/>
          <w:sz w:val="22"/>
          <w:szCs w:val="22"/>
        </w:rPr>
        <w:t xml:space="preserve"> from invasive GBS disease cases </w:t>
      </w:r>
      <w:r w:rsidR="009A3169" w:rsidRPr="007225F3">
        <w:rPr>
          <w:rFonts w:ascii="Arial" w:hAnsi="Arial"/>
          <w:sz w:val="22"/>
          <w:szCs w:val="22"/>
        </w:rPr>
        <w:t>(isolates from blood, n=178, CSF, n=1, aortic valve, n=1, amniotic membrane, n=1, placenta, n=1)</w:t>
      </w:r>
      <w:r w:rsidR="009A3169">
        <w:rPr>
          <w:rFonts w:ascii="Arial" w:hAnsi="Arial"/>
          <w:sz w:val="22"/>
          <w:szCs w:val="22"/>
        </w:rPr>
        <w:t xml:space="preserve"> </w:t>
      </w:r>
      <w:r w:rsidR="290E1AAB" w:rsidRPr="007D0473">
        <w:rPr>
          <w:rFonts w:ascii="Arial" w:hAnsi="Arial"/>
          <w:sz w:val="22"/>
          <w:szCs w:val="22"/>
        </w:rPr>
        <w:t xml:space="preserve">and </w:t>
      </w:r>
      <w:r w:rsidR="00DF3235" w:rsidRPr="007D0473">
        <w:rPr>
          <w:rFonts w:ascii="Arial" w:hAnsi="Arial"/>
          <w:sz w:val="22"/>
          <w:szCs w:val="22"/>
        </w:rPr>
        <w:t>8</w:t>
      </w:r>
      <w:r w:rsidR="290E1AAB" w:rsidRPr="007D0473">
        <w:rPr>
          <w:rFonts w:ascii="Arial" w:hAnsi="Arial"/>
          <w:sz w:val="22"/>
          <w:szCs w:val="22"/>
        </w:rPr>
        <w:t xml:space="preserve"> from non-invasive cases </w:t>
      </w:r>
      <w:r w:rsidR="290E1AAB" w:rsidRPr="007225F3">
        <w:rPr>
          <w:rFonts w:ascii="Arial" w:hAnsi="Arial"/>
          <w:sz w:val="22"/>
          <w:szCs w:val="22"/>
        </w:rPr>
        <w:t>(</w:t>
      </w:r>
      <w:r w:rsidR="009A3169" w:rsidRPr="007225F3">
        <w:rPr>
          <w:rFonts w:ascii="Arial" w:hAnsi="Arial"/>
          <w:sz w:val="22"/>
          <w:szCs w:val="22"/>
        </w:rPr>
        <w:t>isolates from pus, n=2, throat swab, n=1, tissue, n=2, vaginal swab, n=1, wound swab, n=1, abscess, n=1, and</w:t>
      </w:r>
      <w:r w:rsidR="009A3169">
        <w:rPr>
          <w:rFonts w:ascii="Arial" w:hAnsi="Arial"/>
          <w:sz w:val="22"/>
          <w:szCs w:val="22"/>
        </w:rPr>
        <w:t xml:space="preserve"> </w:t>
      </w:r>
      <w:r w:rsidR="290E1AAB" w:rsidRPr="007D0473">
        <w:rPr>
          <w:rFonts w:ascii="Arial" w:hAnsi="Arial"/>
          <w:sz w:val="22"/>
          <w:szCs w:val="22"/>
        </w:rPr>
        <w:t>1 isolate ha</w:t>
      </w:r>
      <w:r w:rsidR="5E6F5BA0" w:rsidRPr="007D0473">
        <w:rPr>
          <w:rFonts w:ascii="Arial" w:hAnsi="Arial"/>
          <w:sz w:val="22"/>
          <w:szCs w:val="22"/>
        </w:rPr>
        <w:t>d</w:t>
      </w:r>
      <w:r w:rsidR="290E1AAB" w:rsidRPr="007D0473">
        <w:rPr>
          <w:rFonts w:ascii="Arial" w:hAnsi="Arial"/>
          <w:sz w:val="22"/>
          <w:szCs w:val="22"/>
        </w:rPr>
        <w:t xml:space="preserve"> no information on isolation site)</w:t>
      </w:r>
      <w:r w:rsidR="0F7BCAF1" w:rsidRPr="007D0473">
        <w:rPr>
          <w:rFonts w:ascii="Arial" w:hAnsi="Arial"/>
          <w:sz w:val="22"/>
          <w:szCs w:val="22"/>
        </w:rPr>
        <w:t>,</w:t>
      </w:r>
      <w:r w:rsidRPr="007D0473">
        <w:rPr>
          <w:rFonts w:ascii="Arial" w:hAnsi="Arial"/>
          <w:sz w:val="22"/>
          <w:szCs w:val="22"/>
        </w:rPr>
        <w:t xml:space="preserve"> were available for analysis (</w:t>
      </w:r>
      <w:r w:rsidRPr="007D0473">
        <w:rPr>
          <w:rFonts w:ascii="Arial" w:hAnsi="Arial"/>
          <w:b/>
          <w:bCs/>
          <w:sz w:val="22"/>
          <w:szCs w:val="22"/>
        </w:rPr>
        <w:t xml:space="preserve">Table </w:t>
      </w:r>
      <w:r w:rsidR="4AEAAA36" w:rsidRPr="007D0473">
        <w:rPr>
          <w:rFonts w:ascii="Arial" w:hAnsi="Arial"/>
          <w:b/>
          <w:bCs/>
          <w:sz w:val="22"/>
          <w:szCs w:val="22"/>
        </w:rPr>
        <w:t>S</w:t>
      </w:r>
      <w:r w:rsidR="1114FE1B" w:rsidRPr="007D0473">
        <w:rPr>
          <w:rFonts w:ascii="Arial" w:hAnsi="Arial"/>
          <w:b/>
          <w:bCs/>
          <w:sz w:val="22"/>
          <w:szCs w:val="22"/>
        </w:rPr>
        <w:t>2</w:t>
      </w:r>
      <w:r w:rsidRPr="007D0473">
        <w:rPr>
          <w:rFonts w:ascii="Arial" w:hAnsi="Arial"/>
          <w:sz w:val="22"/>
          <w:szCs w:val="22"/>
        </w:rPr>
        <w:t xml:space="preserve">). </w:t>
      </w:r>
      <w:r w:rsidR="59EFCFA3" w:rsidRPr="007D0473">
        <w:rPr>
          <w:rFonts w:ascii="Arial" w:hAnsi="Arial"/>
          <w:sz w:val="22"/>
          <w:szCs w:val="22"/>
        </w:rPr>
        <w:t>In</w:t>
      </w:r>
      <w:r w:rsidR="120672E7" w:rsidRPr="007D0473">
        <w:rPr>
          <w:rFonts w:ascii="Arial" w:hAnsi="Arial"/>
          <w:sz w:val="22"/>
          <w:szCs w:val="22"/>
        </w:rPr>
        <w:t xml:space="preserve"> this</w:t>
      </w:r>
      <w:r w:rsidR="59EFCFA3" w:rsidRPr="007D0473">
        <w:rPr>
          <w:rFonts w:ascii="Arial" w:hAnsi="Arial"/>
          <w:sz w:val="22"/>
          <w:szCs w:val="22"/>
        </w:rPr>
        <w:t xml:space="preserve"> dataset, </w:t>
      </w:r>
      <w:r w:rsidR="05AF7E32" w:rsidRPr="007D0473">
        <w:rPr>
          <w:rFonts w:ascii="Arial" w:hAnsi="Arial"/>
          <w:sz w:val="22"/>
          <w:szCs w:val="22"/>
        </w:rPr>
        <w:t>age</w:t>
      </w:r>
      <w:r w:rsidRPr="007D0473">
        <w:rPr>
          <w:rFonts w:ascii="Arial" w:hAnsi="Arial"/>
          <w:sz w:val="22"/>
          <w:szCs w:val="22"/>
        </w:rPr>
        <w:t xml:space="preserve"> </w:t>
      </w:r>
      <w:r w:rsidR="59EFCFA3" w:rsidRPr="007D0473">
        <w:rPr>
          <w:rFonts w:ascii="Arial" w:hAnsi="Arial"/>
          <w:sz w:val="22"/>
          <w:szCs w:val="22"/>
        </w:rPr>
        <w:t xml:space="preserve">of the patients </w:t>
      </w:r>
      <w:r w:rsidRPr="007D0473">
        <w:rPr>
          <w:rFonts w:ascii="Arial" w:hAnsi="Arial"/>
          <w:sz w:val="22"/>
          <w:szCs w:val="22"/>
        </w:rPr>
        <w:t xml:space="preserve">ranged from </w:t>
      </w:r>
      <w:r w:rsidR="2E60B766" w:rsidRPr="007D0473">
        <w:rPr>
          <w:rFonts w:ascii="Arial" w:hAnsi="Arial"/>
          <w:sz w:val="22"/>
          <w:szCs w:val="22"/>
        </w:rPr>
        <w:t>20</w:t>
      </w:r>
      <w:r w:rsidRPr="007D0473">
        <w:rPr>
          <w:rFonts w:ascii="Arial" w:hAnsi="Arial"/>
          <w:sz w:val="22"/>
          <w:szCs w:val="22"/>
        </w:rPr>
        <w:t xml:space="preserve"> to </w:t>
      </w:r>
      <w:r w:rsidR="48205095" w:rsidRPr="007D0473">
        <w:rPr>
          <w:rFonts w:ascii="Arial" w:hAnsi="Arial"/>
          <w:sz w:val="22"/>
          <w:szCs w:val="22"/>
        </w:rPr>
        <w:lastRenderedPageBreak/>
        <w:t>100</w:t>
      </w:r>
      <w:r w:rsidRPr="007D0473">
        <w:rPr>
          <w:rFonts w:ascii="Arial" w:hAnsi="Arial"/>
          <w:sz w:val="22"/>
          <w:szCs w:val="22"/>
        </w:rPr>
        <w:t xml:space="preserve"> years (median age 5</w:t>
      </w:r>
      <w:r w:rsidR="423F93B4" w:rsidRPr="007D0473">
        <w:rPr>
          <w:rFonts w:ascii="Arial" w:hAnsi="Arial"/>
          <w:sz w:val="22"/>
          <w:szCs w:val="22"/>
        </w:rPr>
        <w:t>9</w:t>
      </w:r>
      <w:r w:rsidR="2AFD0F78" w:rsidRPr="007D0473">
        <w:rPr>
          <w:rFonts w:ascii="Arial" w:hAnsi="Arial"/>
          <w:sz w:val="22"/>
          <w:szCs w:val="22"/>
        </w:rPr>
        <w:t xml:space="preserve"> years</w:t>
      </w:r>
      <w:r w:rsidRPr="007D0473">
        <w:rPr>
          <w:rFonts w:ascii="Arial" w:hAnsi="Arial"/>
          <w:sz w:val="22"/>
          <w:szCs w:val="22"/>
        </w:rPr>
        <w:t>)</w:t>
      </w:r>
      <w:r w:rsidR="4ACF500F" w:rsidRPr="007D0473">
        <w:rPr>
          <w:rFonts w:ascii="Arial" w:hAnsi="Arial"/>
          <w:sz w:val="22"/>
          <w:szCs w:val="22"/>
        </w:rPr>
        <w:t xml:space="preserve"> with 63.7% </w:t>
      </w:r>
      <w:r w:rsidR="00A0468C">
        <w:rPr>
          <w:rFonts w:ascii="Arial" w:hAnsi="Arial"/>
          <w:sz w:val="22"/>
          <w:szCs w:val="22"/>
        </w:rPr>
        <w:t xml:space="preserve">(n=123/193) </w:t>
      </w:r>
      <w:r w:rsidR="60BA52C6" w:rsidRPr="007D0473">
        <w:rPr>
          <w:rFonts w:ascii="Arial" w:hAnsi="Arial"/>
          <w:sz w:val="22"/>
          <w:szCs w:val="22"/>
        </w:rPr>
        <w:t xml:space="preserve">of GBS isolates </w:t>
      </w:r>
      <w:r w:rsidR="7C4C438B" w:rsidRPr="007D0473">
        <w:rPr>
          <w:rFonts w:ascii="Arial" w:hAnsi="Arial"/>
          <w:sz w:val="22"/>
          <w:szCs w:val="22"/>
        </w:rPr>
        <w:t>from female adult patients.</w:t>
      </w:r>
      <w:r w:rsidR="247952CE" w:rsidRPr="007D0473">
        <w:rPr>
          <w:rFonts w:ascii="Arial" w:hAnsi="Arial"/>
          <w:sz w:val="22"/>
          <w:szCs w:val="22"/>
        </w:rPr>
        <w:t xml:space="preserve"> As </w:t>
      </w:r>
      <w:r w:rsidR="00FE5815" w:rsidRPr="007D0473">
        <w:rPr>
          <w:rFonts w:ascii="Arial" w:hAnsi="Arial"/>
          <w:sz w:val="22"/>
          <w:szCs w:val="22"/>
        </w:rPr>
        <w:t>expected,</w:t>
      </w:r>
      <w:r w:rsidR="247952CE" w:rsidRPr="007D0473">
        <w:rPr>
          <w:rFonts w:ascii="Arial" w:hAnsi="Arial"/>
          <w:sz w:val="22"/>
          <w:szCs w:val="22"/>
        </w:rPr>
        <w:t xml:space="preserve"> due to the potential for post-partum infection in females </w:t>
      </w:r>
      <w:r w:rsidR="2AE70AE8" w:rsidRPr="007D0473">
        <w:rPr>
          <w:rFonts w:ascii="Arial" w:hAnsi="Arial"/>
          <w:sz w:val="22"/>
          <w:szCs w:val="22"/>
        </w:rPr>
        <w:t xml:space="preserve">a lower median age-group </w:t>
      </w:r>
      <w:r w:rsidR="2AE70AE8" w:rsidRPr="002F4AB4">
        <w:rPr>
          <w:rFonts w:ascii="Arial" w:hAnsi="Arial"/>
          <w:sz w:val="22"/>
          <w:szCs w:val="22"/>
        </w:rPr>
        <w:t>was observed</w:t>
      </w:r>
      <w:r w:rsidR="0088123E" w:rsidRPr="002F4AB4">
        <w:rPr>
          <w:rFonts w:ascii="Arial" w:hAnsi="Arial"/>
          <w:sz w:val="22"/>
          <w:szCs w:val="22"/>
        </w:rPr>
        <w:t xml:space="preserve"> </w:t>
      </w:r>
      <w:r w:rsidR="42ABB186" w:rsidRPr="002F4AB4">
        <w:rPr>
          <w:rFonts w:ascii="Arial" w:hAnsi="Arial"/>
          <w:sz w:val="22"/>
          <w:szCs w:val="22"/>
        </w:rPr>
        <w:t>(</w:t>
      </w:r>
      <w:r w:rsidR="42ABB186" w:rsidRPr="007D0473">
        <w:rPr>
          <w:rFonts w:ascii="Arial" w:hAnsi="Arial"/>
          <w:sz w:val="22"/>
          <w:szCs w:val="22"/>
        </w:rPr>
        <w:t>median age 38 years old, IQR: 41; 31.5-72.5)</w:t>
      </w:r>
      <w:r w:rsidR="57CB3453" w:rsidRPr="007D0473">
        <w:rPr>
          <w:rFonts w:ascii="Arial" w:hAnsi="Arial"/>
          <w:sz w:val="22"/>
          <w:szCs w:val="22"/>
        </w:rPr>
        <w:t xml:space="preserve"> </w:t>
      </w:r>
      <w:r w:rsidR="57CB3453" w:rsidRPr="007D0473">
        <w:rPr>
          <w:rFonts w:ascii="Arial" w:eastAsia="Arial" w:hAnsi="Arial"/>
          <w:sz w:val="22"/>
          <w:szCs w:val="22"/>
        </w:rPr>
        <w:t>(</w:t>
      </w:r>
      <w:r w:rsidR="002F4AB4" w:rsidRPr="002F4AB4">
        <w:rPr>
          <w:rFonts w:ascii="Arial" w:eastAsia="Arial" w:hAnsi="Arial"/>
          <w:b/>
          <w:bCs/>
          <w:sz w:val="22"/>
          <w:szCs w:val="22"/>
        </w:rPr>
        <w:t>Figure 1a</w:t>
      </w:r>
      <w:r w:rsidR="57CB3453" w:rsidRPr="007D0473">
        <w:rPr>
          <w:rFonts w:ascii="Arial" w:eastAsia="Arial" w:hAnsi="Arial"/>
          <w:sz w:val="22"/>
          <w:szCs w:val="22"/>
        </w:rPr>
        <w:t>),</w:t>
      </w:r>
      <w:r w:rsidR="58222F5B" w:rsidRPr="007D0473">
        <w:rPr>
          <w:rFonts w:ascii="Arial" w:eastAsia="Arial" w:hAnsi="Arial"/>
          <w:sz w:val="22"/>
          <w:szCs w:val="22"/>
        </w:rPr>
        <w:t xml:space="preserve"> compared to males</w:t>
      </w:r>
      <w:r w:rsidR="42ABB186" w:rsidRPr="007D0473">
        <w:rPr>
          <w:rFonts w:ascii="Arial" w:hAnsi="Arial"/>
          <w:sz w:val="22"/>
          <w:szCs w:val="22"/>
        </w:rPr>
        <w:t xml:space="preserve"> (</w:t>
      </w:r>
      <w:r w:rsidR="63D4A70F" w:rsidRPr="007D0473">
        <w:rPr>
          <w:rFonts w:ascii="Arial" w:hAnsi="Arial"/>
          <w:sz w:val="22"/>
          <w:szCs w:val="22"/>
        </w:rPr>
        <w:t>median age 72.5 years old, IQR:</w:t>
      </w:r>
      <w:r w:rsidR="43A908BE" w:rsidRPr="007D0473">
        <w:rPr>
          <w:rFonts w:ascii="Arial" w:hAnsi="Arial"/>
          <w:sz w:val="22"/>
          <w:szCs w:val="22"/>
        </w:rPr>
        <w:t>19.75</w:t>
      </w:r>
      <w:r w:rsidR="63D4A70F" w:rsidRPr="007D0473">
        <w:rPr>
          <w:rFonts w:ascii="Arial" w:hAnsi="Arial"/>
          <w:sz w:val="22"/>
          <w:szCs w:val="22"/>
        </w:rPr>
        <w:t>; 6</w:t>
      </w:r>
      <w:r w:rsidR="43A908BE" w:rsidRPr="007D0473">
        <w:rPr>
          <w:rFonts w:ascii="Arial" w:hAnsi="Arial"/>
          <w:sz w:val="22"/>
          <w:szCs w:val="22"/>
        </w:rPr>
        <w:t>1</w:t>
      </w:r>
      <w:r w:rsidR="63D4A70F" w:rsidRPr="007D0473">
        <w:rPr>
          <w:rFonts w:ascii="Arial" w:hAnsi="Arial"/>
          <w:sz w:val="22"/>
          <w:szCs w:val="22"/>
        </w:rPr>
        <w:t>.</w:t>
      </w:r>
      <w:r w:rsidR="43A908BE" w:rsidRPr="007D0473">
        <w:rPr>
          <w:rFonts w:ascii="Arial" w:hAnsi="Arial"/>
          <w:sz w:val="22"/>
          <w:szCs w:val="22"/>
        </w:rPr>
        <w:t>2</w:t>
      </w:r>
      <w:r w:rsidR="63D4A70F" w:rsidRPr="007D0473">
        <w:rPr>
          <w:rFonts w:ascii="Arial" w:hAnsi="Arial"/>
          <w:sz w:val="22"/>
          <w:szCs w:val="22"/>
        </w:rPr>
        <w:t xml:space="preserve">5-81). </w:t>
      </w:r>
      <w:r w:rsidR="00963B26">
        <w:rPr>
          <w:rFonts w:ascii="Arial" w:hAnsi="Arial"/>
          <w:sz w:val="22"/>
          <w:szCs w:val="22"/>
        </w:rPr>
        <w:t>58.5</w:t>
      </w:r>
      <w:r w:rsidR="00A0468C">
        <w:rPr>
          <w:rFonts w:ascii="Arial" w:hAnsi="Arial"/>
          <w:sz w:val="22"/>
          <w:szCs w:val="22"/>
        </w:rPr>
        <w:t xml:space="preserve">% </w:t>
      </w:r>
      <w:r w:rsidR="002338CA">
        <w:rPr>
          <w:rFonts w:ascii="Arial" w:hAnsi="Arial"/>
          <w:sz w:val="22"/>
          <w:szCs w:val="22"/>
        </w:rPr>
        <w:t>(</w:t>
      </w:r>
      <w:r w:rsidR="00A0468C">
        <w:rPr>
          <w:rFonts w:ascii="Arial" w:hAnsi="Arial"/>
          <w:sz w:val="22"/>
          <w:szCs w:val="22"/>
        </w:rPr>
        <w:t xml:space="preserve">n=72/123) </w:t>
      </w:r>
      <w:r w:rsidR="002338CA">
        <w:rPr>
          <w:rFonts w:ascii="Arial" w:hAnsi="Arial"/>
          <w:sz w:val="22"/>
          <w:szCs w:val="22"/>
        </w:rPr>
        <w:t xml:space="preserve">of GBS from female patients </w:t>
      </w:r>
      <w:r w:rsidR="6032B9CE" w:rsidRPr="007D0473">
        <w:rPr>
          <w:rFonts w:ascii="Arial" w:hAnsi="Arial"/>
          <w:sz w:val="22"/>
          <w:szCs w:val="22"/>
        </w:rPr>
        <w:t>were isolated from younger women</w:t>
      </w:r>
      <w:r w:rsidR="00A0468C">
        <w:rPr>
          <w:rFonts w:ascii="Arial" w:hAnsi="Arial"/>
          <w:sz w:val="22"/>
          <w:szCs w:val="22"/>
        </w:rPr>
        <w:t xml:space="preserve"> aged </w:t>
      </w:r>
      <w:r w:rsidR="6032B9CE" w:rsidRPr="007D0473">
        <w:rPr>
          <w:rFonts w:ascii="Arial" w:hAnsi="Arial"/>
          <w:sz w:val="22"/>
          <w:szCs w:val="22"/>
        </w:rPr>
        <w:t>18 to 44 years old, relative to women over 44 years of age (</w:t>
      </w:r>
      <w:r w:rsidR="00D25625">
        <w:rPr>
          <w:rFonts w:ascii="Arial" w:hAnsi="Arial"/>
          <w:sz w:val="22"/>
          <w:szCs w:val="22"/>
        </w:rPr>
        <w:t>41.4</w:t>
      </w:r>
      <w:r w:rsidR="00A0468C">
        <w:rPr>
          <w:rFonts w:ascii="Arial" w:hAnsi="Arial"/>
          <w:sz w:val="22"/>
          <w:szCs w:val="22"/>
        </w:rPr>
        <w:t xml:space="preserve">%, </w:t>
      </w:r>
      <w:r w:rsidR="6032B9CE" w:rsidRPr="007D0473">
        <w:rPr>
          <w:rFonts w:ascii="Arial" w:hAnsi="Arial"/>
          <w:sz w:val="22"/>
          <w:szCs w:val="22"/>
        </w:rPr>
        <w:t>n=51/12</w:t>
      </w:r>
      <w:r w:rsidR="4FBE1932" w:rsidRPr="007D0473">
        <w:rPr>
          <w:rFonts w:ascii="Arial" w:hAnsi="Arial"/>
          <w:sz w:val="22"/>
          <w:szCs w:val="22"/>
        </w:rPr>
        <w:t>3</w:t>
      </w:r>
      <w:r w:rsidR="6032B9CE" w:rsidRPr="007D0473">
        <w:rPr>
          <w:rFonts w:ascii="Arial" w:hAnsi="Arial"/>
          <w:sz w:val="22"/>
          <w:szCs w:val="22"/>
        </w:rPr>
        <w:t>) (</w:t>
      </w:r>
      <w:r w:rsidR="6032B9CE" w:rsidRPr="007D0473">
        <w:rPr>
          <w:rFonts w:ascii="Arial" w:hAnsi="Arial"/>
          <w:b/>
          <w:bCs/>
          <w:sz w:val="22"/>
          <w:szCs w:val="22"/>
        </w:rPr>
        <w:t>Figure 1b</w:t>
      </w:r>
      <w:r w:rsidR="6032B9CE" w:rsidRPr="007D0473">
        <w:rPr>
          <w:rFonts w:ascii="Arial" w:hAnsi="Arial"/>
          <w:sz w:val="22"/>
          <w:szCs w:val="22"/>
        </w:rPr>
        <w:t xml:space="preserve">), whereas only </w:t>
      </w:r>
      <w:r w:rsidR="00611BF0">
        <w:rPr>
          <w:rFonts w:ascii="Arial" w:hAnsi="Arial"/>
          <w:sz w:val="22"/>
          <w:szCs w:val="22"/>
        </w:rPr>
        <w:t>11.4</w:t>
      </w:r>
      <w:r w:rsidR="00AE18AA">
        <w:rPr>
          <w:rFonts w:ascii="Arial" w:hAnsi="Arial"/>
          <w:sz w:val="22"/>
          <w:szCs w:val="22"/>
        </w:rPr>
        <w:t>% (n=</w:t>
      </w:r>
      <w:r w:rsidR="6032B9CE" w:rsidRPr="007D0473">
        <w:rPr>
          <w:rFonts w:ascii="Arial" w:hAnsi="Arial"/>
          <w:sz w:val="22"/>
          <w:szCs w:val="22"/>
        </w:rPr>
        <w:t>8/70</w:t>
      </w:r>
      <w:r w:rsidR="00AE18AA">
        <w:rPr>
          <w:rFonts w:ascii="Arial" w:hAnsi="Arial"/>
          <w:sz w:val="22"/>
          <w:szCs w:val="22"/>
        </w:rPr>
        <w:t>)</w:t>
      </w:r>
      <w:r w:rsidR="6032B9CE" w:rsidRPr="007D0473">
        <w:rPr>
          <w:rFonts w:ascii="Arial" w:hAnsi="Arial"/>
          <w:sz w:val="22"/>
          <w:szCs w:val="22"/>
        </w:rPr>
        <w:t xml:space="preserve"> were isolated from male patients 18-4</w:t>
      </w:r>
      <w:r w:rsidR="005A5EC8" w:rsidRPr="007D0473">
        <w:rPr>
          <w:rFonts w:ascii="Arial" w:hAnsi="Arial"/>
          <w:sz w:val="22"/>
          <w:szCs w:val="22"/>
        </w:rPr>
        <w:t>4</w:t>
      </w:r>
      <w:r w:rsidR="6032B9CE" w:rsidRPr="007D0473">
        <w:rPr>
          <w:rFonts w:ascii="Arial" w:hAnsi="Arial"/>
          <w:sz w:val="22"/>
          <w:szCs w:val="22"/>
        </w:rPr>
        <w:t xml:space="preserve"> years old (</w:t>
      </w:r>
      <w:r w:rsidR="6032B9CE" w:rsidRPr="007D0473">
        <w:rPr>
          <w:rFonts w:ascii="Arial" w:hAnsi="Arial"/>
          <w:b/>
          <w:bCs/>
          <w:sz w:val="22"/>
          <w:szCs w:val="22"/>
        </w:rPr>
        <w:t>Figure 1c</w:t>
      </w:r>
      <w:r w:rsidR="6032B9CE" w:rsidRPr="007D0473">
        <w:rPr>
          <w:rFonts w:ascii="Arial" w:hAnsi="Arial"/>
          <w:sz w:val="22"/>
          <w:szCs w:val="22"/>
        </w:rPr>
        <w:t>).</w:t>
      </w:r>
    </w:p>
    <w:p w14:paraId="7713CD6D" w14:textId="77777777" w:rsidR="007D57C8" w:rsidRPr="007D0473" w:rsidRDefault="007D57C8" w:rsidP="00DB7C46">
      <w:pPr>
        <w:spacing w:before="120" w:after="120" w:line="480" w:lineRule="auto"/>
        <w:rPr>
          <w:rFonts w:ascii="Arial" w:hAnsi="Arial"/>
          <w:sz w:val="22"/>
          <w:szCs w:val="22"/>
        </w:rPr>
      </w:pPr>
    </w:p>
    <w:p w14:paraId="4DBCD2EC" w14:textId="4F56E0CC" w:rsidR="007D57C8" w:rsidRPr="007D0473" w:rsidRDefault="07584351" w:rsidP="00DB7C46">
      <w:pPr>
        <w:spacing w:before="120" w:after="120" w:line="480" w:lineRule="auto"/>
        <w:rPr>
          <w:rFonts w:ascii="Arial" w:hAnsi="Arial"/>
          <w:sz w:val="22"/>
          <w:szCs w:val="22"/>
        </w:rPr>
      </w:pPr>
      <w:r w:rsidRPr="007D0473">
        <w:rPr>
          <w:rFonts w:ascii="Arial" w:hAnsi="Arial"/>
          <w:sz w:val="22"/>
          <w:szCs w:val="22"/>
        </w:rPr>
        <w:t>In total, eight serotypes were identified: III (</w:t>
      </w:r>
      <w:r w:rsidR="23B56BFD" w:rsidRPr="007D0473">
        <w:rPr>
          <w:rFonts w:ascii="Arial" w:hAnsi="Arial"/>
          <w:sz w:val="22"/>
          <w:szCs w:val="22"/>
        </w:rPr>
        <w:t>26.9</w:t>
      </w:r>
      <w:r w:rsidRPr="007D0473">
        <w:rPr>
          <w:rFonts w:ascii="Arial" w:hAnsi="Arial"/>
          <w:sz w:val="22"/>
          <w:szCs w:val="22"/>
        </w:rPr>
        <w:t xml:space="preserve">%, </w:t>
      </w:r>
      <w:r w:rsidR="00254074">
        <w:rPr>
          <w:rFonts w:ascii="Arial" w:hAnsi="Arial"/>
          <w:sz w:val="22"/>
          <w:szCs w:val="22"/>
        </w:rPr>
        <w:t>n=</w:t>
      </w:r>
      <w:r w:rsidRPr="007D0473">
        <w:rPr>
          <w:rFonts w:ascii="Arial" w:hAnsi="Arial"/>
          <w:sz w:val="22"/>
          <w:szCs w:val="22"/>
        </w:rPr>
        <w:t>52/19</w:t>
      </w:r>
      <w:r w:rsidR="23B56BFD" w:rsidRPr="007D0473">
        <w:rPr>
          <w:rFonts w:ascii="Arial" w:hAnsi="Arial"/>
          <w:sz w:val="22"/>
          <w:szCs w:val="22"/>
        </w:rPr>
        <w:t>3</w:t>
      </w:r>
      <w:r w:rsidRPr="007D0473">
        <w:rPr>
          <w:rFonts w:ascii="Arial" w:hAnsi="Arial"/>
          <w:sz w:val="22"/>
          <w:szCs w:val="22"/>
        </w:rPr>
        <w:t xml:space="preserve">), </w:t>
      </w:r>
      <w:proofErr w:type="spellStart"/>
      <w:r w:rsidRPr="007D0473">
        <w:rPr>
          <w:rFonts w:ascii="Arial" w:hAnsi="Arial"/>
          <w:sz w:val="22"/>
          <w:szCs w:val="22"/>
        </w:rPr>
        <w:t>Ia</w:t>
      </w:r>
      <w:proofErr w:type="spellEnd"/>
      <w:r w:rsidRPr="007D0473">
        <w:rPr>
          <w:rFonts w:ascii="Arial" w:hAnsi="Arial"/>
          <w:sz w:val="22"/>
          <w:szCs w:val="22"/>
        </w:rPr>
        <w:t xml:space="preserve"> (26.</w:t>
      </w:r>
      <w:r w:rsidR="23B56BFD" w:rsidRPr="007D0473">
        <w:rPr>
          <w:rFonts w:ascii="Arial" w:hAnsi="Arial"/>
          <w:sz w:val="22"/>
          <w:szCs w:val="22"/>
        </w:rPr>
        <w:t>4</w:t>
      </w:r>
      <w:r w:rsidRPr="007D0473">
        <w:rPr>
          <w:rFonts w:ascii="Arial" w:hAnsi="Arial"/>
          <w:sz w:val="22"/>
          <w:szCs w:val="22"/>
        </w:rPr>
        <w:t xml:space="preserve">%, </w:t>
      </w:r>
      <w:r w:rsidR="00254074">
        <w:rPr>
          <w:rFonts w:ascii="Arial" w:hAnsi="Arial"/>
          <w:sz w:val="22"/>
          <w:szCs w:val="22"/>
        </w:rPr>
        <w:t>n=</w:t>
      </w:r>
      <w:r w:rsidRPr="007D0473">
        <w:rPr>
          <w:rFonts w:ascii="Arial" w:hAnsi="Arial"/>
          <w:sz w:val="22"/>
          <w:szCs w:val="22"/>
        </w:rPr>
        <w:t>51/19</w:t>
      </w:r>
      <w:r w:rsidR="23B56BFD" w:rsidRPr="007D0473">
        <w:rPr>
          <w:rFonts w:ascii="Arial" w:hAnsi="Arial"/>
          <w:sz w:val="22"/>
          <w:szCs w:val="22"/>
        </w:rPr>
        <w:t>3</w:t>
      </w:r>
      <w:r w:rsidRPr="007D0473">
        <w:rPr>
          <w:rFonts w:ascii="Arial" w:hAnsi="Arial"/>
          <w:sz w:val="22"/>
          <w:szCs w:val="22"/>
        </w:rPr>
        <w:t>), V (1</w:t>
      </w:r>
      <w:r w:rsidR="1F470E29" w:rsidRPr="007D0473">
        <w:rPr>
          <w:rFonts w:ascii="Arial" w:hAnsi="Arial"/>
          <w:sz w:val="22"/>
          <w:szCs w:val="22"/>
        </w:rPr>
        <w:t>5</w:t>
      </w:r>
      <w:r w:rsidRPr="007D0473">
        <w:rPr>
          <w:rFonts w:ascii="Arial" w:hAnsi="Arial"/>
          <w:sz w:val="22"/>
          <w:szCs w:val="22"/>
        </w:rPr>
        <w:t xml:space="preserve">%, </w:t>
      </w:r>
      <w:r w:rsidR="00254074">
        <w:rPr>
          <w:rFonts w:ascii="Arial" w:hAnsi="Arial"/>
          <w:sz w:val="22"/>
          <w:szCs w:val="22"/>
        </w:rPr>
        <w:t>n=</w:t>
      </w:r>
      <w:r w:rsidRPr="007D0473">
        <w:rPr>
          <w:rFonts w:ascii="Arial" w:hAnsi="Arial"/>
          <w:sz w:val="22"/>
          <w:szCs w:val="22"/>
        </w:rPr>
        <w:t>29/19</w:t>
      </w:r>
      <w:r w:rsidR="3499EC8C" w:rsidRPr="007D0473">
        <w:rPr>
          <w:rFonts w:ascii="Arial" w:hAnsi="Arial"/>
          <w:sz w:val="22"/>
          <w:szCs w:val="22"/>
        </w:rPr>
        <w:t>3</w:t>
      </w:r>
      <w:r w:rsidRPr="007D0473">
        <w:rPr>
          <w:rFonts w:ascii="Arial" w:hAnsi="Arial"/>
          <w:sz w:val="22"/>
          <w:szCs w:val="22"/>
        </w:rPr>
        <w:t xml:space="preserve">), II (13.9%, </w:t>
      </w:r>
      <w:r w:rsidR="00254074">
        <w:rPr>
          <w:rFonts w:ascii="Arial" w:hAnsi="Arial"/>
          <w:sz w:val="22"/>
          <w:szCs w:val="22"/>
        </w:rPr>
        <w:t>n=</w:t>
      </w:r>
      <w:r w:rsidRPr="007D0473">
        <w:rPr>
          <w:rFonts w:ascii="Arial" w:hAnsi="Arial"/>
          <w:sz w:val="22"/>
          <w:szCs w:val="22"/>
        </w:rPr>
        <w:t>27/19</w:t>
      </w:r>
      <w:r w:rsidR="5C46ED17" w:rsidRPr="007D0473">
        <w:rPr>
          <w:rFonts w:ascii="Arial" w:hAnsi="Arial"/>
          <w:sz w:val="22"/>
          <w:szCs w:val="22"/>
        </w:rPr>
        <w:t>3</w:t>
      </w:r>
      <w:r w:rsidRPr="007D0473">
        <w:rPr>
          <w:rFonts w:ascii="Arial" w:hAnsi="Arial"/>
          <w:sz w:val="22"/>
          <w:szCs w:val="22"/>
        </w:rPr>
        <w:t xml:space="preserve">), </w:t>
      </w:r>
      <w:proofErr w:type="spellStart"/>
      <w:r w:rsidRPr="007D0473">
        <w:rPr>
          <w:rFonts w:ascii="Arial" w:hAnsi="Arial"/>
          <w:sz w:val="22"/>
          <w:szCs w:val="22"/>
        </w:rPr>
        <w:t>Ib</w:t>
      </w:r>
      <w:proofErr w:type="spellEnd"/>
      <w:r w:rsidRPr="007D0473">
        <w:rPr>
          <w:rFonts w:ascii="Arial" w:hAnsi="Arial"/>
          <w:sz w:val="22"/>
          <w:szCs w:val="22"/>
        </w:rPr>
        <w:t xml:space="preserve"> (11.</w:t>
      </w:r>
      <w:r w:rsidR="1E565142" w:rsidRPr="007D0473">
        <w:rPr>
          <w:rFonts w:ascii="Arial" w:hAnsi="Arial"/>
          <w:sz w:val="22"/>
          <w:szCs w:val="22"/>
        </w:rPr>
        <w:t>4</w:t>
      </w:r>
      <w:r w:rsidRPr="007D0473">
        <w:rPr>
          <w:rFonts w:ascii="Arial" w:hAnsi="Arial"/>
          <w:sz w:val="22"/>
          <w:szCs w:val="22"/>
        </w:rPr>
        <w:t xml:space="preserve">%, </w:t>
      </w:r>
      <w:r w:rsidR="00254074">
        <w:rPr>
          <w:rFonts w:ascii="Arial" w:hAnsi="Arial"/>
          <w:sz w:val="22"/>
          <w:szCs w:val="22"/>
        </w:rPr>
        <w:t>n=</w:t>
      </w:r>
      <w:r w:rsidRPr="007D0473">
        <w:rPr>
          <w:rFonts w:ascii="Arial" w:hAnsi="Arial"/>
          <w:sz w:val="22"/>
          <w:szCs w:val="22"/>
        </w:rPr>
        <w:t>22/19</w:t>
      </w:r>
      <w:r w:rsidR="5C46ED17" w:rsidRPr="007D0473">
        <w:rPr>
          <w:rFonts w:ascii="Arial" w:hAnsi="Arial"/>
          <w:sz w:val="22"/>
          <w:szCs w:val="22"/>
        </w:rPr>
        <w:t>3</w:t>
      </w:r>
      <w:r w:rsidRPr="007D0473">
        <w:rPr>
          <w:rFonts w:ascii="Arial" w:hAnsi="Arial"/>
          <w:sz w:val="22"/>
          <w:szCs w:val="22"/>
        </w:rPr>
        <w:t>), IV (</w:t>
      </w:r>
      <w:r w:rsidR="23B56BFD" w:rsidRPr="007D0473">
        <w:rPr>
          <w:rFonts w:ascii="Arial" w:hAnsi="Arial"/>
          <w:sz w:val="22"/>
          <w:szCs w:val="22"/>
        </w:rPr>
        <w:t>3.1</w:t>
      </w:r>
      <w:r w:rsidRPr="007D0473">
        <w:rPr>
          <w:rFonts w:ascii="Arial" w:hAnsi="Arial"/>
          <w:sz w:val="22"/>
          <w:szCs w:val="22"/>
        </w:rPr>
        <w:t xml:space="preserve">%, </w:t>
      </w:r>
      <w:r w:rsidR="00254074">
        <w:rPr>
          <w:rFonts w:ascii="Arial" w:hAnsi="Arial"/>
          <w:sz w:val="22"/>
          <w:szCs w:val="22"/>
        </w:rPr>
        <w:t>n=</w:t>
      </w:r>
      <w:r w:rsidR="23B56BFD" w:rsidRPr="007D0473">
        <w:rPr>
          <w:rFonts w:ascii="Arial" w:hAnsi="Arial"/>
          <w:sz w:val="22"/>
          <w:szCs w:val="22"/>
        </w:rPr>
        <w:t>6</w:t>
      </w:r>
      <w:r w:rsidRPr="007D0473">
        <w:rPr>
          <w:rFonts w:ascii="Arial" w:hAnsi="Arial"/>
          <w:sz w:val="22"/>
          <w:szCs w:val="22"/>
        </w:rPr>
        <w:t>/19</w:t>
      </w:r>
      <w:r w:rsidR="23B56BFD" w:rsidRPr="007D0473">
        <w:rPr>
          <w:rFonts w:ascii="Arial" w:hAnsi="Arial"/>
          <w:sz w:val="22"/>
          <w:szCs w:val="22"/>
        </w:rPr>
        <w:t>3</w:t>
      </w:r>
      <w:r w:rsidRPr="007D0473">
        <w:rPr>
          <w:rFonts w:ascii="Arial" w:hAnsi="Arial"/>
          <w:sz w:val="22"/>
          <w:szCs w:val="22"/>
        </w:rPr>
        <w:t xml:space="preserve">), VI (1.5%, </w:t>
      </w:r>
      <w:r w:rsidR="00254074">
        <w:rPr>
          <w:rFonts w:ascii="Arial" w:hAnsi="Arial"/>
          <w:sz w:val="22"/>
          <w:szCs w:val="22"/>
        </w:rPr>
        <w:t>n=</w:t>
      </w:r>
      <w:r w:rsidRPr="007D0473">
        <w:rPr>
          <w:rFonts w:ascii="Arial" w:hAnsi="Arial"/>
          <w:sz w:val="22"/>
          <w:szCs w:val="22"/>
        </w:rPr>
        <w:t>3/19</w:t>
      </w:r>
      <w:r w:rsidR="5A21BC3D" w:rsidRPr="007D0473">
        <w:rPr>
          <w:rFonts w:ascii="Arial" w:hAnsi="Arial"/>
          <w:sz w:val="22"/>
          <w:szCs w:val="22"/>
        </w:rPr>
        <w:t>3</w:t>
      </w:r>
      <w:r w:rsidRPr="007D0473">
        <w:rPr>
          <w:rFonts w:ascii="Arial" w:hAnsi="Arial"/>
          <w:sz w:val="22"/>
          <w:szCs w:val="22"/>
        </w:rPr>
        <w:t xml:space="preserve">) and IX (1.5%, </w:t>
      </w:r>
      <w:r w:rsidR="00254074">
        <w:rPr>
          <w:rFonts w:ascii="Arial" w:hAnsi="Arial"/>
          <w:sz w:val="22"/>
          <w:szCs w:val="22"/>
        </w:rPr>
        <w:t>n=</w:t>
      </w:r>
      <w:r w:rsidRPr="007D0473">
        <w:rPr>
          <w:rFonts w:ascii="Arial" w:hAnsi="Arial"/>
          <w:sz w:val="22"/>
          <w:szCs w:val="22"/>
        </w:rPr>
        <w:t>3/19</w:t>
      </w:r>
      <w:r w:rsidR="5A21BC3D" w:rsidRPr="007D0473">
        <w:rPr>
          <w:rFonts w:ascii="Arial" w:hAnsi="Arial"/>
          <w:sz w:val="22"/>
          <w:szCs w:val="22"/>
        </w:rPr>
        <w:t>3</w:t>
      </w:r>
      <w:r w:rsidRPr="007D0473">
        <w:rPr>
          <w:rFonts w:ascii="Arial" w:hAnsi="Arial"/>
          <w:sz w:val="22"/>
          <w:szCs w:val="22"/>
        </w:rPr>
        <w:t>).</w:t>
      </w:r>
      <w:r w:rsidR="6B96F2FD" w:rsidRPr="007D0473">
        <w:rPr>
          <w:rFonts w:ascii="Arial" w:hAnsi="Arial"/>
          <w:sz w:val="22"/>
          <w:szCs w:val="22"/>
        </w:rPr>
        <w:t xml:space="preserve"> </w:t>
      </w:r>
      <w:r w:rsidR="287F0E7D" w:rsidRPr="007D0473">
        <w:rPr>
          <w:rFonts w:ascii="Arial" w:hAnsi="Arial"/>
          <w:sz w:val="22"/>
          <w:szCs w:val="22"/>
        </w:rPr>
        <w:t>We have observed that s</w:t>
      </w:r>
      <w:r w:rsidR="6B96F2FD" w:rsidRPr="007D0473">
        <w:rPr>
          <w:rFonts w:ascii="Arial" w:hAnsi="Arial"/>
          <w:sz w:val="22"/>
          <w:szCs w:val="22"/>
        </w:rPr>
        <w:t xml:space="preserve">erotype III </w:t>
      </w:r>
      <w:r w:rsidR="25C6AF81" w:rsidRPr="007D0473">
        <w:rPr>
          <w:rFonts w:ascii="Arial" w:hAnsi="Arial"/>
          <w:sz w:val="22"/>
          <w:szCs w:val="22"/>
        </w:rPr>
        <w:t xml:space="preserve">was </w:t>
      </w:r>
      <w:r w:rsidR="00B00B62">
        <w:rPr>
          <w:rFonts w:ascii="Arial" w:hAnsi="Arial"/>
          <w:sz w:val="22"/>
          <w:szCs w:val="22"/>
        </w:rPr>
        <w:t>dominant serotype in female patients with 43 isolates reported from this group compared to nine isolates reported in male patient group (</w:t>
      </w:r>
      <w:r w:rsidR="00B00B62" w:rsidRPr="00644241">
        <w:rPr>
          <w:rFonts w:ascii="Arial" w:hAnsi="Arial"/>
          <w:b/>
          <w:bCs/>
          <w:sz w:val="22"/>
          <w:szCs w:val="22"/>
        </w:rPr>
        <w:t>Figure 1b and 1c</w:t>
      </w:r>
      <w:r w:rsidR="00B00B62">
        <w:rPr>
          <w:rFonts w:ascii="Arial" w:hAnsi="Arial"/>
          <w:sz w:val="22"/>
          <w:szCs w:val="22"/>
        </w:rPr>
        <w:t xml:space="preserve">), this suggested that serotype III is more likely to be </w:t>
      </w:r>
      <w:r w:rsidR="25C6AF81" w:rsidRPr="007D0473">
        <w:rPr>
          <w:rFonts w:ascii="Arial" w:hAnsi="Arial"/>
          <w:sz w:val="22"/>
          <w:szCs w:val="22"/>
        </w:rPr>
        <w:t>associated with female patients (</w:t>
      </w:r>
      <w:r w:rsidR="072CB9F4" w:rsidRPr="007D0473">
        <w:rPr>
          <w:rFonts w:ascii="Arial" w:hAnsi="Arial"/>
          <w:sz w:val="22"/>
          <w:szCs w:val="22"/>
        </w:rPr>
        <w:t>X</w:t>
      </w:r>
      <w:r w:rsidR="072CB9F4" w:rsidRPr="007D0473">
        <w:rPr>
          <w:rFonts w:ascii="Arial" w:hAnsi="Arial"/>
          <w:sz w:val="22"/>
          <w:szCs w:val="22"/>
          <w:vertAlign w:val="superscript"/>
        </w:rPr>
        <w:t>2</w:t>
      </w:r>
      <w:r w:rsidR="072CB9F4" w:rsidRPr="007D0473">
        <w:rPr>
          <w:rFonts w:ascii="Arial" w:hAnsi="Arial"/>
          <w:sz w:val="22"/>
          <w:szCs w:val="22"/>
        </w:rPr>
        <w:t>(1,</w:t>
      </w:r>
      <w:r w:rsidR="49BBE6CF" w:rsidRPr="007D0473">
        <w:rPr>
          <w:rFonts w:ascii="Arial" w:hAnsi="Arial"/>
          <w:sz w:val="22"/>
          <w:szCs w:val="22"/>
        </w:rPr>
        <w:t xml:space="preserve"> </w:t>
      </w:r>
      <w:r w:rsidR="072CB9F4" w:rsidRPr="007D0473">
        <w:rPr>
          <w:rFonts w:ascii="Arial" w:hAnsi="Arial"/>
          <w:sz w:val="22"/>
          <w:szCs w:val="22"/>
        </w:rPr>
        <w:t>N=</w:t>
      </w:r>
      <w:r w:rsidR="4F32697D" w:rsidRPr="007D0473">
        <w:rPr>
          <w:rFonts w:ascii="Arial" w:hAnsi="Arial"/>
          <w:sz w:val="22"/>
          <w:szCs w:val="22"/>
        </w:rPr>
        <w:t>193) =11.07</w:t>
      </w:r>
      <w:r w:rsidR="072CB9F4" w:rsidRPr="007D0473">
        <w:rPr>
          <w:rFonts w:ascii="Arial" w:hAnsi="Arial"/>
          <w:sz w:val="22"/>
          <w:szCs w:val="22"/>
        </w:rPr>
        <w:t>,</w:t>
      </w:r>
      <w:r w:rsidR="4F32697D" w:rsidRPr="007D0473">
        <w:rPr>
          <w:rFonts w:ascii="Arial" w:hAnsi="Arial"/>
          <w:sz w:val="22"/>
          <w:szCs w:val="22"/>
        </w:rPr>
        <w:t xml:space="preserve"> </w:t>
      </w:r>
      <w:r w:rsidR="072CB9F4" w:rsidRPr="007D0473">
        <w:rPr>
          <w:rFonts w:ascii="Arial" w:hAnsi="Arial"/>
          <w:sz w:val="22"/>
          <w:szCs w:val="22"/>
        </w:rPr>
        <w:t>p=0.</w:t>
      </w:r>
      <w:r w:rsidR="4F32697D" w:rsidRPr="007D0473">
        <w:rPr>
          <w:rFonts w:ascii="Arial" w:hAnsi="Arial"/>
          <w:sz w:val="22"/>
          <w:szCs w:val="22"/>
        </w:rPr>
        <w:t>000</w:t>
      </w:r>
      <w:r w:rsidR="77719F23" w:rsidRPr="007D0473">
        <w:rPr>
          <w:rFonts w:ascii="Arial" w:hAnsi="Arial"/>
          <w:sz w:val="22"/>
          <w:szCs w:val="22"/>
        </w:rPr>
        <w:t>9</w:t>
      </w:r>
      <w:r w:rsidR="072CB9F4" w:rsidRPr="007D0473">
        <w:rPr>
          <w:rFonts w:ascii="Arial" w:hAnsi="Arial"/>
          <w:sz w:val="22"/>
          <w:szCs w:val="22"/>
        </w:rPr>
        <w:t>)</w:t>
      </w:r>
      <w:r w:rsidR="00C34099">
        <w:rPr>
          <w:rFonts w:ascii="Arial" w:hAnsi="Arial"/>
          <w:sz w:val="22"/>
          <w:szCs w:val="22"/>
        </w:rPr>
        <w:t xml:space="preserve">. </w:t>
      </w:r>
      <w:r w:rsidR="0060736D">
        <w:rPr>
          <w:rFonts w:ascii="Arial" w:hAnsi="Arial"/>
          <w:sz w:val="22"/>
          <w:szCs w:val="22"/>
        </w:rPr>
        <w:t xml:space="preserve">Serotype </w:t>
      </w:r>
      <w:proofErr w:type="spellStart"/>
      <w:r w:rsidR="0060736D">
        <w:rPr>
          <w:rFonts w:ascii="Arial" w:hAnsi="Arial"/>
          <w:sz w:val="22"/>
          <w:szCs w:val="22"/>
        </w:rPr>
        <w:t>Ia</w:t>
      </w:r>
      <w:proofErr w:type="spellEnd"/>
      <w:r w:rsidR="0060736D">
        <w:rPr>
          <w:rFonts w:ascii="Arial" w:hAnsi="Arial"/>
          <w:sz w:val="22"/>
          <w:szCs w:val="22"/>
        </w:rPr>
        <w:t xml:space="preserve"> was second most common serotype identified in female patients (n=30/123, </w:t>
      </w:r>
      <w:r w:rsidR="0060736D" w:rsidRPr="00644241">
        <w:rPr>
          <w:rFonts w:ascii="Arial" w:hAnsi="Arial"/>
          <w:b/>
          <w:bCs/>
          <w:sz w:val="22"/>
          <w:szCs w:val="22"/>
        </w:rPr>
        <w:t>Figure 1b</w:t>
      </w:r>
      <w:r w:rsidR="0060736D">
        <w:rPr>
          <w:rFonts w:ascii="Arial" w:hAnsi="Arial"/>
          <w:sz w:val="22"/>
          <w:szCs w:val="22"/>
        </w:rPr>
        <w:t xml:space="preserve">) and it was top serotype identified in male patients (n=21/70, </w:t>
      </w:r>
      <w:r w:rsidR="0060736D" w:rsidRPr="00644241">
        <w:rPr>
          <w:rFonts w:ascii="Arial" w:hAnsi="Arial"/>
          <w:b/>
          <w:bCs/>
          <w:sz w:val="22"/>
          <w:szCs w:val="22"/>
        </w:rPr>
        <w:t>Figure 1c</w:t>
      </w:r>
      <w:r w:rsidR="0060736D">
        <w:rPr>
          <w:rFonts w:ascii="Arial" w:hAnsi="Arial"/>
          <w:sz w:val="22"/>
          <w:szCs w:val="22"/>
        </w:rPr>
        <w:t xml:space="preserve">). </w:t>
      </w:r>
      <w:r w:rsidR="00614A3F">
        <w:rPr>
          <w:rFonts w:ascii="Arial" w:hAnsi="Arial"/>
          <w:sz w:val="22"/>
          <w:szCs w:val="22"/>
        </w:rPr>
        <w:t xml:space="preserve">Serotype V was second most common serotype in male patients (n=16/70, </w:t>
      </w:r>
      <w:r w:rsidR="00614A3F" w:rsidRPr="00644241">
        <w:rPr>
          <w:rFonts w:ascii="Arial" w:hAnsi="Arial"/>
          <w:b/>
          <w:bCs/>
          <w:sz w:val="22"/>
          <w:szCs w:val="22"/>
        </w:rPr>
        <w:t>Figure 1c</w:t>
      </w:r>
      <w:r w:rsidR="00614A3F">
        <w:rPr>
          <w:rFonts w:ascii="Arial" w:hAnsi="Arial"/>
          <w:sz w:val="22"/>
          <w:szCs w:val="22"/>
        </w:rPr>
        <w:t xml:space="preserve">) while in female </w:t>
      </w:r>
      <w:proofErr w:type="gramStart"/>
      <w:r w:rsidR="00614A3F">
        <w:rPr>
          <w:rFonts w:ascii="Arial" w:hAnsi="Arial"/>
          <w:sz w:val="22"/>
          <w:szCs w:val="22"/>
        </w:rPr>
        <w:t>patients</w:t>
      </w:r>
      <w:proofErr w:type="gramEnd"/>
      <w:r w:rsidR="00614A3F">
        <w:rPr>
          <w:rFonts w:ascii="Arial" w:hAnsi="Arial"/>
          <w:sz w:val="22"/>
          <w:szCs w:val="22"/>
        </w:rPr>
        <w:t xml:space="preserve"> serotype V ranked as fourth most common serotype (n=13/123, </w:t>
      </w:r>
      <w:r w:rsidR="00614A3F" w:rsidRPr="00644241">
        <w:rPr>
          <w:rFonts w:ascii="Arial" w:hAnsi="Arial"/>
          <w:b/>
          <w:bCs/>
          <w:sz w:val="22"/>
          <w:szCs w:val="22"/>
        </w:rPr>
        <w:t>Figure 1b</w:t>
      </w:r>
      <w:r w:rsidR="00614A3F">
        <w:rPr>
          <w:rFonts w:ascii="Arial" w:hAnsi="Arial"/>
          <w:sz w:val="22"/>
          <w:szCs w:val="22"/>
        </w:rPr>
        <w:t xml:space="preserve">), </w:t>
      </w:r>
      <w:r w:rsidR="009F6EFC">
        <w:rPr>
          <w:rFonts w:ascii="Arial" w:hAnsi="Arial"/>
          <w:sz w:val="22"/>
          <w:szCs w:val="22"/>
        </w:rPr>
        <w:t xml:space="preserve">this suggested that </w:t>
      </w:r>
      <w:r w:rsidR="072CB9F4" w:rsidRPr="007D0473">
        <w:rPr>
          <w:rFonts w:ascii="Arial" w:hAnsi="Arial"/>
          <w:sz w:val="22"/>
          <w:szCs w:val="22"/>
        </w:rPr>
        <w:t>serotype V</w:t>
      </w:r>
      <w:r w:rsidR="41AA9F31" w:rsidRPr="007D0473">
        <w:rPr>
          <w:rFonts w:ascii="Arial" w:hAnsi="Arial"/>
          <w:sz w:val="22"/>
          <w:szCs w:val="22"/>
        </w:rPr>
        <w:t xml:space="preserve"> was </w:t>
      </w:r>
      <w:r w:rsidR="00D84F5A">
        <w:rPr>
          <w:rFonts w:ascii="Arial" w:hAnsi="Arial"/>
          <w:sz w:val="22"/>
          <w:szCs w:val="22"/>
        </w:rPr>
        <w:t xml:space="preserve">potentially </w:t>
      </w:r>
      <w:r w:rsidR="41AA9F31" w:rsidRPr="007D0473">
        <w:rPr>
          <w:rFonts w:ascii="Arial" w:hAnsi="Arial"/>
          <w:sz w:val="22"/>
          <w:szCs w:val="22"/>
        </w:rPr>
        <w:t xml:space="preserve">more commonly </w:t>
      </w:r>
      <w:r w:rsidR="009F6EFC">
        <w:rPr>
          <w:rFonts w:ascii="Arial" w:hAnsi="Arial"/>
          <w:sz w:val="22"/>
          <w:szCs w:val="22"/>
        </w:rPr>
        <w:t>causing infections</w:t>
      </w:r>
      <w:r w:rsidR="009F6EFC" w:rsidRPr="007D0473">
        <w:rPr>
          <w:rFonts w:ascii="Arial" w:hAnsi="Arial"/>
          <w:sz w:val="22"/>
          <w:szCs w:val="22"/>
        </w:rPr>
        <w:t xml:space="preserve"> </w:t>
      </w:r>
      <w:r w:rsidR="41AA9F31" w:rsidRPr="007D0473">
        <w:rPr>
          <w:rFonts w:ascii="Arial" w:hAnsi="Arial"/>
          <w:sz w:val="22"/>
          <w:szCs w:val="22"/>
        </w:rPr>
        <w:t>in male patients (X</w:t>
      </w:r>
      <w:r w:rsidR="41AA9F31" w:rsidRPr="007D0473">
        <w:rPr>
          <w:rFonts w:ascii="Arial" w:hAnsi="Arial"/>
          <w:sz w:val="22"/>
          <w:szCs w:val="22"/>
          <w:vertAlign w:val="superscript"/>
        </w:rPr>
        <w:t>2</w:t>
      </w:r>
      <w:r w:rsidR="41AA9F31" w:rsidRPr="007D0473">
        <w:rPr>
          <w:rFonts w:ascii="Arial" w:hAnsi="Arial"/>
          <w:sz w:val="22"/>
          <w:szCs w:val="22"/>
        </w:rPr>
        <w:t>(1, N=</w:t>
      </w:r>
      <w:r w:rsidR="0D8EAA15" w:rsidRPr="007D0473">
        <w:rPr>
          <w:rFonts w:ascii="Arial" w:hAnsi="Arial"/>
          <w:sz w:val="22"/>
          <w:szCs w:val="22"/>
        </w:rPr>
        <w:t>193) =</w:t>
      </w:r>
      <w:r w:rsidR="41AA9F31" w:rsidRPr="007D0473">
        <w:rPr>
          <w:rFonts w:ascii="Arial" w:hAnsi="Arial"/>
          <w:sz w:val="22"/>
          <w:szCs w:val="22"/>
        </w:rPr>
        <w:t>5.</w:t>
      </w:r>
      <w:r w:rsidR="471DAE4F" w:rsidRPr="007D0473">
        <w:rPr>
          <w:rFonts w:ascii="Arial" w:hAnsi="Arial"/>
          <w:sz w:val="22"/>
          <w:szCs w:val="22"/>
        </w:rPr>
        <w:t>3</w:t>
      </w:r>
      <w:r w:rsidR="41AA9F31" w:rsidRPr="007D0473">
        <w:rPr>
          <w:rFonts w:ascii="Arial" w:hAnsi="Arial"/>
          <w:sz w:val="22"/>
          <w:szCs w:val="22"/>
        </w:rPr>
        <w:t>,</w:t>
      </w:r>
      <w:r w:rsidR="6CFD67ED" w:rsidRPr="007D0473">
        <w:rPr>
          <w:rFonts w:ascii="Arial" w:hAnsi="Arial"/>
          <w:sz w:val="22"/>
          <w:szCs w:val="22"/>
        </w:rPr>
        <w:t xml:space="preserve"> </w:t>
      </w:r>
      <w:r w:rsidR="41AA9F31" w:rsidRPr="007D0473">
        <w:rPr>
          <w:rFonts w:ascii="Arial" w:hAnsi="Arial"/>
          <w:sz w:val="22"/>
          <w:szCs w:val="22"/>
        </w:rPr>
        <w:t>p=0.02</w:t>
      </w:r>
      <w:r w:rsidR="6F851010" w:rsidRPr="007D0473">
        <w:rPr>
          <w:rFonts w:ascii="Arial" w:hAnsi="Arial"/>
          <w:sz w:val="22"/>
          <w:szCs w:val="22"/>
        </w:rPr>
        <w:t>)</w:t>
      </w:r>
      <w:r w:rsidR="41AA9F31" w:rsidRPr="007D0473">
        <w:rPr>
          <w:rFonts w:ascii="Arial" w:hAnsi="Arial"/>
          <w:sz w:val="22"/>
          <w:szCs w:val="22"/>
        </w:rPr>
        <w:t xml:space="preserve">. </w:t>
      </w:r>
      <w:r w:rsidR="1E5D6108" w:rsidRPr="007D0473">
        <w:rPr>
          <w:rFonts w:ascii="Arial" w:hAnsi="Arial"/>
          <w:sz w:val="22"/>
          <w:szCs w:val="22"/>
        </w:rPr>
        <w:t xml:space="preserve">Serotypes III and </w:t>
      </w:r>
      <w:proofErr w:type="spellStart"/>
      <w:r w:rsidR="6B96F2FD" w:rsidRPr="007D0473">
        <w:rPr>
          <w:rFonts w:ascii="Arial" w:hAnsi="Arial"/>
          <w:sz w:val="22"/>
          <w:szCs w:val="22"/>
        </w:rPr>
        <w:t>Ia</w:t>
      </w:r>
      <w:proofErr w:type="spellEnd"/>
      <w:r w:rsidR="6B96F2FD" w:rsidRPr="007D0473">
        <w:rPr>
          <w:rFonts w:ascii="Arial" w:hAnsi="Arial"/>
          <w:sz w:val="22"/>
          <w:szCs w:val="22"/>
        </w:rPr>
        <w:t xml:space="preserve"> were more common among female patients, especially in the younger age group (18-44 years old), with the exception for the 45-64 year</w:t>
      </w:r>
      <w:r w:rsidR="604EBEBC" w:rsidRPr="007D0473">
        <w:rPr>
          <w:rFonts w:ascii="Arial" w:hAnsi="Arial"/>
          <w:sz w:val="22"/>
          <w:szCs w:val="22"/>
        </w:rPr>
        <w:t>s</w:t>
      </w:r>
      <w:r w:rsidR="6B96F2FD" w:rsidRPr="007D0473">
        <w:rPr>
          <w:rFonts w:ascii="Arial" w:hAnsi="Arial"/>
          <w:sz w:val="22"/>
          <w:szCs w:val="22"/>
        </w:rPr>
        <w:t xml:space="preserve"> age group, where serotypes II and </w:t>
      </w:r>
      <w:proofErr w:type="spellStart"/>
      <w:r w:rsidR="6B96F2FD" w:rsidRPr="007D0473">
        <w:rPr>
          <w:rFonts w:ascii="Arial" w:hAnsi="Arial"/>
          <w:sz w:val="22"/>
          <w:szCs w:val="22"/>
        </w:rPr>
        <w:t>Ib</w:t>
      </w:r>
      <w:proofErr w:type="spellEnd"/>
      <w:r w:rsidR="6B96F2FD" w:rsidRPr="007D0473">
        <w:rPr>
          <w:rFonts w:ascii="Arial" w:hAnsi="Arial"/>
          <w:sz w:val="22"/>
          <w:szCs w:val="22"/>
        </w:rPr>
        <w:t xml:space="preserve"> </w:t>
      </w:r>
      <w:r w:rsidR="19A31DF5" w:rsidRPr="007D0473">
        <w:rPr>
          <w:rFonts w:ascii="Arial" w:hAnsi="Arial"/>
          <w:sz w:val="22"/>
          <w:szCs w:val="22"/>
        </w:rPr>
        <w:t>pre</w:t>
      </w:r>
      <w:r w:rsidR="00251BDB" w:rsidRPr="007D0473">
        <w:rPr>
          <w:rFonts w:ascii="Arial" w:hAnsi="Arial"/>
          <w:sz w:val="22"/>
          <w:szCs w:val="22"/>
        </w:rPr>
        <w:t>-</w:t>
      </w:r>
      <w:r w:rsidR="6B96F2FD" w:rsidRPr="007D0473">
        <w:rPr>
          <w:rFonts w:ascii="Arial" w:hAnsi="Arial"/>
          <w:sz w:val="22"/>
          <w:szCs w:val="22"/>
        </w:rPr>
        <w:t>domin</w:t>
      </w:r>
      <w:r w:rsidR="64F91759" w:rsidRPr="007D0473">
        <w:rPr>
          <w:rFonts w:ascii="Arial" w:hAnsi="Arial"/>
          <w:sz w:val="22"/>
          <w:szCs w:val="22"/>
        </w:rPr>
        <w:t>ated</w:t>
      </w:r>
      <w:r w:rsidR="6B96F2FD" w:rsidRPr="007D0473">
        <w:rPr>
          <w:rFonts w:ascii="Arial" w:hAnsi="Arial"/>
          <w:sz w:val="22"/>
          <w:szCs w:val="22"/>
        </w:rPr>
        <w:t>, though</w:t>
      </w:r>
      <w:r w:rsidR="39CB5ECB" w:rsidRPr="007D0473">
        <w:rPr>
          <w:rFonts w:ascii="Arial" w:hAnsi="Arial"/>
          <w:sz w:val="22"/>
          <w:szCs w:val="22"/>
        </w:rPr>
        <w:t xml:space="preserve"> this group</w:t>
      </w:r>
      <w:r w:rsidR="2CE26EE8" w:rsidRPr="007D0473">
        <w:rPr>
          <w:rFonts w:ascii="Arial" w:hAnsi="Arial"/>
          <w:sz w:val="22"/>
          <w:szCs w:val="22"/>
        </w:rPr>
        <w:t xml:space="preserve"> </w:t>
      </w:r>
      <w:r w:rsidR="7FEBE6DA" w:rsidRPr="007D0473">
        <w:rPr>
          <w:rFonts w:ascii="Arial" w:hAnsi="Arial"/>
          <w:sz w:val="22"/>
          <w:szCs w:val="22"/>
        </w:rPr>
        <w:t>contains</w:t>
      </w:r>
      <w:r w:rsidR="4473304E" w:rsidRPr="007D0473">
        <w:rPr>
          <w:rFonts w:ascii="Arial" w:hAnsi="Arial"/>
          <w:sz w:val="22"/>
          <w:szCs w:val="22"/>
        </w:rPr>
        <w:t xml:space="preserve"> a</w:t>
      </w:r>
      <w:r w:rsidR="6B96F2FD" w:rsidRPr="007D0473">
        <w:rPr>
          <w:rFonts w:ascii="Arial" w:hAnsi="Arial"/>
          <w:sz w:val="22"/>
          <w:szCs w:val="22"/>
        </w:rPr>
        <w:t xml:space="preserve"> small number of </w:t>
      </w:r>
      <w:r w:rsidR="44790605" w:rsidRPr="007D0473">
        <w:rPr>
          <w:rFonts w:ascii="Arial" w:hAnsi="Arial"/>
          <w:sz w:val="22"/>
          <w:szCs w:val="22"/>
        </w:rPr>
        <w:t>isolates</w:t>
      </w:r>
      <w:r w:rsidR="6B96F2FD" w:rsidRPr="007D0473">
        <w:rPr>
          <w:rFonts w:ascii="Arial" w:hAnsi="Arial"/>
          <w:sz w:val="22"/>
          <w:szCs w:val="22"/>
        </w:rPr>
        <w:t xml:space="preserve"> for comparison to other groups (</w:t>
      </w:r>
      <w:r w:rsidR="6B96F2FD" w:rsidRPr="007D0473">
        <w:rPr>
          <w:rFonts w:ascii="Arial" w:hAnsi="Arial"/>
          <w:b/>
          <w:bCs/>
          <w:sz w:val="22"/>
          <w:szCs w:val="22"/>
        </w:rPr>
        <w:t>Figure 1b</w:t>
      </w:r>
      <w:r w:rsidR="6B96F2FD" w:rsidRPr="007D0473">
        <w:rPr>
          <w:rFonts w:ascii="Arial" w:hAnsi="Arial"/>
          <w:sz w:val="22"/>
          <w:szCs w:val="22"/>
        </w:rPr>
        <w:t>).</w:t>
      </w:r>
      <w:r w:rsidR="19211564" w:rsidRPr="007D0473">
        <w:rPr>
          <w:rFonts w:ascii="Arial" w:hAnsi="Arial"/>
          <w:sz w:val="22"/>
          <w:szCs w:val="22"/>
        </w:rPr>
        <w:t xml:space="preserve"> </w:t>
      </w:r>
      <w:r w:rsidR="00234074">
        <w:rPr>
          <w:rFonts w:ascii="Arial" w:hAnsi="Arial"/>
          <w:sz w:val="22"/>
          <w:szCs w:val="22"/>
        </w:rPr>
        <w:t>To confirm these serotype and gender or age group observed associations, further analysis on large</w:t>
      </w:r>
      <w:r w:rsidR="00C523AB">
        <w:rPr>
          <w:rFonts w:ascii="Arial" w:hAnsi="Arial"/>
          <w:sz w:val="22"/>
          <w:szCs w:val="22"/>
        </w:rPr>
        <w:t>r</w:t>
      </w:r>
      <w:r w:rsidR="00234074">
        <w:rPr>
          <w:rFonts w:ascii="Arial" w:hAnsi="Arial"/>
          <w:sz w:val="22"/>
          <w:szCs w:val="22"/>
        </w:rPr>
        <w:t xml:space="preserve"> longitudinal adult GBS dataset is needed. </w:t>
      </w:r>
    </w:p>
    <w:p w14:paraId="5FF4792E" w14:textId="77777777" w:rsidR="00E70931" w:rsidRPr="007D0473" w:rsidRDefault="00E70931" w:rsidP="00DB7C46">
      <w:pPr>
        <w:spacing w:before="120" w:after="120" w:line="480" w:lineRule="auto"/>
        <w:rPr>
          <w:rFonts w:ascii="Arial" w:hAnsi="Arial"/>
          <w:sz w:val="22"/>
          <w:szCs w:val="22"/>
        </w:rPr>
      </w:pPr>
    </w:p>
    <w:p w14:paraId="40D9C48F" w14:textId="4F566B42" w:rsidR="00571191" w:rsidRPr="007D0473" w:rsidRDefault="1AA9A494" w:rsidP="00DB7C46">
      <w:pPr>
        <w:spacing w:before="120" w:after="120" w:line="480" w:lineRule="auto"/>
        <w:rPr>
          <w:rFonts w:ascii="Arial" w:hAnsi="Arial"/>
          <w:sz w:val="22"/>
          <w:szCs w:val="22"/>
        </w:rPr>
      </w:pPr>
      <w:r w:rsidRPr="008544A8">
        <w:rPr>
          <w:rFonts w:ascii="Arial" w:hAnsi="Arial"/>
          <w:b/>
          <w:bCs/>
          <w:sz w:val="22"/>
          <w:szCs w:val="22"/>
        </w:rPr>
        <w:t>Genotypes and virulence genes</w:t>
      </w:r>
    </w:p>
    <w:p w14:paraId="34960362" w14:textId="2EF8EC7E" w:rsidR="00571191" w:rsidRPr="007D0473" w:rsidRDefault="1AA9A494" w:rsidP="00DB7C46">
      <w:pPr>
        <w:spacing w:before="120" w:after="120" w:line="480" w:lineRule="auto"/>
        <w:rPr>
          <w:rFonts w:ascii="Arial" w:hAnsi="Arial"/>
          <w:sz w:val="22"/>
          <w:szCs w:val="22"/>
        </w:rPr>
      </w:pPr>
      <w:bookmarkStart w:id="2" w:name="page9"/>
      <w:bookmarkEnd w:id="2"/>
      <w:r w:rsidRPr="007D0473">
        <w:rPr>
          <w:rFonts w:ascii="Arial" w:hAnsi="Arial"/>
          <w:sz w:val="22"/>
          <w:szCs w:val="22"/>
        </w:rPr>
        <w:lastRenderedPageBreak/>
        <w:t>Of the 4</w:t>
      </w:r>
      <w:r w:rsidR="338850B8" w:rsidRPr="007D0473">
        <w:rPr>
          <w:rFonts w:ascii="Arial" w:hAnsi="Arial"/>
          <w:sz w:val="22"/>
          <w:szCs w:val="22"/>
        </w:rPr>
        <w:t>7</w:t>
      </w:r>
      <w:r w:rsidRPr="007D0473">
        <w:rPr>
          <w:rFonts w:ascii="Arial" w:hAnsi="Arial"/>
          <w:sz w:val="22"/>
          <w:szCs w:val="22"/>
        </w:rPr>
        <w:t xml:space="preserve"> sequence types (STs) found, 5 </w:t>
      </w:r>
      <w:r w:rsidR="2A305F08" w:rsidRPr="007D0473">
        <w:rPr>
          <w:rFonts w:ascii="Arial" w:hAnsi="Arial"/>
          <w:sz w:val="22"/>
          <w:szCs w:val="22"/>
        </w:rPr>
        <w:t xml:space="preserve">were predominant: </w:t>
      </w:r>
      <w:r w:rsidRPr="007D0473">
        <w:rPr>
          <w:rFonts w:ascii="Arial" w:hAnsi="Arial"/>
          <w:sz w:val="22"/>
          <w:szCs w:val="22"/>
        </w:rPr>
        <w:t>ST23 (n=40</w:t>
      </w:r>
      <w:r w:rsidR="00F94BEA">
        <w:rPr>
          <w:rFonts w:ascii="Arial" w:hAnsi="Arial"/>
          <w:sz w:val="22"/>
          <w:szCs w:val="22"/>
        </w:rPr>
        <w:t>/193</w:t>
      </w:r>
      <w:r w:rsidRPr="007D0473">
        <w:rPr>
          <w:rFonts w:ascii="Arial" w:hAnsi="Arial"/>
          <w:sz w:val="22"/>
          <w:szCs w:val="22"/>
        </w:rPr>
        <w:t>), ST8 (n=29</w:t>
      </w:r>
      <w:r w:rsidR="00F94BEA">
        <w:rPr>
          <w:rFonts w:ascii="Arial" w:hAnsi="Arial"/>
          <w:sz w:val="22"/>
          <w:szCs w:val="22"/>
        </w:rPr>
        <w:t>/193</w:t>
      </w:r>
      <w:r w:rsidRPr="007D0473">
        <w:rPr>
          <w:rFonts w:ascii="Arial" w:hAnsi="Arial"/>
          <w:sz w:val="22"/>
          <w:szCs w:val="22"/>
        </w:rPr>
        <w:t>), ST17 (n=29</w:t>
      </w:r>
      <w:r w:rsidR="00F94BEA">
        <w:rPr>
          <w:rFonts w:ascii="Arial" w:hAnsi="Arial"/>
          <w:sz w:val="22"/>
          <w:szCs w:val="22"/>
        </w:rPr>
        <w:t>/193</w:t>
      </w:r>
      <w:r w:rsidRPr="007D0473">
        <w:rPr>
          <w:rFonts w:ascii="Arial" w:hAnsi="Arial"/>
          <w:sz w:val="22"/>
          <w:szCs w:val="22"/>
        </w:rPr>
        <w:t>), ST1 (n=23</w:t>
      </w:r>
      <w:r w:rsidR="00F94BEA">
        <w:rPr>
          <w:rFonts w:ascii="Arial" w:hAnsi="Arial"/>
          <w:sz w:val="22"/>
          <w:szCs w:val="22"/>
        </w:rPr>
        <w:t>/193</w:t>
      </w:r>
      <w:r w:rsidRPr="007D0473">
        <w:rPr>
          <w:rFonts w:ascii="Arial" w:hAnsi="Arial"/>
          <w:sz w:val="22"/>
          <w:szCs w:val="22"/>
        </w:rPr>
        <w:t>) and ST19 (n=20</w:t>
      </w:r>
      <w:r w:rsidR="00F94BEA">
        <w:rPr>
          <w:rFonts w:ascii="Arial" w:hAnsi="Arial"/>
          <w:sz w:val="22"/>
          <w:szCs w:val="22"/>
        </w:rPr>
        <w:t>/193</w:t>
      </w:r>
      <w:r w:rsidRPr="007D0473">
        <w:rPr>
          <w:rFonts w:ascii="Arial" w:hAnsi="Arial"/>
          <w:sz w:val="22"/>
          <w:szCs w:val="22"/>
        </w:rPr>
        <w:t>). Additionally, 15 novel STs were identified (</w:t>
      </w:r>
      <w:r w:rsidR="731F75E2" w:rsidRPr="007D0473">
        <w:rPr>
          <w:rFonts w:ascii="Arial" w:hAnsi="Arial"/>
          <w:b/>
          <w:bCs/>
          <w:sz w:val="22"/>
          <w:szCs w:val="22"/>
        </w:rPr>
        <w:t>Table S</w:t>
      </w:r>
      <w:r w:rsidR="38F2CEBF" w:rsidRPr="007D0473">
        <w:rPr>
          <w:rFonts w:ascii="Arial" w:hAnsi="Arial"/>
          <w:b/>
          <w:bCs/>
          <w:sz w:val="22"/>
          <w:szCs w:val="22"/>
        </w:rPr>
        <w:t>2</w:t>
      </w:r>
      <w:r w:rsidRPr="007D0473">
        <w:rPr>
          <w:rFonts w:ascii="Arial" w:hAnsi="Arial"/>
          <w:sz w:val="22"/>
          <w:szCs w:val="22"/>
        </w:rPr>
        <w:t xml:space="preserve">). </w:t>
      </w:r>
      <w:r w:rsidR="761B2893" w:rsidRPr="007D0473">
        <w:rPr>
          <w:rFonts w:ascii="Arial" w:hAnsi="Arial"/>
          <w:sz w:val="22"/>
          <w:szCs w:val="22"/>
        </w:rPr>
        <w:t xml:space="preserve">The STs were further grouped into </w:t>
      </w:r>
      <w:r w:rsidRPr="007D0473">
        <w:rPr>
          <w:rFonts w:ascii="Arial" w:hAnsi="Arial"/>
          <w:sz w:val="22"/>
          <w:szCs w:val="22"/>
        </w:rPr>
        <w:t>five main clonal complexes: CC23 (2</w:t>
      </w:r>
      <w:r w:rsidR="00171E64" w:rsidRPr="007D0473">
        <w:rPr>
          <w:rFonts w:ascii="Arial" w:hAnsi="Arial"/>
          <w:sz w:val="22"/>
          <w:szCs w:val="22"/>
        </w:rPr>
        <w:t>7</w:t>
      </w:r>
      <w:r w:rsidRPr="007D0473">
        <w:rPr>
          <w:rFonts w:ascii="Arial" w:hAnsi="Arial"/>
          <w:sz w:val="22"/>
          <w:szCs w:val="22"/>
        </w:rPr>
        <w:t>.</w:t>
      </w:r>
      <w:r w:rsidR="00171E64" w:rsidRPr="007D0473">
        <w:rPr>
          <w:rFonts w:ascii="Arial" w:hAnsi="Arial"/>
          <w:sz w:val="22"/>
          <w:szCs w:val="22"/>
        </w:rPr>
        <w:t>5</w:t>
      </w:r>
      <w:r w:rsidRPr="007D0473">
        <w:rPr>
          <w:rFonts w:ascii="Arial" w:hAnsi="Arial"/>
          <w:sz w:val="22"/>
          <w:szCs w:val="22"/>
        </w:rPr>
        <w:t xml:space="preserve">%, </w:t>
      </w:r>
      <w:r w:rsidR="00E435F9">
        <w:rPr>
          <w:rFonts w:ascii="Arial" w:hAnsi="Arial"/>
          <w:sz w:val="22"/>
          <w:szCs w:val="22"/>
        </w:rPr>
        <w:t>n=</w:t>
      </w:r>
      <w:r w:rsidRPr="007D0473">
        <w:rPr>
          <w:rFonts w:ascii="Arial" w:hAnsi="Arial"/>
          <w:sz w:val="22"/>
          <w:szCs w:val="22"/>
        </w:rPr>
        <w:t>5</w:t>
      </w:r>
      <w:r w:rsidR="003F59D7" w:rsidRPr="007D0473">
        <w:rPr>
          <w:rFonts w:ascii="Arial" w:hAnsi="Arial"/>
          <w:sz w:val="22"/>
          <w:szCs w:val="22"/>
        </w:rPr>
        <w:t>3</w:t>
      </w:r>
      <w:r w:rsidRPr="007D0473">
        <w:rPr>
          <w:rFonts w:ascii="Arial" w:hAnsi="Arial"/>
          <w:sz w:val="22"/>
          <w:szCs w:val="22"/>
        </w:rPr>
        <w:t>/19</w:t>
      </w:r>
      <w:r w:rsidR="257CC463" w:rsidRPr="007D0473">
        <w:rPr>
          <w:rFonts w:ascii="Arial" w:hAnsi="Arial"/>
          <w:sz w:val="22"/>
          <w:szCs w:val="22"/>
        </w:rPr>
        <w:t>3</w:t>
      </w:r>
      <w:r w:rsidRPr="007D0473">
        <w:rPr>
          <w:rFonts w:ascii="Arial" w:hAnsi="Arial"/>
          <w:sz w:val="22"/>
          <w:szCs w:val="22"/>
        </w:rPr>
        <w:t>), CC1 (1</w:t>
      </w:r>
      <w:r w:rsidR="009C117A" w:rsidRPr="007D0473">
        <w:rPr>
          <w:rFonts w:ascii="Arial" w:hAnsi="Arial"/>
          <w:sz w:val="22"/>
          <w:szCs w:val="22"/>
        </w:rPr>
        <w:t>8</w:t>
      </w:r>
      <w:r w:rsidRPr="007D0473">
        <w:rPr>
          <w:rFonts w:ascii="Arial" w:hAnsi="Arial"/>
          <w:sz w:val="22"/>
          <w:szCs w:val="22"/>
        </w:rPr>
        <w:t>.</w:t>
      </w:r>
      <w:r w:rsidR="4E5D6A28" w:rsidRPr="007D0473">
        <w:rPr>
          <w:rFonts w:ascii="Arial" w:hAnsi="Arial"/>
          <w:sz w:val="22"/>
          <w:szCs w:val="22"/>
        </w:rPr>
        <w:t>1</w:t>
      </w:r>
      <w:r w:rsidRPr="007D0473">
        <w:rPr>
          <w:rFonts w:ascii="Arial" w:hAnsi="Arial"/>
          <w:sz w:val="22"/>
          <w:szCs w:val="22"/>
        </w:rPr>
        <w:t xml:space="preserve">%, </w:t>
      </w:r>
      <w:r w:rsidR="00E435F9">
        <w:rPr>
          <w:rFonts w:ascii="Arial" w:hAnsi="Arial"/>
          <w:sz w:val="22"/>
          <w:szCs w:val="22"/>
        </w:rPr>
        <w:t>n=</w:t>
      </w:r>
      <w:r w:rsidRPr="007D0473">
        <w:rPr>
          <w:rFonts w:ascii="Arial" w:hAnsi="Arial"/>
          <w:sz w:val="22"/>
          <w:szCs w:val="22"/>
        </w:rPr>
        <w:t>3</w:t>
      </w:r>
      <w:r w:rsidR="009C117A" w:rsidRPr="007D0473">
        <w:rPr>
          <w:rFonts w:ascii="Arial" w:hAnsi="Arial"/>
          <w:sz w:val="22"/>
          <w:szCs w:val="22"/>
        </w:rPr>
        <w:t>5</w:t>
      </w:r>
      <w:r w:rsidRPr="007D0473">
        <w:rPr>
          <w:rFonts w:ascii="Arial" w:hAnsi="Arial"/>
          <w:sz w:val="22"/>
          <w:szCs w:val="22"/>
        </w:rPr>
        <w:t>/19</w:t>
      </w:r>
      <w:r w:rsidR="5EA29E33" w:rsidRPr="007D0473">
        <w:rPr>
          <w:rFonts w:ascii="Arial" w:hAnsi="Arial"/>
          <w:sz w:val="22"/>
          <w:szCs w:val="22"/>
        </w:rPr>
        <w:t>3</w:t>
      </w:r>
      <w:r w:rsidRPr="007D0473">
        <w:rPr>
          <w:rFonts w:ascii="Arial" w:hAnsi="Arial"/>
          <w:sz w:val="22"/>
          <w:szCs w:val="22"/>
        </w:rPr>
        <w:t>), CC8</w:t>
      </w:r>
      <w:r w:rsidR="004F429A" w:rsidRPr="007D0473">
        <w:rPr>
          <w:rFonts w:ascii="Arial" w:hAnsi="Arial"/>
          <w:sz w:val="22"/>
          <w:szCs w:val="22"/>
        </w:rPr>
        <w:t>/CC10</w:t>
      </w:r>
      <w:r w:rsidRPr="007D0473">
        <w:rPr>
          <w:rFonts w:ascii="Arial" w:hAnsi="Arial"/>
          <w:sz w:val="22"/>
          <w:szCs w:val="22"/>
        </w:rPr>
        <w:t xml:space="preserve"> (1</w:t>
      </w:r>
      <w:r w:rsidR="00714B69" w:rsidRPr="007D0473">
        <w:rPr>
          <w:rFonts w:ascii="Arial" w:hAnsi="Arial"/>
          <w:sz w:val="22"/>
          <w:szCs w:val="22"/>
        </w:rPr>
        <w:t>5</w:t>
      </w:r>
      <w:r w:rsidRPr="007D0473">
        <w:rPr>
          <w:rFonts w:ascii="Arial" w:hAnsi="Arial"/>
          <w:sz w:val="22"/>
          <w:szCs w:val="22"/>
        </w:rPr>
        <w:t>.</w:t>
      </w:r>
      <w:r w:rsidR="00714B69" w:rsidRPr="007D0473">
        <w:rPr>
          <w:rFonts w:ascii="Arial" w:hAnsi="Arial"/>
          <w:sz w:val="22"/>
          <w:szCs w:val="22"/>
        </w:rPr>
        <w:t>0</w:t>
      </w:r>
      <w:r w:rsidRPr="007D0473">
        <w:rPr>
          <w:rFonts w:ascii="Arial" w:hAnsi="Arial"/>
          <w:sz w:val="22"/>
          <w:szCs w:val="22"/>
        </w:rPr>
        <w:t xml:space="preserve">%, </w:t>
      </w:r>
      <w:r w:rsidR="00E435F9">
        <w:rPr>
          <w:rFonts w:ascii="Arial" w:hAnsi="Arial"/>
          <w:sz w:val="22"/>
          <w:szCs w:val="22"/>
        </w:rPr>
        <w:t>n=</w:t>
      </w:r>
      <w:r w:rsidR="008C5211" w:rsidRPr="007D0473">
        <w:rPr>
          <w:rFonts w:ascii="Arial" w:hAnsi="Arial"/>
          <w:sz w:val="22"/>
          <w:szCs w:val="22"/>
        </w:rPr>
        <w:t>29</w:t>
      </w:r>
      <w:r w:rsidRPr="007D0473">
        <w:rPr>
          <w:rFonts w:ascii="Arial" w:hAnsi="Arial"/>
          <w:sz w:val="22"/>
          <w:szCs w:val="22"/>
        </w:rPr>
        <w:t>/19</w:t>
      </w:r>
      <w:r w:rsidR="40C80D44" w:rsidRPr="007D0473">
        <w:rPr>
          <w:rFonts w:ascii="Arial" w:hAnsi="Arial"/>
          <w:sz w:val="22"/>
          <w:szCs w:val="22"/>
        </w:rPr>
        <w:t>3</w:t>
      </w:r>
      <w:r w:rsidRPr="007D0473">
        <w:rPr>
          <w:rFonts w:ascii="Arial" w:hAnsi="Arial"/>
          <w:sz w:val="22"/>
          <w:szCs w:val="22"/>
        </w:rPr>
        <w:t>), CC17 (1</w:t>
      </w:r>
      <w:r w:rsidR="00C20D74" w:rsidRPr="007D0473">
        <w:rPr>
          <w:rFonts w:ascii="Arial" w:hAnsi="Arial"/>
          <w:sz w:val="22"/>
          <w:szCs w:val="22"/>
        </w:rPr>
        <w:t>6</w:t>
      </w:r>
      <w:r w:rsidR="1E8A27B7" w:rsidRPr="007D0473">
        <w:rPr>
          <w:rFonts w:ascii="Arial" w:hAnsi="Arial"/>
          <w:sz w:val="22"/>
          <w:szCs w:val="22"/>
        </w:rPr>
        <w:t>.</w:t>
      </w:r>
      <w:r w:rsidR="00C20D74" w:rsidRPr="007D0473">
        <w:rPr>
          <w:rFonts w:ascii="Arial" w:hAnsi="Arial"/>
          <w:sz w:val="22"/>
          <w:szCs w:val="22"/>
        </w:rPr>
        <w:t>6</w:t>
      </w:r>
      <w:r w:rsidRPr="007D0473">
        <w:rPr>
          <w:rFonts w:ascii="Arial" w:hAnsi="Arial"/>
          <w:sz w:val="22"/>
          <w:szCs w:val="22"/>
        </w:rPr>
        <w:t xml:space="preserve">%, </w:t>
      </w:r>
      <w:r w:rsidR="00E435F9">
        <w:rPr>
          <w:rFonts w:ascii="Arial" w:hAnsi="Arial"/>
          <w:sz w:val="22"/>
          <w:szCs w:val="22"/>
        </w:rPr>
        <w:t>n=</w:t>
      </w:r>
      <w:r w:rsidRPr="007D0473">
        <w:rPr>
          <w:rFonts w:ascii="Arial" w:hAnsi="Arial"/>
          <w:sz w:val="22"/>
          <w:szCs w:val="22"/>
        </w:rPr>
        <w:t>3</w:t>
      </w:r>
      <w:r w:rsidR="00C20D74" w:rsidRPr="007D0473">
        <w:rPr>
          <w:rFonts w:ascii="Arial" w:hAnsi="Arial"/>
          <w:sz w:val="22"/>
          <w:szCs w:val="22"/>
        </w:rPr>
        <w:t>2</w:t>
      </w:r>
      <w:r w:rsidRPr="007D0473">
        <w:rPr>
          <w:rFonts w:ascii="Arial" w:hAnsi="Arial"/>
          <w:sz w:val="22"/>
          <w:szCs w:val="22"/>
        </w:rPr>
        <w:t>/19</w:t>
      </w:r>
      <w:r w:rsidR="1E8A27B7" w:rsidRPr="007D0473">
        <w:rPr>
          <w:rFonts w:ascii="Arial" w:hAnsi="Arial"/>
          <w:sz w:val="22"/>
          <w:szCs w:val="22"/>
        </w:rPr>
        <w:t>3</w:t>
      </w:r>
      <w:r w:rsidRPr="007D0473">
        <w:rPr>
          <w:rFonts w:ascii="Arial" w:hAnsi="Arial"/>
          <w:sz w:val="22"/>
          <w:szCs w:val="22"/>
        </w:rPr>
        <w:t>) and CC19 (</w:t>
      </w:r>
      <w:r w:rsidR="00E95375" w:rsidRPr="007D0473">
        <w:rPr>
          <w:rFonts w:ascii="Arial" w:hAnsi="Arial"/>
          <w:sz w:val="22"/>
          <w:szCs w:val="22"/>
        </w:rPr>
        <w:t>17.1</w:t>
      </w:r>
      <w:r w:rsidRPr="007D0473">
        <w:rPr>
          <w:rFonts w:ascii="Arial" w:hAnsi="Arial"/>
          <w:sz w:val="22"/>
          <w:szCs w:val="22"/>
        </w:rPr>
        <w:t xml:space="preserve">%, </w:t>
      </w:r>
      <w:r w:rsidR="00E435F9">
        <w:rPr>
          <w:rFonts w:ascii="Arial" w:hAnsi="Arial"/>
          <w:sz w:val="22"/>
          <w:szCs w:val="22"/>
        </w:rPr>
        <w:t>n=</w:t>
      </w:r>
      <w:r w:rsidRPr="007D0473">
        <w:rPr>
          <w:rFonts w:ascii="Arial" w:hAnsi="Arial"/>
          <w:sz w:val="22"/>
          <w:szCs w:val="22"/>
        </w:rPr>
        <w:t>3</w:t>
      </w:r>
      <w:r w:rsidR="004F429A" w:rsidRPr="007D0473">
        <w:rPr>
          <w:rFonts w:ascii="Arial" w:hAnsi="Arial"/>
          <w:sz w:val="22"/>
          <w:szCs w:val="22"/>
        </w:rPr>
        <w:t>3</w:t>
      </w:r>
      <w:r w:rsidRPr="007D0473">
        <w:rPr>
          <w:rFonts w:ascii="Arial" w:hAnsi="Arial"/>
          <w:sz w:val="22"/>
          <w:szCs w:val="22"/>
        </w:rPr>
        <w:t>/19</w:t>
      </w:r>
      <w:r w:rsidR="1E8A27B7" w:rsidRPr="007D0473">
        <w:rPr>
          <w:rFonts w:ascii="Arial" w:hAnsi="Arial"/>
          <w:sz w:val="22"/>
          <w:szCs w:val="22"/>
        </w:rPr>
        <w:t>3</w:t>
      </w:r>
      <w:r w:rsidRPr="007D0473">
        <w:rPr>
          <w:rFonts w:ascii="Arial" w:hAnsi="Arial"/>
          <w:sz w:val="22"/>
          <w:szCs w:val="22"/>
        </w:rPr>
        <w:t xml:space="preserve">) </w:t>
      </w:r>
      <w:r w:rsidR="008020EE" w:rsidRPr="007D0473">
        <w:rPr>
          <w:rFonts w:ascii="Arial" w:hAnsi="Arial"/>
          <w:sz w:val="22"/>
          <w:szCs w:val="22"/>
        </w:rPr>
        <w:t>(</w:t>
      </w:r>
      <w:r w:rsidR="16356383" w:rsidRPr="007D0473">
        <w:rPr>
          <w:rFonts w:ascii="Arial" w:hAnsi="Arial"/>
          <w:b/>
          <w:bCs/>
          <w:sz w:val="22"/>
          <w:szCs w:val="22"/>
        </w:rPr>
        <w:t>Table S2</w:t>
      </w:r>
      <w:r w:rsidRPr="007D0473">
        <w:rPr>
          <w:rFonts w:ascii="Arial" w:hAnsi="Arial"/>
          <w:sz w:val="22"/>
          <w:szCs w:val="22"/>
        </w:rPr>
        <w:t xml:space="preserve">). The majority of CC23 strains were serotype </w:t>
      </w:r>
      <w:proofErr w:type="spellStart"/>
      <w:r w:rsidRPr="007D0473">
        <w:rPr>
          <w:rFonts w:ascii="Arial" w:hAnsi="Arial"/>
          <w:sz w:val="22"/>
          <w:szCs w:val="22"/>
        </w:rPr>
        <w:t>Ia</w:t>
      </w:r>
      <w:proofErr w:type="spellEnd"/>
      <w:r w:rsidRPr="007D0473">
        <w:rPr>
          <w:rFonts w:ascii="Arial" w:hAnsi="Arial"/>
          <w:sz w:val="22"/>
          <w:szCs w:val="22"/>
        </w:rPr>
        <w:t xml:space="preserve"> (9</w:t>
      </w:r>
      <w:r w:rsidR="008F0543" w:rsidRPr="007D0473">
        <w:rPr>
          <w:rFonts w:ascii="Arial" w:hAnsi="Arial"/>
          <w:sz w:val="22"/>
          <w:szCs w:val="22"/>
        </w:rPr>
        <w:t>0</w:t>
      </w:r>
      <w:r w:rsidRPr="007D0473">
        <w:rPr>
          <w:rFonts w:ascii="Arial" w:hAnsi="Arial"/>
          <w:sz w:val="22"/>
          <w:szCs w:val="22"/>
        </w:rPr>
        <w:t>.</w:t>
      </w:r>
      <w:r w:rsidR="008F0543" w:rsidRPr="007D0473">
        <w:rPr>
          <w:rFonts w:ascii="Arial" w:hAnsi="Arial"/>
          <w:sz w:val="22"/>
          <w:szCs w:val="22"/>
        </w:rPr>
        <w:t>6</w:t>
      </w:r>
      <w:r w:rsidRPr="007D0473">
        <w:rPr>
          <w:rFonts w:ascii="Arial" w:hAnsi="Arial"/>
          <w:sz w:val="22"/>
          <w:szCs w:val="22"/>
        </w:rPr>
        <w:t xml:space="preserve">%, </w:t>
      </w:r>
      <w:r w:rsidR="008C295B">
        <w:rPr>
          <w:rFonts w:ascii="Arial" w:hAnsi="Arial"/>
          <w:sz w:val="22"/>
          <w:szCs w:val="22"/>
        </w:rPr>
        <w:t>n=</w:t>
      </w:r>
      <w:r w:rsidRPr="007D0473">
        <w:rPr>
          <w:rFonts w:ascii="Arial" w:hAnsi="Arial"/>
          <w:sz w:val="22"/>
          <w:szCs w:val="22"/>
        </w:rPr>
        <w:t>48/5</w:t>
      </w:r>
      <w:r w:rsidR="0017317E" w:rsidRPr="007D0473">
        <w:rPr>
          <w:rFonts w:ascii="Arial" w:hAnsi="Arial"/>
          <w:sz w:val="22"/>
          <w:szCs w:val="22"/>
        </w:rPr>
        <w:t>3)</w:t>
      </w:r>
      <w:r w:rsidRPr="007D0473">
        <w:rPr>
          <w:rFonts w:ascii="Arial" w:hAnsi="Arial"/>
          <w:sz w:val="22"/>
          <w:szCs w:val="22"/>
        </w:rPr>
        <w:t xml:space="preserve">, </w:t>
      </w:r>
      <w:r w:rsidR="242E2C4D" w:rsidRPr="007D0473">
        <w:rPr>
          <w:rFonts w:ascii="Arial" w:hAnsi="Arial"/>
          <w:sz w:val="22"/>
          <w:szCs w:val="22"/>
        </w:rPr>
        <w:t xml:space="preserve">while </w:t>
      </w:r>
      <w:r w:rsidRPr="007D0473">
        <w:rPr>
          <w:rFonts w:ascii="Arial" w:hAnsi="Arial"/>
          <w:sz w:val="22"/>
          <w:szCs w:val="22"/>
        </w:rPr>
        <w:t xml:space="preserve">CC1 isolates </w:t>
      </w:r>
      <w:r w:rsidR="242E2C4D" w:rsidRPr="007D0473">
        <w:rPr>
          <w:rFonts w:ascii="Arial" w:hAnsi="Arial"/>
          <w:sz w:val="22"/>
          <w:szCs w:val="22"/>
        </w:rPr>
        <w:t xml:space="preserve">were </w:t>
      </w:r>
      <w:r w:rsidR="3CE8495D" w:rsidRPr="007D0473">
        <w:rPr>
          <w:rFonts w:ascii="Arial" w:hAnsi="Arial"/>
          <w:sz w:val="22"/>
          <w:szCs w:val="22"/>
        </w:rPr>
        <w:t xml:space="preserve">mainly </w:t>
      </w:r>
      <w:r w:rsidRPr="007D0473">
        <w:rPr>
          <w:rFonts w:ascii="Arial" w:hAnsi="Arial"/>
          <w:sz w:val="22"/>
          <w:szCs w:val="22"/>
        </w:rPr>
        <w:t>serotype V (</w:t>
      </w:r>
      <w:r w:rsidR="008F0543" w:rsidRPr="007D0473">
        <w:rPr>
          <w:rFonts w:ascii="Arial" w:hAnsi="Arial"/>
          <w:sz w:val="22"/>
          <w:szCs w:val="22"/>
        </w:rPr>
        <w:t>57</w:t>
      </w:r>
      <w:r w:rsidRPr="007D0473">
        <w:rPr>
          <w:rFonts w:ascii="Arial" w:hAnsi="Arial"/>
          <w:sz w:val="22"/>
          <w:szCs w:val="22"/>
        </w:rPr>
        <w:t>.</w:t>
      </w:r>
      <w:r w:rsidR="008F0543" w:rsidRPr="007D0473">
        <w:rPr>
          <w:rFonts w:ascii="Arial" w:hAnsi="Arial"/>
          <w:sz w:val="22"/>
          <w:szCs w:val="22"/>
        </w:rPr>
        <w:t>1</w:t>
      </w:r>
      <w:r w:rsidRPr="007D0473">
        <w:rPr>
          <w:rFonts w:ascii="Arial" w:hAnsi="Arial"/>
          <w:sz w:val="22"/>
          <w:szCs w:val="22"/>
        </w:rPr>
        <w:t xml:space="preserve">%, </w:t>
      </w:r>
      <w:r w:rsidR="008C295B">
        <w:rPr>
          <w:rFonts w:ascii="Arial" w:hAnsi="Arial"/>
          <w:sz w:val="22"/>
          <w:szCs w:val="22"/>
        </w:rPr>
        <w:t>n=</w:t>
      </w:r>
      <w:r w:rsidRPr="007D0473">
        <w:rPr>
          <w:rFonts w:ascii="Arial" w:hAnsi="Arial"/>
          <w:sz w:val="22"/>
          <w:szCs w:val="22"/>
        </w:rPr>
        <w:t>20/3</w:t>
      </w:r>
      <w:r w:rsidR="008F0543" w:rsidRPr="007D0473">
        <w:rPr>
          <w:rFonts w:ascii="Arial" w:hAnsi="Arial"/>
          <w:sz w:val="22"/>
          <w:szCs w:val="22"/>
        </w:rPr>
        <w:t>5)</w:t>
      </w:r>
      <w:r w:rsidRPr="007D0473">
        <w:rPr>
          <w:rFonts w:ascii="Arial" w:hAnsi="Arial"/>
          <w:sz w:val="22"/>
          <w:szCs w:val="22"/>
        </w:rPr>
        <w:t xml:space="preserve"> and predominantly ST1/</w:t>
      </w:r>
      <w:r w:rsidRPr="007D0473">
        <w:rPr>
          <w:rFonts w:ascii="Arial" w:hAnsi="Arial"/>
          <w:i/>
          <w:iCs/>
          <w:sz w:val="22"/>
          <w:szCs w:val="22"/>
        </w:rPr>
        <w:t>alp</w:t>
      </w:r>
      <w:r w:rsidRPr="007D0473">
        <w:rPr>
          <w:rFonts w:ascii="Arial" w:hAnsi="Arial"/>
          <w:sz w:val="22"/>
          <w:szCs w:val="22"/>
        </w:rPr>
        <w:t>3-positive (n=17</w:t>
      </w:r>
      <w:r w:rsidR="008C295B">
        <w:rPr>
          <w:rFonts w:ascii="Arial" w:hAnsi="Arial"/>
          <w:sz w:val="22"/>
          <w:szCs w:val="22"/>
        </w:rPr>
        <w:t>/20</w:t>
      </w:r>
      <w:r w:rsidRPr="007D0473">
        <w:rPr>
          <w:rFonts w:ascii="Arial" w:hAnsi="Arial"/>
          <w:sz w:val="22"/>
          <w:szCs w:val="22"/>
        </w:rPr>
        <w:t>). Serotype</w:t>
      </w:r>
      <w:r w:rsidR="33756BC4" w:rsidRPr="007D0473">
        <w:rPr>
          <w:rFonts w:ascii="Arial" w:hAnsi="Arial"/>
          <w:sz w:val="22"/>
          <w:szCs w:val="22"/>
        </w:rPr>
        <w:t>s</w:t>
      </w:r>
      <w:r w:rsidRPr="007D0473">
        <w:rPr>
          <w:rFonts w:ascii="Arial" w:hAnsi="Arial"/>
          <w:sz w:val="22"/>
          <w:szCs w:val="22"/>
        </w:rPr>
        <w:t xml:space="preserve"> </w:t>
      </w:r>
      <w:proofErr w:type="spellStart"/>
      <w:r w:rsidRPr="007D0473">
        <w:rPr>
          <w:rFonts w:ascii="Arial" w:hAnsi="Arial"/>
          <w:sz w:val="22"/>
          <w:szCs w:val="22"/>
        </w:rPr>
        <w:t>Ib</w:t>
      </w:r>
      <w:proofErr w:type="spellEnd"/>
      <w:r w:rsidRPr="007D0473">
        <w:rPr>
          <w:rFonts w:ascii="Arial" w:hAnsi="Arial"/>
          <w:sz w:val="22"/>
          <w:szCs w:val="22"/>
        </w:rPr>
        <w:t xml:space="preserve"> and II were mainly </w:t>
      </w:r>
      <w:r w:rsidR="23A0CCB7" w:rsidRPr="007D0473">
        <w:rPr>
          <w:rFonts w:ascii="Arial" w:hAnsi="Arial"/>
          <w:sz w:val="22"/>
          <w:szCs w:val="22"/>
        </w:rPr>
        <w:t xml:space="preserve">grouped within </w:t>
      </w:r>
      <w:r w:rsidRPr="007D0473">
        <w:rPr>
          <w:rFonts w:ascii="Arial" w:hAnsi="Arial"/>
          <w:sz w:val="22"/>
          <w:szCs w:val="22"/>
        </w:rPr>
        <w:t>CC8</w:t>
      </w:r>
      <w:r w:rsidR="00580F4F">
        <w:rPr>
          <w:rFonts w:ascii="Arial" w:hAnsi="Arial"/>
          <w:sz w:val="22"/>
          <w:szCs w:val="22"/>
        </w:rPr>
        <w:t>/CC10</w:t>
      </w:r>
      <w:r w:rsidRPr="007D0473">
        <w:rPr>
          <w:rFonts w:ascii="Arial" w:hAnsi="Arial"/>
          <w:sz w:val="22"/>
          <w:szCs w:val="22"/>
        </w:rPr>
        <w:t xml:space="preserve"> with </w:t>
      </w:r>
      <w:proofErr w:type="gramStart"/>
      <w:r w:rsidR="7E4DF1A1" w:rsidRPr="007D0473">
        <w:rPr>
          <w:rFonts w:ascii="Arial" w:hAnsi="Arial"/>
          <w:sz w:val="22"/>
          <w:szCs w:val="22"/>
        </w:rPr>
        <w:t xml:space="preserve">a </w:t>
      </w:r>
      <w:r w:rsidRPr="007D0473">
        <w:rPr>
          <w:rFonts w:ascii="Arial" w:hAnsi="Arial"/>
          <w:sz w:val="22"/>
          <w:szCs w:val="22"/>
        </w:rPr>
        <w:t>majority of</w:t>
      </w:r>
      <w:proofErr w:type="gramEnd"/>
      <w:r w:rsidRPr="007D0473">
        <w:rPr>
          <w:rFonts w:ascii="Arial" w:hAnsi="Arial"/>
          <w:sz w:val="22"/>
          <w:szCs w:val="22"/>
        </w:rPr>
        <w:t xml:space="preserve"> the isolates </w:t>
      </w:r>
      <w:r w:rsidR="23A0CCB7" w:rsidRPr="007D0473">
        <w:rPr>
          <w:rFonts w:ascii="Arial" w:hAnsi="Arial"/>
          <w:sz w:val="22"/>
          <w:szCs w:val="22"/>
        </w:rPr>
        <w:t xml:space="preserve">being </w:t>
      </w:r>
      <w:r w:rsidRPr="007D0473">
        <w:rPr>
          <w:rFonts w:ascii="Arial" w:hAnsi="Arial"/>
          <w:sz w:val="22"/>
          <w:szCs w:val="22"/>
        </w:rPr>
        <w:t>ST8 (n=9</w:t>
      </w:r>
      <w:r w:rsidR="00580F4F">
        <w:rPr>
          <w:rFonts w:ascii="Arial" w:hAnsi="Arial"/>
          <w:sz w:val="22"/>
          <w:szCs w:val="22"/>
        </w:rPr>
        <w:t>/29</w:t>
      </w:r>
      <w:r w:rsidRPr="007D0473">
        <w:rPr>
          <w:rFonts w:ascii="Arial" w:hAnsi="Arial"/>
          <w:sz w:val="22"/>
          <w:szCs w:val="22"/>
        </w:rPr>
        <w:t>) and ST12 (n=13</w:t>
      </w:r>
      <w:r w:rsidR="00580F4F">
        <w:rPr>
          <w:rFonts w:ascii="Arial" w:hAnsi="Arial"/>
          <w:sz w:val="22"/>
          <w:szCs w:val="22"/>
        </w:rPr>
        <w:t>/29</w:t>
      </w:r>
      <w:r w:rsidRPr="007D0473">
        <w:rPr>
          <w:rFonts w:ascii="Arial" w:hAnsi="Arial"/>
          <w:sz w:val="22"/>
          <w:szCs w:val="22"/>
        </w:rPr>
        <w:t>) (</w:t>
      </w:r>
      <w:r w:rsidRPr="007D0473">
        <w:rPr>
          <w:rFonts w:ascii="Arial" w:hAnsi="Arial"/>
          <w:b/>
          <w:bCs/>
          <w:sz w:val="22"/>
          <w:szCs w:val="22"/>
        </w:rPr>
        <w:t xml:space="preserve">Table </w:t>
      </w:r>
      <w:r w:rsidR="005A770C" w:rsidRPr="007D0473">
        <w:rPr>
          <w:rFonts w:ascii="Arial" w:hAnsi="Arial"/>
          <w:b/>
          <w:bCs/>
          <w:sz w:val="22"/>
          <w:szCs w:val="22"/>
        </w:rPr>
        <w:t>S2</w:t>
      </w:r>
      <w:r w:rsidRPr="007D0473">
        <w:rPr>
          <w:rFonts w:ascii="Arial" w:hAnsi="Arial"/>
          <w:sz w:val="22"/>
          <w:szCs w:val="22"/>
        </w:rPr>
        <w:t xml:space="preserve">). </w:t>
      </w:r>
      <w:r w:rsidR="4A3C8A3E" w:rsidRPr="007D0473">
        <w:rPr>
          <w:rFonts w:ascii="Arial" w:hAnsi="Arial"/>
          <w:sz w:val="22"/>
          <w:szCs w:val="22"/>
        </w:rPr>
        <w:t>Most</w:t>
      </w:r>
      <w:r w:rsidRPr="007D0473">
        <w:rPr>
          <w:rFonts w:ascii="Arial" w:hAnsi="Arial"/>
          <w:sz w:val="22"/>
          <w:szCs w:val="22"/>
        </w:rPr>
        <w:t xml:space="preserve"> serotype III isolates aligned either with CC19 (</w:t>
      </w:r>
      <w:r w:rsidR="00580F4F">
        <w:rPr>
          <w:rFonts w:ascii="Arial" w:hAnsi="Arial"/>
          <w:sz w:val="22"/>
          <w:szCs w:val="22"/>
        </w:rPr>
        <w:t>n=</w:t>
      </w:r>
      <w:r w:rsidRPr="007D0473">
        <w:rPr>
          <w:rFonts w:ascii="Arial" w:hAnsi="Arial"/>
          <w:sz w:val="22"/>
          <w:szCs w:val="22"/>
        </w:rPr>
        <w:t>17/3</w:t>
      </w:r>
      <w:r w:rsidR="0017317E" w:rsidRPr="007D0473">
        <w:rPr>
          <w:rFonts w:ascii="Arial" w:hAnsi="Arial"/>
          <w:sz w:val="22"/>
          <w:szCs w:val="22"/>
        </w:rPr>
        <w:t>3</w:t>
      </w:r>
      <w:r w:rsidR="00580F4F">
        <w:rPr>
          <w:rFonts w:ascii="Arial" w:hAnsi="Arial"/>
          <w:sz w:val="22"/>
          <w:szCs w:val="22"/>
        </w:rPr>
        <w:t>)</w:t>
      </w:r>
      <w:r w:rsidRPr="007D0473">
        <w:rPr>
          <w:rFonts w:ascii="Arial" w:hAnsi="Arial"/>
          <w:sz w:val="22"/>
          <w:szCs w:val="22"/>
        </w:rPr>
        <w:t xml:space="preserve"> isolates or hypervirulent clone CC17 (</w:t>
      </w:r>
      <w:r w:rsidR="00580F4F">
        <w:rPr>
          <w:rFonts w:ascii="Arial" w:hAnsi="Arial"/>
          <w:sz w:val="22"/>
          <w:szCs w:val="22"/>
        </w:rPr>
        <w:t>n=</w:t>
      </w:r>
      <w:r w:rsidRPr="007D0473">
        <w:rPr>
          <w:rFonts w:ascii="Arial" w:hAnsi="Arial"/>
          <w:sz w:val="22"/>
          <w:szCs w:val="22"/>
        </w:rPr>
        <w:t>3</w:t>
      </w:r>
      <w:r w:rsidR="00F0232A" w:rsidRPr="007D0473">
        <w:rPr>
          <w:rFonts w:ascii="Arial" w:hAnsi="Arial"/>
          <w:sz w:val="22"/>
          <w:szCs w:val="22"/>
        </w:rPr>
        <w:t>1</w:t>
      </w:r>
      <w:r w:rsidRPr="007D0473">
        <w:rPr>
          <w:rFonts w:ascii="Arial" w:hAnsi="Arial"/>
          <w:sz w:val="22"/>
          <w:szCs w:val="22"/>
        </w:rPr>
        <w:t>/3</w:t>
      </w:r>
      <w:r w:rsidR="0017317E" w:rsidRPr="007D0473">
        <w:rPr>
          <w:rFonts w:ascii="Arial" w:hAnsi="Arial"/>
          <w:sz w:val="22"/>
          <w:szCs w:val="22"/>
        </w:rPr>
        <w:t>2</w:t>
      </w:r>
      <w:r w:rsidR="00580F4F">
        <w:rPr>
          <w:rFonts w:ascii="Arial" w:hAnsi="Arial"/>
          <w:sz w:val="22"/>
          <w:szCs w:val="22"/>
        </w:rPr>
        <w:t xml:space="preserve">) </w:t>
      </w:r>
      <w:r w:rsidRPr="007D0473">
        <w:rPr>
          <w:rFonts w:ascii="Arial" w:hAnsi="Arial"/>
          <w:sz w:val="22"/>
          <w:szCs w:val="22"/>
        </w:rPr>
        <w:t>isolates</w:t>
      </w:r>
      <w:r w:rsidR="1104810C" w:rsidRPr="007D0473">
        <w:rPr>
          <w:rFonts w:ascii="Arial" w:hAnsi="Arial"/>
          <w:sz w:val="22"/>
          <w:szCs w:val="22"/>
        </w:rPr>
        <w:t>, all of which</w:t>
      </w:r>
      <w:r w:rsidR="00F0232A" w:rsidRPr="007D0473">
        <w:rPr>
          <w:rFonts w:ascii="Arial" w:hAnsi="Arial"/>
          <w:sz w:val="22"/>
          <w:szCs w:val="22"/>
        </w:rPr>
        <w:t xml:space="preserve">, bar one isolate of ST1220 serotype </w:t>
      </w:r>
      <w:proofErr w:type="spellStart"/>
      <w:r w:rsidR="00F0232A" w:rsidRPr="007D0473">
        <w:rPr>
          <w:rFonts w:ascii="Arial" w:hAnsi="Arial"/>
          <w:sz w:val="22"/>
          <w:szCs w:val="22"/>
        </w:rPr>
        <w:t>Ib</w:t>
      </w:r>
      <w:proofErr w:type="spellEnd"/>
      <w:r w:rsidR="1104810C" w:rsidRPr="007D0473">
        <w:rPr>
          <w:rFonts w:ascii="Arial" w:hAnsi="Arial"/>
          <w:sz w:val="22"/>
          <w:szCs w:val="22"/>
        </w:rPr>
        <w:t xml:space="preserve">, possessed </w:t>
      </w:r>
      <w:proofErr w:type="spellStart"/>
      <w:r w:rsidRPr="007D0473">
        <w:rPr>
          <w:rFonts w:ascii="Arial" w:hAnsi="Arial"/>
          <w:i/>
          <w:iCs/>
          <w:sz w:val="22"/>
          <w:szCs w:val="22"/>
        </w:rPr>
        <w:t>hvgA</w:t>
      </w:r>
      <w:proofErr w:type="spellEnd"/>
      <w:r w:rsidRPr="007D0473">
        <w:rPr>
          <w:rFonts w:ascii="Arial" w:hAnsi="Arial"/>
          <w:sz w:val="22"/>
          <w:szCs w:val="22"/>
        </w:rPr>
        <w:t xml:space="preserve"> gene </w:t>
      </w:r>
      <w:r w:rsidR="000E1ABD" w:rsidRPr="007D0473">
        <w:rPr>
          <w:rFonts w:ascii="Arial" w:hAnsi="Arial"/>
          <w:sz w:val="22"/>
          <w:szCs w:val="22"/>
        </w:rPr>
        <w:t>(</w:t>
      </w:r>
      <w:r w:rsidR="1104810C" w:rsidRPr="007D0473">
        <w:rPr>
          <w:rFonts w:ascii="Arial" w:hAnsi="Arial"/>
          <w:b/>
          <w:bCs/>
          <w:sz w:val="22"/>
          <w:szCs w:val="22"/>
        </w:rPr>
        <w:t>Table S</w:t>
      </w:r>
      <w:r w:rsidR="005B4B2D" w:rsidRPr="007D0473">
        <w:rPr>
          <w:rFonts w:ascii="Arial" w:hAnsi="Arial"/>
          <w:b/>
          <w:bCs/>
          <w:sz w:val="22"/>
          <w:szCs w:val="22"/>
        </w:rPr>
        <w:t>2</w:t>
      </w:r>
      <w:r w:rsidRPr="007D0473">
        <w:rPr>
          <w:rFonts w:ascii="Arial" w:hAnsi="Arial"/>
          <w:sz w:val="22"/>
          <w:szCs w:val="22"/>
        </w:rPr>
        <w:t>).</w:t>
      </w:r>
      <w:r w:rsidR="4BB543F4" w:rsidRPr="007D0473">
        <w:rPr>
          <w:rFonts w:ascii="Arial" w:hAnsi="Arial"/>
          <w:sz w:val="22"/>
          <w:szCs w:val="22"/>
        </w:rPr>
        <w:t xml:space="preserve"> </w:t>
      </w:r>
      <w:r w:rsidRPr="007D0473">
        <w:rPr>
          <w:rFonts w:ascii="Arial" w:hAnsi="Arial"/>
          <w:sz w:val="22"/>
          <w:szCs w:val="22"/>
        </w:rPr>
        <w:t>All 19</w:t>
      </w:r>
      <w:r w:rsidR="56ABA0D0" w:rsidRPr="007D0473">
        <w:rPr>
          <w:rFonts w:ascii="Arial" w:hAnsi="Arial"/>
          <w:sz w:val="22"/>
          <w:szCs w:val="22"/>
        </w:rPr>
        <w:t>3</w:t>
      </w:r>
      <w:r w:rsidRPr="007D0473">
        <w:rPr>
          <w:rFonts w:ascii="Arial" w:hAnsi="Arial"/>
          <w:sz w:val="22"/>
          <w:szCs w:val="22"/>
        </w:rPr>
        <w:t xml:space="preserve"> GBS isolates harboured at least one pilus islet (PI), the </w:t>
      </w:r>
      <w:r w:rsidRPr="007D0473">
        <w:rPr>
          <w:rFonts w:ascii="Arial" w:hAnsi="Arial"/>
          <w:i/>
          <w:iCs/>
          <w:sz w:val="22"/>
          <w:szCs w:val="22"/>
        </w:rPr>
        <w:t>PI-1+PI-2a</w:t>
      </w:r>
      <w:r w:rsidRPr="007D0473">
        <w:rPr>
          <w:rFonts w:ascii="Arial" w:hAnsi="Arial"/>
          <w:sz w:val="22"/>
          <w:szCs w:val="22"/>
        </w:rPr>
        <w:t xml:space="preserve"> was the most frequent combination observed (81</w:t>
      </w:r>
      <w:r w:rsidR="70ADA9BD" w:rsidRPr="007D0473">
        <w:rPr>
          <w:rFonts w:ascii="Arial" w:hAnsi="Arial"/>
          <w:sz w:val="22"/>
          <w:szCs w:val="22"/>
        </w:rPr>
        <w:t>.9</w:t>
      </w:r>
      <w:proofErr w:type="gramStart"/>
      <w:r w:rsidRPr="007D0473">
        <w:rPr>
          <w:rFonts w:ascii="Arial" w:hAnsi="Arial"/>
          <w:sz w:val="22"/>
          <w:szCs w:val="22"/>
        </w:rPr>
        <w:t>%,</w:t>
      </w:r>
      <w:r w:rsidR="00E95A2A">
        <w:rPr>
          <w:rFonts w:ascii="Arial" w:hAnsi="Arial"/>
          <w:sz w:val="22"/>
          <w:szCs w:val="22"/>
        </w:rPr>
        <w:t>n</w:t>
      </w:r>
      <w:proofErr w:type="gramEnd"/>
      <w:r w:rsidR="00E95A2A">
        <w:rPr>
          <w:rFonts w:ascii="Arial" w:hAnsi="Arial"/>
          <w:sz w:val="22"/>
          <w:szCs w:val="22"/>
        </w:rPr>
        <w:t>=</w:t>
      </w:r>
      <w:r w:rsidRPr="007D0473">
        <w:rPr>
          <w:rFonts w:ascii="Arial" w:hAnsi="Arial"/>
          <w:sz w:val="22"/>
          <w:szCs w:val="22"/>
        </w:rPr>
        <w:t>158/19</w:t>
      </w:r>
      <w:r w:rsidR="3160B82A" w:rsidRPr="007D0473">
        <w:rPr>
          <w:rFonts w:ascii="Arial" w:hAnsi="Arial"/>
          <w:sz w:val="22"/>
          <w:szCs w:val="22"/>
        </w:rPr>
        <w:t>3</w:t>
      </w:r>
      <w:r w:rsidRPr="007D0473">
        <w:rPr>
          <w:rFonts w:ascii="Arial" w:hAnsi="Arial"/>
          <w:sz w:val="22"/>
          <w:szCs w:val="22"/>
        </w:rPr>
        <w:t xml:space="preserve">), with only CC17 being dominated by the presence of </w:t>
      </w:r>
      <w:r w:rsidRPr="007D0473">
        <w:rPr>
          <w:rFonts w:ascii="Arial" w:hAnsi="Arial"/>
          <w:i/>
          <w:iCs/>
          <w:sz w:val="22"/>
          <w:szCs w:val="22"/>
        </w:rPr>
        <w:t>PI-1+PI-2b</w:t>
      </w:r>
      <w:r w:rsidRPr="007D0473">
        <w:rPr>
          <w:rFonts w:ascii="Arial" w:hAnsi="Arial"/>
          <w:sz w:val="22"/>
          <w:szCs w:val="22"/>
        </w:rPr>
        <w:t xml:space="preserve"> gene </w:t>
      </w:r>
      <w:r w:rsidR="27098494" w:rsidRPr="007D0473">
        <w:rPr>
          <w:rFonts w:ascii="Arial" w:hAnsi="Arial"/>
          <w:sz w:val="22"/>
          <w:szCs w:val="22"/>
        </w:rPr>
        <w:t>(</w:t>
      </w:r>
      <w:r w:rsidR="00E95A2A">
        <w:rPr>
          <w:rFonts w:ascii="Arial" w:hAnsi="Arial"/>
          <w:sz w:val="22"/>
          <w:szCs w:val="22"/>
        </w:rPr>
        <w:t>96.8%, n=</w:t>
      </w:r>
      <w:r w:rsidR="27098494" w:rsidRPr="007D0473">
        <w:rPr>
          <w:rFonts w:ascii="Arial" w:hAnsi="Arial"/>
          <w:sz w:val="22"/>
          <w:szCs w:val="22"/>
        </w:rPr>
        <w:t>31/32</w:t>
      </w:r>
      <w:r w:rsidR="00E95A2A">
        <w:rPr>
          <w:rFonts w:ascii="Arial" w:hAnsi="Arial"/>
          <w:sz w:val="22"/>
          <w:szCs w:val="22"/>
        </w:rPr>
        <w:t>)</w:t>
      </w:r>
      <w:r w:rsidR="27098494" w:rsidRPr="007D0473">
        <w:rPr>
          <w:rFonts w:ascii="Arial" w:hAnsi="Arial"/>
          <w:sz w:val="22"/>
          <w:szCs w:val="22"/>
        </w:rPr>
        <w:t xml:space="preserve"> </w:t>
      </w:r>
      <w:r w:rsidRPr="007D0473">
        <w:rPr>
          <w:rFonts w:ascii="Arial" w:hAnsi="Arial"/>
          <w:sz w:val="22"/>
          <w:szCs w:val="22"/>
        </w:rPr>
        <w:t xml:space="preserve">combination. The </w:t>
      </w:r>
      <w:r w:rsidRPr="007D0473">
        <w:rPr>
          <w:rFonts w:ascii="Arial" w:hAnsi="Arial"/>
          <w:i/>
          <w:iCs/>
          <w:sz w:val="22"/>
          <w:szCs w:val="22"/>
        </w:rPr>
        <w:t xml:space="preserve">rib </w:t>
      </w:r>
      <w:r w:rsidRPr="007D0473">
        <w:rPr>
          <w:rFonts w:ascii="Arial" w:hAnsi="Arial"/>
          <w:sz w:val="22"/>
          <w:szCs w:val="22"/>
        </w:rPr>
        <w:t>gene was found mainly in CC17 (</w:t>
      </w:r>
      <w:r w:rsidR="008544A8">
        <w:rPr>
          <w:rFonts w:ascii="Arial" w:hAnsi="Arial"/>
          <w:sz w:val="22"/>
          <w:szCs w:val="22"/>
        </w:rPr>
        <w:t>96.8</w:t>
      </w:r>
      <w:r w:rsidR="002B6C50">
        <w:rPr>
          <w:rFonts w:ascii="Arial" w:hAnsi="Arial"/>
          <w:sz w:val="22"/>
          <w:szCs w:val="22"/>
        </w:rPr>
        <w:t xml:space="preserve">%, </w:t>
      </w:r>
      <w:r w:rsidRPr="007D0473">
        <w:rPr>
          <w:rFonts w:ascii="Arial" w:hAnsi="Arial"/>
          <w:sz w:val="22"/>
          <w:szCs w:val="22"/>
        </w:rPr>
        <w:t>n=31/3</w:t>
      </w:r>
      <w:r w:rsidR="008F0543" w:rsidRPr="007D0473">
        <w:rPr>
          <w:rFonts w:ascii="Arial" w:hAnsi="Arial"/>
          <w:sz w:val="22"/>
          <w:szCs w:val="22"/>
        </w:rPr>
        <w:t>2)</w:t>
      </w:r>
      <w:r w:rsidRPr="007D0473">
        <w:rPr>
          <w:rFonts w:ascii="Arial" w:hAnsi="Arial"/>
          <w:sz w:val="22"/>
          <w:szCs w:val="22"/>
        </w:rPr>
        <w:t xml:space="preserve"> and CC19 (</w:t>
      </w:r>
      <w:r w:rsidR="008544A8">
        <w:rPr>
          <w:rFonts w:ascii="Arial" w:hAnsi="Arial"/>
          <w:sz w:val="22"/>
          <w:szCs w:val="22"/>
        </w:rPr>
        <w:t>81.8</w:t>
      </w:r>
      <w:r w:rsidR="002B6C50">
        <w:rPr>
          <w:rFonts w:ascii="Arial" w:hAnsi="Arial"/>
          <w:sz w:val="22"/>
          <w:szCs w:val="22"/>
        </w:rPr>
        <w:t xml:space="preserve">%, </w:t>
      </w:r>
      <w:r w:rsidRPr="007D0473">
        <w:rPr>
          <w:rFonts w:ascii="Arial" w:hAnsi="Arial"/>
          <w:sz w:val="22"/>
          <w:szCs w:val="22"/>
        </w:rPr>
        <w:t>n=27/3</w:t>
      </w:r>
      <w:r w:rsidR="008F0543" w:rsidRPr="007D0473">
        <w:rPr>
          <w:rFonts w:ascii="Arial" w:hAnsi="Arial"/>
          <w:sz w:val="22"/>
          <w:szCs w:val="22"/>
        </w:rPr>
        <w:t>3)</w:t>
      </w:r>
      <w:r w:rsidRPr="007D0473">
        <w:rPr>
          <w:rFonts w:ascii="Arial" w:hAnsi="Arial"/>
          <w:sz w:val="22"/>
          <w:szCs w:val="22"/>
        </w:rPr>
        <w:t xml:space="preserve"> isolates (</w:t>
      </w:r>
      <w:r w:rsidRPr="007D0473">
        <w:rPr>
          <w:rFonts w:ascii="Arial" w:hAnsi="Arial"/>
          <w:b/>
          <w:bCs/>
          <w:sz w:val="22"/>
          <w:szCs w:val="22"/>
        </w:rPr>
        <w:t xml:space="preserve">Table </w:t>
      </w:r>
      <w:r w:rsidR="008F0543" w:rsidRPr="007D0473">
        <w:rPr>
          <w:rFonts w:ascii="Arial" w:hAnsi="Arial"/>
          <w:b/>
          <w:bCs/>
          <w:sz w:val="22"/>
          <w:szCs w:val="22"/>
        </w:rPr>
        <w:t>S2</w:t>
      </w:r>
      <w:r w:rsidRPr="007D0473">
        <w:rPr>
          <w:rFonts w:ascii="Arial" w:hAnsi="Arial"/>
          <w:sz w:val="22"/>
          <w:szCs w:val="22"/>
        </w:rPr>
        <w:t xml:space="preserve">). </w:t>
      </w:r>
    </w:p>
    <w:p w14:paraId="7A0C98A5" w14:textId="77777777" w:rsidR="00320BC8" w:rsidRPr="007D0473" w:rsidRDefault="00320BC8" w:rsidP="00DB7C46">
      <w:pPr>
        <w:spacing w:before="120" w:after="120" w:line="480" w:lineRule="auto"/>
        <w:rPr>
          <w:rFonts w:ascii="Arial" w:hAnsi="Arial"/>
          <w:sz w:val="22"/>
          <w:szCs w:val="22"/>
        </w:rPr>
      </w:pPr>
    </w:p>
    <w:p w14:paraId="5048EE2C" w14:textId="18815B3E" w:rsidR="00571191" w:rsidRPr="007D0473" w:rsidRDefault="00571191" w:rsidP="00DB7C46">
      <w:pPr>
        <w:spacing w:before="120" w:after="120" w:line="480" w:lineRule="auto"/>
        <w:rPr>
          <w:rFonts w:ascii="Arial" w:hAnsi="Arial"/>
          <w:sz w:val="22"/>
          <w:szCs w:val="22"/>
        </w:rPr>
      </w:pPr>
      <w:r w:rsidRPr="00E570CC">
        <w:rPr>
          <w:rFonts w:ascii="Arial" w:hAnsi="Arial"/>
          <w:b/>
          <w:sz w:val="22"/>
          <w:szCs w:val="22"/>
        </w:rPr>
        <w:t>Phylogenetic relationship between GBS strains</w:t>
      </w:r>
    </w:p>
    <w:p w14:paraId="7CB4C2E4" w14:textId="7FE910C7" w:rsidR="00216A39" w:rsidRDefault="0A124E08" w:rsidP="00DB7C46">
      <w:pPr>
        <w:spacing w:before="120" w:after="120" w:line="480" w:lineRule="auto"/>
        <w:rPr>
          <w:rFonts w:ascii="Arial" w:hAnsi="Arial"/>
          <w:sz w:val="22"/>
          <w:szCs w:val="22"/>
        </w:rPr>
      </w:pPr>
      <w:r w:rsidRPr="007D0473">
        <w:rPr>
          <w:rFonts w:ascii="Arial" w:hAnsi="Arial"/>
          <w:sz w:val="22"/>
          <w:szCs w:val="22"/>
        </w:rPr>
        <w:t xml:space="preserve">Maximum likelihood phylogenetic analysis has </w:t>
      </w:r>
      <w:r w:rsidR="3A4DF6CF" w:rsidRPr="007D0473">
        <w:rPr>
          <w:rFonts w:ascii="Arial" w:hAnsi="Arial"/>
          <w:sz w:val="22"/>
          <w:szCs w:val="22"/>
        </w:rPr>
        <w:t xml:space="preserve">clearly shown GBS isolates </w:t>
      </w:r>
      <w:r w:rsidR="7ACE8DC0" w:rsidRPr="007D0473">
        <w:rPr>
          <w:rFonts w:ascii="Arial" w:hAnsi="Arial"/>
          <w:sz w:val="22"/>
          <w:szCs w:val="22"/>
        </w:rPr>
        <w:t>falling</w:t>
      </w:r>
      <w:r w:rsidR="3A4DF6CF" w:rsidRPr="007D0473">
        <w:rPr>
          <w:rFonts w:ascii="Arial" w:hAnsi="Arial"/>
          <w:sz w:val="22"/>
          <w:szCs w:val="22"/>
        </w:rPr>
        <w:t xml:space="preserve"> into </w:t>
      </w:r>
      <w:r w:rsidR="7ACE8DC0" w:rsidRPr="007D0473">
        <w:rPr>
          <w:rFonts w:ascii="Arial" w:hAnsi="Arial"/>
          <w:sz w:val="22"/>
          <w:szCs w:val="22"/>
        </w:rPr>
        <w:t xml:space="preserve">five </w:t>
      </w:r>
      <w:r w:rsidR="3A4DF6CF" w:rsidRPr="007D0473">
        <w:rPr>
          <w:rFonts w:ascii="Arial" w:hAnsi="Arial"/>
          <w:sz w:val="22"/>
          <w:szCs w:val="22"/>
        </w:rPr>
        <w:t>main clonal complexes</w:t>
      </w:r>
      <w:r w:rsidR="4325D7B3" w:rsidRPr="007D0473">
        <w:rPr>
          <w:rFonts w:ascii="Arial" w:hAnsi="Arial"/>
          <w:sz w:val="22"/>
          <w:szCs w:val="22"/>
        </w:rPr>
        <w:t xml:space="preserve"> </w:t>
      </w:r>
      <w:r w:rsidR="7ACE8DC0" w:rsidRPr="007D0473">
        <w:rPr>
          <w:rFonts w:ascii="Arial" w:hAnsi="Arial"/>
          <w:sz w:val="22"/>
          <w:szCs w:val="22"/>
        </w:rPr>
        <w:t>(</w:t>
      </w:r>
      <w:r w:rsidR="7ACE8DC0" w:rsidRPr="007D0473">
        <w:rPr>
          <w:rFonts w:ascii="Arial" w:hAnsi="Arial"/>
          <w:b/>
          <w:bCs/>
          <w:sz w:val="22"/>
          <w:szCs w:val="22"/>
        </w:rPr>
        <w:t xml:space="preserve">Figure </w:t>
      </w:r>
      <w:r w:rsidR="6ACE0089" w:rsidRPr="007D0473">
        <w:rPr>
          <w:rFonts w:ascii="Arial" w:hAnsi="Arial"/>
          <w:b/>
          <w:bCs/>
          <w:sz w:val="22"/>
          <w:szCs w:val="22"/>
        </w:rPr>
        <w:t>2</w:t>
      </w:r>
      <w:r w:rsidR="7ACE8DC0" w:rsidRPr="007D0473">
        <w:rPr>
          <w:rFonts w:ascii="Arial" w:hAnsi="Arial"/>
          <w:sz w:val="22"/>
          <w:szCs w:val="22"/>
        </w:rPr>
        <w:t>).</w:t>
      </w:r>
      <w:r w:rsidR="4325D7B3" w:rsidRPr="007D0473">
        <w:rPr>
          <w:rFonts w:ascii="Arial" w:hAnsi="Arial"/>
          <w:sz w:val="22"/>
          <w:szCs w:val="22"/>
        </w:rPr>
        <w:t xml:space="preserve"> </w:t>
      </w:r>
      <w:r w:rsidR="2FF15D35" w:rsidRPr="007D0473">
        <w:rPr>
          <w:rFonts w:ascii="Arial" w:hAnsi="Arial"/>
          <w:sz w:val="22"/>
          <w:szCs w:val="22"/>
        </w:rPr>
        <w:t>The largest clonal complex CC23</w:t>
      </w:r>
      <w:r w:rsidR="00B96476" w:rsidRPr="007D0473">
        <w:rPr>
          <w:rFonts w:ascii="Arial" w:hAnsi="Arial"/>
          <w:sz w:val="22"/>
          <w:szCs w:val="22"/>
        </w:rPr>
        <w:t xml:space="preserve"> </w:t>
      </w:r>
      <w:r w:rsidR="00B9659F" w:rsidRPr="00B9659F">
        <w:rPr>
          <w:rFonts w:ascii="Arial" w:hAnsi="Arial"/>
          <w:sz w:val="22"/>
          <w:szCs w:val="22"/>
        </w:rPr>
        <w:t xml:space="preserve">(n=53) </w:t>
      </w:r>
      <w:r w:rsidR="78777D1A" w:rsidRPr="007D0473">
        <w:rPr>
          <w:rFonts w:ascii="Arial" w:hAnsi="Arial"/>
          <w:sz w:val="22"/>
          <w:szCs w:val="22"/>
        </w:rPr>
        <w:t xml:space="preserve">included isolates of ST23 (serotype </w:t>
      </w:r>
      <w:proofErr w:type="spellStart"/>
      <w:r w:rsidR="78777D1A" w:rsidRPr="007D0473">
        <w:rPr>
          <w:rFonts w:ascii="Arial" w:hAnsi="Arial"/>
          <w:sz w:val="22"/>
          <w:szCs w:val="22"/>
        </w:rPr>
        <w:t>Ia</w:t>
      </w:r>
      <w:proofErr w:type="spellEnd"/>
      <w:r w:rsidR="78777D1A" w:rsidRPr="007D0473">
        <w:rPr>
          <w:rFonts w:ascii="Arial" w:hAnsi="Arial"/>
          <w:sz w:val="22"/>
          <w:szCs w:val="22"/>
        </w:rPr>
        <w:t>, n=</w:t>
      </w:r>
      <w:r w:rsidR="003871D6" w:rsidRPr="007D0473">
        <w:rPr>
          <w:rFonts w:ascii="Arial" w:hAnsi="Arial"/>
          <w:sz w:val="22"/>
          <w:szCs w:val="22"/>
        </w:rPr>
        <w:t xml:space="preserve">38, </w:t>
      </w:r>
      <w:r w:rsidR="78777D1A" w:rsidRPr="007D0473">
        <w:rPr>
          <w:rFonts w:ascii="Arial" w:hAnsi="Arial"/>
          <w:sz w:val="22"/>
          <w:szCs w:val="22"/>
        </w:rPr>
        <w:t xml:space="preserve">and serotype III, n=2) and additional </w:t>
      </w:r>
      <w:r w:rsidR="6F8C3FBD" w:rsidRPr="007D0473">
        <w:rPr>
          <w:rFonts w:ascii="Arial" w:hAnsi="Arial"/>
          <w:sz w:val="22"/>
          <w:szCs w:val="22"/>
        </w:rPr>
        <w:t xml:space="preserve">seven </w:t>
      </w:r>
      <w:r w:rsidR="78777D1A" w:rsidRPr="007D0473">
        <w:rPr>
          <w:rFonts w:ascii="Arial" w:hAnsi="Arial"/>
          <w:sz w:val="22"/>
          <w:szCs w:val="22"/>
        </w:rPr>
        <w:t>ST</w:t>
      </w:r>
      <w:r w:rsidR="2FAB86ED" w:rsidRPr="007D0473">
        <w:rPr>
          <w:rFonts w:ascii="Arial" w:hAnsi="Arial"/>
          <w:sz w:val="22"/>
          <w:szCs w:val="22"/>
        </w:rPr>
        <w:t>s</w:t>
      </w:r>
      <w:r w:rsidR="78777D1A" w:rsidRPr="007D0473">
        <w:rPr>
          <w:rFonts w:ascii="Arial" w:hAnsi="Arial"/>
          <w:sz w:val="22"/>
          <w:szCs w:val="22"/>
        </w:rPr>
        <w:t xml:space="preserve"> of serotypes </w:t>
      </w:r>
      <w:proofErr w:type="spellStart"/>
      <w:r w:rsidR="78777D1A" w:rsidRPr="007D0473">
        <w:rPr>
          <w:rFonts w:ascii="Arial" w:hAnsi="Arial"/>
          <w:sz w:val="22"/>
          <w:szCs w:val="22"/>
        </w:rPr>
        <w:t>Ia</w:t>
      </w:r>
      <w:proofErr w:type="spellEnd"/>
      <w:r w:rsidR="78777D1A" w:rsidRPr="007D0473">
        <w:rPr>
          <w:rFonts w:ascii="Arial" w:hAnsi="Arial"/>
          <w:sz w:val="22"/>
          <w:szCs w:val="22"/>
        </w:rPr>
        <w:t xml:space="preserve"> and V (Figure </w:t>
      </w:r>
      <w:r w:rsidR="38CF4FCB" w:rsidRPr="007D0473">
        <w:rPr>
          <w:rFonts w:ascii="Arial" w:hAnsi="Arial"/>
          <w:sz w:val="22"/>
          <w:szCs w:val="22"/>
        </w:rPr>
        <w:t>3</w:t>
      </w:r>
      <w:r w:rsidR="78777D1A" w:rsidRPr="007D0473">
        <w:rPr>
          <w:rFonts w:ascii="Arial" w:hAnsi="Arial"/>
          <w:sz w:val="22"/>
          <w:szCs w:val="22"/>
        </w:rPr>
        <w:t xml:space="preserve">a). </w:t>
      </w:r>
      <w:r w:rsidR="243F226C" w:rsidRPr="007D0473">
        <w:rPr>
          <w:rFonts w:ascii="Arial" w:hAnsi="Arial"/>
          <w:sz w:val="22"/>
          <w:szCs w:val="22"/>
        </w:rPr>
        <w:t>S</w:t>
      </w:r>
      <w:r w:rsidR="708FCB49" w:rsidRPr="007D0473">
        <w:rPr>
          <w:rFonts w:ascii="Arial" w:hAnsi="Arial"/>
          <w:sz w:val="22"/>
          <w:szCs w:val="22"/>
        </w:rPr>
        <w:t>erotype III ST23 isolates formed a separate clade</w:t>
      </w:r>
      <w:r w:rsidR="00891317" w:rsidRPr="007D0473">
        <w:rPr>
          <w:rFonts w:ascii="Arial" w:hAnsi="Arial"/>
          <w:sz w:val="22"/>
          <w:szCs w:val="22"/>
        </w:rPr>
        <w:t xml:space="preserve"> with one isolate of serotype </w:t>
      </w:r>
      <w:proofErr w:type="spellStart"/>
      <w:r w:rsidR="00891317" w:rsidRPr="007D0473">
        <w:rPr>
          <w:rFonts w:ascii="Arial" w:hAnsi="Arial"/>
          <w:sz w:val="22"/>
          <w:szCs w:val="22"/>
        </w:rPr>
        <w:t>Ia</w:t>
      </w:r>
      <w:proofErr w:type="spellEnd"/>
      <w:r w:rsidR="00891317" w:rsidRPr="007D0473">
        <w:rPr>
          <w:rFonts w:ascii="Arial" w:hAnsi="Arial"/>
          <w:sz w:val="22"/>
          <w:szCs w:val="22"/>
        </w:rPr>
        <w:t xml:space="preserve"> ST1214</w:t>
      </w:r>
      <w:r w:rsidR="36A991DF" w:rsidRPr="007D0473">
        <w:rPr>
          <w:rFonts w:ascii="Arial" w:hAnsi="Arial"/>
          <w:sz w:val="22"/>
          <w:szCs w:val="22"/>
        </w:rPr>
        <w:t xml:space="preserve">, while </w:t>
      </w:r>
      <w:r w:rsidR="708FCB49" w:rsidRPr="007D0473">
        <w:rPr>
          <w:rFonts w:ascii="Arial" w:hAnsi="Arial"/>
          <w:sz w:val="22"/>
          <w:szCs w:val="22"/>
        </w:rPr>
        <w:t xml:space="preserve">serotypes </w:t>
      </w:r>
      <w:proofErr w:type="spellStart"/>
      <w:r w:rsidR="708FCB49" w:rsidRPr="007D0473">
        <w:rPr>
          <w:rFonts w:ascii="Arial" w:hAnsi="Arial"/>
          <w:sz w:val="22"/>
          <w:szCs w:val="22"/>
        </w:rPr>
        <w:t>Ia</w:t>
      </w:r>
      <w:proofErr w:type="spellEnd"/>
      <w:r w:rsidR="708FCB49" w:rsidRPr="007D0473">
        <w:rPr>
          <w:rFonts w:ascii="Arial" w:hAnsi="Arial"/>
          <w:sz w:val="22"/>
          <w:szCs w:val="22"/>
        </w:rPr>
        <w:t xml:space="preserve"> and V</w:t>
      </w:r>
      <w:r w:rsidR="36A991DF" w:rsidRPr="007D0473">
        <w:rPr>
          <w:rFonts w:ascii="Arial" w:hAnsi="Arial"/>
          <w:sz w:val="22"/>
          <w:szCs w:val="22"/>
        </w:rPr>
        <w:t xml:space="preserve"> </w:t>
      </w:r>
      <w:r w:rsidR="2320777A" w:rsidRPr="007D0473">
        <w:rPr>
          <w:rFonts w:ascii="Arial" w:hAnsi="Arial"/>
          <w:sz w:val="22"/>
          <w:szCs w:val="22"/>
        </w:rPr>
        <w:t>were intermixed</w:t>
      </w:r>
      <w:r w:rsidR="243F226C" w:rsidRPr="007D0473">
        <w:rPr>
          <w:rFonts w:ascii="Arial" w:hAnsi="Arial"/>
          <w:sz w:val="22"/>
          <w:szCs w:val="22"/>
        </w:rPr>
        <w:t xml:space="preserve"> (</w:t>
      </w:r>
      <w:r w:rsidR="243F226C" w:rsidRPr="007D0473">
        <w:rPr>
          <w:rFonts w:ascii="Arial" w:hAnsi="Arial"/>
          <w:b/>
          <w:bCs/>
          <w:sz w:val="22"/>
          <w:szCs w:val="22"/>
        </w:rPr>
        <w:t xml:space="preserve">Figure </w:t>
      </w:r>
      <w:r w:rsidR="01D8A8C6" w:rsidRPr="007D0473">
        <w:rPr>
          <w:rFonts w:ascii="Arial" w:hAnsi="Arial"/>
          <w:b/>
          <w:bCs/>
          <w:sz w:val="22"/>
          <w:szCs w:val="22"/>
        </w:rPr>
        <w:t>3</w:t>
      </w:r>
      <w:r w:rsidR="243F226C" w:rsidRPr="007D0473">
        <w:rPr>
          <w:rFonts w:ascii="Arial" w:hAnsi="Arial"/>
          <w:b/>
          <w:bCs/>
          <w:sz w:val="22"/>
          <w:szCs w:val="22"/>
        </w:rPr>
        <w:t>a</w:t>
      </w:r>
      <w:r w:rsidR="243F226C" w:rsidRPr="007D0473">
        <w:rPr>
          <w:rFonts w:ascii="Arial" w:hAnsi="Arial"/>
          <w:sz w:val="22"/>
          <w:szCs w:val="22"/>
        </w:rPr>
        <w:t>)</w:t>
      </w:r>
      <w:r w:rsidR="708FCB49" w:rsidRPr="007D0473">
        <w:rPr>
          <w:rFonts w:ascii="Arial" w:hAnsi="Arial"/>
          <w:sz w:val="22"/>
          <w:szCs w:val="22"/>
        </w:rPr>
        <w:t>.</w:t>
      </w:r>
      <w:r w:rsidR="243F226C" w:rsidRPr="007D0473">
        <w:rPr>
          <w:rFonts w:ascii="Arial" w:hAnsi="Arial"/>
          <w:sz w:val="22"/>
          <w:szCs w:val="22"/>
        </w:rPr>
        <w:t xml:space="preserve"> </w:t>
      </w:r>
      <w:r w:rsidR="30E84ACC" w:rsidRPr="007D0473">
        <w:rPr>
          <w:rFonts w:ascii="Arial" w:hAnsi="Arial"/>
          <w:sz w:val="22"/>
          <w:szCs w:val="22"/>
        </w:rPr>
        <w:t xml:space="preserve">All CC23 isolates, bar </w:t>
      </w:r>
      <w:r w:rsidR="76185E90" w:rsidRPr="007D0473">
        <w:rPr>
          <w:rFonts w:ascii="Arial" w:hAnsi="Arial"/>
          <w:sz w:val="22"/>
          <w:szCs w:val="22"/>
        </w:rPr>
        <w:t>two,</w:t>
      </w:r>
      <w:r w:rsidR="30E84ACC" w:rsidRPr="007D0473">
        <w:rPr>
          <w:rFonts w:ascii="Arial" w:hAnsi="Arial"/>
          <w:sz w:val="22"/>
          <w:szCs w:val="22"/>
        </w:rPr>
        <w:t xml:space="preserve"> carried the </w:t>
      </w:r>
      <w:proofErr w:type="spellStart"/>
      <w:r w:rsidR="30E84ACC" w:rsidRPr="007D0473">
        <w:rPr>
          <w:rFonts w:ascii="Arial" w:hAnsi="Arial"/>
          <w:i/>
          <w:iCs/>
          <w:sz w:val="22"/>
          <w:szCs w:val="22"/>
        </w:rPr>
        <w:t>tet</w:t>
      </w:r>
      <w:r w:rsidR="30E84ACC" w:rsidRPr="007D0473">
        <w:rPr>
          <w:rFonts w:ascii="Arial" w:hAnsi="Arial"/>
          <w:sz w:val="22"/>
          <w:szCs w:val="22"/>
        </w:rPr>
        <w:t>M</w:t>
      </w:r>
      <w:proofErr w:type="spellEnd"/>
      <w:r w:rsidR="30E84ACC" w:rsidRPr="007D0473">
        <w:rPr>
          <w:rFonts w:ascii="Arial" w:hAnsi="Arial"/>
          <w:sz w:val="22"/>
          <w:szCs w:val="22"/>
        </w:rPr>
        <w:t xml:space="preserve"> gene and only </w:t>
      </w:r>
      <w:r w:rsidR="621A30DC" w:rsidRPr="007D0473">
        <w:rPr>
          <w:rFonts w:ascii="Arial" w:hAnsi="Arial"/>
          <w:sz w:val="22"/>
          <w:szCs w:val="22"/>
        </w:rPr>
        <w:t>seven</w:t>
      </w:r>
      <w:r w:rsidR="30E84ACC" w:rsidRPr="007D0473">
        <w:rPr>
          <w:rFonts w:ascii="Arial" w:hAnsi="Arial"/>
          <w:sz w:val="22"/>
          <w:szCs w:val="22"/>
        </w:rPr>
        <w:t xml:space="preserve"> isolates had a combination of</w:t>
      </w:r>
      <w:r w:rsidR="30E84ACC" w:rsidRPr="007D0473">
        <w:rPr>
          <w:rFonts w:ascii="Arial" w:hAnsi="Arial"/>
          <w:i/>
          <w:iCs/>
          <w:sz w:val="22"/>
          <w:szCs w:val="22"/>
        </w:rPr>
        <w:t xml:space="preserve"> </w:t>
      </w:r>
      <w:proofErr w:type="spellStart"/>
      <w:r w:rsidR="30E84ACC" w:rsidRPr="007D0473">
        <w:rPr>
          <w:rFonts w:ascii="Arial" w:hAnsi="Arial"/>
          <w:i/>
          <w:iCs/>
          <w:sz w:val="22"/>
          <w:szCs w:val="22"/>
        </w:rPr>
        <w:t>tet</w:t>
      </w:r>
      <w:r w:rsidR="30E84ACC" w:rsidRPr="007D0473">
        <w:rPr>
          <w:rFonts w:ascii="Arial" w:hAnsi="Arial"/>
          <w:sz w:val="22"/>
          <w:szCs w:val="22"/>
        </w:rPr>
        <w:t>M</w:t>
      </w:r>
      <w:proofErr w:type="spellEnd"/>
      <w:r w:rsidR="30E84ACC" w:rsidRPr="007D0473">
        <w:rPr>
          <w:rFonts w:ascii="Arial" w:hAnsi="Arial"/>
          <w:sz w:val="22"/>
          <w:szCs w:val="22"/>
        </w:rPr>
        <w:t xml:space="preserve"> and a macrolide resistance gene (</w:t>
      </w:r>
      <w:r w:rsidR="30E84ACC" w:rsidRPr="007D0473">
        <w:rPr>
          <w:rFonts w:ascii="Arial" w:hAnsi="Arial"/>
          <w:b/>
          <w:bCs/>
          <w:sz w:val="22"/>
          <w:szCs w:val="22"/>
        </w:rPr>
        <w:t>Figure 3a</w:t>
      </w:r>
      <w:r w:rsidR="30E84ACC" w:rsidRPr="007D0473">
        <w:rPr>
          <w:rFonts w:ascii="Arial" w:hAnsi="Arial"/>
          <w:sz w:val="22"/>
          <w:szCs w:val="22"/>
        </w:rPr>
        <w:t xml:space="preserve">). </w:t>
      </w:r>
      <w:r w:rsidR="00216A39">
        <w:rPr>
          <w:rFonts w:ascii="Arial" w:hAnsi="Arial"/>
          <w:sz w:val="22"/>
          <w:szCs w:val="22"/>
        </w:rPr>
        <w:t xml:space="preserve">The isolates with </w:t>
      </w:r>
      <w:r w:rsidR="00077BBA">
        <w:rPr>
          <w:rFonts w:ascii="Arial" w:hAnsi="Arial"/>
          <w:sz w:val="22"/>
          <w:szCs w:val="22"/>
        </w:rPr>
        <w:t>tetracycline</w:t>
      </w:r>
      <w:r w:rsidR="00216A39">
        <w:rPr>
          <w:rFonts w:ascii="Arial" w:hAnsi="Arial"/>
          <w:sz w:val="22"/>
          <w:szCs w:val="22"/>
        </w:rPr>
        <w:t xml:space="preserve"> and macrolide resistance determinants did not form a cluster, suggesting random </w:t>
      </w:r>
      <w:r w:rsidR="0052618C">
        <w:rPr>
          <w:rFonts w:ascii="Arial" w:hAnsi="Arial"/>
          <w:sz w:val="22"/>
          <w:szCs w:val="22"/>
        </w:rPr>
        <w:t>acquisition of</w:t>
      </w:r>
      <w:r w:rsidR="00216A39">
        <w:rPr>
          <w:rFonts w:ascii="Arial" w:hAnsi="Arial"/>
          <w:sz w:val="22"/>
          <w:szCs w:val="22"/>
        </w:rPr>
        <w:t xml:space="preserve"> acquired antimicrobial resistance rather than clonal expansion in CC23 adult GBS population.  </w:t>
      </w:r>
    </w:p>
    <w:p w14:paraId="74222514" w14:textId="77777777" w:rsidR="00216A39" w:rsidRDefault="00216A39" w:rsidP="00DB7C46">
      <w:pPr>
        <w:spacing w:before="120" w:after="120" w:line="480" w:lineRule="auto"/>
        <w:rPr>
          <w:rFonts w:ascii="Arial" w:hAnsi="Arial"/>
          <w:sz w:val="22"/>
          <w:szCs w:val="22"/>
        </w:rPr>
      </w:pPr>
    </w:p>
    <w:p w14:paraId="2F348234" w14:textId="051CE15A" w:rsidR="003E70F6" w:rsidRDefault="68EC7987" w:rsidP="00DB7C46">
      <w:pPr>
        <w:spacing w:before="120" w:after="120" w:line="480" w:lineRule="auto"/>
        <w:rPr>
          <w:rFonts w:ascii="Arial" w:hAnsi="Arial"/>
          <w:sz w:val="22"/>
          <w:szCs w:val="22"/>
        </w:rPr>
      </w:pPr>
      <w:r w:rsidRPr="007D0473">
        <w:rPr>
          <w:rFonts w:ascii="Arial" w:hAnsi="Arial"/>
          <w:sz w:val="22"/>
          <w:szCs w:val="22"/>
        </w:rPr>
        <w:t>Of the 3</w:t>
      </w:r>
      <w:r w:rsidR="0DA8107A" w:rsidRPr="007D0473">
        <w:rPr>
          <w:rFonts w:ascii="Arial" w:hAnsi="Arial"/>
          <w:sz w:val="22"/>
          <w:szCs w:val="22"/>
        </w:rPr>
        <w:t>5</w:t>
      </w:r>
      <w:r w:rsidRPr="007D0473">
        <w:rPr>
          <w:rFonts w:ascii="Arial" w:hAnsi="Arial"/>
          <w:sz w:val="22"/>
          <w:szCs w:val="22"/>
        </w:rPr>
        <w:t xml:space="preserve"> CC1 isolates in the study the majority were ST1 (</w:t>
      </w:r>
      <w:r w:rsidR="00B43E2A">
        <w:rPr>
          <w:rFonts w:ascii="Arial" w:hAnsi="Arial"/>
          <w:sz w:val="22"/>
          <w:szCs w:val="22"/>
        </w:rPr>
        <w:t>67.6%, n=</w:t>
      </w:r>
      <w:r w:rsidRPr="007D0473">
        <w:rPr>
          <w:rFonts w:ascii="Arial" w:hAnsi="Arial"/>
          <w:sz w:val="22"/>
          <w:szCs w:val="22"/>
        </w:rPr>
        <w:t>23/3</w:t>
      </w:r>
      <w:r w:rsidR="0DA8107A" w:rsidRPr="007D0473">
        <w:rPr>
          <w:rFonts w:ascii="Arial" w:hAnsi="Arial"/>
          <w:sz w:val="22"/>
          <w:szCs w:val="22"/>
        </w:rPr>
        <w:t>5</w:t>
      </w:r>
      <w:r w:rsidR="00B43E2A">
        <w:rPr>
          <w:rFonts w:ascii="Arial" w:hAnsi="Arial"/>
          <w:sz w:val="22"/>
          <w:szCs w:val="22"/>
        </w:rPr>
        <w:t xml:space="preserve">) </w:t>
      </w:r>
      <w:r w:rsidRPr="007D0473">
        <w:rPr>
          <w:rFonts w:ascii="Arial" w:hAnsi="Arial"/>
          <w:sz w:val="22"/>
          <w:szCs w:val="22"/>
        </w:rPr>
        <w:t>and serotype V (</w:t>
      </w:r>
      <w:r w:rsidR="00435915" w:rsidRPr="007D0473">
        <w:rPr>
          <w:rFonts w:ascii="Arial" w:hAnsi="Arial"/>
          <w:sz w:val="22"/>
          <w:szCs w:val="22"/>
        </w:rPr>
        <w:t>17</w:t>
      </w:r>
      <w:r w:rsidRPr="007D0473">
        <w:rPr>
          <w:rFonts w:ascii="Arial" w:hAnsi="Arial"/>
          <w:sz w:val="22"/>
          <w:szCs w:val="22"/>
        </w:rPr>
        <w:t xml:space="preserve">/23), while the remaining were serotype </w:t>
      </w:r>
      <w:proofErr w:type="spellStart"/>
      <w:r w:rsidRPr="007D0473">
        <w:rPr>
          <w:rFonts w:ascii="Arial" w:hAnsi="Arial"/>
          <w:sz w:val="22"/>
          <w:szCs w:val="22"/>
        </w:rPr>
        <w:t>Ib</w:t>
      </w:r>
      <w:proofErr w:type="spellEnd"/>
      <w:r w:rsidRPr="007D0473">
        <w:rPr>
          <w:rFonts w:ascii="Arial" w:hAnsi="Arial"/>
          <w:sz w:val="22"/>
          <w:szCs w:val="22"/>
        </w:rPr>
        <w:t xml:space="preserve"> (n=2), II (n=2) and VI (n=</w:t>
      </w:r>
      <w:r w:rsidR="7574F1A7" w:rsidRPr="007D0473">
        <w:rPr>
          <w:rFonts w:ascii="Arial" w:hAnsi="Arial"/>
          <w:sz w:val="22"/>
          <w:szCs w:val="22"/>
        </w:rPr>
        <w:t>2</w:t>
      </w:r>
      <w:r w:rsidRPr="007D0473">
        <w:rPr>
          <w:rFonts w:ascii="Arial" w:hAnsi="Arial"/>
          <w:sz w:val="22"/>
          <w:szCs w:val="22"/>
        </w:rPr>
        <w:t xml:space="preserve">). </w:t>
      </w:r>
      <w:r w:rsidR="00D84F5A">
        <w:rPr>
          <w:rFonts w:ascii="Arial" w:hAnsi="Arial"/>
          <w:sz w:val="22"/>
          <w:szCs w:val="22"/>
        </w:rPr>
        <w:t>Ninety-one percent</w:t>
      </w:r>
      <w:r w:rsidR="003E70F6">
        <w:rPr>
          <w:rFonts w:ascii="Arial" w:hAnsi="Arial"/>
          <w:sz w:val="22"/>
          <w:szCs w:val="22"/>
        </w:rPr>
        <w:t xml:space="preserve"> (</w:t>
      </w:r>
      <w:r w:rsidR="00854156">
        <w:rPr>
          <w:rFonts w:ascii="Arial" w:hAnsi="Arial"/>
          <w:sz w:val="22"/>
          <w:szCs w:val="22"/>
        </w:rPr>
        <w:t>n=</w:t>
      </w:r>
      <w:r w:rsidR="003E70F6">
        <w:rPr>
          <w:rFonts w:ascii="Arial" w:hAnsi="Arial"/>
          <w:sz w:val="22"/>
          <w:szCs w:val="22"/>
        </w:rPr>
        <w:t xml:space="preserve">32/35) </w:t>
      </w:r>
      <w:r w:rsidR="00D84F5A">
        <w:rPr>
          <w:rFonts w:ascii="Arial" w:hAnsi="Arial"/>
          <w:sz w:val="22"/>
          <w:szCs w:val="22"/>
        </w:rPr>
        <w:t xml:space="preserve">of </w:t>
      </w:r>
      <w:r w:rsidR="003E70F6">
        <w:rPr>
          <w:rFonts w:ascii="Arial" w:hAnsi="Arial"/>
          <w:sz w:val="22"/>
          <w:szCs w:val="22"/>
        </w:rPr>
        <w:t>CC1 isolates carried tetracycline resistance genes (</w:t>
      </w:r>
      <w:proofErr w:type="spellStart"/>
      <w:proofErr w:type="gramStart"/>
      <w:r w:rsidR="003E70F6" w:rsidRPr="00765C84">
        <w:rPr>
          <w:rFonts w:ascii="Arial" w:hAnsi="Arial"/>
          <w:i/>
          <w:iCs/>
          <w:sz w:val="22"/>
          <w:szCs w:val="22"/>
        </w:rPr>
        <w:t>tetM</w:t>
      </w:r>
      <w:r w:rsidR="003E70F6">
        <w:rPr>
          <w:rFonts w:ascii="Arial" w:hAnsi="Arial"/>
          <w:sz w:val="22"/>
          <w:szCs w:val="22"/>
        </w:rPr>
        <w:t>,n</w:t>
      </w:r>
      <w:proofErr w:type="spellEnd"/>
      <w:proofErr w:type="gramEnd"/>
      <w:r w:rsidR="003E70F6">
        <w:rPr>
          <w:rFonts w:ascii="Arial" w:hAnsi="Arial"/>
          <w:sz w:val="22"/>
          <w:szCs w:val="22"/>
        </w:rPr>
        <w:t xml:space="preserve">=29, </w:t>
      </w:r>
      <w:proofErr w:type="spellStart"/>
      <w:r w:rsidR="003E70F6" w:rsidRPr="00765C84">
        <w:rPr>
          <w:rFonts w:ascii="Arial" w:hAnsi="Arial"/>
          <w:i/>
          <w:iCs/>
          <w:sz w:val="22"/>
          <w:szCs w:val="22"/>
        </w:rPr>
        <w:t>tetS</w:t>
      </w:r>
      <w:proofErr w:type="spellEnd"/>
      <w:r w:rsidR="003E70F6">
        <w:rPr>
          <w:rFonts w:ascii="Arial" w:hAnsi="Arial"/>
          <w:sz w:val="22"/>
          <w:szCs w:val="22"/>
        </w:rPr>
        <w:t xml:space="preserve">, n=1, </w:t>
      </w:r>
      <w:proofErr w:type="spellStart"/>
      <w:r w:rsidR="003E70F6" w:rsidRPr="00765C84">
        <w:rPr>
          <w:rFonts w:ascii="Arial" w:hAnsi="Arial"/>
          <w:i/>
          <w:iCs/>
          <w:sz w:val="22"/>
          <w:szCs w:val="22"/>
        </w:rPr>
        <w:t>tetO</w:t>
      </w:r>
      <w:proofErr w:type="spellEnd"/>
      <w:r w:rsidR="003E70F6">
        <w:rPr>
          <w:rFonts w:ascii="Arial" w:hAnsi="Arial"/>
          <w:sz w:val="22"/>
          <w:szCs w:val="22"/>
        </w:rPr>
        <w:t xml:space="preserve">, n=1, and </w:t>
      </w:r>
      <w:proofErr w:type="spellStart"/>
      <w:r w:rsidR="003E70F6" w:rsidRPr="00765C84">
        <w:rPr>
          <w:rFonts w:ascii="Arial" w:hAnsi="Arial"/>
          <w:i/>
          <w:iCs/>
          <w:sz w:val="22"/>
          <w:szCs w:val="22"/>
        </w:rPr>
        <w:t>tetW</w:t>
      </w:r>
      <w:proofErr w:type="spellEnd"/>
      <w:r w:rsidR="003E70F6">
        <w:rPr>
          <w:rFonts w:ascii="Arial" w:hAnsi="Arial"/>
          <w:sz w:val="22"/>
          <w:szCs w:val="22"/>
        </w:rPr>
        <w:t>, n=1</w:t>
      </w:r>
      <w:r w:rsidR="0052618C">
        <w:rPr>
          <w:rFonts w:ascii="Arial" w:hAnsi="Arial"/>
          <w:sz w:val="22"/>
          <w:szCs w:val="22"/>
        </w:rPr>
        <w:t xml:space="preserve">; </w:t>
      </w:r>
      <w:r w:rsidR="0052618C" w:rsidRPr="00765C84">
        <w:rPr>
          <w:rFonts w:ascii="Arial" w:hAnsi="Arial"/>
          <w:b/>
          <w:bCs/>
          <w:sz w:val="22"/>
          <w:szCs w:val="22"/>
        </w:rPr>
        <w:t>Figure 3b</w:t>
      </w:r>
      <w:r w:rsidR="0052618C">
        <w:rPr>
          <w:rFonts w:ascii="Arial" w:hAnsi="Arial"/>
          <w:sz w:val="22"/>
          <w:szCs w:val="22"/>
        </w:rPr>
        <w:t>)</w:t>
      </w:r>
      <w:r w:rsidR="00811D75">
        <w:rPr>
          <w:rFonts w:ascii="Arial" w:hAnsi="Arial"/>
          <w:sz w:val="22"/>
          <w:szCs w:val="22"/>
        </w:rPr>
        <w:t xml:space="preserve">. </w:t>
      </w:r>
      <w:r w:rsidR="00E32679">
        <w:rPr>
          <w:rFonts w:ascii="Arial" w:hAnsi="Arial"/>
          <w:sz w:val="22"/>
          <w:szCs w:val="22"/>
        </w:rPr>
        <w:t xml:space="preserve">Eleven CC1 GBS isolates </w:t>
      </w:r>
      <w:r w:rsidR="00D84F5A">
        <w:rPr>
          <w:rFonts w:ascii="Arial" w:hAnsi="Arial"/>
          <w:sz w:val="22"/>
          <w:szCs w:val="22"/>
        </w:rPr>
        <w:t>carried</w:t>
      </w:r>
      <w:r w:rsidR="00E32679">
        <w:rPr>
          <w:rFonts w:ascii="Arial" w:hAnsi="Arial"/>
          <w:sz w:val="22"/>
          <w:szCs w:val="22"/>
        </w:rPr>
        <w:t xml:space="preserve"> </w:t>
      </w:r>
      <w:proofErr w:type="spellStart"/>
      <w:r w:rsidR="00D84F5A" w:rsidRPr="00765C84">
        <w:rPr>
          <w:rFonts w:ascii="Arial" w:hAnsi="Arial"/>
          <w:i/>
          <w:iCs/>
          <w:sz w:val="22"/>
          <w:szCs w:val="22"/>
        </w:rPr>
        <w:t>ermA</w:t>
      </w:r>
      <w:proofErr w:type="spellEnd"/>
      <w:r w:rsidR="00D84F5A">
        <w:rPr>
          <w:rFonts w:ascii="Arial" w:hAnsi="Arial"/>
          <w:sz w:val="22"/>
          <w:szCs w:val="22"/>
        </w:rPr>
        <w:t xml:space="preserve"> or </w:t>
      </w:r>
      <w:proofErr w:type="spellStart"/>
      <w:r w:rsidR="00D84F5A" w:rsidRPr="00765C84">
        <w:rPr>
          <w:rFonts w:ascii="Arial" w:hAnsi="Arial"/>
          <w:i/>
          <w:iCs/>
          <w:sz w:val="22"/>
          <w:szCs w:val="22"/>
        </w:rPr>
        <w:t>ermB</w:t>
      </w:r>
      <w:proofErr w:type="spellEnd"/>
      <w:r w:rsidR="00E32679">
        <w:rPr>
          <w:rFonts w:ascii="Arial" w:hAnsi="Arial"/>
          <w:sz w:val="22"/>
          <w:szCs w:val="22"/>
        </w:rPr>
        <w:t xml:space="preserve"> genes confe</w:t>
      </w:r>
      <w:r w:rsidR="00765C84">
        <w:rPr>
          <w:rFonts w:ascii="Arial" w:hAnsi="Arial"/>
          <w:sz w:val="22"/>
          <w:szCs w:val="22"/>
        </w:rPr>
        <w:t>r</w:t>
      </w:r>
      <w:r w:rsidR="00E32679">
        <w:rPr>
          <w:rFonts w:ascii="Arial" w:hAnsi="Arial"/>
          <w:sz w:val="22"/>
          <w:szCs w:val="22"/>
        </w:rPr>
        <w:t>rin</w:t>
      </w:r>
      <w:r w:rsidR="00D84F5A">
        <w:rPr>
          <w:rFonts w:ascii="Arial" w:hAnsi="Arial"/>
          <w:sz w:val="22"/>
          <w:szCs w:val="22"/>
        </w:rPr>
        <w:t>g</w:t>
      </w:r>
      <w:r w:rsidR="00E32679">
        <w:rPr>
          <w:rFonts w:ascii="Arial" w:hAnsi="Arial"/>
          <w:sz w:val="22"/>
          <w:szCs w:val="22"/>
        </w:rPr>
        <w:t xml:space="preserve"> resistance to macrolides, and </w:t>
      </w:r>
      <w:r w:rsidR="00341509">
        <w:rPr>
          <w:rFonts w:ascii="Arial" w:hAnsi="Arial"/>
          <w:sz w:val="22"/>
          <w:szCs w:val="22"/>
        </w:rPr>
        <w:t xml:space="preserve">one isolate carried additional genes conferring resistance to aminoglycosides, this isolate PHEGBS0662 (serotype IV, ST1) had </w:t>
      </w:r>
      <w:proofErr w:type="spellStart"/>
      <w:r w:rsidR="005B7B68" w:rsidRPr="00765C84">
        <w:rPr>
          <w:rFonts w:ascii="Arial" w:hAnsi="Arial"/>
          <w:i/>
          <w:iCs/>
          <w:sz w:val="22"/>
          <w:szCs w:val="22"/>
        </w:rPr>
        <w:t>tetS</w:t>
      </w:r>
      <w:proofErr w:type="spellEnd"/>
      <w:r w:rsidR="005B7B68">
        <w:rPr>
          <w:rFonts w:ascii="Arial" w:hAnsi="Arial"/>
          <w:sz w:val="22"/>
          <w:szCs w:val="22"/>
        </w:rPr>
        <w:t xml:space="preserve">, </w:t>
      </w:r>
      <w:proofErr w:type="spellStart"/>
      <w:r w:rsidR="005B7B68" w:rsidRPr="00765C84">
        <w:rPr>
          <w:rFonts w:ascii="Arial" w:hAnsi="Arial"/>
          <w:i/>
          <w:iCs/>
          <w:sz w:val="22"/>
          <w:szCs w:val="22"/>
        </w:rPr>
        <w:t>ermB</w:t>
      </w:r>
      <w:proofErr w:type="spellEnd"/>
      <w:r w:rsidR="005B7B68">
        <w:rPr>
          <w:rFonts w:ascii="Arial" w:hAnsi="Arial"/>
          <w:sz w:val="22"/>
          <w:szCs w:val="22"/>
        </w:rPr>
        <w:t xml:space="preserve">, </w:t>
      </w:r>
      <w:proofErr w:type="spellStart"/>
      <w:r w:rsidR="005B7B68" w:rsidRPr="00765C84">
        <w:rPr>
          <w:rFonts w:ascii="Arial" w:hAnsi="Arial"/>
          <w:i/>
          <w:iCs/>
          <w:sz w:val="22"/>
          <w:szCs w:val="22"/>
        </w:rPr>
        <w:t>aph</w:t>
      </w:r>
      <w:proofErr w:type="spellEnd"/>
      <w:r w:rsidR="005B7B68" w:rsidRPr="00765C84">
        <w:rPr>
          <w:rFonts w:ascii="Arial" w:hAnsi="Arial"/>
          <w:i/>
          <w:iCs/>
          <w:sz w:val="22"/>
          <w:szCs w:val="22"/>
        </w:rPr>
        <w:t>(3’-III)</w:t>
      </w:r>
      <w:r w:rsidR="005B7B68">
        <w:rPr>
          <w:rFonts w:ascii="Arial" w:hAnsi="Arial"/>
          <w:sz w:val="22"/>
          <w:szCs w:val="22"/>
        </w:rPr>
        <w:t xml:space="preserve"> and </w:t>
      </w:r>
      <w:r w:rsidR="005B7B68" w:rsidRPr="00765C84">
        <w:rPr>
          <w:rFonts w:ascii="Arial" w:hAnsi="Arial"/>
          <w:i/>
          <w:iCs/>
          <w:sz w:val="22"/>
          <w:szCs w:val="22"/>
        </w:rPr>
        <w:t>ant(6-Ia)</w:t>
      </w:r>
      <w:r w:rsidR="005B7B68">
        <w:rPr>
          <w:rFonts w:ascii="Arial" w:hAnsi="Arial"/>
          <w:sz w:val="22"/>
          <w:szCs w:val="22"/>
        </w:rPr>
        <w:t xml:space="preserve"> genes</w:t>
      </w:r>
      <w:r w:rsidR="00D7789E">
        <w:rPr>
          <w:rFonts w:ascii="Arial" w:hAnsi="Arial"/>
          <w:sz w:val="22"/>
          <w:szCs w:val="22"/>
        </w:rPr>
        <w:t xml:space="preserve"> and clustered closely with another serotype IV, ST1, with no acquired antimicrobial resistance genes detected (</w:t>
      </w:r>
      <w:r w:rsidR="00D7789E" w:rsidRPr="00765C84">
        <w:rPr>
          <w:rFonts w:ascii="Arial" w:hAnsi="Arial"/>
          <w:b/>
          <w:bCs/>
          <w:sz w:val="22"/>
          <w:szCs w:val="22"/>
        </w:rPr>
        <w:t>Figure 3b</w:t>
      </w:r>
      <w:r w:rsidR="00D7789E">
        <w:rPr>
          <w:rFonts w:ascii="Arial" w:hAnsi="Arial"/>
          <w:sz w:val="22"/>
          <w:szCs w:val="22"/>
        </w:rPr>
        <w:t>)</w:t>
      </w:r>
      <w:r w:rsidR="00D84F5A">
        <w:rPr>
          <w:rFonts w:ascii="Arial" w:hAnsi="Arial"/>
          <w:sz w:val="22"/>
          <w:szCs w:val="22"/>
        </w:rPr>
        <w:t xml:space="preserve">. This </w:t>
      </w:r>
      <w:r w:rsidR="003C73B7">
        <w:rPr>
          <w:rFonts w:ascii="Arial" w:hAnsi="Arial"/>
          <w:sz w:val="22"/>
          <w:szCs w:val="22"/>
        </w:rPr>
        <w:t xml:space="preserve">sporadic array </w:t>
      </w:r>
      <w:r w:rsidR="00CD6531">
        <w:rPr>
          <w:rFonts w:ascii="Arial" w:hAnsi="Arial"/>
          <w:sz w:val="22"/>
          <w:szCs w:val="22"/>
        </w:rPr>
        <w:t xml:space="preserve">of ARG </w:t>
      </w:r>
      <w:r w:rsidR="00CD6531" w:rsidRPr="007B3A9C">
        <w:rPr>
          <w:rFonts w:ascii="Arial" w:hAnsi="Arial"/>
          <w:sz w:val="22"/>
          <w:szCs w:val="22"/>
        </w:rPr>
        <w:t xml:space="preserve">presence </w:t>
      </w:r>
      <w:r w:rsidR="003C73B7" w:rsidRPr="007B3A9C">
        <w:rPr>
          <w:rFonts w:ascii="Arial" w:hAnsi="Arial"/>
          <w:sz w:val="22"/>
          <w:szCs w:val="22"/>
        </w:rPr>
        <w:t>is not reflective</w:t>
      </w:r>
      <w:r w:rsidR="003C73B7">
        <w:rPr>
          <w:rFonts w:ascii="Arial" w:hAnsi="Arial"/>
          <w:sz w:val="22"/>
          <w:szCs w:val="22"/>
        </w:rPr>
        <w:t xml:space="preserve"> of </w:t>
      </w:r>
      <w:r w:rsidR="00CD6531">
        <w:rPr>
          <w:rFonts w:ascii="Arial" w:hAnsi="Arial"/>
          <w:sz w:val="22"/>
          <w:szCs w:val="22"/>
        </w:rPr>
        <w:t>clonal spread of resistance</w:t>
      </w:r>
      <w:r w:rsidR="003C73B7" w:rsidRPr="003C73B7">
        <w:rPr>
          <w:rFonts w:ascii="Arial" w:hAnsi="Arial"/>
          <w:sz w:val="22"/>
          <w:szCs w:val="22"/>
        </w:rPr>
        <w:t xml:space="preserve"> </w:t>
      </w:r>
      <w:r w:rsidR="003C73B7">
        <w:rPr>
          <w:rFonts w:ascii="Arial" w:hAnsi="Arial"/>
          <w:sz w:val="22"/>
          <w:szCs w:val="22"/>
        </w:rPr>
        <w:t>within the current limited dataset</w:t>
      </w:r>
      <w:r w:rsidR="00D7789E">
        <w:rPr>
          <w:rFonts w:ascii="Arial" w:hAnsi="Arial"/>
          <w:sz w:val="22"/>
          <w:szCs w:val="22"/>
        </w:rPr>
        <w:t xml:space="preserve">. </w:t>
      </w:r>
    </w:p>
    <w:p w14:paraId="759B75C8" w14:textId="77777777" w:rsidR="003E70F6" w:rsidRDefault="003E70F6" w:rsidP="00DB7C46">
      <w:pPr>
        <w:spacing w:before="120" w:after="120" w:line="480" w:lineRule="auto"/>
        <w:rPr>
          <w:rFonts w:ascii="Arial" w:hAnsi="Arial"/>
          <w:sz w:val="22"/>
          <w:szCs w:val="22"/>
        </w:rPr>
      </w:pPr>
    </w:p>
    <w:p w14:paraId="41FB66D4" w14:textId="2557DD30" w:rsidR="001C24CD" w:rsidRDefault="25A7CD5B" w:rsidP="00DB7C46">
      <w:pPr>
        <w:spacing w:before="120" w:after="120" w:line="480" w:lineRule="auto"/>
        <w:rPr>
          <w:rFonts w:ascii="Arial" w:hAnsi="Arial"/>
          <w:sz w:val="22"/>
          <w:szCs w:val="22"/>
        </w:rPr>
      </w:pPr>
      <w:r w:rsidRPr="007D0473">
        <w:rPr>
          <w:rFonts w:ascii="Arial" w:hAnsi="Arial"/>
          <w:sz w:val="22"/>
          <w:szCs w:val="22"/>
        </w:rPr>
        <w:t>We observed two main sub-clades w</w:t>
      </w:r>
      <w:r w:rsidR="0012E4F4" w:rsidRPr="007D0473">
        <w:rPr>
          <w:rFonts w:ascii="Arial" w:hAnsi="Arial"/>
          <w:sz w:val="22"/>
          <w:szCs w:val="22"/>
        </w:rPr>
        <w:t>ithin CC8</w:t>
      </w:r>
      <w:r w:rsidR="068F9251" w:rsidRPr="007D0473">
        <w:rPr>
          <w:rFonts w:ascii="Arial" w:hAnsi="Arial"/>
          <w:sz w:val="22"/>
          <w:szCs w:val="22"/>
        </w:rPr>
        <w:t>/CC10</w:t>
      </w:r>
      <w:r w:rsidR="00B96476" w:rsidRPr="007D0473">
        <w:rPr>
          <w:rFonts w:ascii="Arial" w:hAnsi="Arial"/>
          <w:sz w:val="22"/>
          <w:szCs w:val="22"/>
        </w:rPr>
        <w:t xml:space="preserve"> </w:t>
      </w:r>
      <w:r w:rsidR="00B96476" w:rsidRPr="002120DB">
        <w:rPr>
          <w:rFonts w:ascii="Arial" w:hAnsi="Arial"/>
          <w:sz w:val="22"/>
          <w:szCs w:val="22"/>
        </w:rPr>
        <w:t>(n=</w:t>
      </w:r>
      <w:r w:rsidR="000B48BF" w:rsidRPr="002120DB">
        <w:rPr>
          <w:rFonts w:ascii="Arial" w:hAnsi="Arial"/>
          <w:sz w:val="22"/>
          <w:szCs w:val="22"/>
        </w:rPr>
        <w:t>29</w:t>
      </w:r>
      <w:r w:rsidR="00B96476" w:rsidRPr="002120DB">
        <w:rPr>
          <w:rFonts w:ascii="Arial" w:hAnsi="Arial"/>
          <w:sz w:val="22"/>
          <w:szCs w:val="22"/>
        </w:rPr>
        <w:t>)</w:t>
      </w:r>
      <w:r w:rsidR="068F9251" w:rsidRPr="002120DB">
        <w:rPr>
          <w:rFonts w:ascii="Arial" w:hAnsi="Arial"/>
          <w:sz w:val="22"/>
          <w:szCs w:val="22"/>
        </w:rPr>
        <w:t>,</w:t>
      </w:r>
      <w:r w:rsidR="068F9251" w:rsidRPr="007D0473">
        <w:rPr>
          <w:rFonts w:ascii="Arial" w:hAnsi="Arial"/>
          <w:sz w:val="22"/>
          <w:szCs w:val="22"/>
        </w:rPr>
        <w:t xml:space="preserve"> one of the clades was dominated by serotype </w:t>
      </w:r>
      <w:proofErr w:type="spellStart"/>
      <w:r w:rsidR="068F9251" w:rsidRPr="007D0473">
        <w:rPr>
          <w:rFonts w:ascii="Arial" w:hAnsi="Arial"/>
          <w:sz w:val="22"/>
          <w:szCs w:val="22"/>
        </w:rPr>
        <w:t>Ib</w:t>
      </w:r>
      <w:proofErr w:type="spellEnd"/>
      <w:r w:rsidR="068F9251" w:rsidRPr="007D0473">
        <w:rPr>
          <w:rFonts w:ascii="Arial" w:hAnsi="Arial"/>
          <w:sz w:val="22"/>
          <w:szCs w:val="22"/>
        </w:rPr>
        <w:t xml:space="preserve"> ST8 and another was dominated by serotypes </w:t>
      </w:r>
      <w:proofErr w:type="spellStart"/>
      <w:r w:rsidR="068F9251" w:rsidRPr="007D0473">
        <w:rPr>
          <w:rFonts w:ascii="Arial" w:hAnsi="Arial"/>
          <w:sz w:val="22"/>
          <w:szCs w:val="22"/>
        </w:rPr>
        <w:t>Ib</w:t>
      </w:r>
      <w:proofErr w:type="spellEnd"/>
      <w:r w:rsidR="068F9251" w:rsidRPr="007D0473">
        <w:rPr>
          <w:rFonts w:ascii="Arial" w:hAnsi="Arial"/>
          <w:sz w:val="22"/>
          <w:szCs w:val="22"/>
        </w:rPr>
        <w:t xml:space="preserve"> and II ST12 </w:t>
      </w:r>
      <w:r w:rsidR="0012E4F4" w:rsidRPr="007D0473">
        <w:rPr>
          <w:rFonts w:ascii="Arial" w:hAnsi="Arial"/>
          <w:sz w:val="22"/>
          <w:szCs w:val="22"/>
        </w:rPr>
        <w:t>(</w:t>
      </w:r>
      <w:r w:rsidR="0012E4F4" w:rsidRPr="007D0473">
        <w:rPr>
          <w:rFonts w:ascii="Arial" w:hAnsi="Arial"/>
          <w:b/>
          <w:bCs/>
          <w:sz w:val="22"/>
          <w:szCs w:val="22"/>
        </w:rPr>
        <w:t>Figure 3c</w:t>
      </w:r>
      <w:r w:rsidR="0012E4F4" w:rsidRPr="007D0473">
        <w:rPr>
          <w:rFonts w:ascii="Arial" w:hAnsi="Arial"/>
          <w:sz w:val="22"/>
          <w:szCs w:val="22"/>
        </w:rPr>
        <w:t xml:space="preserve">). </w:t>
      </w:r>
      <w:r w:rsidR="28E2EBA4" w:rsidRPr="007D0473">
        <w:rPr>
          <w:rFonts w:ascii="Arial" w:hAnsi="Arial"/>
          <w:sz w:val="22"/>
          <w:szCs w:val="22"/>
        </w:rPr>
        <w:t xml:space="preserve">All ST8 </w:t>
      </w:r>
      <w:r w:rsidR="00EE5B04">
        <w:rPr>
          <w:rFonts w:ascii="Arial" w:hAnsi="Arial"/>
          <w:sz w:val="22"/>
          <w:szCs w:val="22"/>
        </w:rPr>
        <w:t xml:space="preserve">(n=9) </w:t>
      </w:r>
      <w:r w:rsidR="28E2EBA4" w:rsidRPr="007D0473">
        <w:rPr>
          <w:rFonts w:ascii="Arial" w:hAnsi="Arial"/>
          <w:sz w:val="22"/>
          <w:szCs w:val="22"/>
        </w:rPr>
        <w:t>isolates had</w:t>
      </w:r>
      <w:r w:rsidR="28E2EBA4" w:rsidRPr="007D0473">
        <w:rPr>
          <w:rFonts w:ascii="Arial" w:hAnsi="Arial"/>
          <w:i/>
          <w:iCs/>
          <w:sz w:val="22"/>
          <w:szCs w:val="22"/>
        </w:rPr>
        <w:t xml:space="preserve"> </w:t>
      </w:r>
      <w:proofErr w:type="spellStart"/>
      <w:r w:rsidR="28E2EBA4" w:rsidRPr="007D0473">
        <w:rPr>
          <w:rFonts w:ascii="Arial" w:hAnsi="Arial"/>
          <w:i/>
          <w:iCs/>
          <w:sz w:val="22"/>
          <w:szCs w:val="22"/>
        </w:rPr>
        <w:t>tet</w:t>
      </w:r>
      <w:r w:rsidR="28E2EBA4" w:rsidRPr="007D0473">
        <w:rPr>
          <w:rFonts w:ascii="Arial" w:hAnsi="Arial"/>
          <w:sz w:val="22"/>
          <w:szCs w:val="22"/>
        </w:rPr>
        <w:t>M</w:t>
      </w:r>
      <w:proofErr w:type="spellEnd"/>
      <w:r w:rsidR="28E2EBA4" w:rsidRPr="007D0473">
        <w:rPr>
          <w:rFonts w:ascii="Arial" w:hAnsi="Arial"/>
          <w:sz w:val="22"/>
          <w:szCs w:val="22"/>
        </w:rPr>
        <w:t xml:space="preserve"> genes</w:t>
      </w:r>
      <w:r w:rsidR="00E644D7">
        <w:rPr>
          <w:rFonts w:ascii="Arial" w:hAnsi="Arial"/>
          <w:sz w:val="22"/>
          <w:szCs w:val="22"/>
        </w:rPr>
        <w:t xml:space="preserve"> with one isolate also carrying </w:t>
      </w:r>
      <w:proofErr w:type="spellStart"/>
      <w:r w:rsidR="00E644D7" w:rsidRPr="002120DB">
        <w:rPr>
          <w:rFonts w:ascii="Arial" w:hAnsi="Arial"/>
          <w:i/>
          <w:iCs/>
          <w:sz w:val="22"/>
          <w:szCs w:val="22"/>
        </w:rPr>
        <w:t>tetO</w:t>
      </w:r>
      <w:proofErr w:type="spellEnd"/>
      <w:r w:rsidR="00E644D7">
        <w:rPr>
          <w:rFonts w:ascii="Arial" w:hAnsi="Arial"/>
          <w:sz w:val="22"/>
          <w:szCs w:val="22"/>
        </w:rPr>
        <w:t xml:space="preserve"> gene</w:t>
      </w:r>
      <w:r w:rsidR="28E2EBA4" w:rsidRPr="007D0473">
        <w:rPr>
          <w:rFonts w:ascii="Arial" w:hAnsi="Arial"/>
          <w:sz w:val="22"/>
          <w:szCs w:val="22"/>
        </w:rPr>
        <w:t>, while</w:t>
      </w:r>
      <w:r w:rsidR="00E644D7">
        <w:rPr>
          <w:rFonts w:ascii="Arial" w:hAnsi="Arial"/>
          <w:sz w:val="22"/>
          <w:szCs w:val="22"/>
        </w:rPr>
        <w:t xml:space="preserve"> a large</w:t>
      </w:r>
      <w:r w:rsidR="28E2EBA4" w:rsidRPr="007D0473">
        <w:rPr>
          <w:rFonts w:ascii="Arial" w:hAnsi="Arial"/>
          <w:sz w:val="22"/>
          <w:szCs w:val="22"/>
        </w:rPr>
        <w:t xml:space="preserve"> sub-clade S</w:t>
      </w:r>
      <w:r w:rsidR="0012E4F4" w:rsidRPr="007D0473">
        <w:rPr>
          <w:rFonts w:ascii="Arial" w:hAnsi="Arial"/>
          <w:sz w:val="22"/>
          <w:szCs w:val="22"/>
        </w:rPr>
        <w:t>T12</w:t>
      </w:r>
      <w:r w:rsidR="00E644D7">
        <w:rPr>
          <w:rFonts w:ascii="Arial" w:hAnsi="Arial"/>
          <w:sz w:val="22"/>
          <w:szCs w:val="22"/>
        </w:rPr>
        <w:t xml:space="preserve"> (n=10)</w:t>
      </w:r>
      <w:r w:rsidR="0012E4F4" w:rsidRPr="007D0473">
        <w:rPr>
          <w:rFonts w:ascii="Arial" w:hAnsi="Arial"/>
          <w:sz w:val="22"/>
          <w:szCs w:val="22"/>
        </w:rPr>
        <w:t xml:space="preserve"> isolates</w:t>
      </w:r>
      <w:r w:rsidR="28E2EBA4" w:rsidRPr="007D0473">
        <w:rPr>
          <w:rFonts w:ascii="Arial" w:hAnsi="Arial"/>
          <w:sz w:val="22"/>
          <w:szCs w:val="22"/>
        </w:rPr>
        <w:t xml:space="preserve"> </w:t>
      </w:r>
      <w:r w:rsidR="0012E4F4" w:rsidRPr="007D0473">
        <w:rPr>
          <w:rFonts w:ascii="Arial" w:hAnsi="Arial"/>
          <w:sz w:val="22"/>
          <w:szCs w:val="22"/>
        </w:rPr>
        <w:t xml:space="preserve">carried the tetracycline resistance gene </w:t>
      </w:r>
      <w:proofErr w:type="spellStart"/>
      <w:r w:rsidR="0012E4F4" w:rsidRPr="007D0473">
        <w:rPr>
          <w:rFonts w:ascii="Arial" w:hAnsi="Arial"/>
          <w:i/>
          <w:iCs/>
          <w:sz w:val="22"/>
          <w:szCs w:val="22"/>
        </w:rPr>
        <w:t>tet</w:t>
      </w:r>
      <w:r w:rsidR="0012E4F4" w:rsidRPr="007D0473">
        <w:rPr>
          <w:rFonts w:ascii="Arial" w:hAnsi="Arial"/>
          <w:sz w:val="22"/>
          <w:szCs w:val="22"/>
        </w:rPr>
        <w:t>O</w:t>
      </w:r>
      <w:proofErr w:type="spellEnd"/>
      <w:r w:rsidR="0012E4F4" w:rsidRPr="007D0473">
        <w:rPr>
          <w:rFonts w:ascii="Arial" w:hAnsi="Arial"/>
          <w:sz w:val="22"/>
          <w:szCs w:val="22"/>
        </w:rPr>
        <w:t xml:space="preserve"> (</w:t>
      </w:r>
      <w:r w:rsidR="0012E4F4" w:rsidRPr="007D0473">
        <w:rPr>
          <w:rFonts w:ascii="Arial" w:hAnsi="Arial"/>
          <w:b/>
          <w:bCs/>
          <w:sz w:val="22"/>
          <w:szCs w:val="22"/>
        </w:rPr>
        <w:t>Figure 3c</w:t>
      </w:r>
      <w:r w:rsidR="0012E4F4" w:rsidRPr="007D0473">
        <w:rPr>
          <w:rFonts w:ascii="Arial" w:hAnsi="Arial"/>
          <w:sz w:val="22"/>
          <w:szCs w:val="22"/>
        </w:rPr>
        <w:t xml:space="preserve">). </w:t>
      </w:r>
      <w:r w:rsidR="00CD6531">
        <w:rPr>
          <w:rFonts w:ascii="Arial" w:hAnsi="Arial"/>
          <w:sz w:val="22"/>
          <w:szCs w:val="22"/>
        </w:rPr>
        <w:t>Tetracycline resistance genes were common, yet diverse (</w:t>
      </w:r>
      <w:proofErr w:type="spellStart"/>
      <w:r w:rsidR="00CD6531" w:rsidRPr="002120DB">
        <w:rPr>
          <w:rFonts w:ascii="Arial" w:hAnsi="Arial"/>
          <w:i/>
          <w:iCs/>
          <w:sz w:val="22"/>
          <w:szCs w:val="22"/>
        </w:rPr>
        <w:t>tet</w:t>
      </w:r>
      <w:proofErr w:type="spellEnd"/>
      <w:r w:rsidR="00CD6531">
        <w:rPr>
          <w:rFonts w:ascii="Arial" w:hAnsi="Arial"/>
          <w:sz w:val="22"/>
          <w:szCs w:val="22"/>
        </w:rPr>
        <w:t xml:space="preserve">(M), </w:t>
      </w:r>
      <w:proofErr w:type="spellStart"/>
      <w:r w:rsidR="00CD6531" w:rsidRPr="002120DB">
        <w:rPr>
          <w:rFonts w:ascii="Arial" w:hAnsi="Arial"/>
          <w:i/>
          <w:iCs/>
          <w:sz w:val="22"/>
          <w:szCs w:val="22"/>
        </w:rPr>
        <w:t>tet</w:t>
      </w:r>
      <w:proofErr w:type="spellEnd"/>
      <w:r w:rsidR="00CD6531">
        <w:rPr>
          <w:rFonts w:ascii="Arial" w:hAnsi="Arial"/>
          <w:sz w:val="22"/>
          <w:szCs w:val="22"/>
        </w:rPr>
        <w:t xml:space="preserve">(O) and </w:t>
      </w:r>
      <w:proofErr w:type="spellStart"/>
      <w:r w:rsidR="00CD6531" w:rsidRPr="002120DB">
        <w:rPr>
          <w:rFonts w:ascii="Arial" w:hAnsi="Arial"/>
          <w:i/>
          <w:iCs/>
          <w:sz w:val="22"/>
          <w:szCs w:val="22"/>
        </w:rPr>
        <w:t>tet</w:t>
      </w:r>
      <w:proofErr w:type="spellEnd"/>
      <w:r w:rsidR="00CD6531">
        <w:rPr>
          <w:rFonts w:ascii="Arial" w:hAnsi="Arial"/>
          <w:sz w:val="22"/>
          <w:szCs w:val="22"/>
        </w:rPr>
        <w:t xml:space="preserve">(L)). </w:t>
      </w:r>
      <w:r w:rsidR="007447B1">
        <w:rPr>
          <w:rFonts w:ascii="Arial" w:hAnsi="Arial"/>
          <w:sz w:val="22"/>
          <w:szCs w:val="22"/>
        </w:rPr>
        <w:t xml:space="preserve">Seven isolates also carried </w:t>
      </w:r>
      <w:r w:rsidR="00CD6531">
        <w:rPr>
          <w:rFonts w:ascii="Arial" w:hAnsi="Arial"/>
          <w:sz w:val="22"/>
          <w:szCs w:val="22"/>
        </w:rPr>
        <w:t xml:space="preserve">the </w:t>
      </w:r>
      <w:r w:rsidR="007447B1">
        <w:rPr>
          <w:rFonts w:ascii="Arial" w:hAnsi="Arial"/>
          <w:sz w:val="22"/>
          <w:szCs w:val="22"/>
        </w:rPr>
        <w:t>m</w:t>
      </w:r>
      <w:r w:rsidR="00E644D7">
        <w:rPr>
          <w:rFonts w:ascii="Arial" w:hAnsi="Arial"/>
          <w:sz w:val="22"/>
          <w:szCs w:val="22"/>
        </w:rPr>
        <w:t>acroli</w:t>
      </w:r>
      <w:r w:rsidR="002C3137">
        <w:rPr>
          <w:rFonts w:ascii="Arial" w:hAnsi="Arial"/>
          <w:sz w:val="22"/>
          <w:szCs w:val="22"/>
        </w:rPr>
        <w:t>d</w:t>
      </w:r>
      <w:r w:rsidR="00E644D7">
        <w:rPr>
          <w:rFonts w:ascii="Arial" w:hAnsi="Arial"/>
          <w:sz w:val="22"/>
          <w:szCs w:val="22"/>
        </w:rPr>
        <w:t xml:space="preserve">e resistance genes </w:t>
      </w:r>
      <w:proofErr w:type="spellStart"/>
      <w:r w:rsidR="00E644D7" w:rsidRPr="002120DB">
        <w:rPr>
          <w:rFonts w:ascii="Arial" w:hAnsi="Arial"/>
          <w:i/>
          <w:iCs/>
          <w:sz w:val="22"/>
          <w:szCs w:val="22"/>
        </w:rPr>
        <w:t>ermB</w:t>
      </w:r>
      <w:proofErr w:type="spellEnd"/>
      <w:r w:rsidR="007447B1">
        <w:rPr>
          <w:rFonts w:ascii="Arial" w:hAnsi="Arial"/>
          <w:i/>
          <w:iCs/>
          <w:sz w:val="22"/>
          <w:szCs w:val="22"/>
        </w:rPr>
        <w:t xml:space="preserve"> </w:t>
      </w:r>
      <w:r w:rsidR="007447B1" w:rsidRPr="002120DB">
        <w:rPr>
          <w:rFonts w:ascii="Arial" w:hAnsi="Arial"/>
          <w:sz w:val="22"/>
          <w:szCs w:val="22"/>
        </w:rPr>
        <w:t>(n=6)</w:t>
      </w:r>
      <w:r w:rsidR="00E644D7">
        <w:rPr>
          <w:rFonts w:ascii="Arial" w:hAnsi="Arial"/>
          <w:sz w:val="22"/>
          <w:szCs w:val="22"/>
        </w:rPr>
        <w:t xml:space="preserve"> and </w:t>
      </w:r>
      <w:proofErr w:type="spellStart"/>
      <w:r w:rsidR="00E644D7" w:rsidRPr="002120DB">
        <w:rPr>
          <w:rFonts w:ascii="Arial" w:hAnsi="Arial"/>
          <w:i/>
          <w:iCs/>
          <w:sz w:val="22"/>
          <w:szCs w:val="22"/>
        </w:rPr>
        <w:t>ermA</w:t>
      </w:r>
      <w:proofErr w:type="spellEnd"/>
      <w:r w:rsidR="00E644D7">
        <w:rPr>
          <w:rFonts w:ascii="Arial" w:hAnsi="Arial"/>
          <w:sz w:val="22"/>
          <w:szCs w:val="22"/>
        </w:rPr>
        <w:t xml:space="preserve"> </w:t>
      </w:r>
      <w:r w:rsidR="007447B1">
        <w:rPr>
          <w:rFonts w:ascii="Arial" w:hAnsi="Arial"/>
          <w:sz w:val="22"/>
          <w:szCs w:val="22"/>
        </w:rPr>
        <w:t xml:space="preserve">(n=1). </w:t>
      </w:r>
      <w:r w:rsidR="00CD6531">
        <w:rPr>
          <w:rFonts w:ascii="Arial" w:hAnsi="Arial"/>
          <w:sz w:val="22"/>
          <w:szCs w:val="22"/>
        </w:rPr>
        <w:t>Phylogenetic separation of the isolates</w:t>
      </w:r>
      <w:r w:rsidR="00774C31">
        <w:rPr>
          <w:rFonts w:ascii="Arial" w:hAnsi="Arial"/>
          <w:sz w:val="22"/>
          <w:szCs w:val="22"/>
        </w:rPr>
        <w:t>, bar from two isolates, PHEGBS0091 and PHEGBS</w:t>
      </w:r>
      <w:proofErr w:type="gramStart"/>
      <w:r w:rsidR="00774C31">
        <w:rPr>
          <w:rFonts w:ascii="Arial" w:hAnsi="Arial"/>
          <w:sz w:val="22"/>
          <w:szCs w:val="22"/>
        </w:rPr>
        <w:t xml:space="preserve">0509, </w:t>
      </w:r>
      <w:r w:rsidR="00CD6531">
        <w:rPr>
          <w:rFonts w:ascii="Arial" w:hAnsi="Arial"/>
          <w:sz w:val="22"/>
          <w:szCs w:val="22"/>
        </w:rPr>
        <w:t xml:space="preserve"> and</w:t>
      </w:r>
      <w:proofErr w:type="gramEnd"/>
      <w:r w:rsidR="00CD6531">
        <w:rPr>
          <w:rFonts w:ascii="Arial" w:hAnsi="Arial"/>
          <w:sz w:val="22"/>
          <w:szCs w:val="22"/>
        </w:rPr>
        <w:t xml:space="preserve"> </w:t>
      </w:r>
      <w:r w:rsidR="003C73B7">
        <w:rPr>
          <w:rFonts w:ascii="Arial" w:hAnsi="Arial"/>
          <w:sz w:val="22"/>
          <w:szCs w:val="22"/>
        </w:rPr>
        <w:t xml:space="preserve">array </w:t>
      </w:r>
      <w:r w:rsidR="00CD6531">
        <w:rPr>
          <w:rFonts w:ascii="Arial" w:hAnsi="Arial"/>
          <w:sz w:val="22"/>
          <w:szCs w:val="22"/>
        </w:rPr>
        <w:t>of co-clustering ARG</w:t>
      </w:r>
      <w:r w:rsidR="003C73B7">
        <w:rPr>
          <w:rFonts w:ascii="Arial" w:hAnsi="Arial"/>
          <w:sz w:val="22"/>
          <w:szCs w:val="22"/>
        </w:rPr>
        <w:t xml:space="preserve">s is not indicative of </w:t>
      </w:r>
      <w:r w:rsidR="00CD6531">
        <w:rPr>
          <w:rFonts w:ascii="Arial" w:hAnsi="Arial"/>
          <w:sz w:val="22"/>
          <w:szCs w:val="22"/>
        </w:rPr>
        <w:t xml:space="preserve">clonal spread of </w:t>
      </w:r>
      <w:r w:rsidR="00453FA3">
        <w:rPr>
          <w:rFonts w:ascii="Arial" w:hAnsi="Arial"/>
          <w:sz w:val="22"/>
          <w:szCs w:val="22"/>
        </w:rPr>
        <w:t>resistance</w:t>
      </w:r>
      <w:r w:rsidR="003C73B7">
        <w:rPr>
          <w:rFonts w:ascii="Arial" w:hAnsi="Arial"/>
          <w:sz w:val="22"/>
          <w:szCs w:val="22"/>
        </w:rPr>
        <w:t xml:space="preserve"> within the current limited dataset</w:t>
      </w:r>
      <w:r w:rsidR="00F10945">
        <w:rPr>
          <w:rFonts w:ascii="Arial" w:hAnsi="Arial"/>
          <w:sz w:val="22"/>
          <w:szCs w:val="22"/>
        </w:rPr>
        <w:t xml:space="preserve">. </w:t>
      </w:r>
    </w:p>
    <w:p w14:paraId="38A11101" w14:textId="77777777" w:rsidR="001C24CD" w:rsidRDefault="001C24CD" w:rsidP="00DB7C46">
      <w:pPr>
        <w:spacing w:before="120" w:after="120" w:line="480" w:lineRule="auto"/>
        <w:rPr>
          <w:rFonts w:ascii="Arial" w:hAnsi="Arial"/>
          <w:sz w:val="22"/>
          <w:szCs w:val="22"/>
        </w:rPr>
      </w:pPr>
    </w:p>
    <w:p w14:paraId="09C51A15" w14:textId="3A319C65" w:rsidR="00C91937" w:rsidRDefault="27EE4DB3" w:rsidP="00DB7C46">
      <w:pPr>
        <w:spacing w:before="120" w:after="120" w:line="480" w:lineRule="auto"/>
        <w:rPr>
          <w:rFonts w:ascii="Arial" w:hAnsi="Arial"/>
          <w:sz w:val="22"/>
          <w:szCs w:val="22"/>
        </w:rPr>
      </w:pPr>
      <w:r w:rsidRPr="0006486B">
        <w:rPr>
          <w:rFonts w:ascii="Arial" w:hAnsi="Arial"/>
          <w:sz w:val="22"/>
          <w:szCs w:val="22"/>
        </w:rPr>
        <w:t>CC19</w:t>
      </w:r>
      <w:r w:rsidRPr="007D0473">
        <w:rPr>
          <w:rFonts w:ascii="Arial" w:hAnsi="Arial"/>
          <w:sz w:val="22"/>
          <w:szCs w:val="22"/>
        </w:rPr>
        <w:t xml:space="preserve"> </w:t>
      </w:r>
      <w:r w:rsidR="00C96B69" w:rsidRPr="002120DB">
        <w:rPr>
          <w:rFonts w:ascii="Arial" w:hAnsi="Arial"/>
          <w:sz w:val="22"/>
          <w:szCs w:val="22"/>
        </w:rPr>
        <w:t>(n=</w:t>
      </w:r>
      <w:r w:rsidR="005A334B" w:rsidRPr="002120DB">
        <w:rPr>
          <w:rFonts w:ascii="Arial" w:hAnsi="Arial"/>
          <w:sz w:val="22"/>
          <w:szCs w:val="22"/>
        </w:rPr>
        <w:t>33</w:t>
      </w:r>
      <w:r w:rsidR="00C96B69" w:rsidRPr="002120DB">
        <w:rPr>
          <w:rFonts w:ascii="Arial" w:hAnsi="Arial"/>
          <w:sz w:val="22"/>
          <w:szCs w:val="22"/>
        </w:rPr>
        <w:t>)</w:t>
      </w:r>
      <w:r w:rsidR="00C96B69" w:rsidRPr="007D0473">
        <w:rPr>
          <w:rFonts w:ascii="Arial" w:hAnsi="Arial"/>
          <w:sz w:val="22"/>
          <w:szCs w:val="22"/>
        </w:rPr>
        <w:t xml:space="preserve"> </w:t>
      </w:r>
      <w:r w:rsidR="2A65E49F" w:rsidRPr="007D0473">
        <w:rPr>
          <w:rFonts w:ascii="Arial" w:hAnsi="Arial"/>
          <w:sz w:val="22"/>
          <w:szCs w:val="22"/>
        </w:rPr>
        <w:t>phylogeny</w:t>
      </w:r>
      <w:r w:rsidR="00BF453C">
        <w:rPr>
          <w:rFonts w:ascii="Arial" w:hAnsi="Arial"/>
          <w:sz w:val="22"/>
          <w:szCs w:val="22"/>
        </w:rPr>
        <w:t xml:space="preserve"> tree</w:t>
      </w:r>
      <w:r w:rsidR="2A65E49F" w:rsidRPr="007D0473">
        <w:rPr>
          <w:rFonts w:ascii="Arial" w:hAnsi="Arial"/>
          <w:sz w:val="22"/>
          <w:szCs w:val="22"/>
        </w:rPr>
        <w:t xml:space="preserve"> </w:t>
      </w:r>
      <w:r w:rsidR="00BF453C">
        <w:rPr>
          <w:rFonts w:ascii="Arial" w:hAnsi="Arial"/>
          <w:sz w:val="22"/>
          <w:szCs w:val="22"/>
        </w:rPr>
        <w:t xml:space="preserve">showed three main clusters dominated by </w:t>
      </w:r>
      <w:r w:rsidRPr="007D0473">
        <w:rPr>
          <w:rFonts w:ascii="Arial" w:hAnsi="Arial"/>
          <w:sz w:val="22"/>
          <w:szCs w:val="22"/>
        </w:rPr>
        <w:t xml:space="preserve">serotype II ST28 isolates </w:t>
      </w:r>
      <w:r w:rsidR="2A65E49F" w:rsidRPr="007D0473">
        <w:rPr>
          <w:rFonts w:ascii="Arial" w:hAnsi="Arial"/>
          <w:sz w:val="22"/>
          <w:szCs w:val="22"/>
        </w:rPr>
        <w:t xml:space="preserve">forming a </w:t>
      </w:r>
      <w:r w:rsidR="00BF453C">
        <w:rPr>
          <w:rFonts w:ascii="Arial" w:hAnsi="Arial"/>
          <w:sz w:val="22"/>
          <w:szCs w:val="22"/>
        </w:rPr>
        <w:t xml:space="preserve">cluster together, some of the </w:t>
      </w:r>
      <w:r w:rsidR="001A28C3" w:rsidRPr="007D0473">
        <w:rPr>
          <w:rFonts w:ascii="Arial" w:hAnsi="Arial"/>
          <w:sz w:val="22"/>
          <w:szCs w:val="22"/>
        </w:rPr>
        <w:t xml:space="preserve">serotype </w:t>
      </w:r>
      <w:r w:rsidR="00BF453C">
        <w:rPr>
          <w:rFonts w:ascii="Arial" w:hAnsi="Arial"/>
          <w:sz w:val="22"/>
          <w:szCs w:val="22"/>
        </w:rPr>
        <w:t xml:space="preserve">III ST 19 isolates were separated in different clusters, with serotype </w:t>
      </w:r>
      <w:r w:rsidR="2A65E49F" w:rsidRPr="007D0473">
        <w:rPr>
          <w:rFonts w:ascii="Arial" w:hAnsi="Arial"/>
          <w:sz w:val="22"/>
          <w:szCs w:val="22"/>
        </w:rPr>
        <w:t>V ST19 isolates</w:t>
      </w:r>
      <w:r w:rsidR="001A28C3" w:rsidRPr="007D0473">
        <w:rPr>
          <w:rFonts w:ascii="Arial" w:hAnsi="Arial"/>
          <w:sz w:val="22"/>
          <w:szCs w:val="22"/>
        </w:rPr>
        <w:t xml:space="preserve"> </w:t>
      </w:r>
      <w:r w:rsidR="00BF453C">
        <w:rPr>
          <w:rFonts w:ascii="Arial" w:hAnsi="Arial"/>
          <w:sz w:val="22"/>
          <w:szCs w:val="22"/>
        </w:rPr>
        <w:t xml:space="preserve">clustering closer with serotype III ST19 isolates, PHEGBS0372 and PHEGBS0359 </w:t>
      </w:r>
      <w:r w:rsidRPr="007D0473">
        <w:rPr>
          <w:rFonts w:ascii="Arial" w:hAnsi="Arial"/>
          <w:sz w:val="22"/>
          <w:szCs w:val="22"/>
        </w:rPr>
        <w:t>(</w:t>
      </w:r>
      <w:r w:rsidRPr="007D0473">
        <w:rPr>
          <w:rFonts w:ascii="Arial" w:hAnsi="Arial"/>
          <w:b/>
          <w:bCs/>
          <w:sz w:val="22"/>
          <w:szCs w:val="22"/>
        </w:rPr>
        <w:t>Figure 3d</w:t>
      </w:r>
      <w:r w:rsidRPr="007D0473">
        <w:rPr>
          <w:rFonts w:ascii="Arial" w:hAnsi="Arial"/>
          <w:sz w:val="22"/>
          <w:szCs w:val="22"/>
        </w:rPr>
        <w:t xml:space="preserve">). </w:t>
      </w:r>
      <w:r w:rsidR="00453FA3">
        <w:rPr>
          <w:rFonts w:ascii="Arial" w:hAnsi="Arial"/>
          <w:sz w:val="22"/>
          <w:szCs w:val="22"/>
        </w:rPr>
        <w:t xml:space="preserve">Presence of tetracycline resistance </w:t>
      </w:r>
      <w:r w:rsidR="00453FA3">
        <w:rPr>
          <w:rFonts w:ascii="Arial" w:hAnsi="Arial"/>
          <w:sz w:val="22"/>
          <w:szCs w:val="22"/>
        </w:rPr>
        <w:lastRenderedPageBreak/>
        <w:t>genes were almost universal (</w:t>
      </w:r>
      <w:proofErr w:type="spellStart"/>
      <w:r w:rsidR="00143307" w:rsidRPr="002120DB">
        <w:rPr>
          <w:rFonts w:ascii="Arial" w:hAnsi="Arial"/>
          <w:i/>
          <w:iCs/>
          <w:sz w:val="22"/>
          <w:szCs w:val="22"/>
        </w:rPr>
        <w:t>tetM</w:t>
      </w:r>
      <w:proofErr w:type="spellEnd"/>
      <w:r w:rsidR="00143307">
        <w:rPr>
          <w:rFonts w:ascii="Arial" w:hAnsi="Arial"/>
          <w:sz w:val="22"/>
          <w:szCs w:val="22"/>
        </w:rPr>
        <w:t xml:space="preserve"> was carried by twenty-four and </w:t>
      </w:r>
      <w:proofErr w:type="spellStart"/>
      <w:r w:rsidR="00143307" w:rsidRPr="002120DB">
        <w:rPr>
          <w:rFonts w:ascii="Arial" w:hAnsi="Arial"/>
          <w:i/>
          <w:iCs/>
          <w:sz w:val="22"/>
          <w:szCs w:val="22"/>
        </w:rPr>
        <w:t>tetO</w:t>
      </w:r>
      <w:proofErr w:type="spellEnd"/>
      <w:r w:rsidR="00143307">
        <w:rPr>
          <w:rFonts w:ascii="Arial" w:hAnsi="Arial"/>
          <w:i/>
          <w:iCs/>
          <w:sz w:val="22"/>
          <w:szCs w:val="22"/>
        </w:rPr>
        <w:t xml:space="preserve"> </w:t>
      </w:r>
      <w:r w:rsidR="00143307">
        <w:rPr>
          <w:rFonts w:ascii="Arial" w:hAnsi="Arial"/>
          <w:sz w:val="22"/>
          <w:szCs w:val="22"/>
        </w:rPr>
        <w:t>gene was carried by five isolates</w:t>
      </w:r>
      <w:r w:rsidR="00453FA3">
        <w:rPr>
          <w:rFonts w:ascii="Arial" w:hAnsi="Arial"/>
          <w:sz w:val="22"/>
          <w:szCs w:val="22"/>
        </w:rPr>
        <w:t>)</w:t>
      </w:r>
      <w:r w:rsidR="00143307">
        <w:rPr>
          <w:rFonts w:ascii="Arial" w:hAnsi="Arial"/>
          <w:sz w:val="22"/>
          <w:szCs w:val="22"/>
        </w:rPr>
        <w:t>.</w:t>
      </w:r>
      <w:r w:rsidR="005D1BBD">
        <w:rPr>
          <w:rFonts w:ascii="Arial" w:hAnsi="Arial"/>
          <w:sz w:val="22"/>
          <w:szCs w:val="22"/>
        </w:rPr>
        <w:t xml:space="preserve"> Eleven isolates additionally had macrolide resistance genes: </w:t>
      </w:r>
      <w:proofErr w:type="spellStart"/>
      <w:r w:rsidR="005D1BBD" w:rsidRPr="002120DB">
        <w:rPr>
          <w:rFonts w:ascii="Arial" w:hAnsi="Arial"/>
          <w:i/>
          <w:iCs/>
          <w:sz w:val="22"/>
          <w:szCs w:val="22"/>
        </w:rPr>
        <w:t>ermA</w:t>
      </w:r>
      <w:proofErr w:type="spellEnd"/>
      <w:r w:rsidR="005D1BBD">
        <w:rPr>
          <w:rFonts w:ascii="Arial" w:hAnsi="Arial"/>
          <w:sz w:val="22"/>
          <w:szCs w:val="22"/>
        </w:rPr>
        <w:t xml:space="preserve"> (n=3/33), </w:t>
      </w:r>
      <w:proofErr w:type="spellStart"/>
      <w:r w:rsidR="005D1BBD" w:rsidRPr="002120DB">
        <w:rPr>
          <w:rFonts w:ascii="Arial" w:hAnsi="Arial"/>
          <w:i/>
          <w:iCs/>
          <w:sz w:val="22"/>
          <w:szCs w:val="22"/>
        </w:rPr>
        <w:t>ermB</w:t>
      </w:r>
      <w:proofErr w:type="spellEnd"/>
      <w:r w:rsidR="005D1BBD">
        <w:rPr>
          <w:rFonts w:ascii="Arial" w:hAnsi="Arial"/>
          <w:sz w:val="22"/>
          <w:szCs w:val="22"/>
        </w:rPr>
        <w:t xml:space="preserve"> (n=6/33), </w:t>
      </w:r>
      <w:proofErr w:type="spellStart"/>
      <w:r w:rsidR="005D1BBD" w:rsidRPr="002120DB">
        <w:rPr>
          <w:rFonts w:ascii="Arial" w:hAnsi="Arial"/>
          <w:i/>
          <w:iCs/>
          <w:sz w:val="22"/>
          <w:szCs w:val="22"/>
        </w:rPr>
        <w:t>mefA</w:t>
      </w:r>
      <w:r w:rsidR="005D1BBD">
        <w:rPr>
          <w:rFonts w:ascii="Arial" w:hAnsi="Arial"/>
          <w:sz w:val="22"/>
          <w:szCs w:val="22"/>
        </w:rPr>
        <w:t>+</w:t>
      </w:r>
      <w:r w:rsidR="005D1BBD" w:rsidRPr="002120DB">
        <w:rPr>
          <w:rFonts w:ascii="Arial" w:hAnsi="Arial"/>
          <w:i/>
          <w:iCs/>
          <w:sz w:val="22"/>
          <w:szCs w:val="22"/>
        </w:rPr>
        <w:t>msrD</w:t>
      </w:r>
      <w:proofErr w:type="spellEnd"/>
      <w:r w:rsidR="005D1BBD">
        <w:rPr>
          <w:rFonts w:ascii="Arial" w:hAnsi="Arial"/>
          <w:sz w:val="22"/>
          <w:szCs w:val="22"/>
        </w:rPr>
        <w:t xml:space="preserve"> (n=3/33), </w:t>
      </w:r>
      <w:proofErr w:type="spellStart"/>
      <w:r w:rsidR="005D1BBD" w:rsidRPr="002120DB">
        <w:rPr>
          <w:rFonts w:ascii="Arial" w:hAnsi="Arial"/>
          <w:i/>
          <w:iCs/>
          <w:sz w:val="22"/>
          <w:szCs w:val="22"/>
        </w:rPr>
        <w:t>l</w:t>
      </w:r>
      <w:r w:rsidR="00453FA3" w:rsidRPr="002120DB">
        <w:rPr>
          <w:rFonts w:ascii="Arial" w:hAnsi="Arial"/>
          <w:i/>
          <w:iCs/>
          <w:sz w:val="22"/>
          <w:szCs w:val="22"/>
        </w:rPr>
        <w:t>nu</w:t>
      </w:r>
      <w:r w:rsidR="005D1BBD" w:rsidRPr="002120DB">
        <w:rPr>
          <w:rFonts w:ascii="Arial" w:hAnsi="Arial"/>
          <w:i/>
          <w:iCs/>
          <w:sz w:val="22"/>
          <w:szCs w:val="22"/>
        </w:rPr>
        <w:t>C</w:t>
      </w:r>
      <w:proofErr w:type="spellEnd"/>
      <w:r w:rsidR="005D1BBD">
        <w:rPr>
          <w:rFonts w:ascii="Arial" w:hAnsi="Arial"/>
          <w:sz w:val="22"/>
          <w:szCs w:val="22"/>
        </w:rPr>
        <w:t xml:space="preserve"> (n=1/33) and </w:t>
      </w:r>
      <w:proofErr w:type="spellStart"/>
      <w:r w:rsidR="005D1BBD" w:rsidRPr="002120DB">
        <w:rPr>
          <w:rFonts w:ascii="Arial" w:hAnsi="Arial"/>
          <w:i/>
          <w:iCs/>
          <w:sz w:val="22"/>
          <w:szCs w:val="22"/>
        </w:rPr>
        <w:t>lsaC</w:t>
      </w:r>
      <w:proofErr w:type="spellEnd"/>
      <w:r w:rsidR="005D1BBD">
        <w:rPr>
          <w:rFonts w:ascii="Arial" w:hAnsi="Arial"/>
          <w:sz w:val="22"/>
          <w:szCs w:val="22"/>
        </w:rPr>
        <w:t xml:space="preserve"> (n=4/33), five of these had more than one macrolide resistance gene present (</w:t>
      </w:r>
      <w:r w:rsidR="005D1BBD" w:rsidRPr="002120DB">
        <w:rPr>
          <w:rFonts w:ascii="Arial" w:hAnsi="Arial"/>
          <w:b/>
          <w:bCs/>
          <w:sz w:val="22"/>
          <w:szCs w:val="22"/>
        </w:rPr>
        <w:t>Figure 3d</w:t>
      </w:r>
      <w:r w:rsidR="005D1BBD">
        <w:rPr>
          <w:rFonts w:ascii="Arial" w:hAnsi="Arial"/>
          <w:sz w:val="22"/>
          <w:szCs w:val="22"/>
        </w:rPr>
        <w:t xml:space="preserve">). </w:t>
      </w:r>
      <w:r w:rsidR="00A80C9A">
        <w:rPr>
          <w:rFonts w:ascii="Arial" w:hAnsi="Arial"/>
          <w:sz w:val="22"/>
          <w:szCs w:val="22"/>
        </w:rPr>
        <w:t xml:space="preserve">Three isolates </w:t>
      </w:r>
      <w:r w:rsidR="00453FA3">
        <w:rPr>
          <w:rFonts w:ascii="Arial" w:hAnsi="Arial"/>
          <w:sz w:val="22"/>
          <w:szCs w:val="22"/>
        </w:rPr>
        <w:t xml:space="preserve">also </w:t>
      </w:r>
      <w:r w:rsidR="00A80C9A">
        <w:rPr>
          <w:rFonts w:ascii="Arial" w:hAnsi="Arial"/>
          <w:sz w:val="22"/>
          <w:szCs w:val="22"/>
        </w:rPr>
        <w:t xml:space="preserve">had </w:t>
      </w:r>
      <w:r w:rsidR="00453FA3">
        <w:rPr>
          <w:rFonts w:ascii="Arial" w:hAnsi="Arial"/>
          <w:sz w:val="22"/>
          <w:szCs w:val="22"/>
        </w:rPr>
        <w:t xml:space="preserve">additional </w:t>
      </w:r>
      <w:r w:rsidR="00A80C9A">
        <w:rPr>
          <w:rFonts w:ascii="Arial" w:hAnsi="Arial"/>
          <w:sz w:val="22"/>
          <w:szCs w:val="22"/>
        </w:rPr>
        <w:t xml:space="preserve">aminoglycoside resistance genes </w:t>
      </w:r>
      <w:proofErr w:type="spellStart"/>
      <w:r w:rsidR="007E17B1" w:rsidRPr="00134B64">
        <w:rPr>
          <w:rFonts w:ascii="Arial" w:hAnsi="Arial"/>
          <w:i/>
          <w:iCs/>
          <w:sz w:val="22"/>
          <w:szCs w:val="22"/>
        </w:rPr>
        <w:t>aph</w:t>
      </w:r>
      <w:proofErr w:type="spellEnd"/>
      <w:r w:rsidR="007E17B1" w:rsidRPr="00134B64">
        <w:rPr>
          <w:rFonts w:ascii="Arial" w:hAnsi="Arial"/>
          <w:i/>
          <w:iCs/>
          <w:sz w:val="22"/>
          <w:szCs w:val="22"/>
        </w:rPr>
        <w:t>(3’-III)</w:t>
      </w:r>
      <w:r w:rsidR="007E17B1">
        <w:rPr>
          <w:rFonts w:ascii="Arial" w:hAnsi="Arial"/>
          <w:sz w:val="22"/>
          <w:szCs w:val="22"/>
        </w:rPr>
        <w:t xml:space="preserve"> and </w:t>
      </w:r>
      <w:r w:rsidR="007E17B1" w:rsidRPr="00134B64">
        <w:rPr>
          <w:rFonts w:ascii="Arial" w:hAnsi="Arial"/>
          <w:i/>
          <w:iCs/>
          <w:sz w:val="22"/>
          <w:szCs w:val="22"/>
        </w:rPr>
        <w:t>ant(6-Ia)</w:t>
      </w:r>
      <w:r w:rsidR="007E17B1">
        <w:rPr>
          <w:rFonts w:ascii="Arial" w:hAnsi="Arial"/>
          <w:i/>
          <w:iCs/>
          <w:sz w:val="22"/>
          <w:szCs w:val="22"/>
        </w:rPr>
        <w:t xml:space="preserve"> </w:t>
      </w:r>
      <w:r w:rsidR="007E17B1" w:rsidRPr="002120DB">
        <w:rPr>
          <w:rFonts w:ascii="Arial" w:hAnsi="Arial"/>
          <w:sz w:val="22"/>
          <w:szCs w:val="22"/>
        </w:rPr>
        <w:t>carried by two isolate</w:t>
      </w:r>
      <w:r w:rsidR="007E17B1">
        <w:rPr>
          <w:rFonts w:ascii="Arial" w:hAnsi="Arial"/>
          <w:sz w:val="22"/>
          <w:szCs w:val="22"/>
        </w:rPr>
        <w:t xml:space="preserve">s, one serotype III ST19 and one serotype V ST19, and another isolate serotype V ST19 carried </w:t>
      </w:r>
      <w:proofErr w:type="spellStart"/>
      <w:r w:rsidR="007E17B1" w:rsidRPr="002120DB">
        <w:rPr>
          <w:rFonts w:ascii="Arial" w:hAnsi="Arial"/>
          <w:i/>
          <w:iCs/>
          <w:sz w:val="22"/>
          <w:szCs w:val="22"/>
        </w:rPr>
        <w:t>aac</w:t>
      </w:r>
      <w:proofErr w:type="spellEnd"/>
      <w:r w:rsidR="007E17B1" w:rsidRPr="002120DB">
        <w:rPr>
          <w:rFonts w:ascii="Arial" w:hAnsi="Arial"/>
          <w:i/>
          <w:iCs/>
          <w:sz w:val="22"/>
          <w:szCs w:val="22"/>
        </w:rPr>
        <w:t>(6’)-</w:t>
      </w:r>
      <w:proofErr w:type="spellStart"/>
      <w:proofErr w:type="gramStart"/>
      <w:r w:rsidR="007E17B1" w:rsidRPr="002120DB">
        <w:rPr>
          <w:rFonts w:ascii="Arial" w:hAnsi="Arial"/>
          <w:i/>
          <w:iCs/>
          <w:sz w:val="22"/>
          <w:szCs w:val="22"/>
        </w:rPr>
        <w:t>aph</w:t>
      </w:r>
      <w:proofErr w:type="spellEnd"/>
      <w:r w:rsidR="007E17B1" w:rsidRPr="002120DB">
        <w:rPr>
          <w:rFonts w:ascii="Arial" w:hAnsi="Arial"/>
          <w:i/>
          <w:iCs/>
          <w:sz w:val="22"/>
          <w:szCs w:val="22"/>
        </w:rPr>
        <w:t>(</w:t>
      </w:r>
      <w:proofErr w:type="gramEnd"/>
      <w:r w:rsidR="007E17B1" w:rsidRPr="002120DB">
        <w:rPr>
          <w:rFonts w:ascii="Arial" w:hAnsi="Arial"/>
          <w:i/>
          <w:iCs/>
          <w:sz w:val="22"/>
          <w:szCs w:val="22"/>
        </w:rPr>
        <w:t>2”)</w:t>
      </w:r>
      <w:r w:rsidR="007E17B1">
        <w:rPr>
          <w:rFonts w:ascii="Arial" w:hAnsi="Arial"/>
          <w:sz w:val="22"/>
          <w:szCs w:val="22"/>
        </w:rPr>
        <w:t xml:space="preserve"> gene (</w:t>
      </w:r>
      <w:r w:rsidR="007E17B1" w:rsidRPr="002120DB">
        <w:rPr>
          <w:rFonts w:ascii="Arial" w:hAnsi="Arial"/>
          <w:b/>
          <w:bCs/>
          <w:sz w:val="22"/>
          <w:szCs w:val="22"/>
        </w:rPr>
        <w:t>Figure 3d</w:t>
      </w:r>
      <w:r w:rsidR="007E17B1">
        <w:rPr>
          <w:rFonts w:ascii="Arial" w:hAnsi="Arial"/>
          <w:sz w:val="22"/>
          <w:szCs w:val="22"/>
        </w:rPr>
        <w:t xml:space="preserve">). </w:t>
      </w:r>
      <w:r w:rsidRPr="007D0473">
        <w:rPr>
          <w:rFonts w:ascii="Arial" w:hAnsi="Arial"/>
          <w:sz w:val="22"/>
          <w:szCs w:val="22"/>
        </w:rPr>
        <w:t xml:space="preserve">This was the </w:t>
      </w:r>
      <w:r w:rsidR="001A28C3" w:rsidRPr="007D0473">
        <w:rPr>
          <w:rFonts w:ascii="Arial" w:hAnsi="Arial"/>
          <w:sz w:val="22"/>
          <w:szCs w:val="22"/>
        </w:rPr>
        <w:t xml:space="preserve">only </w:t>
      </w:r>
      <w:r w:rsidR="77B1C957" w:rsidRPr="007D0473">
        <w:rPr>
          <w:rFonts w:ascii="Arial" w:hAnsi="Arial"/>
          <w:sz w:val="22"/>
          <w:szCs w:val="22"/>
        </w:rPr>
        <w:t xml:space="preserve">clonal complex in the study to </w:t>
      </w:r>
      <w:r w:rsidRPr="007D0473">
        <w:rPr>
          <w:rFonts w:ascii="Arial" w:hAnsi="Arial"/>
          <w:sz w:val="22"/>
          <w:szCs w:val="22"/>
        </w:rPr>
        <w:t xml:space="preserve">contain </w:t>
      </w:r>
      <w:r w:rsidR="77B1C957" w:rsidRPr="007D0473">
        <w:rPr>
          <w:rFonts w:ascii="Arial" w:hAnsi="Arial"/>
          <w:sz w:val="22"/>
          <w:szCs w:val="22"/>
        </w:rPr>
        <w:t xml:space="preserve">isolates carrying </w:t>
      </w:r>
      <w:r w:rsidRPr="007D0473">
        <w:rPr>
          <w:rFonts w:ascii="Arial" w:hAnsi="Arial"/>
          <w:sz w:val="22"/>
          <w:szCs w:val="22"/>
        </w:rPr>
        <w:t xml:space="preserve">chloramphenicol resistance genes (n=3 </w:t>
      </w:r>
      <w:proofErr w:type="spellStart"/>
      <w:r w:rsidRPr="007D0473">
        <w:rPr>
          <w:rFonts w:ascii="Arial" w:hAnsi="Arial"/>
          <w:i/>
          <w:iCs/>
          <w:sz w:val="22"/>
          <w:szCs w:val="22"/>
        </w:rPr>
        <w:t>cat</w:t>
      </w:r>
      <w:r w:rsidRPr="007D0473">
        <w:rPr>
          <w:rFonts w:ascii="Arial" w:hAnsi="Arial"/>
          <w:sz w:val="22"/>
          <w:szCs w:val="22"/>
        </w:rPr>
        <w:t>Q</w:t>
      </w:r>
      <w:proofErr w:type="spellEnd"/>
      <w:r w:rsidRPr="007D0473">
        <w:rPr>
          <w:rFonts w:ascii="Arial" w:hAnsi="Arial"/>
          <w:sz w:val="22"/>
          <w:szCs w:val="22"/>
        </w:rPr>
        <w:t xml:space="preserve">, n=1 </w:t>
      </w:r>
      <w:r w:rsidRPr="007D0473">
        <w:rPr>
          <w:rFonts w:ascii="Arial" w:hAnsi="Arial"/>
          <w:i/>
          <w:iCs/>
          <w:sz w:val="22"/>
          <w:szCs w:val="22"/>
        </w:rPr>
        <w:t>cat</w:t>
      </w:r>
      <w:r w:rsidRPr="007D0473">
        <w:rPr>
          <w:rFonts w:ascii="Arial" w:hAnsi="Arial"/>
          <w:sz w:val="22"/>
          <w:szCs w:val="22"/>
        </w:rPr>
        <w:t>(pC194))</w:t>
      </w:r>
      <w:r w:rsidR="77B1C957" w:rsidRPr="007D0473">
        <w:rPr>
          <w:rFonts w:ascii="Arial" w:hAnsi="Arial"/>
          <w:sz w:val="22"/>
          <w:szCs w:val="22"/>
        </w:rPr>
        <w:t>, which were found in seroty</w:t>
      </w:r>
      <w:r w:rsidRPr="007D0473">
        <w:rPr>
          <w:rFonts w:ascii="Arial" w:hAnsi="Arial"/>
          <w:sz w:val="22"/>
          <w:szCs w:val="22"/>
        </w:rPr>
        <w:t xml:space="preserve">pe V </w:t>
      </w:r>
      <w:r w:rsidR="77B1C957" w:rsidRPr="007D0473">
        <w:rPr>
          <w:rFonts w:ascii="Arial" w:hAnsi="Arial"/>
          <w:sz w:val="22"/>
          <w:szCs w:val="22"/>
        </w:rPr>
        <w:t>(n=3)</w:t>
      </w:r>
      <w:r w:rsidR="008E3B6A" w:rsidRPr="007D0473">
        <w:rPr>
          <w:rFonts w:ascii="Arial" w:hAnsi="Arial"/>
          <w:sz w:val="22"/>
          <w:szCs w:val="22"/>
        </w:rPr>
        <w:t xml:space="preserve"> ST19 </w:t>
      </w:r>
      <w:r w:rsidRPr="007D0473">
        <w:rPr>
          <w:rFonts w:ascii="Arial" w:hAnsi="Arial"/>
          <w:sz w:val="22"/>
          <w:szCs w:val="22"/>
        </w:rPr>
        <w:t>and III</w:t>
      </w:r>
      <w:r w:rsidR="77B1C957" w:rsidRPr="007D0473">
        <w:rPr>
          <w:rFonts w:ascii="Arial" w:hAnsi="Arial"/>
          <w:sz w:val="22"/>
          <w:szCs w:val="22"/>
        </w:rPr>
        <w:t xml:space="preserve"> (n=1)</w:t>
      </w:r>
      <w:r w:rsidRPr="007D0473">
        <w:rPr>
          <w:rFonts w:ascii="Arial" w:hAnsi="Arial"/>
          <w:sz w:val="22"/>
          <w:szCs w:val="22"/>
        </w:rPr>
        <w:t xml:space="preserve"> </w:t>
      </w:r>
      <w:r w:rsidR="001A28C3" w:rsidRPr="007D0473">
        <w:rPr>
          <w:rFonts w:ascii="Arial" w:hAnsi="Arial"/>
          <w:sz w:val="22"/>
          <w:szCs w:val="22"/>
        </w:rPr>
        <w:t xml:space="preserve">ST1316 </w:t>
      </w:r>
      <w:r w:rsidRPr="007D0473">
        <w:rPr>
          <w:rFonts w:ascii="Arial" w:hAnsi="Arial"/>
          <w:sz w:val="22"/>
          <w:szCs w:val="22"/>
        </w:rPr>
        <w:t>isolates</w:t>
      </w:r>
      <w:r w:rsidR="34CF1AA5" w:rsidRPr="007D0473">
        <w:rPr>
          <w:rFonts w:ascii="Arial" w:hAnsi="Arial"/>
          <w:sz w:val="22"/>
          <w:szCs w:val="22"/>
        </w:rPr>
        <w:t xml:space="preserve"> </w:t>
      </w:r>
      <w:r w:rsidRPr="007D0473">
        <w:rPr>
          <w:rFonts w:ascii="Arial" w:hAnsi="Arial"/>
          <w:sz w:val="22"/>
          <w:szCs w:val="22"/>
        </w:rPr>
        <w:t>(</w:t>
      </w:r>
      <w:r w:rsidRPr="007D0473">
        <w:rPr>
          <w:rFonts w:ascii="Arial" w:hAnsi="Arial"/>
          <w:b/>
          <w:bCs/>
          <w:sz w:val="22"/>
          <w:szCs w:val="22"/>
        </w:rPr>
        <w:t>Figure 3d</w:t>
      </w:r>
      <w:r w:rsidRPr="007D0473">
        <w:rPr>
          <w:rFonts w:ascii="Arial" w:hAnsi="Arial"/>
          <w:sz w:val="22"/>
          <w:szCs w:val="22"/>
        </w:rPr>
        <w:t>).</w:t>
      </w:r>
      <w:r w:rsidR="2D41E609" w:rsidRPr="007D0473">
        <w:rPr>
          <w:rFonts w:ascii="Arial" w:hAnsi="Arial"/>
          <w:sz w:val="22"/>
          <w:szCs w:val="22"/>
        </w:rPr>
        <w:t xml:space="preserve"> </w:t>
      </w:r>
    </w:p>
    <w:p w14:paraId="1BA6A9BE" w14:textId="77777777" w:rsidR="00C91937" w:rsidRDefault="00C91937" w:rsidP="00DB7C46">
      <w:pPr>
        <w:spacing w:before="120" w:after="120" w:line="480" w:lineRule="auto"/>
        <w:rPr>
          <w:rFonts w:ascii="Arial" w:hAnsi="Arial"/>
          <w:sz w:val="22"/>
          <w:szCs w:val="22"/>
        </w:rPr>
      </w:pPr>
    </w:p>
    <w:p w14:paraId="18E5EE1F" w14:textId="1C499474" w:rsidR="00AE4FEF" w:rsidRPr="007D0473" w:rsidRDefault="2D41E609" w:rsidP="00DB7C46">
      <w:pPr>
        <w:spacing w:before="120" w:after="120" w:line="480" w:lineRule="auto"/>
        <w:rPr>
          <w:rFonts w:ascii="Arial" w:hAnsi="Arial"/>
          <w:sz w:val="22"/>
          <w:szCs w:val="22"/>
        </w:rPr>
      </w:pPr>
      <w:r w:rsidRPr="002120DB">
        <w:rPr>
          <w:rFonts w:ascii="Arial" w:hAnsi="Arial"/>
          <w:sz w:val="22"/>
          <w:szCs w:val="22"/>
        </w:rPr>
        <w:t>Phylogenetic analysis</w:t>
      </w:r>
      <w:r w:rsidRPr="007D0473">
        <w:rPr>
          <w:rFonts w:ascii="Arial" w:hAnsi="Arial"/>
          <w:sz w:val="22"/>
          <w:szCs w:val="22"/>
        </w:rPr>
        <w:t xml:space="preserve"> </w:t>
      </w:r>
      <w:r w:rsidR="002628CE" w:rsidRPr="002120DB">
        <w:rPr>
          <w:rFonts w:ascii="Arial" w:hAnsi="Arial"/>
          <w:sz w:val="22"/>
          <w:szCs w:val="22"/>
        </w:rPr>
        <w:t>of CC17 (n=</w:t>
      </w:r>
      <w:r w:rsidR="00E304CF" w:rsidRPr="002120DB">
        <w:rPr>
          <w:rFonts w:ascii="Arial" w:hAnsi="Arial"/>
          <w:sz w:val="22"/>
          <w:szCs w:val="22"/>
        </w:rPr>
        <w:t>32</w:t>
      </w:r>
      <w:r w:rsidR="002628CE" w:rsidRPr="002120DB">
        <w:rPr>
          <w:rFonts w:ascii="Arial" w:hAnsi="Arial"/>
          <w:sz w:val="22"/>
          <w:szCs w:val="22"/>
        </w:rPr>
        <w:t>)</w:t>
      </w:r>
      <w:r w:rsidR="002628CE" w:rsidRPr="007D0473">
        <w:rPr>
          <w:rFonts w:ascii="Arial" w:hAnsi="Arial"/>
          <w:sz w:val="22"/>
          <w:szCs w:val="22"/>
        </w:rPr>
        <w:t xml:space="preserve"> </w:t>
      </w:r>
      <w:r w:rsidRPr="007D0473">
        <w:rPr>
          <w:rFonts w:ascii="Arial" w:hAnsi="Arial"/>
          <w:sz w:val="22"/>
          <w:szCs w:val="22"/>
        </w:rPr>
        <w:t xml:space="preserve">indicated </w:t>
      </w:r>
      <w:r w:rsidR="19BE88B0" w:rsidRPr="007D0473">
        <w:rPr>
          <w:rFonts w:ascii="Arial" w:hAnsi="Arial"/>
          <w:sz w:val="22"/>
          <w:szCs w:val="22"/>
        </w:rPr>
        <w:t xml:space="preserve">an intermix of the single locus variants (SLVs) of ST17, within </w:t>
      </w:r>
      <w:r w:rsidRPr="007D0473">
        <w:rPr>
          <w:rFonts w:ascii="Arial" w:hAnsi="Arial"/>
          <w:sz w:val="22"/>
          <w:szCs w:val="22"/>
        </w:rPr>
        <w:t>th</w:t>
      </w:r>
      <w:r w:rsidR="1477D9AF" w:rsidRPr="007D0473">
        <w:rPr>
          <w:rFonts w:ascii="Arial" w:hAnsi="Arial"/>
          <w:sz w:val="22"/>
          <w:szCs w:val="22"/>
        </w:rPr>
        <w:t xml:space="preserve">e </w:t>
      </w:r>
      <w:r w:rsidRPr="007D0473">
        <w:rPr>
          <w:rFonts w:ascii="Arial" w:hAnsi="Arial"/>
          <w:sz w:val="22"/>
          <w:szCs w:val="22"/>
        </w:rPr>
        <w:t>serotype III ST17 isolates (</w:t>
      </w:r>
      <w:r w:rsidRPr="007D0473">
        <w:rPr>
          <w:rFonts w:ascii="Arial" w:hAnsi="Arial"/>
          <w:b/>
          <w:bCs/>
          <w:sz w:val="22"/>
          <w:szCs w:val="22"/>
        </w:rPr>
        <w:t xml:space="preserve">Figure </w:t>
      </w:r>
      <w:r w:rsidR="51680A7F" w:rsidRPr="007D0473">
        <w:rPr>
          <w:rFonts w:ascii="Arial" w:hAnsi="Arial"/>
          <w:b/>
          <w:bCs/>
          <w:sz w:val="22"/>
          <w:szCs w:val="22"/>
        </w:rPr>
        <w:t>3e</w:t>
      </w:r>
      <w:r w:rsidRPr="007D0473">
        <w:rPr>
          <w:rFonts w:ascii="Arial" w:hAnsi="Arial"/>
          <w:sz w:val="22"/>
          <w:szCs w:val="22"/>
        </w:rPr>
        <w:t>). Isolate ST1351 (a novel ST assigned in this study) was a serotype IV strain, not the expected serotype III</w:t>
      </w:r>
      <w:r w:rsidR="1B66D5C2" w:rsidRPr="007D0473">
        <w:rPr>
          <w:rFonts w:ascii="Arial" w:hAnsi="Arial"/>
          <w:sz w:val="22"/>
          <w:szCs w:val="22"/>
        </w:rPr>
        <w:t>, which</w:t>
      </w:r>
      <w:r w:rsidR="6271B876" w:rsidRPr="007D0473">
        <w:rPr>
          <w:rFonts w:ascii="Arial" w:hAnsi="Arial"/>
          <w:sz w:val="22"/>
          <w:szCs w:val="22"/>
        </w:rPr>
        <w:t xml:space="preserve"> is </w:t>
      </w:r>
      <w:r w:rsidR="1B66D5C2" w:rsidRPr="007D0473">
        <w:rPr>
          <w:rFonts w:ascii="Arial" w:hAnsi="Arial"/>
          <w:sz w:val="22"/>
          <w:szCs w:val="22"/>
        </w:rPr>
        <w:t>domina</w:t>
      </w:r>
      <w:r w:rsidR="2113A446" w:rsidRPr="007D0473">
        <w:rPr>
          <w:rFonts w:ascii="Arial" w:hAnsi="Arial"/>
          <w:sz w:val="22"/>
          <w:szCs w:val="22"/>
        </w:rPr>
        <w:t>nt</w:t>
      </w:r>
      <w:r w:rsidR="4E0D25B5" w:rsidRPr="007D0473">
        <w:rPr>
          <w:rFonts w:ascii="Arial" w:hAnsi="Arial"/>
          <w:sz w:val="22"/>
          <w:szCs w:val="22"/>
        </w:rPr>
        <w:t xml:space="preserve"> </w:t>
      </w:r>
      <w:r w:rsidR="1B66D5C2" w:rsidRPr="007D0473">
        <w:rPr>
          <w:rFonts w:ascii="Arial" w:hAnsi="Arial"/>
          <w:sz w:val="22"/>
          <w:szCs w:val="22"/>
        </w:rPr>
        <w:t>in</w:t>
      </w:r>
      <w:r w:rsidRPr="007D0473">
        <w:rPr>
          <w:rFonts w:ascii="Arial" w:hAnsi="Arial"/>
          <w:sz w:val="22"/>
          <w:szCs w:val="22"/>
        </w:rPr>
        <w:t xml:space="preserve"> CC17</w:t>
      </w:r>
      <w:r w:rsidR="1B66D5C2" w:rsidRPr="007D0473">
        <w:rPr>
          <w:rFonts w:ascii="Arial" w:hAnsi="Arial"/>
          <w:sz w:val="22"/>
          <w:szCs w:val="22"/>
        </w:rPr>
        <w:t>,</w:t>
      </w:r>
      <w:r w:rsidRPr="007D0473">
        <w:rPr>
          <w:rFonts w:ascii="Arial" w:hAnsi="Arial"/>
          <w:sz w:val="22"/>
          <w:szCs w:val="22"/>
        </w:rPr>
        <w:t xml:space="preserve"> and additionally carried the </w:t>
      </w:r>
      <w:proofErr w:type="spellStart"/>
      <w:r w:rsidRPr="007D0473">
        <w:rPr>
          <w:rFonts w:ascii="Arial" w:hAnsi="Arial"/>
          <w:i/>
          <w:iCs/>
          <w:sz w:val="22"/>
          <w:szCs w:val="22"/>
        </w:rPr>
        <w:t>hvgA</w:t>
      </w:r>
      <w:proofErr w:type="spellEnd"/>
      <w:r w:rsidRPr="007D0473">
        <w:rPr>
          <w:rFonts w:ascii="Arial" w:hAnsi="Arial"/>
          <w:sz w:val="22"/>
          <w:szCs w:val="22"/>
        </w:rPr>
        <w:t xml:space="preserve"> hypervirulence gene</w:t>
      </w:r>
      <w:r w:rsidR="51680A7F" w:rsidRPr="007D0473">
        <w:rPr>
          <w:rFonts w:ascii="Arial" w:hAnsi="Arial"/>
          <w:sz w:val="22"/>
          <w:szCs w:val="22"/>
        </w:rPr>
        <w:t xml:space="preserve">, but </w:t>
      </w:r>
      <w:r w:rsidR="5EE12CD6" w:rsidRPr="007D0473">
        <w:rPr>
          <w:rFonts w:ascii="Arial" w:hAnsi="Arial"/>
          <w:sz w:val="22"/>
          <w:szCs w:val="22"/>
        </w:rPr>
        <w:t xml:space="preserve">similar </w:t>
      </w:r>
      <w:r w:rsidR="51680A7F" w:rsidRPr="007D0473">
        <w:rPr>
          <w:rFonts w:ascii="Arial" w:hAnsi="Arial"/>
          <w:sz w:val="22"/>
          <w:szCs w:val="22"/>
        </w:rPr>
        <w:t>non-serotype II</w:t>
      </w:r>
      <w:r w:rsidR="20153687" w:rsidRPr="007D0473">
        <w:rPr>
          <w:rFonts w:ascii="Arial" w:hAnsi="Arial"/>
          <w:sz w:val="22"/>
          <w:szCs w:val="22"/>
        </w:rPr>
        <w:t>I</w:t>
      </w:r>
      <w:r w:rsidR="51680A7F" w:rsidRPr="007D0473">
        <w:rPr>
          <w:rFonts w:ascii="Arial" w:hAnsi="Arial"/>
          <w:sz w:val="22"/>
          <w:szCs w:val="22"/>
        </w:rPr>
        <w:t xml:space="preserve"> members of CC17 have been previously reported </w:t>
      </w:r>
      <w:r w:rsidR="003D72CE" w:rsidRPr="007D0473">
        <w:rPr>
          <w:rFonts w:ascii="Arial" w:hAnsi="Arial"/>
          <w:sz w:val="22"/>
          <w:szCs w:val="22"/>
        </w:rPr>
        <w:fldChar w:fldCharType="begin" w:fldLock="1"/>
      </w:r>
      <w:r w:rsidR="001D09F3">
        <w:rPr>
          <w:rFonts w:ascii="Arial" w:hAnsi="Arial"/>
          <w:sz w:val="22"/>
          <w:szCs w:val="22"/>
        </w:rPr>
        <w:instrText>ADDIN CSL_CITATION {"citationItems":[{"id":"ITEM-1","itemData":{"DOI":"10.1128/JCM.03554-13","ISSN":"1098660X","abstract":"We determined the capsular polysaccharide (CPS) type of 600 group B Streptococcus (GBS) (also known as Streptococcus agalactiae) strains recovered from patients with invasive infections in the greater Toronto area, Canada, between 2009 and 2012. GBS strains of CPS type III were the most prevalent among infants (44% in those with early-onset disease, 75% in those with lateonset disease), while type V strains were most frequently isolated from adult patients (26% in patients ≥19 years old). We next investigated the presence in our collection of GBS strains belonging to the hypervirulent multilocus sequence typing clonal complex 17 (CC17). We used a PCR test described as specific for the detection of CC17 strains, which targets the gene encoding the major virulence factor HvgA. We identified 91 hvgA-positive strains; of these, 88 were CPS type III, 2 were CPS type IV, and 1 was CPS type V. Using whole-genome sequencing, we showed that the two hvgA-positive CPS type IV strains are CC17 strains which underwent capsular switching. However, sequence analysis revealed that the hvgA-positive CPS type V strain does not belong to CC17 but instead is a bona fide CC1 strain which acquired hvgA, probably by recombination from a CC17 donor. Our findings underline the importance of recombination in GBS pathogenesis and caution against the use of single-gene-based PCR tests to detect CC17 GBS strains. Copyright © 2014, American Society for Microbiology. All Rights Reserved.","author":[{"dropping-particle":"","family":"Teatero","given":"Sarah","non-dropping-particle":"","parse-names":false,"suffix":""},{"dropping-particle":"","family":"McGeer","given":"Allison","non-dropping-particle":"","parse-names":false,"suffix":""},{"dropping-particle":"","family":"Low","given":"Donald E.","non-dropping-particle":"","parse-names":false,"suffix":""},{"dropping-particle":"","family":"Li","given":"Aimin","non-dropping-particle":"","parse-names":false,"suffix":""},{"dropping-particle":"","family":"Demczuk","given":"Walter","non-dropping-particle":"","parse-names":false,"suffix":""},{"dropping-particle":"","family":"Martin","given":"Irene","non-dropping-particle":"","parse-names":false,"suffix":""},{"dropping-particle":"","family":"Fittipaldia","given":"Nahuel","non-dropping-particle":"","parse-names":false,"suffix":""}],"container-title":"Journal of Clinical Microbiology","id":"ITEM-1","issue":"5","issued":{"date-parts":[["2014"]]},"title":"Characterization of invasive group B Streptococcus strains from the greater Toronto area, Canada","type":"article-journal","volume":"52"},"uris":["http://www.mendeley.com/documents/?uuid=52374ce9-1640-3f9e-aa20-701f8330f149"]},{"id":"ITEM-2","itemData":{"ISSN":"1560-7917 (Electronic)","PMID":"24957747","abstract":"This study presents the serotype distribution and the antibiotic resistance profile of 953 colonising group B Streptococcus (GBS) recovered from women of child bearing age (15 to 49 years) between 2005 and 2012 in the Lisbon and Tagus Valley region, Portugal. Overall, serotypes Ia, II, III, and V were the most common, accounting 752 of the 953 isolates (about 80%). However, there were changes in GBS distribution, in particular in the two last years of the study. Of note, the proportion of serotype IV isolates increased from 1% (2/148) in 2006 to 20% (19/97) in 2012. Also, considerable proportions of serotype IV isolates from 2010 to 2012 were respectively resistant to erythromycin (9/43; 21%) or clindamycin (6/43; 14%). The identification of nine serotype IV isolates presenting a novel association with the clonal complex (CC) 17 lineage, involving a putative capsular switch, may accentuate their virulence potential and ecological success. Molecular analysis of this subgroup of isolates revealed the presence of rib, IS (insertion sequence) 861 and GBSi1 group II intron within the C5a peptidase gene (scpB) - laminin-binding protein gene (lmb) region, reflecting high clonality and a putative common origin. A close surveillance of the emergent type IV/CC17 isolates is crucial considering the potential impact over GBS treatment guidelines and capsular vaccine development.","author":[{"dropping-particle":"","family":"Florindo","given":"C","non-dropping-particle":"","parse-names":false,"suffix":""},{"dropping-particle":"","family":"Damiao","given":"V","non-dropping-particle":"","parse-names":false,"suffix":""},{"dropping-particle":"","family":"Silvestre","given":"I","non-dropping-particle":"","parse-names":false,"suffix":""},{"dropping-particle":"","family":"Farinha","given":"C","non-dropping-particle":"","parse-names":false,"suffix":""},{"dropping-particle":"","family":"Rodrigues","given":"F","non-dropping-particle":"","parse-names":false,"suffix":""},{"dropping-particle":"","family":"Nogueira","given":"F","non-dropping-particle":"","parse-names":false,"suffix":""},{"dropping-particle":"","family":"Martins-Pereira","given":"F","non-dropping-particle":"","parse-names":false,"suffix":""},{"dropping-particle":"","family":"Castro","given":"R","non-dropping-particle":"","parse-names":false,"suffix":""},{"dropping-particle":"","family":"Borrego","given":"M J","non-dropping-particle":"","parse-names":false,"suffix":""},{"dropping-particle":"","family":"Santos-Sanches","given":"I","non-dropping-particle":"","parse-names":false,"suffix":""}],"container-title":"Euro surveillance : bulletin Europeen sur les maladies transmissibles = European communicable disease bulletin","id":"ITEM-2","issue":"23","issued":{"date-parts":[["2014","6"]]},"title":"Epidemiological surveillance of colonising group B Streptococcus epidemiology in the Lisbon and Tagus Valley regions, Portugal (2005 to 2012): emergence of a new epidemic type IV/clonal complex 17 clone.","type":"article-journal","volume":"19"},"uris":["http://www.mendeley.com/documents/?uuid=10c409e2-c92e-4b8d-93ac-e2135056ff03"]},{"id":"ITEM-3","itemData":{"DOI":"10.1093/cid/ciaa151","ISSN":"1058-4838","abstract":"BACKGROUND Group B Streptococcus (GBS) is a leading cause of neonatal sepsis and meningitis and an important cause of invasive infections in pregnant and nonpregnant adults. Vaccines targeting capsule polysaccharides and common proteins are under development. METHODS Using whole genome sequencing (WGS), a validated bioinformatics pipeline, and targeted antimicrobial susceptibility testing, we characterized 6,340 invasive GBS recovered during 2015-2017 through population-based Active Bacterial Core surveillance (ABCs) in eight states. RESULTS Six serotypes accounted for 98.4% of isolates (21.8% Ia, 17.6% V, 17.1% II, 15.6% III, 14.5% Ib, 11.8% IV). Most (94.2%) isolates were in eleven clonal complexes (CCs) comprised of multilocus sequence types (MLSTs) identical or closely related to STs 1, 8, 12, 17, 19, 22, 23, 28, 88, 452 and 459. Fifty-four isolates (0.87%) had point mutations within pbp2x associated with non-susceptibility to one or more β-lactam antibiotics. Genes conferring resistance to macrolides and/or lincosamides were found in 56% of isolates; 85.2% of isolates had tetracycline resistance genes. Two isolates carrying vanG were vancomycin-nonsusceptible (MIC 2µg/ml). Nearly all isolates possessed capsule genes, 1-2 of the three main pilus gene clusters, and one of four homologous Alpha/Rib family determinants. Presence of hvgA virulence gene was primarily restricted to serotype III/CC17 isolates (465 isolates), but 8 exceptions (7 IV/CC452 and 1 IV/CC17) were observed. CONCLUSIONS This first comprehensive, population-based quantitation of strain features in the United States suggests current vaccine candidates should have good coverage. Beta-lactams remain appropriate for first line treatment and prophylaxis, but emergence of nonsusceptibility warrants ongoing monitoring.","author":[{"dropping-particle":"","family":"McGee","given":"Lesley","non-dropping-particle":"","parse-names":false,"suffix":""},{"dropping-particle":"","family":"Chochua","given":"Sopio","non-dropping-particle":"","parse-names":false,"suffix":""},{"dropping-particle":"","family":"Li","given":"Zhongya","non-dropping-particle":"","parse-names":false,"suffix":""},{"dropping-particle":"","family":"Mathis","given":"Saundra","non-dropping-particle":"","parse-names":false,"suffix":""},{"dropping-particle":"","family":"Rivers","given":"Joy","non-dropping-particle":"","parse-names":false,"suffix":""},{"dropping-particle":"","family":"Metcalf","given":"Benjamin","non-dropping-particle":"","parse-names":false,"suffix":""},{"dropping-particle":"","family":"Ryan","given":"Alison","non-dropping-particle":"","parse-names":false,"suffix":""},{"dropping-particle":"","family":"Alden","given":"Nisha","non-dropping-particle":"","parse-names":false,"suffix":""},{"dropping-particle":"","family":"Farley","given":"Monica M","non-dropping-particle":"","parse-names":false,"suffix":""},{"dropping-particle":"","family":"Harrison","given":"Lee H","non-dropping-particle":"","parse-names":false,"suffix":""},{"dropping-particle":"","family":"Snippes Vagnone","given":"Paula","non-dropping-particle":"","parse-names":false,"suffix":""},{"dropping-particle":"","family":"Lynfield","given":"Ruth","non-dropping-particle":"","parse-names":false,"suffix":""},{"dropping-particle":"","family":"Smelser","given":"Chad","non-dropping-particle":"","parse-names":false,"suffix":""},{"dropping-particle":"","family":"Muse","given":"Alison","non-dropping-particle":"","parse-names":false,"suffix":""},{"dropping-particle":"","family":"Thomas","given":"Ann R","non-dropping-particle":"","parse-names":false,"suffix":""},{"dropping-particle":"","family":"Schrag","given":"Stephanie","non-dropping-particle":"","parse-names":false,"suffix":""},{"dropping-particle":"","family":"Beall","given":"Bernard W","non-dropping-particle":"","parse-names":false,"suffix":""}],"container-title":"Clinical Infectious Diseases","id":"ITEM-3","issued":{"date-parts":[["2020"]]},"title":"Multistate, Population-Based Distributions of Candidate Vaccine Targets, Clonal Complexes, and Resistance Features of Invasive Group B Streptococci Within the United States, 2015–2017","type":"article-journal"},"uris":["http://www.mendeley.com/documents/?uuid=ff17cb77-bae5-3fb3-ab3f-0d9348940ef8"]}],"mendeley":{"formattedCitation":"[15,32,39]","plainTextFormattedCitation":"[15,32,39]","previouslyFormattedCitation":"[15,32,39]"},"properties":{"noteIndex":0},"schema":"https://github.com/citation-style-language/schema/raw/master/csl-citation.json"}</w:instrText>
      </w:r>
      <w:r w:rsidR="003D72CE" w:rsidRPr="007D0473">
        <w:rPr>
          <w:rFonts w:ascii="Arial" w:hAnsi="Arial"/>
          <w:sz w:val="22"/>
          <w:szCs w:val="22"/>
        </w:rPr>
        <w:fldChar w:fldCharType="separate"/>
      </w:r>
      <w:r w:rsidR="001D09F3" w:rsidRPr="001D09F3">
        <w:rPr>
          <w:rFonts w:ascii="Arial" w:hAnsi="Arial"/>
          <w:noProof/>
          <w:sz w:val="22"/>
          <w:szCs w:val="22"/>
        </w:rPr>
        <w:t>[15,32,39]</w:t>
      </w:r>
      <w:r w:rsidR="003D72CE" w:rsidRPr="007D0473">
        <w:rPr>
          <w:rFonts w:ascii="Arial" w:hAnsi="Arial"/>
          <w:sz w:val="22"/>
          <w:szCs w:val="22"/>
        </w:rPr>
        <w:fldChar w:fldCharType="end"/>
      </w:r>
      <w:r w:rsidRPr="007D0473">
        <w:rPr>
          <w:rFonts w:ascii="Arial" w:hAnsi="Arial"/>
          <w:sz w:val="22"/>
          <w:szCs w:val="22"/>
        </w:rPr>
        <w:t xml:space="preserve">. All isolates </w:t>
      </w:r>
      <w:r w:rsidR="56A73953" w:rsidRPr="007D0473">
        <w:rPr>
          <w:rFonts w:ascii="Arial" w:hAnsi="Arial"/>
          <w:sz w:val="22"/>
          <w:szCs w:val="22"/>
        </w:rPr>
        <w:t xml:space="preserve">of CC17 </w:t>
      </w:r>
      <w:r w:rsidRPr="007D0473">
        <w:rPr>
          <w:rFonts w:ascii="Arial" w:hAnsi="Arial"/>
          <w:sz w:val="22"/>
          <w:szCs w:val="22"/>
        </w:rPr>
        <w:t xml:space="preserve">carried the </w:t>
      </w:r>
      <w:proofErr w:type="spellStart"/>
      <w:r w:rsidRPr="007D0473">
        <w:rPr>
          <w:rFonts w:ascii="Arial" w:hAnsi="Arial"/>
          <w:i/>
          <w:iCs/>
          <w:sz w:val="22"/>
          <w:szCs w:val="22"/>
        </w:rPr>
        <w:t>tet</w:t>
      </w:r>
      <w:r w:rsidRPr="007D0473">
        <w:rPr>
          <w:rFonts w:ascii="Arial" w:hAnsi="Arial"/>
          <w:sz w:val="22"/>
          <w:szCs w:val="22"/>
        </w:rPr>
        <w:t>M</w:t>
      </w:r>
      <w:proofErr w:type="spellEnd"/>
      <w:r w:rsidRPr="007D0473">
        <w:rPr>
          <w:rFonts w:ascii="Arial" w:hAnsi="Arial"/>
          <w:sz w:val="22"/>
          <w:szCs w:val="22"/>
        </w:rPr>
        <w:t xml:space="preserve"> gene (except for three PHEGBS0207, PHEGBS0288 and PHEGBS0577 that carried the </w:t>
      </w:r>
      <w:proofErr w:type="spellStart"/>
      <w:r w:rsidRPr="007D0473">
        <w:rPr>
          <w:rFonts w:ascii="Arial" w:hAnsi="Arial"/>
          <w:i/>
          <w:iCs/>
          <w:sz w:val="22"/>
          <w:szCs w:val="22"/>
        </w:rPr>
        <w:t>tet</w:t>
      </w:r>
      <w:r w:rsidRPr="007D0473">
        <w:rPr>
          <w:rFonts w:ascii="Arial" w:hAnsi="Arial"/>
          <w:sz w:val="22"/>
          <w:szCs w:val="22"/>
        </w:rPr>
        <w:t>O</w:t>
      </w:r>
      <w:proofErr w:type="spellEnd"/>
      <w:r w:rsidRPr="007D0473">
        <w:rPr>
          <w:rFonts w:ascii="Arial" w:hAnsi="Arial"/>
          <w:sz w:val="22"/>
          <w:szCs w:val="22"/>
        </w:rPr>
        <w:t xml:space="preserve"> gene instead), with </w:t>
      </w:r>
      <w:r w:rsidR="00A9248E">
        <w:rPr>
          <w:rFonts w:ascii="Arial" w:hAnsi="Arial"/>
          <w:sz w:val="22"/>
          <w:szCs w:val="22"/>
        </w:rPr>
        <w:t>five</w:t>
      </w:r>
      <w:r w:rsidR="00A9248E" w:rsidRPr="007D0473">
        <w:rPr>
          <w:rFonts w:ascii="Arial" w:hAnsi="Arial"/>
          <w:sz w:val="22"/>
          <w:szCs w:val="22"/>
        </w:rPr>
        <w:t xml:space="preserve"> </w:t>
      </w:r>
      <w:r w:rsidRPr="007D0473">
        <w:rPr>
          <w:rFonts w:ascii="Arial" w:hAnsi="Arial"/>
          <w:sz w:val="22"/>
          <w:szCs w:val="22"/>
        </w:rPr>
        <w:t>isolates carrying resistance genes that confer resistance to macrolides</w:t>
      </w:r>
      <w:r w:rsidR="00A9248E">
        <w:rPr>
          <w:rFonts w:ascii="Arial" w:hAnsi="Arial"/>
          <w:sz w:val="22"/>
          <w:szCs w:val="22"/>
        </w:rPr>
        <w:t xml:space="preserve"> (one isolate carried </w:t>
      </w:r>
      <w:proofErr w:type="spellStart"/>
      <w:r w:rsidR="00A9248E" w:rsidRPr="002120DB">
        <w:rPr>
          <w:rFonts w:ascii="Arial" w:hAnsi="Arial"/>
          <w:i/>
          <w:iCs/>
          <w:sz w:val="22"/>
          <w:szCs w:val="22"/>
        </w:rPr>
        <w:t>ermA</w:t>
      </w:r>
      <w:proofErr w:type="spellEnd"/>
      <w:r w:rsidR="00A9248E">
        <w:rPr>
          <w:rFonts w:ascii="Arial" w:hAnsi="Arial"/>
          <w:sz w:val="22"/>
          <w:szCs w:val="22"/>
        </w:rPr>
        <w:t xml:space="preserve"> gene, two isolates carried </w:t>
      </w:r>
      <w:proofErr w:type="spellStart"/>
      <w:r w:rsidR="00A9248E" w:rsidRPr="002120DB">
        <w:rPr>
          <w:rFonts w:ascii="Arial" w:hAnsi="Arial"/>
          <w:i/>
          <w:iCs/>
          <w:sz w:val="22"/>
          <w:szCs w:val="22"/>
        </w:rPr>
        <w:t>ermB</w:t>
      </w:r>
      <w:proofErr w:type="spellEnd"/>
      <w:r w:rsidR="00A9248E">
        <w:rPr>
          <w:rFonts w:ascii="Arial" w:hAnsi="Arial"/>
          <w:sz w:val="22"/>
          <w:szCs w:val="22"/>
        </w:rPr>
        <w:t xml:space="preserve"> gene and two isolates had both </w:t>
      </w:r>
      <w:proofErr w:type="spellStart"/>
      <w:r w:rsidR="00A9248E" w:rsidRPr="002120DB">
        <w:rPr>
          <w:rFonts w:ascii="Arial" w:hAnsi="Arial"/>
          <w:i/>
          <w:iCs/>
          <w:sz w:val="22"/>
          <w:szCs w:val="22"/>
        </w:rPr>
        <w:t>ermB</w:t>
      </w:r>
      <w:proofErr w:type="spellEnd"/>
      <w:r w:rsidR="00A9248E">
        <w:rPr>
          <w:rFonts w:ascii="Arial" w:hAnsi="Arial"/>
          <w:sz w:val="22"/>
          <w:szCs w:val="22"/>
        </w:rPr>
        <w:t xml:space="preserve"> and </w:t>
      </w:r>
      <w:proofErr w:type="spellStart"/>
      <w:r w:rsidR="00A9248E" w:rsidRPr="002120DB">
        <w:rPr>
          <w:rFonts w:ascii="Arial" w:hAnsi="Arial"/>
          <w:i/>
          <w:iCs/>
          <w:sz w:val="22"/>
          <w:szCs w:val="22"/>
        </w:rPr>
        <w:t>mefA+msrD</w:t>
      </w:r>
      <w:proofErr w:type="spellEnd"/>
      <w:r w:rsidR="00A9248E">
        <w:rPr>
          <w:rFonts w:ascii="Arial" w:hAnsi="Arial"/>
          <w:sz w:val="22"/>
          <w:szCs w:val="22"/>
        </w:rPr>
        <w:t xml:space="preserve"> genes). </w:t>
      </w:r>
      <w:r w:rsidR="00CC1CCC">
        <w:rPr>
          <w:rFonts w:ascii="Arial" w:hAnsi="Arial"/>
          <w:sz w:val="22"/>
          <w:szCs w:val="22"/>
        </w:rPr>
        <w:t xml:space="preserve">Four isolates had genes conferring resistance to </w:t>
      </w:r>
      <w:r w:rsidRPr="007D0473">
        <w:rPr>
          <w:rFonts w:ascii="Arial" w:hAnsi="Arial"/>
          <w:sz w:val="22"/>
          <w:szCs w:val="22"/>
        </w:rPr>
        <w:t>aminoglycosides</w:t>
      </w:r>
      <w:r w:rsidR="00CC1CCC">
        <w:rPr>
          <w:rFonts w:ascii="Arial" w:hAnsi="Arial"/>
          <w:sz w:val="22"/>
          <w:szCs w:val="22"/>
        </w:rPr>
        <w:t xml:space="preserve"> (</w:t>
      </w:r>
      <w:proofErr w:type="spellStart"/>
      <w:r w:rsidR="00CC1CCC" w:rsidRPr="002120DB">
        <w:rPr>
          <w:rFonts w:ascii="Arial" w:hAnsi="Arial"/>
          <w:i/>
          <w:iCs/>
          <w:sz w:val="22"/>
          <w:szCs w:val="22"/>
        </w:rPr>
        <w:t>aadE</w:t>
      </w:r>
      <w:proofErr w:type="spellEnd"/>
      <w:r w:rsidR="00CC1CCC">
        <w:rPr>
          <w:rFonts w:ascii="Arial" w:hAnsi="Arial"/>
          <w:sz w:val="22"/>
          <w:szCs w:val="22"/>
        </w:rPr>
        <w:t>,</w:t>
      </w:r>
      <w:r w:rsidR="00CC1CCC" w:rsidRPr="00CC1CCC">
        <w:rPr>
          <w:rFonts w:ascii="Arial" w:hAnsi="Arial"/>
          <w:i/>
          <w:iCs/>
          <w:sz w:val="22"/>
          <w:szCs w:val="22"/>
        </w:rPr>
        <w:t xml:space="preserve"> </w:t>
      </w:r>
      <w:proofErr w:type="spellStart"/>
      <w:r w:rsidR="00CC1CCC" w:rsidRPr="00134B64">
        <w:rPr>
          <w:rFonts w:ascii="Arial" w:hAnsi="Arial"/>
          <w:i/>
          <w:iCs/>
          <w:sz w:val="22"/>
          <w:szCs w:val="22"/>
        </w:rPr>
        <w:t>aph</w:t>
      </w:r>
      <w:proofErr w:type="spellEnd"/>
      <w:r w:rsidR="00CC1CCC" w:rsidRPr="00134B64">
        <w:rPr>
          <w:rFonts w:ascii="Arial" w:hAnsi="Arial"/>
          <w:i/>
          <w:iCs/>
          <w:sz w:val="22"/>
          <w:szCs w:val="22"/>
        </w:rPr>
        <w:t>(3’-III)</w:t>
      </w:r>
      <w:r w:rsidR="00CC1CCC">
        <w:rPr>
          <w:rFonts w:ascii="Arial" w:hAnsi="Arial"/>
          <w:sz w:val="22"/>
          <w:szCs w:val="22"/>
        </w:rPr>
        <w:t xml:space="preserve"> and </w:t>
      </w:r>
      <w:r w:rsidR="00CC1CCC" w:rsidRPr="00134B64">
        <w:rPr>
          <w:rFonts w:ascii="Arial" w:hAnsi="Arial"/>
          <w:i/>
          <w:iCs/>
          <w:sz w:val="22"/>
          <w:szCs w:val="22"/>
        </w:rPr>
        <w:t>ant(6-Ia)</w:t>
      </w:r>
      <w:r w:rsidR="00CC1CCC">
        <w:rPr>
          <w:rFonts w:ascii="Arial" w:hAnsi="Arial"/>
          <w:i/>
          <w:iCs/>
          <w:sz w:val="22"/>
          <w:szCs w:val="22"/>
        </w:rPr>
        <w:t>)</w:t>
      </w:r>
      <w:r w:rsidRPr="007D0473">
        <w:rPr>
          <w:rFonts w:ascii="Arial" w:hAnsi="Arial"/>
          <w:sz w:val="22"/>
          <w:szCs w:val="22"/>
        </w:rPr>
        <w:t>, in addition to tetracycline</w:t>
      </w:r>
      <w:r w:rsidR="00CC1CCC">
        <w:rPr>
          <w:rFonts w:ascii="Arial" w:hAnsi="Arial"/>
          <w:sz w:val="22"/>
          <w:szCs w:val="22"/>
        </w:rPr>
        <w:t xml:space="preserve"> and macrolide resistance genes</w:t>
      </w:r>
      <w:r w:rsidRPr="007D0473">
        <w:rPr>
          <w:rFonts w:ascii="Arial" w:hAnsi="Arial"/>
          <w:sz w:val="22"/>
          <w:szCs w:val="22"/>
        </w:rPr>
        <w:t xml:space="preserve"> (</w:t>
      </w:r>
      <w:r w:rsidRPr="007D0473">
        <w:rPr>
          <w:rFonts w:ascii="Arial" w:hAnsi="Arial"/>
          <w:b/>
          <w:bCs/>
          <w:sz w:val="22"/>
          <w:szCs w:val="22"/>
        </w:rPr>
        <w:t xml:space="preserve">Figure </w:t>
      </w:r>
      <w:r w:rsidR="183DD373" w:rsidRPr="007D0473">
        <w:rPr>
          <w:rFonts w:ascii="Arial" w:hAnsi="Arial"/>
          <w:b/>
          <w:bCs/>
          <w:sz w:val="22"/>
          <w:szCs w:val="22"/>
        </w:rPr>
        <w:t>3e</w:t>
      </w:r>
      <w:r w:rsidRPr="007D0473">
        <w:rPr>
          <w:rFonts w:ascii="Arial" w:hAnsi="Arial"/>
          <w:sz w:val="22"/>
          <w:szCs w:val="22"/>
        </w:rPr>
        <w:t xml:space="preserve">). </w:t>
      </w:r>
      <w:r w:rsidR="1290D4C5" w:rsidRPr="007D0473">
        <w:rPr>
          <w:rFonts w:ascii="Arial" w:hAnsi="Arial"/>
          <w:sz w:val="22"/>
          <w:szCs w:val="22"/>
        </w:rPr>
        <w:t>Overall, n</w:t>
      </w:r>
      <w:r w:rsidRPr="007D0473">
        <w:rPr>
          <w:rFonts w:ascii="Arial" w:hAnsi="Arial"/>
          <w:sz w:val="22"/>
          <w:szCs w:val="22"/>
        </w:rPr>
        <w:t xml:space="preserve">one of the other CCs had specific </w:t>
      </w:r>
      <w:r w:rsidR="7482A55F" w:rsidRPr="007D0473">
        <w:rPr>
          <w:rFonts w:ascii="Arial" w:hAnsi="Arial"/>
          <w:sz w:val="22"/>
          <w:szCs w:val="22"/>
        </w:rPr>
        <w:t>clustering observed in isolates based on geographical origin, patient age group or antimicrobial profile.</w:t>
      </w:r>
      <w:r w:rsidR="5644977D" w:rsidRPr="007D0473">
        <w:rPr>
          <w:rFonts w:ascii="Arial" w:hAnsi="Arial"/>
          <w:sz w:val="22"/>
          <w:szCs w:val="22"/>
        </w:rPr>
        <w:t xml:space="preserve"> </w:t>
      </w:r>
    </w:p>
    <w:p w14:paraId="47ECD076" w14:textId="77777777" w:rsidR="00571191" w:rsidRPr="007D0473" w:rsidRDefault="00571191" w:rsidP="00DB7C46">
      <w:pPr>
        <w:spacing w:before="120" w:after="120" w:line="480" w:lineRule="auto"/>
        <w:rPr>
          <w:rFonts w:ascii="Arial" w:hAnsi="Arial"/>
          <w:sz w:val="22"/>
          <w:szCs w:val="22"/>
        </w:rPr>
      </w:pPr>
    </w:p>
    <w:p w14:paraId="6306175B" w14:textId="77777777" w:rsidR="00571191" w:rsidRPr="007D0473" w:rsidRDefault="00571191" w:rsidP="00DB7C46">
      <w:pPr>
        <w:spacing w:before="120" w:after="120" w:line="480" w:lineRule="auto"/>
        <w:rPr>
          <w:rFonts w:ascii="Arial" w:hAnsi="Arial"/>
          <w:sz w:val="22"/>
          <w:szCs w:val="22"/>
        </w:rPr>
      </w:pPr>
    </w:p>
    <w:p w14:paraId="7BBAEBC0" w14:textId="7BE7226E" w:rsidR="00163E06" w:rsidRPr="007D0473" w:rsidRDefault="00571191" w:rsidP="00DB7C46">
      <w:pPr>
        <w:spacing w:before="120" w:after="120" w:line="480" w:lineRule="auto"/>
        <w:rPr>
          <w:rFonts w:ascii="Arial" w:hAnsi="Arial"/>
          <w:b/>
          <w:sz w:val="22"/>
          <w:szCs w:val="22"/>
        </w:rPr>
      </w:pPr>
      <w:r w:rsidRPr="007D0473">
        <w:rPr>
          <w:rFonts w:ascii="Arial" w:hAnsi="Arial"/>
          <w:b/>
          <w:sz w:val="22"/>
          <w:szCs w:val="22"/>
        </w:rPr>
        <w:t xml:space="preserve">Recombination events </w:t>
      </w:r>
      <w:r w:rsidR="00616482" w:rsidRPr="007D0473">
        <w:rPr>
          <w:rFonts w:ascii="Arial" w:hAnsi="Arial"/>
          <w:b/>
          <w:sz w:val="22"/>
          <w:szCs w:val="22"/>
        </w:rPr>
        <w:t xml:space="preserve">detected </w:t>
      </w:r>
      <w:r w:rsidRPr="007D0473">
        <w:rPr>
          <w:rFonts w:ascii="Arial" w:hAnsi="Arial"/>
          <w:b/>
          <w:sz w:val="22"/>
          <w:szCs w:val="22"/>
        </w:rPr>
        <w:t>un</w:t>
      </w:r>
      <w:r w:rsidR="00616482" w:rsidRPr="007D0473">
        <w:rPr>
          <w:rFonts w:ascii="Arial" w:hAnsi="Arial"/>
          <w:b/>
          <w:sz w:val="22"/>
          <w:szCs w:val="22"/>
        </w:rPr>
        <w:t xml:space="preserve">common </w:t>
      </w:r>
      <w:r w:rsidRPr="007D0473">
        <w:rPr>
          <w:rFonts w:ascii="Arial" w:hAnsi="Arial"/>
          <w:b/>
          <w:sz w:val="22"/>
          <w:szCs w:val="22"/>
        </w:rPr>
        <w:t xml:space="preserve">serotype </w:t>
      </w:r>
      <w:r w:rsidR="00616482" w:rsidRPr="007D0473">
        <w:rPr>
          <w:rFonts w:ascii="Arial" w:hAnsi="Arial"/>
          <w:b/>
          <w:sz w:val="22"/>
          <w:szCs w:val="22"/>
        </w:rPr>
        <w:t xml:space="preserve">within specific genotype </w:t>
      </w:r>
    </w:p>
    <w:p w14:paraId="4CF321F4" w14:textId="36C5AEEB" w:rsidR="00073EB3" w:rsidRPr="007D0473" w:rsidRDefault="4135FD87" w:rsidP="00DB7C46">
      <w:pPr>
        <w:spacing w:before="120" w:after="120" w:line="480" w:lineRule="auto"/>
        <w:rPr>
          <w:rFonts w:ascii="Arial" w:hAnsi="Arial"/>
          <w:sz w:val="22"/>
          <w:szCs w:val="22"/>
        </w:rPr>
      </w:pPr>
      <w:r w:rsidRPr="007D0473">
        <w:rPr>
          <w:rFonts w:ascii="Arial" w:hAnsi="Arial"/>
          <w:sz w:val="22"/>
          <w:szCs w:val="22"/>
        </w:rPr>
        <w:lastRenderedPageBreak/>
        <w:t xml:space="preserve">Among </w:t>
      </w:r>
      <w:r w:rsidR="3EC44255" w:rsidRPr="007D0473">
        <w:rPr>
          <w:rFonts w:ascii="Arial" w:hAnsi="Arial"/>
          <w:sz w:val="22"/>
          <w:szCs w:val="22"/>
        </w:rPr>
        <w:t>this</w:t>
      </w:r>
      <w:r w:rsidRPr="007D0473">
        <w:rPr>
          <w:rFonts w:ascii="Arial" w:hAnsi="Arial"/>
          <w:sz w:val="22"/>
          <w:szCs w:val="22"/>
        </w:rPr>
        <w:t xml:space="preserve"> collection </w:t>
      </w:r>
      <w:r w:rsidR="5056B1B0" w:rsidRPr="007D0473">
        <w:rPr>
          <w:rFonts w:ascii="Arial" w:hAnsi="Arial"/>
          <w:sz w:val="22"/>
          <w:szCs w:val="22"/>
        </w:rPr>
        <w:t>serotypes were associated with specific CCs</w:t>
      </w:r>
      <w:r w:rsidR="79EA4E8B" w:rsidRPr="007D0473">
        <w:rPr>
          <w:rFonts w:ascii="Arial" w:hAnsi="Arial"/>
          <w:sz w:val="22"/>
          <w:szCs w:val="22"/>
        </w:rPr>
        <w:t>,</w:t>
      </w:r>
      <w:r w:rsidR="5056B1B0" w:rsidRPr="007D0473">
        <w:rPr>
          <w:rFonts w:ascii="Arial" w:hAnsi="Arial"/>
          <w:sz w:val="22"/>
          <w:szCs w:val="22"/>
        </w:rPr>
        <w:t xml:space="preserve"> as expected (</w:t>
      </w:r>
      <w:r w:rsidR="3AD3D321" w:rsidRPr="007D0473">
        <w:rPr>
          <w:rFonts w:ascii="Arial" w:hAnsi="Arial"/>
          <w:b/>
          <w:bCs/>
          <w:sz w:val="22"/>
          <w:szCs w:val="22"/>
        </w:rPr>
        <w:t>Figure 2, Table S2</w:t>
      </w:r>
      <w:r w:rsidR="5056B1B0" w:rsidRPr="007D0473">
        <w:rPr>
          <w:rFonts w:ascii="Arial" w:hAnsi="Arial"/>
          <w:sz w:val="22"/>
          <w:szCs w:val="22"/>
        </w:rPr>
        <w:t xml:space="preserve">). </w:t>
      </w:r>
      <w:r w:rsidR="00F8D775" w:rsidRPr="007D0473">
        <w:rPr>
          <w:rFonts w:ascii="Arial" w:hAnsi="Arial"/>
          <w:sz w:val="22"/>
          <w:szCs w:val="22"/>
        </w:rPr>
        <w:t>However, several exceptions</w:t>
      </w:r>
      <w:r w:rsidR="05BD46FB" w:rsidRPr="007D0473">
        <w:rPr>
          <w:rFonts w:ascii="Arial" w:hAnsi="Arial"/>
          <w:sz w:val="22"/>
          <w:szCs w:val="22"/>
        </w:rPr>
        <w:t xml:space="preserve"> were notable</w:t>
      </w:r>
      <w:r w:rsidR="5EE12CD6" w:rsidRPr="007D0473">
        <w:rPr>
          <w:rFonts w:ascii="Arial" w:hAnsi="Arial"/>
          <w:sz w:val="22"/>
          <w:szCs w:val="22"/>
        </w:rPr>
        <w:t>,</w:t>
      </w:r>
      <w:r w:rsidR="00F8D775" w:rsidRPr="007D0473">
        <w:rPr>
          <w:rFonts w:ascii="Arial" w:hAnsi="Arial"/>
          <w:sz w:val="22"/>
          <w:szCs w:val="22"/>
        </w:rPr>
        <w:t xml:space="preserve"> w</w:t>
      </w:r>
      <w:r w:rsidR="5EE12CD6" w:rsidRPr="007D0473">
        <w:rPr>
          <w:rFonts w:ascii="Arial" w:hAnsi="Arial"/>
          <w:sz w:val="22"/>
          <w:szCs w:val="22"/>
        </w:rPr>
        <w:t>h</w:t>
      </w:r>
      <w:r w:rsidR="00F8D775" w:rsidRPr="007D0473">
        <w:rPr>
          <w:rFonts w:ascii="Arial" w:hAnsi="Arial"/>
          <w:sz w:val="22"/>
          <w:szCs w:val="22"/>
        </w:rPr>
        <w:t>ere closely related strains sharing</w:t>
      </w:r>
      <w:r w:rsidR="38C9E5CD" w:rsidRPr="007D0473">
        <w:rPr>
          <w:rFonts w:ascii="Arial" w:hAnsi="Arial"/>
          <w:sz w:val="22"/>
          <w:szCs w:val="22"/>
        </w:rPr>
        <w:t xml:space="preserve"> </w:t>
      </w:r>
      <w:r w:rsidR="00F8D775" w:rsidRPr="007D0473">
        <w:rPr>
          <w:rFonts w:ascii="Arial" w:hAnsi="Arial"/>
          <w:sz w:val="22"/>
          <w:szCs w:val="22"/>
        </w:rPr>
        <w:t>the same genotype were found to have a different capsular type</w:t>
      </w:r>
      <w:r w:rsidR="42E6358E" w:rsidRPr="007D0473">
        <w:rPr>
          <w:rFonts w:ascii="Arial" w:hAnsi="Arial"/>
          <w:sz w:val="22"/>
          <w:szCs w:val="22"/>
        </w:rPr>
        <w:t xml:space="preserve"> </w:t>
      </w:r>
      <w:r w:rsidR="314523EA" w:rsidRPr="007D0473">
        <w:rPr>
          <w:rFonts w:ascii="Arial" w:hAnsi="Arial"/>
          <w:sz w:val="22"/>
          <w:szCs w:val="22"/>
        </w:rPr>
        <w:t>(</w:t>
      </w:r>
      <w:r w:rsidR="00DA1615" w:rsidRPr="007D0473">
        <w:rPr>
          <w:rFonts w:ascii="Arial" w:hAnsi="Arial"/>
          <w:sz w:val="22"/>
          <w:szCs w:val="22"/>
        </w:rPr>
        <w:t>a</w:t>
      </w:r>
      <w:r w:rsidR="4E040301" w:rsidRPr="007D0473">
        <w:rPr>
          <w:rFonts w:ascii="Arial" w:hAnsi="Arial"/>
          <w:sz w:val="22"/>
          <w:szCs w:val="22"/>
        </w:rPr>
        <w:t xml:space="preserve">sterisks </w:t>
      </w:r>
      <w:r w:rsidR="1713407B" w:rsidRPr="007D0473">
        <w:rPr>
          <w:rFonts w:ascii="Arial" w:hAnsi="Arial"/>
          <w:sz w:val="22"/>
          <w:szCs w:val="22"/>
        </w:rPr>
        <w:t xml:space="preserve">in </w:t>
      </w:r>
      <w:r w:rsidR="1713407B" w:rsidRPr="007D0473">
        <w:rPr>
          <w:rFonts w:ascii="Arial" w:hAnsi="Arial"/>
          <w:b/>
          <w:bCs/>
          <w:sz w:val="22"/>
          <w:szCs w:val="22"/>
        </w:rPr>
        <w:t>Figure 3</w:t>
      </w:r>
      <w:r w:rsidR="314523EA" w:rsidRPr="007D0473">
        <w:rPr>
          <w:rFonts w:ascii="Arial" w:hAnsi="Arial"/>
          <w:sz w:val="22"/>
          <w:szCs w:val="22"/>
        </w:rPr>
        <w:t>)</w:t>
      </w:r>
      <w:r w:rsidR="42E6358E" w:rsidRPr="007D0473">
        <w:rPr>
          <w:rFonts w:ascii="Arial" w:hAnsi="Arial"/>
          <w:sz w:val="22"/>
          <w:szCs w:val="22"/>
        </w:rPr>
        <w:t xml:space="preserve">, </w:t>
      </w:r>
      <w:r w:rsidR="7142EDAA" w:rsidRPr="007D0473">
        <w:rPr>
          <w:rFonts w:ascii="Arial" w:hAnsi="Arial"/>
          <w:sz w:val="22"/>
          <w:szCs w:val="22"/>
        </w:rPr>
        <w:t>these combinations</w:t>
      </w:r>
      <w:r w:rsidR="42E6358E" w:rsidRPr="007D0473">
        <w:rPr>
          <w:rFonts w:ascii="Arial" w:hAnsi="Arial"/>
          <w:sz w:val="22"/>
          <w:szCs w:val="22"/>
        </w:rPr>
        <w:t xml:space="preserve"> have been</w:t>
      </w:r>
      <w:r w:rsidR="58C6BEED" w:rsidRPr="007D0473">
        <w:rPr>
          <w:rFonts w:ascii="Arial" w:hAnsi="Arial"/>
          <w:sz w:val="22"/>
          <w:szCs w:val="22"/>
        </w:rPr>
        <w:t xml:space="preserve"> documented</w:t>
      </w:r>
      <w:r w:rsidR="00D13F1F" w:rsidRPr="007D0473">
        <w:rPr>
          <w:rFonts w:ascii="Arial" w:hAnsi="Arial"/>
          <w:sz w:val="22"/>
          <w:szCs w:val="22"/>
        </w:rPr>
        <w:t xml:space="preserve"> </w:t>
      </w:r>
      <w:r w:rsidR="007C5A6A" w:rsidRPr="007D0473">
        <w:rPr>
          <w:rFonts w:ascii="Arial" w:hAnsi="Arial"/>
          <w:sz w:val="22"/>
          <w:szCs w:val="22"/>
        </w:rPr>
        <w:fldChar w:fldCharType="begin" w:fldLock="1"/>
      </w:r>
      <w:r w:rsidR="00B31BD8">
        <w:rPr>
          <w:rFonts w:ascii="Arial" w:hAnsi="Arial"/>
          <w:sz w:val="22"/>
          <w:szCs w:val="22"/>
        </w:rPr>
        <w:instrText>ADDIN CSL_CITATION {"citationItems":[{"id":"ITEM-1","itemData":{"DOI":"10.3201//eid2211.152064","ISSN":"10806059","abstract":"We report several cases of recombination events leading to capsular switching among sequence type (ST) 1 group B Streptococcus strains. These strains otherwise shared a common genome backbone with serotype V ST1 strains. However, the genomes of ST1 serotype V strains and those of serotypes VI, VII, and VIII strains differed substantially.","author":[{"dropping-particle":"","family":"Neemuchwala","given":"Alefiya","non-dropping-particle":"","parse-names":false,"suffix":""},{"dropping-particle":"","family":"Teatero","given":"Sarah","non-dropping-particle":"","parse-names":false,"suffix":""},{"dropping-particle":"","family":"Athey","given":"Taryn B.T.","non-dropping-particle":"","parse-names":false,"suffix":""},{"dropping-particle":"","family":"McGeer","given":"Allison","non-dropping-particle":"","parse-names":false,"suffix":""},{"dropping-particle":"","family":"Fittipaldi","given":"Nahuel","non-dropping-particle":"","parse-names":false,"suffix":""}],"container-title":"Emerging Infectious Diseases","id":"ITEM-1","issue":"11","issued":{"date-parts":[["2016"]]},"title":"Capsular switching and other large-scale recombination events in invasive sequence type 1 group B Streptococcus","type":"article-journal","volume":"22"},"uris":["http://www.mendeley.com/documents/?uuid=11c6c8f3-14bc-3dcc-9faf-b2074e3d19a8"]},{"id":"ITEM-2","itemData":{"DOI":"10.1099/jmm.0.000588","ISSN":"1473-5644","abstract":"PURPOSE: Pili contribute significantly to the pathogenesis of infection of group B Streptococcus (GBS) by facilitating adhesion and invasion of host cells. GBS pilin subunits (the backbone pilin protein, BP, and the ancillary pilin proteins, AP) as well as the specific enzymes required for pilus assembly are encoded by genes located in two separate genomic regions, known as pilus island 1 (PI-1) and PI-2. Our aim was to characterize the pilus profile of a collection of GBS isolates from metropolitan Toronto, Canada. METHODOLOGY: The pilus profile of 1332 invasive and colonizing GBS isolates was determined by PCR and, in selected cases, by whole genome sequencing. RESULTS: While investigating the pilus profile of a collection of GBS organisms, we discovered that 51 isolates possessed a novel variant of the PI-1 BP, which we named BP-1b. The predicted translated sequences of archetypical GBS BP-1 and novel BP-1b variants shared only 63 % amino acid sequence homology. The novel BP-1b variant was most common among strains of serotype Ib and VI, but was also found among strains of serotypes Ia, II, III and VIII. CONCLUSION: We describe a relatively frequent occurrence of a novel PI-1 BP that cannot be detected by a commonly used multiplex PCR scheme, which could lead to strains being mistyped as PI-1 negative. We present PCR primers that can easily be incorporated into the multiplex PCR assay to identify strains with novel BP-1b variant.","author":[{"dropping-particle":"","family":"Teatero","given":"Sarah","non-dropping-particle":"","parse-names":false,"suffix":""},{"dropping-particle":"","family":"Neemuchwala","given":"Alefiya","non-dropping-particle":"","parse-names":false,"suffix":""},{"dropping-particle":"","family":"Yang","given":"Kunlin","non-dropping-particle":"","parse-names":false,"suffix":""},{"dropping-particle":"","family":"Gomes","given":"Janice","non-dropping-particle":"","parse-names":false,"suffix":""},{"dropping-particle":"","family":"Athey","given":"Taryn B T","non-dropping-particle":"","parse-names":false,"suffix":""},{"dropping-particle":"","family":"Martin","given":"Irene","non-dropping-particle":"","parse-names":false,"suffix":""},{"dropping-particle":"","family":"Demczuk","given":"Walter","non-dropping-particle":"","parse-names":false,"suffix":""},{"dropping-particle":"","family":"McGeer","given":"Allison","non-dropping-particle":"","parse-names":false,"suffix":""},{"dropping-particle":"","family":"Fittipaldi","given":"Nahuel","non-dropping-particle":"","parse-names":false,"suffix":""}],"container-title":"Journal of medical microbiology","edition":"2017/09/19","id":"ITEM-2","issue":"10","issued":{"date-parts":[["2017","10"]]},"page":"1409-1415","publisher-place":"England","title":"Genetic evidence for a novel variant of the pilus island 1 backbone protein in group B Streptococcus","type":"article-journal","volume":"66"},"uris":["http://www.mendeley.com/documents/?uuid=19fa3d6b-3f6f-4621-89fb-9e9cc0ff41fd"]},{"id":"ITEM-3","itemData":{"DOI":"10.1073/pnas.1504725112","ISBN":"0027-8424","ISSN":"0027-8424","PMID":"25941374","abstract":"The molecular mechanisms underlying pathogen emergence in humans is a critical but poorly understood area of microbiologic investigation. Serotype V group B Streptococcus (GBS) was first isolated from humans in 1975, and rates of invasive serotype V GBS disease significantly increased starting in the early 1990s. We found that 210 of 229 serotype V GBS strains (92%) isolated from the bloodstream of nonpregnant adults in the United States and Canada between 1992 and 2013 were multilocus sequence type (ST) 1. Elucidation of the complete genome of a 1992 ST-1 strain revealed that this strain had the highest homology with a GBS strain causing cow mastitis and that the 1992 ST-1 strain differed from serotype V strains isolated in the late 1970s by acquisition of cell surface proteins and antimicrobial resistance determinants. Whole-genome comparison of 202 invasive ST-1 strains detected significant recombination in only eight strains. The remaining 194 strains differed by an average of 97 SNPs. Phylogenetic analysis revealed a temporally dependent mode of genetic diversification consistent with the emergence in the 1990s of ST-1 GBS as major agents of human disease. Thirty-one loci were identified as being under positive selective pressure, and mutations at loci encoding polysaccharide capsule production proteins, regulators of pilus expression, and two-component gene regulatory systems were shown to affect the bacterial phenotype. These data reveal that phenotypic diversity among ST-1 GBS is mainly driven by small genetic changes rather than extensive recombination, thereby extending knowledge into how pathogens adapt to humans. ","author":[{"dropping-particle":"","family":"Flores","given":"Anthony R","non-dropping-particle":"","parse-names":false,"suffix":""},{"dropping-particle":"","family":"Galloway-Peña","given":"Jessica","non-dropping-particle":"","parse-names":false,"suffix":""},{"dropping-particle":"","family":"Sahasrabhojane","given":"Pranoti","non-dropping-particle":"","parse-names":false,"suffix":""},{"dropping-particle":"","family":"Saldaña","given":"Miguel","non-dropping-particle":"","parse-names":false,"suffix":""},{"dropping-particle":"","family":"Yao","given":"Hui","non-dropping-particle":"","parse-names":false,"suffix":""},{"dropping-particle":"","family":"Su","given":"Xiaoping","non-dropping-particle":"","parse-names":false,"suffix":""},{"dropping-particle":"","family":"Ajami","given":"Nadim J","non-dropping-particle":"","parse-names":false,"suffix":""},{"dropping-particle":"","family":"Holder","given":"Michael E","non-dropping-particle":"","parse-names":false,"suffix":""},{"dropping-particle":"","family":"Petrosino","given":"Joseph F","non-dropping-particle":"","parse-names":false,"suffix":""},{"dropping-particle":"","family":"Thompson","given":"Erika","non-dropping-particle":"","parse-names":false,"suffix":""},{"dropping-particle":"","family":"Margarit Y Ros","given":"Immaculada","non-dropping-particle":"","parse-names":false,"suffix":""},{"dropping-particle":"","family":"Rosini","given":"Roberto","non-dropping-particle":"","parse-names":false,"suffix":""},{"dropping-particle":"","family":"Grandi","given":"Guido","non-dropping-particle":"","parse-names":false,"suffix":""},{"dropping-particle":"","family":"Horstmann","given":"Nicola","non-dropping-particle":"","parse-names":false,"suffix":""},{"dropping-particle":"","family":"Teatero","given":"Sarah","non-dropping-particle":"","parse-names":false,"suffix":""},{"dropping-particle":"","family":"McGeer","given":"Allison","non-dropping-particle":"","parse-names":false,"suffix":""},{"dropping-particle":"","family":"Fittipaldi","given":"Nahuel","non-dropping-particle":"","parse-names":false,"suffix":""},{"dropping-particle":"","family":"Rappuoli","given":"Rino","non-dropping-particle":"","parse-names":false,"suffix":""},{"dropping-particle":"","family":"Baker","given":"Carol J","non-dropping-particle":"","parse-names":false,"suffix":""},{"dropping-particle":"","family":"Shelburne","given":"Samuel A","non-dropping-particle":"","parse-names":false,"suffix":""}],"container-title":"Proceedings of the National Academy of Sciences of the United States of America","id":"ITEM-3","issued":{"date-parts":[["2015"]]},"title":"Sequence type 1 group B Streptococcus, an emerging cause of invasive disease in adults, evolves by small genetic changes","type":"article-journal"},"uris":["http://www.mendeley.com/documents/?uuid=024701e9-a49e-4175-892b-2b0d63bfcb55"]},{"id":"ITEM-4","itemData":{"DOI":"10.1093/infdis/jis605","ISSN":"00221899","PMID":"23002446","abstract":"BACKGROUND: The capsular polysaccharide (CPS) is an important virulence factor and a vaccine target of the major neonatal pathogen group B Streptococcus (GBS). Population studies revealed no strong correlation between CPS type and multilocus sequence typing (MLST) cluster, with the remarkable exception of the worldwide spread of hypervirulent GBS CC17, which were all until recently CPS type III.\\n\\nMETHODS: A total of 965 GBS strains from invasive infection isolated in France were CPS typed and the presence of the CC17-specific surface protein encoding gene hvgA gene was investigated. Three hvgA-positive GBS strains screened were surprisingly CPS type IV and thus further characterized by MLST typing, pulsed-field gel electrophoresis (PFGE), and whole genome sequencing.\\n\\nRESULTS: MLST and PFGE demonstrated a capsular switching from CPS type III to IV within the highly homogeneous GBS CC17. Sequence analysis revealed that this capsular switch was due to the exchange of a 35.5-kb DNA fragment containing the entire cps operon.\\n\\nCONCLUSIONS: This work shows that GBS CC17 hypervirulent strains have switched one of their main vaccine targets. Thus, continued surveillance of GBS population remains of the utmost importance during clinical trials of conjugate GBS vaccines.","author":[{"dropping-particle":"","family":"Bellais","given":"Samuel","non-dropping-particle":"","parse-names":false,"suffix":""},{"dropping-particle":"","family":"Six","given":"Anne","non-dropping-particle":"","parse-names":false,"suffix":""},{"dropping-particle":"","family":"Fouet","given":"Agnès","non-dropping-particle":"","parse-names":false,"suffix":""},{"dropping-particle":"","family":"Longo","given":"Magalie","non-dropping-particle":"","parse-names":false,"suffix":""},{"dropping-particle":"","family":"Dmytruk","given":"Nicolas","non-dropping-particle":"","parse-names":false,"suffix":""},{"dropping-particle":"","family":"Glaser","given":"Philippe","non-dropping-particle":"","parse-names":false,"suffix":""},{"dropping-particle":"","family":"Trieu-Cuot","given":"Patrick","non-dropping-particle":"","parse-names":false,"suffix":""},{"dropping-particle":"","family":"Poyart","given":"Claire","non-dropping-particle":"","parse-names":false,"suffix":""}],"container-title":"Journal of Infectious Diseases","id":"ITEM-4","issued":{"date-parts":[["2012"]]},"title":"Capsular switching in group B streptococcus CC17 hypervirulent clone: A future challenge for polysaccharide vaccine development","type":"article-journal"},"uris":["http://www.mendeley.com/documents/?uuid=e690f2a3-f283-4fe6-86e4-559ce28ca74d"]}],"mendeley":{"formattedCitation":"[12,14,16,40]","plainTextFormattedCitation":"[12,14,16,40]","previouslyFormattedCitation":"[12,14,16,40]"},"properties":{"noteIndex":0},"schema":"https://github.com/citation-style-language/schema/raw/master/csl-citation.json"}</w:instrText>
      </w:r>
      <w:r w:rsidR="007C5A6A" w:rsidRPr="007D0473">
        <w:rPr>
          <w:rFonts w:ascii="Arial" w:hAnsi="Arial"/>
          <w:sz w:val="22"/>
          <w:szCs w:val="22"/>
        </w:rPr>
        <w:fldChar w:fldCharType="separate"/>
      </w:r>
      <w:r w:rsidR="001D09F3" w:rsidRPr="001D09F3">
        <w:rPr>
          <w:rFonts w:ascii="Arial" w:hAnsi="Arial"/>
          <w:noProof/>
          <w:sz w:val="22"/>
          <w:szCs w:val="22"/>
        </w:rPr>
        <w:t>[12,14,16,40]</w:t>
      </w:r>
      <w:r w:rsidR="007C5A6A" w:rsidRPr="007D0473">
        <w:rPr>
          <w:rFonts w:ascii="Arial" w:hAnsi="Arial"/>
          <w:sz w:val="22"/>
          <w:szCs w:val="22"/>
        </w:rPr>
        <w:fldChar w:fldCharType="end"/>
      </w:r>
      <w:r w:rsidR="007C5A6A" w:rsidRPr="007D0473">
        <w:rPr>
          <w:rFonts w:ascii="Arial" w:hAnsi="Arial"/>
          <w:sz w:val="22"/>
          <w:szCs w:val="22"/>
        </w:rPr>
        <w:t xml:space="preserve">, but not always investigated in details. </w:t>
      </w:r>
    </w:p>
    <w:p w14:paraId="266A7B90" w14:textId="77777777" w:rsidR="003D207B" w:rsidRPr="007D0473" w:rsidRDefault="003D207B" w:rsidP="00DB7C46">
      <w:pPr>
        <w:spacing w:before="120" w:after="120" w:line="480" w:lineRule="auto"/>
        <w:rPr>
          <w:rFonts w:ascii="Arial" w:hAnsi="Arial"/>
          <w:bCs/>
          <w:sz w:val="22"/>
          <w:szCs w:val="22"/>
        </w:rPr>
      </w:pPr>
    </w:p>
    <w:p w14:paraId="5E1308B2" w14:textId="291221F6" w:rsidR="00571191" w:rsidRPr="007D0473" w:rsidRDefault="1DD3E93D" w:rsidP="00DB7C46">
      <w:pPr>
        <w:spacing w:before="120" w:after="120" w:line="480" w:lineRule="auto"/>
        <w:rPr>
          <w:rFonts w:ascii="Arial" w:hAnsi="Arial"/>
          <w:sz w:val="22"/>
          <w:szCs w:val="22"/>
        </w:rPr>
      </w:pPr>
      <w:r w:rsidRPr="007D0473">
        <w:rPr>
          <w:rFonts w:ascii="Arial" w:hAnsi="Arial"/>
          <w:sz w:val="22"/>
          <w:szCs w:val="22"/>
        </w:rPr>
        <w:t>S</w:t>
      </w:r>
      <w:r w:rsidR="0418F992" w:rsidRPr="007D0473">
        <w:rPr>
          <w:rFonts w:ascii="Arial" w:hAnsi="Arial"/>
          <w:sz w:val="22"/>
          <w:szCs w:val="22"/>
        </w:rPr>
        <w:t>ix isolates of</w:t>
      </w:r>
      <w:r w:rsidR="1AA9A494" w:rsidRPr="007D0473">
        <w:rPr>
          <w:rFonts w:ascii="Arial" w:hAnsi="Arial"/>
          <w:sz w:val="22"/>
          <w:szCs w:val="22"/>
        </w:rPr>
        <w:t xml:space="preserve"> ST1 lineage</w:t>
      </w:r>
      <w:r w:rsidR="18E23131" w:rsidRPr="007D0473">
        <w:rPr>
          <w:rFonts w:ascii="Arial" w:hAnsi="Arial"/>
          <w:sz w:val="22"/>
          <w:szCs w:val="22"/>
        </w:rPr>
        <w:t xml:space="preserve"> were identified in this study</w:t>
      </w:r>
      <w:r w:rsidR="1AA9A494" w:rsidRPr="007D0473">
        <w:rPr>
          <w:rFonts w:ascii="Arial" w:hAnsi="Arial"/>
          <w:sz w:val="22"/>
          <w:szCs w:val="22"/>
        </w:rPr>
        <w:t xml:space="preserve"> that carry </w:t>
      </w:r>
      <w:r w:rsidR="3B8556A5" w:rsidRPr="007D0473">
        <w:rPr>
          <w:rFonts w:ascii="Arial" w:hAnsi="Arial"/>
          <w:sz w:val="22"/>
          <w:szCs w:val="22"/>
        </w:rPr>
        <w:t xml:space="preserve">ST1 </w:t>
      </w:r>
      <w:r w:rsidR="1AA9A494" w:rsidRPr="007D0473">
        <w:rPr>
          <w:rFonts w:ascii="Arial" w:hAnsi="Arial"/>
          <w:sz w:val="22"/>
          <w:szCs w:val="22"/>
        </w:rPr>
        <w:t xml:space="preserve">core genome </w:t>
      </w:r>
      <w:r w:rsidR="4AC8C290" w:rsidRPr="007D0473">
        <w:rPr>
          <w:rFonts w:ascii="Arial" w:hAnsi="Arial"/>
          <w:sz w:val="22"/>
          <w:szCs w:val="22"/>
        </w:rPr>
        <w:t xml:space="preserve">that is </w:t>
      </w:r>
      <w:r w:rsidR="1AA9A494" w:rsidRPr="007D0473">
        <w:rPr>
          <w:rFonts w:ascii="Arial" w:hAnsi="Arial"/>
          <w:sz w:val="22"/>
          <w:szCs w:val="22"/>
        </w:rPr>
        <w:t xml:space="preserve">more consistent with serotype </w:t>
      </w:r>
      <w:r w:rsidR="003A3EE9" w:rsidRPr="007D0473">
        <w:rPr>
          <w:rFonts w:ascii="Arial" w:hAnsi="Arial"/>
          <w:sz w:val="22"/>
          <w:szCs w:val="22"/>
        </w:rPr>
        <w:t>V but</w:t>
      </w:r>
      <w:r w:rsidR="1AA9A494" w:rsidRPr="007D0473">
        <w:rPr>
          <w:rFonts w:ascii="Arial" w:hAnsi="Arial"/>
          <w:sz w:val="22"/>
          <w:szCs w:val="22"/>
        </w:rPr>
        <w:t xml:space="preserve"> show a </w:t>
      </w:r>
      <w:r w:rsidR="0418F992" w:rsidRPr="007D0473">
        <w:rPr>
          <w:rFonts w:ascii="Arial" w:hAnsi="Arial"/>
          <w:sz w:val="22"/>
          <w:szCs w:val="22"/>
        </w:rPr>
        <w:t xml:space="preserve">potential </w:t>
      </w:r>
      <w:r w:rsidR="1AA9A494" w:rsidRPr="007D0473">
        <w:rPr>
          <w:rFonts w:ascii="Arial" w:hAnsi="Arial"/>
          <w:sz w:val="22"/>
          <w:szCs w:val="22"/>
        </w:rPr>
        <w:t>capsular switching event</w:t>
      </w:r>
      <w:r w:rsidR="0418F992" w:rsidRPr="007D0473">
        <w:rPr>
          <w:rFonts w:ascii="Arial" w:hAnsi="Arial"/>
          <w:sz w:val="22"/>
          <w:szCs w:val="22"/>
        </w:rPr>
        <w:t xml:space="preserve"> with serotypes </w:t>
      </w:r>
      <w:proofErr w:type="spellStart"/>
      <w:r w:rsidR="0418F992" w:rsidRPr="007D0473">
        <w:rPr>
          <w:rFonts w:ascii="Arial" w:hAnsi="Arial"/>
          <w:sz w:val="22"/>
          <w:szCs w:val="22"/>
        </w:rPr>
        <w:t>Ib</w:t>
      </w:r>
      <w:proofErr w:type="spellEnd"/>
      <w:r w:rsidR="02E97CBF" w:rsidRPr="007D0473">
        <w:rPr>
          <w:rFonts w:ascii="Arial" w:hAnsi="Arial"/>
          <w:sz w:val="22"/>
          <w:szCs w:val="22"/>
        </w:rPr>
        <w:t>,</w:t>
      </w:r>
      <w:r w:rsidR="0418F992" w:rsidRPr="007D0473">
        <w:rPr>
          <w:rFonts w:ascii="Arial" w:hAnsi="Arial"/>
          <w:sz w:val="22"/>
          <w:szCs w:val="22"/>
        </w:rPr>
        <w:t xml:space="preserve"> II</w:t>
      </w:r>
      <w:r w:rsidR="02E97CBF" w:rsidRPr="007D0473">
        <w:rPr>
          <w:rFonts w:ascii="Arial" w:hAnsi="Arial"/>
          <w:sz w:val="22"/>
          <w:szCs w:val="22"/>
        </w:rPr>
        <w:t xml:space="preserve"> and V</w:t>
      </w:r>
      <w:r w:rsidR="7CCBD9E4" w:rsidRPr="007D0473">
        <w:rPr>
          <w:rFonts w:ascii="Arial" w:hAnsi="Arial"/>
          <w:sz w:val="22"/>
          <w:szCs w:val="22"/>
        </w:rPr>
        <w:t>I</w:t>
      </w:r>
      <w:r w:rsidR="0080553D" w:rsidRPr="007D0473">
        <w:rPr>
          <w:rFonts w:ascii="Arial" w:hAnsi="Arial"/>
          <w:sz w:val="22"/>
          <w:szCs w:val="22"/>
        </w:rPr>
        <w:t xml:space="preserve"> (</w:t>
      </w:r>
      <w:r w:rsidR="0080553D" w:rsidRPr="007D0473">
        <w:rPr>
          <w:rFonts w:ascii="Arial" w:hAnsi="Arial"/>
          <w:b/>
          <w:bCs/>
          <w:sz w:val="22"/>
          <w:szCs w:val="22"/>
        </w:rPr>
        <w:t>Figure 4</w:t>
      </w:r>
      <w:r w:rsidR="0080553D" w:rsidRPr="007D0473">
        <w:rPr>
          <w:rFonts w:ascii="Arial" w:hAnsi="Arial"/>
          <w:sz w:val="22"/>
          <w:szCs w:val="22"/>
        </w:rPr>
        <w:t>)</w:t>
      </w:r>
      <w:r w:rsidR="1AA9A494" w:rsidRPr="007D0473">
        <w:rPr>
          <w:rFonts w:ascii="Arial" w:hAnsi="Arial"/>
          <w:sz w:val="22"/>
          <w:szCs w:val="22"/>
        </w:rPr>
        <w:t xml:space="preserve">. PHEGBS0670 and PHEGBS0450 (both serotype </w:t>
      </w:r>
      <w:proofErr w:type="spellStart"/>
      <w:r w:rsidR="1AA9A494" w:rsidRPr="007D0473">
        <w:rPr>
          <w:rFonts w:ascii="Arial" w:hAnsi="Arial"/>
          <w:sz w:val="22"/>
          <w:szCs w:val="22"/>
        </w:rPr>
        <w:t>Ib</w:t>
      </w:r>
      <w:proofErr w:type="spellEnd"/>
      <w:r w:rsidR="4863E178" w:rsidRPr="007D0473">
        <w:rPr>
          <w:rFonts w:ascii="Arial" w:hAnsi="Arial"/>
          <w:sz w:val="22"/>
          <w:szCs w:val="22"/>
        </w:rPr>
        <w:t>, ST1</w:t>
      </w:r>
      <w:r w:rsidR="1AA9A494" w:rsidRPr="007D0473">
        <w:rPr>
          <w:rFonts w:ascii="Arial" w:hAnsi="Arial"/>
          <w:sz w:val="22"/>
          <w:szCs w:val="22"/>
        </w:rPr>
        <w:t xml:space="preserve">) acquired DNA regions of 217kb and 209kb, respectively, including the </w:t>
      </w:r>
      <w:proofErr w:type="spellStart"/>
      <w:r w:rsidR="1AA9A494" w:rsidRPr="007D0473">
        <w:rPr>
          <w:rFonts w:ascii="Arial" w:hAnsi="Arial"/>
          <w:i/>
          <w:iCs/>
          <w:sz w:val="22"/>
          <w:szCs w:val="22"/>
        </w:rPr>
        <w:t>cps</w:t>
      </w:r>
      <w:r w:rsidR="1AA9A494" w:rsidRPr="007D0473">
        <w:rPr>
          <w:rFonts w:ascii="Arial" w:hAnsi="Arial"/>
          <w:sz w:val="22"/>
          <w:szCs w:val="22"/>
        </w:rPr>
        <w:t>Ib</w:t>
      </w:r>
      <w:proofErr w:type="spellEnd"/>
      <w:r w:rsidR="1AA9A494" w:rsidRPr="007D0473">
        <w:rPr>
          <w:rFonts w:ascii="Arial" w:hAnsi="Arial"/>
          <w:sz w:val="22"/>
          <w:szCs w:val="22"/>
        </w:rPr>
        <w:t xml:space="preserve"> locus (</w:t>
      </w:r>
      <w:r w:rsidR="1AA9A494" w:rsidRPr="007D0473">
        <w:rPr>
          <w:rFonts w:ascii="Arial" w:hAnsi="Arial"/>
          <w:b/>
          <w:bCs/>
          <w:sz w:val="22"/>
          <w:szCs w:val="22"/>
        </w:rPr>
        <w:t xml:space="preserve">Figure </w:t>
      </w:r>
      <w:r w:rsidR="601C363F" w:rsidRPr="007D0473">
        <w:rPr>
          <w:rFonts w:ascii="Arial" w:hAnsi="Arial"/>
          <w:b/>
          <w:bCs/>
          <w:sz w:val="22"/>
          <w:szCs w:val="22"/>
        </w:rPr>
        <w:t>4</w:t>
      </w:r>
      <w:r w:rsidR="00F02092" w:rsidRPr="007D0473">
        <w:rPr>
          <w:rFonts w:ascii="Arial" w:hAnsi="Arial"/>
          <w:b/>
          <w:bCs/>
          <w:sz w:val="22"/>
          <w:szCs w:val="22"/>
        </w:rPr>
        <w:t>a</w:t>
      </w:r>
      <w:r w:rsidR="1AA9A494" w:rsidRPr="007D0473">
        <w:rPr>
          <w:rFonts w:ascii="Arial" w:hAnsi="Arial"/>
          <w:sz w:val="22"/>
          <w:szCs w:val="22"/>
        </w:rPr>
        <w:t xml:space="preserve">), PHEGBS0549 and PHEGBS0568 (both serotype II) acquired DNA regions of 232 kb and 144 kb, respectively, including the </w:t>
      </w:r>
      <w:proofErr w:type="spellStart"/>
      <w:r w:rsidR="1AA9A494" w:rsidRPr="007D0473">
        <w:rPr>
          <w:rFonts w:ascii="Arial" w:hAnsi="Arial"/>
          <w:i/>
          <w:iCs/>
          <w:sz w:val="22"/>
          <w:szCs w:val="22"/>
        </w:rPr>
        <w:t>cps</w:t>
      </w:r>
      <w:r w:rsidR="1AA9A494" w:rsidRPr="007D0473">
        <w:rPr>
          <w:rFonts w:ascii="Arial" w:hAnsi="Arial"/>
          <w:sz w:val="22"/>
          <w:szCs w:val="22"/>
        </w:rPr>
        <w:t>II</w:t>
      </w:r>
      <w:proofErr w:type="spellEnd"/>
      <w:r w:rsidR="1AA9A494" w:rsidRPr="007D0473">
        <w:rPr>
          <w:rFonts w:ascii="Arial" w:hAnsi="Arial"/>
          <w:sz w:val="22"/>
          <w:szCs w:val="22"/>
        </w:rPr>
        <w:t xml:space="preserve"> locus (</w:t>
      </w:r>
      <w:r w:rsidR="1AA9A494" w:rsidRPr="002120DB">
        <w:rPr>
          <w:rFonts w:ascii="Arial" w:hAnsi="Arial"/>
          <w:b/>
          <w:bCs/>
          <w:sz w:val="22"/>
          <w:szCs w:val="22"/>
        </w:rPr>
        <w:t xml:space="preserve">Figure </w:t>
      </w:r>
      <w:r w:rsidR="559CE563" w:rsidRPr="002120DB">
        <w:rPr>
          <w:rFonts w:ascii="Arial" w:hAnsi="Arial"/>
          <w:b/>
          <w:bCs/>
          <w:sz w:val="22"/>
          <w:szCs w:val="22"/>
        </w:rPr>
        <w:t>4</w:t>
      </w:r>
      <w:r w:rsidR="002120DB" w:rsidRPr="002120DB">
        <w:rPr>
          <w:rFonts w:ascii="Arial" w:hAnsi="Arial"/>
          <w:b/>
          <w:bCs/>
          <w:sz w:val="22"/>
          <w:szCs w:val="22"/>
        </w:rPr>
        <w:t>b</w:t>
      </w:r>
      <w:r w:rsidR="1AA9A494" w:rsidRPr="002120DB">
        <w:rPr>
          <w:rFonts w:ascii="Arial" w:hAnsi="Arial"/>
          <w:sz w:val="22"/>
          <w:szCs w:val="22"/>
        </w:rPr>
        <w:t>).</w:t>
      </w:r>
      <w:r w:rsidR="1AA9A494" w:rsidRPr="007D0473">
        <w:rPr>
          <w:rFonts w:ascii="Arial" w:hAnsi="Arial"/>
          <w:sz w:val="22"/>
          <w:szCs w:val="22"/>
        </w:rPr>
        <w:t xml:space="preserve"> In contrast, serotype VI ST1 isolates PHEGBS0662 and PHEGBS0446 had larger scale recombination events (including the </w:t>
      </w:r>
      <w:proofErr w:type="spellStart"/>
      <w:r w:rsidR="1AA9A494" w:rsidRPr="007D0473">
        <w:rPr>
          <w:rFonts w:ascii="Arial" w:hAnsi="Arial"/>
          <w:i/>
          <w:iCs/>
          <w:sz w:val="22"/>
          <w:szCs w:val="22"/>
        </w:rPr>
        <w:t>cps</w:t>
      </w:r>
      <w:r w:rsidR="1AA9A494" w:rsidRPr="007D0473">
        <w:rPr>
          <w:rFonts w:ascii="Arial" w:hAnsi="Arial"/>
          <w:sz w:val="22"/>
          <w:szCs w:val="22"/>
        </w:rPr>
        <w:t>IV</w:t>
      </w:r>
      <w:proofErr w:type="spellEnd"/>
      <w:r w:rsidR="1AA9A494" w:rsidRPr="007D0473">
        <w:rPr>
          <w:rFonts w:ascii="Arial" w:hAnsi="Arial"/>
          <w:sz w:val="22"/>
          <w:szCs w:val="22"/>
        </w:rPr>
        <w:t xml:space="preserve"> locus) of 883 kb and 884 kb, respectively, involving</w:t>
      </w:r>
      <w:r w:rsidR="00571191" w:rsidRPr="007D0473">
        <w:rPr>
          <w:rFonts w:ascii="Arial" w:hAnsi="Arial"/>
          <w:noProof/>
          <w:sz w:val="22"/>
          <w:szCs w:val="22"/>
        </w:rPr>
        <w:drawing>
          <wp:anchor distT="0" distB="0" distL="114300" distR="114300" simplePos="0" relativeHeight="251661312" behindDoc="1" locked="0" layoutInCell="1" allowOverlap="1" wp14:anchorId="2F433EA6" wp14:editId="41C7380D">
            <wp:simplePos x="0" y="0"/>
            <wp:positionH relativeFrom="column">
              <wp:posOffset>426085</wp:posOffset>
            </wp:positionH>
            <wp:positionV relativeFrom="paragraph">
              <wp:posOffset>452755</wp:posOffset>
            </wp:positionV>
            <wp:extent cx="5768340" cy="63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8340" cy="6350"/>
                    </a:xfrm>
                    <a:prstGeom prst="rect">
                      <a:avLst/>
                    </a:prstGeom>
                    <a:noFill/>
                  </pic:spPr>
                </pic:pic>
              </a:graphicData>
            </a:graphic>
            <wp14:sizeRelH relativeFrom="page">
              <wp14:pctWidth>0</wp14:pctWidth>
            </wp14:sizeRelH>
            <wp14:sizeRelV relativeFrom="page">
              <wp14:pctHeight>0</wp14:pctHeight>
            </wp14:sizeRelV>
          </wp:anchor>
        </w:drawing>
      </w:r>
      <w:r w:rsidR="1AA9A494" w:rsidRPr="007D0473">
        <w:rPr>
          <w:rFonts w:ascii="Arial" w:hAnsi="Arial"/>
          <w:sz w:val="22"/>
          <w:szCs w:val="22"/>
        </w:rPr>
        <w:t xml:space="preserve"> </w:t>
      </w:r>
      <w:bookmarkStart w:id="3" w:name="page12"/>
      <w:bookmarkEnd w:id="3"/>
      <w:r w:rsidR="1AA9A494" w:rsidRPr="007D0473">
        <w:rPr>
          <w:rFonts w:ascii="Arial" w:hAnsi="Arial"/>
          <w:sz w:val="22"/>
          <w:szCs w:val="22"/>
        </w:rPr>
        <w:t xml:space="preserve">approximately 45% of the genomes, </w:t>
      </w:r>
      <w:r w:rsidR="56108950" w:rsidRPr="007D0473">
        <w:rPr>
          <w:rFonts w:ascii="Arial" w:hAnsi="Arial"/>
          <w:sz w:val="22"/>
          <w:szCs w:val="22"/>
        </w:rPr>
        <w:t xml:space="preserve">with </w:t>
      </w:r>
      <w:r w:rsidR="1AA9A494" w:rsidRPr="007D0473">
        <w:rPr>
          <w:rFonts w:ascii="Arial" w:hAnsi="Arial"/>
          <w:sz w:val="22"/>
          <w:szCs w:val="22"/>
        </w:rPr>
        <w:t>the resultant genomes contain</w:t>
      </w:r>
      <w:r w:rsidR="4DF4F135" w:rsidRPr="007D0473">
        <w:rPr>
          <w:rFonts w:ascii="Arial" w:hAnsi="Arial"/>
          <w:sz w:val="22"/>
          <w:szCs w:val="22"/>
        </w:rPr>
        <w:t>ing</w:t>
      </w:r>
      <w:r w:rsidR="1AA9A494" w:rsidRPr="007D0473">
        <w:rPr>
          <w:rFonts w:ascii="Arial" w:hAnsi="Arial"/>
          <w:sz w:val="22"/>
          <w:szCs w:val="22"/>
        </w:rPr>
        <w:t xml:space="preserve"> all of the ST1 MLST determinants (</w:t>
      </w:r>
      <w:r w:rsidR="1AA9A494" w:rsidRPr="007D0473">
        <w:rPr>
          <w:rFonts w:ascii="Arial" w:hAnsi="Arial"/>
          <w:b/>
          <w:bCs/>
          <w:sz w:val="22"/>
          <w:szCs w:val="22"/>
        </w:rPr>
        <w:t xml:space="preserve">Figure </w:t>
      </w:r>
      <w:r w:rsidR="74916FF3" w:rsidRPr="007D0473">
        <w:rPr>
          <w:rFonts w:ascii="Arial" w:hAnsi="Arial"/>
          <w:b/>
          <w:bCs/>
          <w:sz w:val="22"/>
          <w:szCs w:val="22"/>
        </w:rPr>
        <w:t>4</w:t>
      </w:r>
      <w:r w:rsidR="00065B66" w:rsidRPr="007D0473">
        <w:rPr>
          <w:rFonts w:ascii="Arial" w:hAnsi="Arial"/>
          <w:b/>
          <w:bCs/>
          <w:sz w:val="22"/>
          <w:szCs w:val="22"/>
        </w:rPr>
        <w:t>c</w:t>
      </w:r>
      <w:r w:rsidR="1AA9A494" w:rsidRPr="007D0473">
        <w:rPr>
          <w:rFonts w:ascii="Arial" w:hAnsi="Arial"/>
          <w:sz w:val="22"/>
          <w:szCs w:val="22"/>
        </w:rPr>
        <w:t>)</w:t>
      </w:r>
      <w:r w:rsidR="000D7739">
        <w:rPr>
          <w:rFonts w:ascii="Arial" w:hAnsi="Arial"/>
          <w:sz w:val="22"/>
          <w:szCs w:val="22"/>
        </w:rPr>
        <w:t>, similar large scale recombination events of ST1 isolates ha</w:t>
      </w:r>
      <w:r w:rsidR="00764794">
        <w:rPr>
          <w:rFonts w:ascii="Arial" w:hAnsi="Arial"/>
          <w:sz w:val="22"/>
          <w:szCs w:val="22"/>
        </w:rPr>
        <w:t>v</w:t>
      </w:r>
      <w:r w:rsidR="000D7739">
        <w:rPr>
          <w:rFonts w:ascii="Arial" w:hAnsi="Arial"/>
          <w:sz w:val="22"/>
          <w:szCs w:val="22"/>
        </w:rPr>
        <w:t xml:space="preserve">e previously concluded that it is unlikely to have been a capsular switching event </w:t>
      </w:r>
      <w:r w:rsidR="007D6252">
        <w:rPr>
          <w:rFonts w:ascii="Arial" w:hAnsi="Arial"/>
          <w:sz w:val="22"/>
          <w:szCs w:val="22"/>
        </w:rPr>
        <w:fldChar w:fldCharType="begin" w:fldLock="1"/>
      </w:r>
      <w:r w:rsidR="00206D18">
        <w:rPr>
          <w:rFonts w:ascii="Arial" w:hAnsi="Arial"/>
          <w:sz w:val="22"/>
          <w:szCs w:val="22"/>
        </w:rPr>
        <w:instrText>ADDIN CSL_CITATION {"citationItems":[{"id":"ITEM-1","itemData":{"DOI":"10.3201//eid2211.152064","ISSN":"10806059","abstract":"We report several cases of recombination events leading to capsular switching among sequence type (ST) 1 group B Streptococcus strains. These strains otherwise shared a common genome backbone with serotype V ST1 strains. However, the genomes of ST1 serotype V strains and those of serotypes VI, VII, and VIII strains differed substantially.","author":[{"dropping-particle":"","family":"Neemuchwala","given":"Alefiya","non-dropping-particle":"","parse-names":false,"suffix":""},{"dropping-particle":"","family":"Teatero","given":"Sarah","non-dropping-particle":"","parse-names":false,"suffix":""},{"dropping-particle":"","family":"Athey","given":"Taryn B.T.","non-dropping-particle":"","parse-names":false,"suffix":""},{"dropping-particle":"","family":"McGeer","given":"Allison","non-dropping-particle":"","parse-names":false,"suffix":""},{"dropping-particle":"","family":"Fittipaldi","given":"Nahuel","non-dropping-particle":"","parse-names":false,"suffix":""}],"container-title":"Emerging Infectious Diseases","id":"ITEM-1","issue":"11","issued":{"date-parts":[["2016"]]},"title":"Capsular switching and other large-scale recombination events in invasive sequence type 1 group B Streptococcus","type":"article-journal","volume":"22"},"uris":["http://www.mendeley.com/documents/?uuid=11c6c8f3-14bc-3dcc-9faf-b2074e3d19a8"]}],"mendeley":{"formattedCitation":"[12]","plainTextFormattedCitation":"[12]","previouslyFormattedCitation":"[12]"},"properties":{"noteIndex":0},"schema":"https://github.com/citation-style-language/schema/raw/master/csl-citation.json"}</w:instrText>
      </w:r>
      <w:r w:rsidR="007D6252">
        <w:rPr>
          <w:rFonts w:ascii="Arial" w:hAnsi="Arial"/>
          <w:sz w:val="22"/>
          <w:szCs w:val="22"/>
        </w:rPr>
        <w:fldChar w:fldCharType="separate"/>
      </w:r>
      <w:r w:rsidR="007D6252" w:rsidRPr="007D6252">
        <w:rPr>
          <w:rFonts w:ascii="Arial" w:hAnsi="Arial"/>
          <w:noProof/>
          <w:sz w:val="22"/>
          <w:szCs w:val="22"/>
        </w:rPr>
        <w:t>[12]</w:t>
      </w:r>
      <w:r w:rsidR="007D6252">
        <w:rPr>
          <w:rFonts w:ascii="Arial" w:hAnsi="Arial"/>
          <w:sz w:val="22"/>
          <w:szCs w:val="22"/>
        </w:rPr>
        <w:fldChar w:fldCharType="end"/>
      </w:r>
      <w:r w:rsidR="000D7739">
        <w:rPr>
          <w:rFonts w:ascii="Arial" w:hAnsi="Arial"/>
          <w:sz w:val="22"/>
          <w:szCs w:val="22"/>
        </w:rPr>
        <w:t xml:space="preserve">, which is applicable to the two serotype VI ST1 isolates reported in our study as well. Otherwise, </w:t>
      </w:r>
      <w:r w:rsidR="00852559">
        <w:rPr>
          <w:rFonts w:ascii="Arial" w:hAnsi="Arial"/>
          <w:sz w:val="22"/>
          <w:szCs w:val="22"/>
        </w:rPr>
        <w:t>a</w:t>
      </w:r>
      <w:r w:rsidR="1AA9A494" w:rsidRPr="007D0473">
        <w:rPr>
          <w:rFonts w:ascii="Arial" w:hAnsi="Arial"/>
          <w:sz w:val="22"/>
          <w:szCs w:val="22"/>
        </w:rPr>
        <w:t xml:space="preserve">ll six isolates retained high similarity to reference strain SS1 and all contained the </w:t>
      </w:r>
      <w:r w:rsidR="1AA9A494" w:rsidRPr="007D0473">
        <w:rPr>
          <w:rFonts w:ascii="Arial" w:hAnsi="Arial"/>
          <w:i/>
          <w:iCs/>
          <w:sz w:val="22"/>
          <w:szCs w:val="22"/>
        </w:rPr>
        <w:t>alp</w:t>
      </w:r>
      <w:r w:rsidR="1AA9A494" w:rsidRPr="007D0473">
        <w:rPr>
          <w:rFonts w:ascii="Arial" w:hAnsi="Arial"/>
          <w:sz w:val="22"/>
          <w:szCs w:val="22"/>
        </w:rPr>
        <w:t xml:space="preserve">3 gene and PI-1 and PI-2a pilus combination common to serotype V strains </w:t>
      </w:r>
      <w:r w:rsidR="006461B2" w:rsidRPr="007D0473">
        <w:rPr>
          <w:rFonts w:ascii="Arial" w:hAnsi="Arial"/>
          <w:sz w:val="22"/>
          <w:szCs w:val="22"/>
        </w:rPr>
        <w:fldChar w:fldCharType="begin" w:fldLock="1"/>
      </w:r>
      <w:r w:rsidR="001D09F3">
        <w:rPr>
          <w:rFonts w:ascii="Arial" w:hAnsi="Arial"/>
          <w:sz w:val="22"/>
          <w:szCs w:val="22"/>
        </w:rPr>
        <w:instrText>ADDIN CSL_CITATION {"citationItems":[{"id":"ITEM-1","itemData":{"DOI":"10.1097/INF.0000000000002214","ISSN":"0891-3668","abstract":"Background: Despite a risk-based peripartum chemoprophylaxis approach in\nIceland since 1996, Streptococcus agalactiae {[}group B streptococci\n(GBS)] remains an important cause of early-onset {[}&lt;7 days, early-onset\ndisease (EOD)] and late-onset disease (LOD; 7 days to 3 months).\nMethods: We studied GBS invasive disease in children &lt;1 year in Iceland\nin 1976-2015. Bacteria (n = 98) were characterized by susceptibility to\na panel of antimicrobials, capsular serotyping, resistance genes,\nsurface protein and pilus-locus profiling and multilocus sequence\ntyping.\nResults: Both EOD and LOD increased during the early years, but while\nEOD subsequently decreased from 0.7/1000 live births in 1991-1995 to\n0.2/1000 in 2011-2015, LOD showed a nonsignificant decrease from its\npeak value of 0.6/1000 in 2001-2005 to 0.4/1000 in 2006-2015. Serotype\nIII was the most frequently found (n = 48), represented mostly by the\nhypervirulent lineage CC17/III/rib/PI-1+ PI-2b (62%), but also by\nCC19/III/rib/ PI-1+ PI-2a (35%) frequently associated with\ncolonization. Serotype Ia (n = 22) was represented by CC23/Ia/eps/PI-2a\n(68%) and CC7/Ia/bca/PI1+ PI-2b (23%) of possible zoonotic origin.\nResistance to erythromycin and clindamycin was increasingly detected in\nthe last years of the study (5 of the 9 cases were isolated after 2013),\nincluding representatives of a multiresistant CC17/III/rib/PI-2b\nsublineage described recently in other countries and expressing\nresistance to erythromycin, clindamycin and streptomycin.\nConclusions: The risk-based chemoprophylaxis adopted in Iceland possibly\ncontributed to the decline of EOD but has had limited effect on LOD. GBS\ncausing neonatal and early infancy invasive infections in Iceland are\ngenetically diverse, and the recent emergence of antimicrobial resistant\nlineages may reduce the choices for prophylaxis and therapy of these\ninfections.","author":[{"dropping-particle":"","family":"Bjornsdottir","given":"Erla S","non-dropping-particle":"","parse-names":false,"suffix":""},{"dropping-particle":"","family":"Martins","given":"Elisabete R","non-dropping-particle":"","parse-names":false,"suffix":""},{"dropping-particle":"","family":"Erlendsdottir","given":"Helga","non-dropping-particle":"","parse-names":false,"suffix":""},{"dropping-particle":"","family":"Haraldsson","given":"Gunnsteinn","non-dropping-particle":"","parse-names":false,"suffix":""},{"dropping-particle":"","family":"Melo-Cristino","given":"Jose","non-dropping-particle":"","parse-names":false,"suffix":""},{"dropping-particle":"","family":"Ramirez","given":"Mario","non-dropping-particle":"","parse-names":false,"suffix":""},{"dropping-particle":"","family":"Kristinsson","given":"Karl G","non-dropping-particle":"","parse-names":false,"suffix":""}],"container-title":"PEDIATRIC INFECTIOUS DISEASE JOURNAL","id":"ITEM-1","issue":"6","issued":{"date-parts":[["2019","6"]]},"page":"620-624","title":"Group B Streptococcal Neonatal and Early Infancy Infections in Iceland, 1976-2015","type":"article-journal","volume":"38"},"uris":["http://www.mendeley.com/documents/?uuid=e2245954-f13f-422d-b465-b104e99b470a"]},{"id":"ITEM-2","itemData":{"DOI":"10.1128/jcm.40.2.620-626.2002","ISSN":"0095-1137","abstract":"The study of surface protein antigens of group B streptococci (GBS) is important for understanding of the pathogenesis and epidemiology of infection, and several of these antigens have been proposed as components of GBS conjugate vaccines. In a previous study, we developed a novel PCR-and-sequencing system for identification of GBS serotypes and serosubtypes based on the capsular polysaccharide synthesis (cps) gene cluster. In this study, we used published sequences to develop PCR assays for identification of genes encoding GBS surface proteins including C alpha (bca), C alpha-like proteins 2 and 3 (alp2 and alp3), Rib (rib), and C beta (bac). We showed that the prototype R reference strain, Prague 25/60, contained a novel alpha-like protein antigen gene (the proposed alp4), which presumably encodes an atypical, but antigenically similar, R-like protein. Initial evaluation of these gene-specific assays showed excellent specificity. By combining cps serotypes, serosubtypes, and surface protein gene profiles, we were able to divide 224 GBS isolates into 31 serovariants. GBS bac-positive strains could be further subtyped into 11 groups and 20 subgroups. Our results confirmed and extended reported associations between some cps serotypes and serosubtypes, on the one hand, and surface protein genes, on the other: serosubtypes III-1 and III-2 were associated with rib, serosubtype III-3 with alp2, serotype Ib with bca and bac, and serotype V with alp3. The associations between serotype Ia and bca, bca repetitive unit, and bca repetitive unit-like sequence-containing genes need to be studied further. These PCR-based methods will provide an alternative and objective tool for subtyping of GBS based on surface protein antigen genes.","author":[{"dropping-particle":"","family":"Kong","given":"Fanrong","non-dropping-particle":"","parse-names":false,"suffix":""},{"dropping-particle":"","family":"Gowan","given":"Sonia","non-dropping-particle":"","parse-names":false,"suffix":""},{"dropping-particle":"","family":"Martin","given":"Diana","non-dropping-particle":"","parse-names":false,"suffix":""},{"dropping-particle":"","family":"James","given":"Gregory","non-dropping-particle":"","parse-names":false,"suffix":""},{"dropping-particle":"","family":"Gilbert","given":"Gwendolyn L","non-dropping-particle":"","parse-names":false,"suffix":""}],"container-title":"Journal of clinical microbiology","id":"ITEM-2","issue":"2","issued":{"date-parts":[["2002","2"]]},"page":"620-626","publisher":"American Society for Microbiology","title":"Molecular profiles of group B streptococcal surface protein antigen genes: relationship to molecular serotypes","type":"article-journal","volume":"40"},"uris":["http://www.mendeley.com/documents/?uuid=80d2af27-bd39-4e83-8496-3466ce75ca92"]}],"mendeley":{"formattedCitation":"[41,42]","plainTextFormattedCitation":"[41,42]","previouslyFormattedCitation":"[41,42]"},"properties":{"noteIndex":0},"schema":"https://github.com/citation-style-language/schema/raw/master/csl-citation.json"}</w:instrText>
      </w:r>
      <w:r w:rsidR="006461B2" w:rsidRPr="007D0473">
        <w:rPr>
          <w:rFonts w:ascii="Arial" w:hAnsi="Arial"/>
          <w:sz w:val="22"/>
          <w:szCs w:val="22"/>
        </w:rPr>
        <w:fldChar w:fldCharType="separate"/>
      </w:r>
      <w:r w:rsidR="001D09F3" w:rsidRPr="001D09F3">
        <w:rPr>
          <w:rFonts w:ascii="Arial" w:hAnsi="Arial"/>
          <w:noProof/>
          <w:sz w:val="22"/>
          <w:szCs w:val="22"/>
        </w:rPr>
        <w:t>[41,42]</w:t>
      </w:r>
      <w:r w:rsidR="006461B2" w:rsidRPr="007D0473">
        <w:rPr>
          <w:rFonts w:ascii="Arial" w:hAnsi="Arial"/>
          <w:sz w:val="22"/>
          <w:szCs w:val="22"/>
        </w:rPr>
        <w:fldChar w:fldCharType="end"/>
      </w:r>
      <w:r w:rsidR="1AA9A494" w:rsidRPr="007D0473">
        <w:rPr>
          <w:rFonts w:ascii="Arial" w:hAnsi="Arial"/>
          <w:sz w:val="22"/>
          <w:szCs w:val="22"/>
        </w:rPr>
        <w:t xml:space="preserve">. </w:t>
      </w:r>
      <w:r w:rsidR="07C13036" w:rsidRPr="007D0473">
        <w:rPr>
          <w:rFonts w:ascii="Arial" w:hAnsi="Arial"/>
          <w:sz w:val="22"/>
          <w:szCs w:val="22"/>
        </w:rPr>
        <w:t>To confirm the identified capsular switching events</w:t>
      </w:r>
      <w:r w:rsidR="1AA9A494" w:rsidRPr="007D0473">
        <w:rPr>
          <w:rFonts w:ascii="Arial" w:hAnsi="Arial"/>
          <w:sz w:val="22"/>
          <w:szCs w:val="22"/>
        </w:rPr>
        <w:t xml:space="preserve">, </w:t>
      </w:r>
      <w:r w:rsidR="23B8A7B0" w:rsidRPr="007D0473">
        <w:rPr>
          <w:rFonts w:ascii="Arial" w:hAnsi="Arial"/>
          <w:sz w:val="22"/>
          <w:szCs w:val="22"/>
        </w:rPr>
        <w:t>ST1 isolates</w:t>
      </w:r>
      <w:r w:rsidR="530A9C88" w:rsidRPr="007D0473">
        <w:rPr>
          <w:rFonts w:ascii="Arial" w:hAnsi="Arial"/>
          <w:sz w:val="22"/>
          <w:szCs w:val="22"/>
        </w:rPr>
        <w:t xml:space="preserve"> in this study were compared</w:t>
      </w:r>
      <w:r w:rsidR="23B8A7B0" w:rsidRPr="007D0473">
        <w:rPr>
          <w:rFonts w:ascii="Arial" w:hAnsi="Arial"/>
          <w:sz w:val="22"/>
          <w:szCs w:val="22"/>
        </w:rPr>
        <w:t xml:space="preserve"> </w:t>
      </w:r>
      <w:r w:rsidR="1AA9A494" w:rsidRPr="007D0473">
        <w:rPr>
          <w:rFonts w:ascii="Arial" w:hAnsi="Arial"/>
          <w:sz w:val="22"/>
          <w:szCs w:val="22"/>
        </w:rPr>
        <w:t>to</w:t>
      </w:r>
      <w:r w:rsidR="23B8A7B0" w:rsidRPr="007D0473">
        <w:rPr>
          <w:rFonts w:ascii="Arial" w:hAnsi="Arial"/>
          <w:sz w:val="22"/>
          <w:szCs w:val="22"/>
        </w:rPr>
        <w:t xml:space="preserve"> </w:t>
      </w:r>
      <w:r w:rsidR="1AA9A494" w:rsidRPr="007D0473">
        <w:rPr>
          <w:rFonts w:ascii="Arial" w:hAnsi="Arial"/>
          <w:sz w:val="22"/>
          <w:szCs w:val="22"/>
        </w:rPr>
        <w:t>previously published</w:t>
      </w:r>
      <w:r w:rsidR="0C99D667" w:rsidRPr="007D0473">
        <w:rPr>
          <w:rFonts w:ascii="Arial" w:hAnsi="Arial"/>
          <w:sz w:val="22"/>
          <w:szCs w:val="22"/>
        </w:rPr>
        <w:t xml:space="preserve"> ST1 isolates with recombination events;</w:t>
      </w:r>
      <w:r w:rsidR="1AA9A494" w:rsidRPr="007D0473">
        <w:rPr>
          <w:rFonts w:ascii="Arial" w:hAnsi="Arial"/>
          <w:sz w:val="22"/>
          <w:szCs w:val="22"/>
        </w:rPr>
        <w:t xml:space="preserve"> ST1-serotype </w:t>
      </w:r>
      <w:proofErr w:type="spellStart"/>
      <w:r w:rsidR="1AA9A494" w:rsidRPr="007D0473">
        <w:rPr>
          <w:rFonts w:ascii="Arial" w:hAnsi="Arial"/>
          <w:sz w:val="22"/>
          <w:szCs w:val="22"/>
        </w:rPr>
        <w:t>Ib</w:t>
      </w:r>
      <w:proofErr w:type="spellEnd"/>
      <w:r w:rsidR="1AA9A494" w:rsidRPr="007D0473">
        <w:rPr>
          <w:rFonts w:ascii="Arial" w:hAnsi="Arial"/>
          <w:sz w:val="22"/>
          <w:szCs w:val="22"/>
        </w:rPr>
        <w:t xml:space="preserve"> (SH5446) from Portugal </w:t>
      </w:r>
      <w:r w:rsidR="00EC75AB" w:rsidRPr="007D0473">
        <w:rPr>
          <w:rFonts w:ascii="Arial" w:hAnsi="Arial"/>
          <w:sz w:val="22"/>
          <w:szCs w:val="22"/>
        </w:rPr>
        <w:fldChar w:fldCharType="begin" w:fldLock="1"/>
      </w:r>
      <w:r w:rsidR="007C5A6A" w:rsidRPr="007D0473">
        <w:rPr>
          <w:rFonts w:ascii="Arial" w:hAnsi="Arial"/>
          <w:sz w:val="22"/>
          <w:szCs w:val="22"/>
        </w:rPr>
        <w:instrText>ADDIN CSL_CITATION {"citationItems":[{"id":"ITEM-1","itemData":{"DOI":"10.2807/1560-7917.ES.2018.23.21.1700473","ISSN":"1560-7917","author":[{"dropping-particle":"","family":"Lopes","given":"Elísia","non-dropping-particle":"","parse-names":false,"suffix":""},{"dropping-particle":"","family":"Fernandes","given":"Tânia","non-dropping-particle":"","parse-names":false,"suffix":""},{"dropping-particle":"","family":"Machado","given":"Miguel P","non-dropping-particle":"","parse-names":false,"suffix":""},{"dropping-particle":"","family":"Carriço","given":"João André","non-dropping-particle":"","parse-names":false,"suffix":""},{"dropping-particle":"","family":"Melo-Cristino","given":"José","non-dropping-particle":"","parse-names":false,"suffix":""},{"dropping-particle":"","family":"Ramirez","given":"Mário","non-dropping-particle":"","parse-names":false,"suffix":""},{"dropping-particle":"","family":"Martins","given":"Elisabete R","non-dropping-particle":"","parse-names":false,"suffix":""}],"container-title":"Eurosurveillance","id":"ITEM-1","issue":"21","issued":{"date-parts":[["2018","5"]]},"title":"Increasing macrolide resistance among Streptococcus agalactiae causing invasive disease in non-pregnant adults was driven by a single capsular-transformed lineage, Portugal, 2009 to 2015","type":"article-journal","volume":"23"},"uris":["http://www.mendeley.com/documents/?uuid=4bad89a0-aadc-4c1f-b5d7-c78a4fbcfe92"]}],"mendeley":{"formattedCitation":"[31]","plainTextFormattedCitation":"[31]","previouslyFormattedCitation":"[31]"},"properties":{"noteIndex":0},"schema":"https://github.com/citation-style-language/schema/raw/master/csl-citation.json"}</w:instrText>
      </w:r>
      <w:r w:rsidR="00EC75AB" w:rsidRPr="007D0473">
        <w:rPr>
          <w:rFonts w:ascii="Arial" w:hAnsi="Arial"/>
          <w:sz w:val="22"/>
          <w:szCs w:val="22"/>
        </w:rPr>
        <w:fldChar w:fldCharType="separate"/>
      </w:r>
      <w:r w:rsidR="007C5A6A" w:rsidRPr="007D0473">
        <w:rPr>
          <w:rFonts w:ascii="Arial" w:hAnsi="Arial"/>
          <w:noProof/>
          <w:sz w:val="22"/>
          <w:szCs w:val="22"/>
        </w:rPr>
        <w:t>[31]</w:t>
      </w:r>
      <w:r w:rsidR="00EC75AB" w:rsidRPr="007D0473">
        <w:rPr>
          <w:rFonts w:ascii="Arial" w:hAnsi="Arial"/>
          <w:sz w:val="22"/>
          <w:szCs w:val="22"/>
        </w:rPr>
        <w:fldChar w:fldCharType="end"/>
      </w:r>
      <w:r w:rsidR="1AA9A494" w:rsidRPr="007D0473">
        <w:rPr>
          <w:rFonts w:ascii="Arial" w:hAnsi="Arial"/>
          <w:sz w:val="22"/>
          <w:szCs w:val="22"/>
        </w:rPr>
        <w:t xml:space="preserve">, and ST1-serotype II (NGBS748) and ST1-serotype VI (NGBS209) from Canada </w:t>
      </w:r>
      <w:r w:rsidR="00BF7562" w:rsidRPr="007D0473">
        <w:rPr>
          <w:rFonts w:ascii="Arial" w:hAnsi="Arial"/>
          <w:sz w:val="22"/>
          <w:szCs w:val="22"/>
        </w:rPr>
        <w:fldChar w:fldCharType="begin" w:fldLock="1"/>
      </w:r>
      <w:r w:rsidR="00192601" w:rsidRPr="007D0473">
        <w:rPr>
          <w:rFonts w:ascii="Arial" w:hAnsi="Arial"/>
          <w:sz w:val="22"/>
          <w:szCs w:val="22"/>
        </w:rPr>
        <w:instrText>ADDIN CSL_CITATION {"citationItems":[{"id":"ITEM-1","itemData":{"DOI":"10.3201//eid2211.152064","ISSN":"10806059","abstract":"We report several cases of recombination events leading to capsular switching among sequence type (ST) 1 group B Streptococcus strains. These strains otherwise shared a common genome backbone with serotype V ST1 strains. However, the genomes of ST1 serotype V strains and those of serotypes VI, VII, and VIII strains differed substantially.","author":[{"dropping-particle":"","family":"Neemuchwala","given":"Alefiya","non-dropping-particle":"","parse-names":false,"suffix":""},{"dropping-particle":"","family":"Teatero","given":"Sarah","non-dropping-particle":"","parse-names":false,"suffix":""},{"dropping-particle":"","family":"Athey","given":"Taryn B.T.","non-dropping-particle":"","parse-names":false,"suffix":""},{"dropping-particle":"","family":"McGeer","given":"Allison","non-dropping-particle":"","parse-names":false,"suffix":""},{"dropping-particle":"","family":"Fittipaldi","given":"Nahuel","non-dropping-particle":"","parse-names":false,"suffix":""}],"container-title":"Emerging Infectious Diseases","id":"ITEM-1","issue":"11","issued":{"date-parts":[["2016"]]},"title":"Capsular switching and other large-scale recombination events in invasive sequence type 1 group B Streptococcus","type":"article-journal","volume":"22"},"uris":["http://www.mendeley.com/documents/?uuid=11c6c8f3-14bc-3dcc-9faf-b2074e3d19a8"]}],"mendeley":{"formattedCitation":"[12]","plainTextFormattedCitation":"[12]","previouslyFormattedCitation":"[12]"},"properties":{"noteIndex":0},"schema":"https://github.com/citation-style-language/schema/raw/master/csl-citation.json"}</w:instrText>
      </w:r>
      <w:r w:rsidR="00BF7562" w:rsidRPr="007D0473">
        <w:rPr>
          <w:rFonts w:ascii="Arial" w:hAnsi="Arial"/>
          <w:sz w:val="22"/>
          <w:szCs w:val="22"/>
        </w:rPr>
        <w:fldChar w:fldCharType="separate"/>
      </w:r>
      <w:r w:rsidR="34B8386E" w:rsidRPr="007D0473">
        <w:rPr>
          <w:rFonts w:ascii="Arial" w:hAnsi="Arial"/>
          <w:noProof/>
          <w:sz w:val="22"/>
          <w:szCs w:val="22"/>
        </w:rPr>
        <w:t>[12]</w:t>
      </w:r>
      <w:r w:rsidR="00BF7562" w:rsidRPr="007D0473">
        <w:rPr>
          <w:rFonts w:ascii="Arial" w:hAnsi="Arial"/>
          <w:sz w:val="22"/>
          <w:szCs w:val="22"/>
        </w:rPr>
        <w:fldChar w:fldCharType="end"/>
      </w:r>
      <w:r w:rsidR="1AA9A494" w:rsidRPr="007D0473">
        <w:rPr>
          <w:rFonts w:ascii="Arial" w:hAnsi="Arial"/>
          <w:sz w:val="22"/>
          <w:szCs w:val="22"/>
        </w:rPr>
        <w:t>.</w:t>
      </w:r>
      <w:r w:rsidR="48D7DA5A" w:rsidRPr="007D0473">
        <w:rPr>
          <w:rFonts w:ascii="Arial" w:hAnsi="Arial"/>
          <w:sz w:val="22"/>
          <w:szCs w:val="22"/>
        </w:rPr>
        <w:t xml:space="preserve"> Phylogenetic analysis of these </w:t>
      </w:r>
      <w:r w:rsidR="1AA9A494" w:rsidRPr="007D0473">
        <w:rPr>
          <w:rFonts w:ascii="Arial" w:hAnsi="Arial"/>
          <w:sz w:val="22"/>
          <w:szCs w:val="22"/>
        </w:rPr>
        <w:t xml:space="preserve">three GBS isolates </w:t>
      </w:r>
      <w:r w:rsidR="149D5C60" w:rsidRPr="007D0473">
        <w:rPr>
          <w:rFonts w:ascii="Arial" w:hAnsi="Arial"/>
          <w:sz w:val="22"/>
          <w:szCs w:val="22"/>
        </w:rPr>
        <w:t>with ST1 isolates</w:t>
      </w:r>
      <w:r w:rsidR="1C202B76" w:rsidRPr="007D0473">
        <w:rPr>
          <w:rFonts w:ascii="Arial" w:hAnsi="Arial"/>
          <w:sz w:val="22"/>
          <w:szCs w:val="22"/>
        </w:rPr>
        <w:t xml:space="preserve"> in this study showed dispersal throughout </w:t>
      </w:r>
      <w:r w:rsidR="123D28D3" w:rsidRPr="007D0473">
        <w:rPr>
          <w:rFonts w:ascii="Arial" w:hAnsi="Arial"/>
          <w:sz w:val="22"/>
          <w:szCs w:val="22"/>
        </w:rPr>
        <w:t xml:space="preserve">the </w:t>
      </w:r>
      <w:r w:rsidR="1AA9A494" w:rsidRPr="007D0473">
        <w:rPr>
          <w:rFonts w:ascii="Arial" w:hAnsi="Arial"/>
          <w:sz w:val="22"/>
          <w:szCs w:val="22"/>
        </w:rPr>
        <w:t xml:space="preserve">UK ST1 </w:t>
      </w:r>
      <w:r w:rsidR="60A774E9" w:rsidRPr="007D0473">
        <w:rPr>
          <w:rFonts w:ascii="Arial" w:hAnsi="Arial"/>
          <w:sz w:val="22"/>
          <w:szCs w:val="22"/>
        </w:rPr>
        <w:t xml:space="preserve">phylogenetic </w:t>
      </w:r>
      <w:r w:rsidR="1AA9A494" w:rsidRPr="007D0473">
        <w:rPr>
          <w:rFonts w:ascii="Arial" w:hAnsi="Arial"/>
          <w:sz w:val="22"/>
          <w:szCs w:val="22"/>
        </w:rPr>
        <w:t xml:space="preserve">cluster with an average of 207 and 583 SNPs per serotype </w:t>
      </w:r>
      <w:proofErr w:type="spellStart"/>
      <w:r w:rsidR="1AA9A494" w:rsidRPr="007D0473">
        <w:rPr>
          <w:rFonts w:ascii="Arial" w:hAnsi="Arial"/>
          <w:sz w:val="22"/>
          <w:szCs w:val="22"/>
        </w:rPr>
        <w:t>Ib</w:t>
      </w:r>
      <w:proofErr w:type="spellEnd"/>
      <w:r w:rsidR="1AA9A494" w:rsidRPr="007D0473">
        <w:rPr>
          <w:rFonts w:ascii="Arial" w:hAnsi="Arial"/>
          <w:sz w:val="22"/>
          <w:szCs w:val="22"/>
        </w:rPr>
        <w:t xml:space="preserve"> and VI ST1 isolates, respectively (</w:t>
      </w:r>
      <w:r w:rsidR="1AA9A494" w:rsidRPr="007D0473">
        <w:rPr>
          <w:rFonts w:ascii="Arial" w:hAnsi="Arial"/>
          <w:b/>
          <w:bCs/>
          <w:sz w:val="22"/>
          <w:szCs w:val="22"/>
        </w:rPr>
        <w:t xml:space="preserve">Figure </w:t>
      </w:r>
      <w:r w:rsidR="123D28D3" w:rsidRPr="007D0473">
        <w:rPr>
          <w:rFonts w:ascii="Arial" w:hAnsi="Arial"/>
          <w:b/>
          <w:bCs/>
          <w:sz w:val="22"/>
          <w:szCs w:val="22"/>
        </w:rPr>
        <w:t>S</w:t>
      </w:r>
      <w:r w:rsidR="1AA9A494" w:rsidRPr="007D0473">
        <w:rPr>
          <w:rFonts w:ascii="Arial" w:hAnsi="Arial"/>
          <w:b/>
          <w:bCs/>
          <w:sz w:val="22"/>
          <w:szCs w:val="22"/>
        </w:rPr>
        <w:t>1</w:t>
      </w:r>
      <w:r w:rsidR="1AA9A494" w:rsidRPr="007D0473">
        <w:rPr>
          <w:rFonts w:ascii="Arial" w:hAnsi="Arial"/>
          <w:sz w:val="22"/>
          <w:szCs w:val="22"/>
        </w:rPr>
        <w:t>)</w:t>
      </w:r>
      <w:r w:rsidR="2880AD11" w:rsidRPr="007D0473">
        <w:rPr>
          <w:rFonts w:ascii="Arial" w:hAnsi="Arial"/>
          <w:sz w:val="22"/>
          <w:szCs w:val="22"/>
        </w:rPr>
        <w:t>. T</w:t>
      </w:r>
      <w:r w:rsidR="1AA9A494" w:rsidRPr="007D0473">
        <w:rPr>
          <w:rFonts w:ascii="Arial" w:hAnsi="Arial"/>
          <w:sz w:val="22"/>
          <w:szCs w:val="22"/>
        </w:rPr>
        <w:t xml:space="preserve">he recombination </w:t>
      </w:r>
      <w:r w:rsidR="1BC09AF4" w:rsidRPr="007D0473">
        <w:rPr>
          <w:rFonts w:ascii="Arial" w:hAnsi="Arial"/>
          <w:sz w:val="22"/>
          <w:szCs w:val="22"/>
        </w:rPr>
        <w:t>borders</w:t>
      </w:r>
      <w:r w:rsidR="1AA9A494" w:rsidRPr="007D0473">
        <w:rPr>
          <w:rFonts w:ascii="Arial" w:hAnsi="Arial"/>
          <w:sz w:val="22"/>
          <w:szCs w:val="22"/>
        </w:rPr>
        <w:t xml:space="preserve"> were </w:t>
      </w:r>
      <w:r w:rsidR="1AA9A494" w:rsidRPr="007D0473">
        <w:rPr>
          <w:rFonts w:ascii="Arial" w:hAnsi="Arial"/>
          <w:sz w:val="22"/>
          <w:szCs w:val="22"/>
        </w:rPr>
        <w:lastRenderedPageBreak/>
        <w:t xml:space="preserve">nearly identical </w:t>
      </w:r>
      <w:r w:rsidR="1BC09AF4" w:rsidRPr="007D0473">
        <w:rPr>
          <w:rFonts w:ascii="Arial" w:hAnsi="Arial"/>
          <w:sz w:val="22"/>
          <w:szCs w:val="22"/>
        </w:rPr>
        <w:t>for all isolates,</w:t>
      </w:r>
      <w:r w:rsidR="1AA9A494" w:rsidRPr="007D0473">
        <w:rPr>
          <w:rFonts w:ascii="Arial" w:hAnsi="Arial"/>
          <w:sz w:val="22"/>
          <w:szCs w:val="22"/>
        </w:rPr>
        <w:t xml:space="preserve"> confirming the potential capsular switching events have taken place between serotypes V and </w:t>
      </w:r>
      <w:proofErr w:type="spellStart"/>
      <w:r w:rsidR="1AA9A494" w:rsidRPr="007D0473">
        <w:rPr>
          <w:rFonts w:ascii="Arial" w:hAnsi="Arial"/>
          <w:sz w:val="22"/>
          <w:szCs w:val="22"/>
        </w:rPr>
        <w:t>Ib</w:t>
      </w:r>
      <w:proofErr w:type="spellEnd"/>
      <w:r w:rsidR="1AA9A494" w:rsidRPr="007D0473">
        <w:rPr>
          <w:rFonts w:ascii="Arial" w:hAnsi="Arial"/>
          <w:sz w:val="22"/>
          <w:szCs w:val="22"/>
        </w:rPr>
        <w:t xml:space="preserve"> and serotype V and II</w:t>
      </w:r>
      <w:r w:rsidR="1BC09AF4" w:rsidRPr="007D0473">
        <w:rPr>
          <w:rFonts w:ascii="Arial" w:hAnsi="Arial"/>
          <w:sz w:val="22"/>
          <w:szCs w:val="22"/>
        </w:rPr>
        <w:t xml:space="preserve"> (</w:t>
      </w:r>
      <w:r w:rsidR="1BC09AF4" w:rsidRPr="007D0473">
        <w:rPr>
          <w:rFonts w:ascii="Arial" w:hAnsi="Arial"/>
          <w:b/>
          <w:bCs/>
          <w:sz w:val="22"/>
          <w:szCs w:val="22"/>
        </w:rPr>
        <w:t>Figure S2</w:t>
      </w:r>
      <w:r w:rsidR="003319FD" w:rsidRPr="007D0473">
        <w:rPr>
          <w:rFonts w:ascii="Arial" w:hAnsi="Arial"/>
          <w:b/>
          <w:bCs/>
          <w:sz w:val="22"/>
          <w:szCs w:val="22"/>
        </w:rPr>
        <w:t>a</w:t>
      </w:r>
      <w:r w:rsidR="1BC09AF4" w:rsidRPr="007D0473">
        <w:rPr>
          <w:rFonts w:ascii="Arial" w:hAnsi="Arial"/>
          <w:sz w:val="22"/>
          <w:szCs w:val="22"/>
        </w:rPr>
        <w:t>)</w:t>
      </w:r>
      <w:r w:rsidR="1AA9A494" w:rsidRPr="007D0473">
        <w:rPr>
          <w:rFonts w:ascii="Arial" w:hAnsi="Arial"/>
          <w:sz w:val="22"/>
          <w:szCs w:val="22"/>
        </w:rPr>
        <w:t xml:space="preserve">. </w:t>
      </w:r>
    </w:p>
    <w:p w14:paraId="1B417626" w14:textId="77777777" w:rsidR="00571191" w:rsidRPr="007D0473" w:rsidRDefault="00571191" w:rsidP="00DB7C46">
      <w:pPr>
        <w:spacing w:before="120" w:after="120" w:line="480" w:lineRule="auto"/>
        <w:rPr>
          <w:rFonts w:ascii="Arial" w:hAnsi="Arial"/>
          <w:sz w:val="22"/>
          <w:szCs w:val="22"/>
        </w:rPr>
      </w:pPr>
    </w:p>
    <w:p w14:paraId="395E4F58" w14:textId="68F3CCC8" w:rsidR="00571191" w:rsidRPr="007D0473" w:rsidRDefault="7838364F" w:rsidP="00DB7C46">
      <w:pPr>
        <w:spacing w:before="120" w:after="120" w:line="480" w:lineRule="auto"/>
        <w:rPr>
          <w:rFonts w:ascii="Arial" w:hAnsi="Arial"/>
          <w:sz w:val="22"/>
          <w:szCs w:val="22"/>
        </w:rPr>
      </w:pPr>
      <w:r w:rsidRPr="007D0473">
        <w:rPr>
          <w:rFonts w:ascii="Arial" w:hAnsi="Arial"/>
          <w:sz w:val="22"/>
          <w:szCs w:val="22"/>
        </w:rPr>
        <w:t xml:space="preserve">On examination of </w:t>
      </w:r>
      <w:r w:rsidR="1D7E0A58" w:rsidRPr="007D0473">
        <w:rPr>
          <w:rFonts w:ascii="Arial" w:hAnsi="Arial"/>
          <w:sz w:val="22"/>
          <w:szCs w:val="22"/>
        </w:rPr>
        <w:t xml:space="preserve">the </w:t>
      </w:r>
      <w:r w:rsidR="6ABB1B95" w:rsidRPr="007D0473">
        <w:rPr>
          <w:rFonts w:ascii="Arial" w:hAnsi="Arial"/>
          <w:sz w:val="22"/>
          <w:szCs w:val="22"/>
        </w:rPr>
        <w:t xml:space="preserve">potential capsular switch event in </w:t>
      </w:r>
      <w:r w:rsidR="1AA9A494" w:rsidRPr="007D0473">
        <w:rPr>
          <w:rFonts w:ascii="Arial" w:hAnsi="Arial"/>
          <w:sz w:val="22"/>
          <w:szCs w:val="22"/>
        </w:rPr>
        <w:t xml:space="preserve">serotype IV isolate </w:t>
      </w:r>
      <w:r w:rsidR="1D7E0A58" w:rsidRPr="007D0473">
        <w:rPr>
          <w:rFonts w:ascii="Arial" w:hAnsi="Arial"/>
          <w:sz w:val="22"/>
          <w:szCs w:val="22"/>
        </w:rPr>
        <w:t>ST1351 w</w:t>
      </w:r>
      <w:r w:rsidR="1AA9A494" w:rsidRPr="007D0473">
        <w:rPr>
          <w:rFonts w:ascii="Arial" w:hAnsi="Arial"/>
          <w:sz w:val="22"/>
          <w:szCs w:val="22"/>
        </w:rPr>
        <w:t>i</w:t>
      </w:r>
      <w:r w:rsidR="1D7E0A58" w:rsidRPr="007D0473">
        <w:rPr>
          <w:rFonts w:ascii="Arial" w:hAnsi="Arial"/>
          <w:sz w:val="22"/>
          <w:szCs w:val="22"/>
        </w:rPr>
        <w:t>thi</w:t>
      </w:r>
      <w:r w:rsidR="1AA9A494" w:rsidRPr="007D0473">
        <w:rPr>
          <w:rFonts w:ascii="Arial" w:hAnsi="Arial"/>
          <w:sz w:val="22"/>
          <w:szCs w:val="22"/>
        </w:rPr>
        <w:t>n CC17</w:t>
      </w:r>
      <w:r w:rsidR="1D7E0A58" w:rsidRPr="007D0473">
        <w:rPr>
          <w:rFonts w:ascii="Arial" w:hAnsi="Arial"/>
          <w:sz w:val="22"/>
          <w:szCs w:val="22"/>
        </w:rPr>
        <w:t xml:space="preserve"> (S</w:t>
      </w:r>
      <w:r w:rsidR="1AA9A494" w:rsidRPr="007D0473">
        <w:rPr>
          <w:rFonts w:ascii="Arial" w:hAnsi="Arial"/>
          <w:sz w:val="22"/>
          <w:szCs w:val="22"/>
        </w:rPr>
        <w:t>T1351</w:t>
      </w:r>
      <w:r w:rsidR="1D7E0A58" w:rsidRPr="007D0473">
        <w:rPr>
          <w:rFonts w:ascii="Arial" w:hAnsi="Arial"/>
          <w:sz w:val="22"/>
          <w:szCs w:val="22"/>
        </w:rPr>
        <w:t xml:space="preserve"> is </w:t>
      </w:r>
      <w:r w:rsidR="1AA9A494" w:rsidRPr="007D0473">
        <w:rPr>
          <w:rFonts w:ascii="Arial" w:hAnsi="Arial"/>
          <w:sz w:val="22"/>
          <w:szCs w:val="22"/>
        </w:rPr>
        <w:t>a SLV of ST17)</w:t>
      </w:r>
      <w:r w:rsidR="6ABB1B95" w:rsidRPr="007D0473">
        <w:rPr>
          <w:rFonts w:ascii="Arial" w:hAnsi="Arial"/>
          <w:sz w:val="22"/>
          <w:szCs w:val="22"/>
        </w:rPr>
        <w:t xml:space="preserve">, this isolate carried </w:t>
      </w:r>
      <w:proofErr w:type="spellStart"/>
      <w:r w:rsidR="6ABB1B95" w:rsidRPr="007D0473">
        <w:rPr>
          <w:rFonts w:ascii="Arial" w:hAnsi="Arial"/>
          <w:i/>
          <w:iCs/>
          <w:sz w:val="22"/>
          <w:szCs w:val="22"/>
        </w:rPr>
        <w:t>hvgA</w:t>
      </w:r>
      <w:proofErr w:type="spellEnd"/>
      <w:r w:rsidR="6ABB1B95" w:rsidRPr="007D0473">
        <w:rPr>
          <w:rFonts w:ascii="Arial" w:hAnsi="Arial"/>
          <w:sz w:val="22"/>
          <w:szCs w:val="22"/>
        </w:rPr>
        <w:t xml:space="preserve">, which is commonly associated with hypervirulent ST17 strains. </w:t>
      </w:r>
      <w:r w:rsidR="6457D5B0" w:rsidRPr="007D0473">
        <w:rPr>
          <w:rFonts w:ascii="Arial" w:hAnsi="Arial"/>
          <w:sz w:val="22"/>
          <w:szCs w:val="22"/>
        </w:rPr>
        <w:t>R</w:t>
      </w:r>
      <w:r w:rsidR="2961CAE4" w:rsidRPr="007D0473">
        <w:rPr>
          <w:rFonts w:ascii="Arial" w:hAnsi="Arial"/>
          <w:sz w:val="22"/>
          <w:szCs w:val="22"/>
        </w:rPr>
        <w:t xml:space="preserve">ecombination analysis indicated </w:t>
      </w:r>
      <w:r w:rsidR="1AA9A494" w:rsidRPr="007D0473">
        <w:rPr>
          <w:rFonts w:ascii="Arial" w:hAnsi="Arial"/>
          <w:sz w:val="22"/>
          <w:szCs w:val="22"/>
        </w:rPr>
        <w:t xml:space="preserve">PHEGBS0476 </w:t>
      </w:r>
      <w:r w:rsidR="758200B2" w:rsidRPr="007D0473">
        <w:rPr>
          <w:rFonts w:ascii="Arial" w:hAnsi="Arial"/>
          <w:sz w:val="22"/>
          <w:szCs w:val="22"/>
        </w:rPr>
        <w:t xml:space="preserve">potential for </w:t>
      </w:r>
      <w:r w:rsidR="1AA9A494" w:rsidRPr="007D0473">
        <w:rPr>
          <w:rFonts w:ascii="Arial" w:hAnsi="Arial"/>
          <w:sz w:val="22"/>
          <w:szCs w:val="22"/>
        </w:rPr>
        <w:t>capsular switch</w:t>
      </w:r>
      <w:r w:rsidR="2961CAE4" w:rsidRPr="007D0473">
        <w:rPr>
          <w:rFonts w:ascii="Arial" w:hAnsi="Arial"/>
          <w:sz w:val="22"/>
          <w:szCs w:val="22"/>
        </w:rPr>
        <w:t>ing</w:t>
      </w:r>
      <w:r w:rsidR="4F18F6DF" w:rsidRPr="007D0473">
        <w:rPr>
          <w:rFonts w:ascii="Arial" w:hAnsi="Arial"/>
          <w:sz w:val="22"/>
          <w:szCs w:val="22"/>
        </w:rPr>
        <w:t xml:space="preserve"> could be attributed to</w:t>
      </w:r>
      <w:r w:rsidR="2961CAE4" w:rsidRPr="007D0473">
        <w:rPr>
          <w:rFonts w:ascii="Arial" w:hAnsi="Arial"/>
          <w:sz w:val="22"/>
          <w:szCs w:val="22"/>
        </w:rPr>
        <w:t xml:space="preserve"> </w:t>
      </w:r>
      <w:r w:rsidR="4F949176" w:rsidRPr="007D0473">
        <w:rPr>
          <w:rFonts w:ascii="Arial" w:hAnsi="Arial"/>
          <w:sz w:val="22"/>
          <w:szCs w:val="22"/>
        </w:rPr>
        <w:t>event with</w:t>
      </w:r>
      <w:r w:rsidR="1AA9A494" w:rsidRPr="007D0473">
        <w:rPr>
          <w:rFonts w:ascii="Arial" w:hAnsi="Arial"/>
          <w:sz w:val="22"/>
          <w:szCs w:val="22"/>
        </w:rPr>
        <w:t xml:space="preserve"> a  31.3 kb DNA fragment</w:t>
      </w:r>
      <w:r w:rsidR="465244CC" w:rsidRPr="007D0473">
        <w:rPr>
          <w:rFonts w:ascii="Arial" w:hAnsi="Arial"/>
          <w:sz w:val="22"/>
          <w:szCs w:val="22"/>
        </w:rPr>
        <w:t xml:space="preserve"> exchange</w:t>
      </w:r>
      <w:r w:rsidR="1AA9A494" w:rsidRPr="007D0473">
        <w:rPr>
          <w:rFonts w:ascii="Arial" w:hAnsi="Arial"/>
          <w:sz w:val="22"/>
          <w:szCs w:val="22"/>
        </w:rPr>
        <w:t xml:space="preserve"> </w:t>
      </w:r>
      <w:r w:rsidR="544E0B39" w:rsidRPr="007D0473">
        <w:rPr>
          <w:rFonts w:ascii="Arial" w:hAnsi="Arial"/>
          <w:sz w:val="22"/>
          <w:szCs w:val="22"/>
        </w:rPr>
        <w:t xml:space="preserve">that </w:t>
      </w:r>
      <w:r w:rsidR="1AA9A494" w:rsidRPr="007D0473">
        <w:rPr>
          <w:rFonts w:ascii="Arial" w:hAnsi="Arial"/>
          <w:sz w:val="22"/>
          <w:szCs w:val="22"/>
        </w:rPr>
        <w:t>contain</w:t>
      </w:r>
      <w:r w:rsidR="75684E5A" w:rsidRPr="007D0473">
        <w:rPr>
          <w:rFonts w:ascii="Arial" w:hAnsi="Arial"/>
          <w:sz w:val="22"/>
          <w:szCs w:val="22"/>
        </w:rPr>
        <w:t>e</w:t>
      </w:r>
      <w:r w:rsidR="3426E5E4" w:rsidRPr="007D0473">
        <w:rPr>
          <w:rFonts w:ascii="Arial" w:hAnsi="Arial"/>
          <w:sz w:val="22"/>
          <w:szCs w:val="22"/>
        </w:rPr>
        <w:t>d</w:t>
      </w:r>
      <w:r w:rsidR="1AA9A494" w:rsidRPr="007D0473">
        <w:rPr>
          <w:rFonts w:ascii="Arial" w:hAnsi="Arial"/>
          <w:sz w:val="22"/>
          <w:szCs w:val="22"/>
        </w:rPr>
        <w:t xml:space="preserve"> the entire </w:t>
      </w:r>
      <w:proofErr w:type="spellStart"/>
      <w:r w:rsidR="1AA9A494" w:rsidRPr="007D0473">
        <w:rPr>
          <w:rFonts w:ascii="Arial" w:hAnsi="Arial"/>
          <w:i/>
          <w:iCs/>
          <w:sz w:val="22"/>
          <w:szCs w:val="22"/>
        </w:rPr>
        <w:t>cps</w:t>
      </w:r>
      <w:r w:rsidR="1AA9A494" w:rsidRPr="007D0473">
        <w:rPr>
          <w:rFonts w:ascii="Arial" w:hAnsi="Arial"/>
          <w:sz w:val="22"/>
          <w:szCs w:val="22"/>
        </w:rPr>
        <w:t>IV</w:t>
      </w:r>
      <w:proofErr w:type="spellEnd"/>
      <w:r w:rsidR="1AA9A494" w:rsidRPr="007D0473">
        <w:rPr>
          <w:rFonts w:ascii="Arial" w:hAnsi="Arial"/>
          <w:sz w:val="22"/>
          <w:szCs w:val="22"/>
        </w:rPr>
        <w:t xml:space="preserve"> operon</w:t>
      </w:r>
      <w:r w:rsidR="5EE12CD6" w:rsidRPr="007D0473">
        <w:rPr>
          <w:rFonts w:ascii="Arial" w:hAnsi="Arial"/>
          <w:sz w:val="22"/>
          <w:szCs w:val="22"/>
        </w:rPr>
        <w:t>,</w:t>
      </w:r>
      <w:r w:rsidR="1AA9A494" w:rsidRPr="007D0473">
        <w:rPr>
          <w:rFonts w:ascii="Arial" w:hAnsi="Arial"/>
          <w:sz w:val="22"/>
          <w:szCs w:val="22"/>
        </w:rPr>
        <w:t xml:space="preserve"> comparable to the DNA transfer of 35.5 kb reported in serotype IV/ST17 isolate</w:t>
      </w:r>
      <w:r w:rsidR="541EB8C8" w:rsidRPr="007D0473">
        <w:rPr>
          <w:rFonts w:ascii="Arial" w:hAnsi="Arial"/>
          <w:sz w:val="22"/>
          <w:szCs w:val="22"/>
        </w:rPr>
        <w:t xml:space="preserve"> from </w:t>
      </w:r>
      <w:r w:rsidR="057B5C20" w:rsidRPr="007D0473">
        <w:rPr>
          <w:rFonts w:ascii="Arial" w:hAnsi="Arial"/>
          <w:sz w:val="22"/>
          <w:szCs w:val="22"/>
        </w:rPr>
        <w:t>France</w:t>
      </w:r>
      <w:r w:rsidR="1AA9A494" w:rsidRPr="007D0473">
        <w:rPr>
          <w:rFonts w:ascii="Arial" w:hAnsi="Arial"/>
          <w:sz w:val="22"/>
          <w:szCs w:val="22"/>
        </w:rPr>
        <w:t xml:space="preserve"> (CC209361</w:t>
      </w:r>
      <w:r w:rsidR="479DF20A" w:rsidRPr="007D0473">
        <w:rPr>
          <w:rFonts w:ascii="Arial" w:hAnsi="Arial"/>
          <w:sz w:val="22"/>
          <w:szCs w:val="22"/>
        </w:rPr>
        <w:t xml:space="preserve">, </w:t>
      </w:r>
      <w:r w:rsidR="00B2163A" w:rsidRPr="007D0473">
        <w:rPr>
          <w:rFonts w:ascii="Arial" w:hAnsi="Arial"/>
          <w:sz w:val="22"/>
          <w:szCs w:val="22"/>
        </w:rPr>
        <w:fldChar w:fldCharType="begin" w:fldLock="1"/>
      </w:r>
      <w:r w:rsidR="0093692F" w:rsidRPr="007D0473">
        <w:rPr>
          <w:rFonts w:ascii="Arial" w:hAnsi="Arial"/>
          <w:sz w:val="22"/>
          <w:szCs w:val="22"/>
        </w:rPr>
        <w:instrText>ADDIN CSL_CITATION {"citationItems":[{"id":"ITEM-1","itemData":{"DOI":"10.1093/infdis/jis605","ISSN":"00221899","PMID":"23002446","abstract":"BACKGROUND: The capsular polysaccharide (CPS) is an important virulence factor and a vaccine target of the major neonatal pathogen group B Streptococcus (GBS). Population studies revealed no strong correlation between CPS type and multilocus sequence typing (MLST) cluster, with the remarkable exception of the worldwide spread of hypervirulent GBS CC17, which were all until recently CPS type III.\\n\\nMETHODS: A total of 965 GBS strains from invasive infection isolated in France were CPS typed and the presence of the CC17-specific surface protein encoding gene hvgA gene was investigated. Three hvgA-positive GBS strains screened were surprisingly CPS type IV and thus further characterized by MLST typing, pulsed-field gel electrophoresis (PFGE), and whole genome sequencing.\\n\\nRESULTS: MLST and PFGE demonstrated a capsular switching from CPS type III to IV within the highly homogeneous GBS CC17. Sequence analysis revealed that this capsular switch was due to the exchange of a 35.5-kb DNA fragment containing the entire cps operon.\\n\\nCONCLUSIONS: This work shows that GBS CC17 hypervirulent strains have switched one of their main vaccine targets. Thus, continued surveillance of GBS population remains of the utmost importance during clinical trials of conjugate GBS vaccines.","author":[{"dropping-particle":"","family":"Bellais","given":"Samuel","non-dropping-particle":"","parse-names":false,"suffix":""},{"dropping-particle":"","family":"Six","given":"Anne","non-dropping-particle":"","parse-names":false,"suffix":""},{"dropping-particle":"","family":"Fouet","given":"Agnès","non-dropping-particle":"","parse-names":false,"suffix":""},{"dropping-particle":"","family":"Longo","given":"Magalie","non-dropping-particle":"","parse-names":false,"suffix":""},{"dropping-particle":"","family":"Dmytruk","given":"Nicolas","non-dropping-particle":"","parse-names":false,"suffix":""},{"dropping-particle":"","family":"Glaser","given":"Philippe","non-dropping-particle":"","parse-names":false,"suffix":""},{"dropping-particle":"","family":"Trieu-Cuot","given":"Patrick","non-dropping-particle":"","parse-names":false,"suffix":""},{"dropping-particle":"","family":"Poyart","given":"Claire","non-dropping-particle":"","parse-names":false,"suffix":""}],"container-title":"Journal of Infectious Diseases","id":"ITEM-1","issued":{"date-parts":[["2012"]]},"title":"Capsular switching in group B streptococcus CC17 hypervirulent clone: A future challenge for polysaccharide vaccine development","type":"article-journal"},"uris":["http://www.mendeley.com/documents/?uuid=e690f2a3-f283-4fe6-86e4-559ce28ca74d"]}],"mendeley":{"formattedCitation":"[16]","plainTextFormattedCitation":"[16]","previouslyFormattedCitation":"[16]"},"properties":{"noteIndex":0},"schema":"https://github.com/citation-style-language/schema/raw/master/csl-citation.json"}</w:instrText>
      </w:r>
      <w:r w:rsidR="00B2163A" w:rsidRPr="007D0473">
        <w:rPr>
          <w:rFonts w:ascii="Arial" w:hAnsi="Arial"/>
          <w:sz w:val="22"/>
          <w:szCs w:val="22"/>
        </w:rPr>
        <w:fldChar w:fldCharType="separate"/>
      </w:r>
      <w:r w:rsidR="53E84A95" w:rsidRPr="007D0473">
        <w:rPr>
          <w:rFonts w:ascii="Arial" w:hAnsi="Arial"/>
          <w:noProof/>
          <w:sz w:val="22"/>
          <w:szCs w:val="22"/>
        </w:rPr>
        <w:t>[16]</w:t>
      </w:r>
      <w:r w:rsidR="00B2163A" w:rsidRPr="007D0473">
        <w:rPr>
          <w:rFonts w:ascii="Arial" w:hAnsi="Arial"/>
          <w:sz w:val="22"/>
          <w:szCs w:val="22"/>
        </w:rPr>
        <w:fldChar w:fldCharType="end"/>
      </w:r>
      <w:r w:rsidR="1AA9A494" w:rsidRPr="007D0473">
        <w:rPr>
          <w:rFonts w:ascii="Arial" w:hAnsi="Arial"/>
          <w:sz w:val="22"/>
          <w:szCs w:val="22"/>
        </w:rPr>
        <w:t xml:space="preserve">) </w:t>
      </w:r>
      <w:r w:rsidR="2961CAE4" w:rsidRPr="007D0473">
        <w:rPr>
          <w:rFonts w:ascii="Arial" w:hAnsi="Arial"/>
          <w:sz w:val="22"/>
          <w:szCs w:val="22"/>
        </w:rPr>
        <w:t>(</w:t>
      </w:r>
      <w:r w:rsidR="2961CAE4" w:rsidRPr="007D0473">
        <w:rPr>
          <w:rFonts w:ascii="Arial" w:hAnsi="Arial"/>
          <w:b/>
          <w:bCs/>
          <w:sz w:val="22"/>
          <w:szCs w:val="22"/>
        </w:rPr>
        <w:t>Figure</w:t>
      </w:r>
      <w:r w:rsidR="00065B66" w:rsidRPr="007D0473">
        <w:rPr>
          <w:rFonts w:ascii="Arial" w:hAnsi="Arial"/>
          <w:b/>
          <w:bCs/>
          <w:sz w:val="22"/>
          <w:szCs w:val="22"/>
        </w:rPr>
        <w:t>s</w:t>
      </w:r>
      <w:r w:rsidR="2961CAE4" w:rsidRPr="007D0473">
        <w:rPr>
          <w:rFonts w:ascii="Arial" w:hAnsi="Arial"/>
          <w:b/>
          <w:bCs/>
          <w:sz w:val="22"/>
          <w:szCs w:val="22"/>
        </w:rPr>
        <w:t xml:space="preserve"> </w:t>
      </w:r>
      <w:r w:rsidR="0545A24E" w:rsidRPr="007D0473">
        <w:rPr>
          <w:rFonts w:ascii="Arial" w:hAnsi="Arial"/>
          <w:b/>
          <w:bCs/>
          <w:sz w:val="22"/>
          <w:szCs w:val="22"/>
        </w:rPr>
        <w:t>4</w:t>
      </w:r>
      <w:r w:rsidR="003319FD" w:rsidRPr="007D0473">
        <w:rPr>
          <w:rFonts w:ascii="Arial" w:hAnsi="Arial"/>
          <w:b/>
          <w:bCs/>
          <w:sz w:val="22"/>
          <w:szCs w:val="22"/>
        </w:rPr>
        <w:t>d</w:t>
      </w:r>
      <w:r w:rsidR="2961CAE4" w:rsidRPr="007D0473">
        <w:rPr>
          <w:rFonts w:ascii="Arial" w:hAnsi="Arial"/>
          <w:sz w:val="22"/>
          <w:szCs w:val="22"/>
        </w:rPr>
        <w:t xml:space="preserve"> and </w:t>
      </w:r>
      <w:r w:rsidR="2961CAE4" w:rsidRPr="007D0473">
        <w:rPr>
          <w:rFonts w:ascii="Arial" w:hAnsi="Arial"/>
          <w:b/>
          <w:bCs/>
          <w:sz w:val="22"/>
          <w:szCs w:val="22"/>
        </w:rPr>
        <w:t>S3</w:t>
      </w:r>
      <w:r w:rsidR="2961CAE4" w:rsidRPr="007D0473">
        <w:rPr>
          <w:rFonts w:ascii="Arial" w:hAnsi="Arial"/>
          <w:sz w:val="22"/>
          <w:szCs w:val="22"/>
        </w:rPr>
        <w:t>)</w:t>
      </w:r>
      <w:r w:rsidR="1AA9A494" w:rsidRPr="007D0473">
        <w:rPr>
          <w:rFonts w:ascii="Arial" w:hAnsi="Arial"/>
          <w:sz w:val="22"/>
          <w:szCs w:val="22"/>
        </w:rPr>
        <w:t>.</w:t>
      </w:r>
      <w:r w:rsidR="411D8673" w:rsidRPr="007D0473">
        <w:rPr>
          <w:rFonts w:ascii="Arial" w:hAnsi="Arial"/>
          <w:sz w:val="22"/>
          <w:szCs w:val="22"/>
        </w:rPr>
        <w:t xml:space="preserve"> </w:t>
      </w:r>
      <w:r w:rsidR="1379587D" w:rsidRPr="007D0473">
        <w:rPr>
          <w:rFonts w:ascii="Arial" w:hAnsi="Arial"/>
          <w:sz w:val="22"/>
          <w:szCs w:val="22"/>
        </w:rPr>
        <w:t>C</w:t>
      </w:r>
      <w:r w:rsidR="16A199C0" w:rsidRPr="007D0473">
        <w:rPr>
          <w:rFonts w:ascii="Arial" w:hAnsi="Arial"/>
          <w:sz w:val="22"/>
          <w:szCs w:val="22"/>
        </w:rPr>
        <w:t xml:space="preserve">omparison of </w:t>
      </w:r>
      <w:r w:rsidR="5A009EB3" w:rsidRPr="007D0473">
        <w:rPr>
          <w:rFonts w:ascii="Arial" w:hAnsi="Arial"/>
          <w:sz w:val="22"/>
          <w:szCs w:val="22"/>
        </w:rPr>
        <w:t xml:space="preserve"> this iso</w:t>
      </w:r>
      <w:r w:rsidR="6F7007C6" w:rsidRPr="007D0473">
        <w:rPr>
          <w:rFonts w:ascii="Arial" w:hAnsi="Arial"/>
          <w:sz w:val="22"/>
          <w:szCs w:val="22"/>
        </w:rPr>
        <w:t>late to other IV isolates from CC1</w:t>
      </w:r>
      <w:r w:rsidR="7F14C5BB" w:rsidRPr="007D0473">
        <w:rPr>
          <w:rFonts w:ascii="Arial" w:hAnsi="Arial"/>
          <w:sz w:val="22"/>
          <w:szCs w:val="22"/>
        </w:rPr>
        <w:t xml:space="preserve"> revealed</w:t>
      </w:r>
      <w:r w:rsidR="6F7007C6" w:rsidRPr="007D0473">
        <w:rPr>
          <w:rFonts w:ascii="Arial" w:hAnsi="Arial"/>
          <w:sz w:val="22"/>
          <w:szCs w:val="22"/>
        </w:rPr>
        <w:t xml:space="preserve"> t</w:t>
      </w:r>
      <w:r w:rsidR="1AA9A494" w:rsidRPr="007D0473">
        <w:rPr>
          <w:rFonts w:ascii="Arial" w:hAnsi="Arial"/>
          <w:sz w:val="22"/>
          <w:szCs w:val="22"/>
        </w:rPr>
        <w:t>he</w:t>
      </w:r>
      <w:r w:rsidR="6F7007C6" w:rsidRPr="007D0473">
        <w:rPr>
          <w:rFonts w:ascii="Arial" w:hAnsi="Arial"/>
          <w:sz w:val="22"/>
          <w:szCs w:val="22"/>
        </w:rPr>
        <w:t xml:space="preserve"> potential</w:t>
      </w:r>
      <w:r w:rsidR="1AA9A494" w:rsidRPr="007D0473">
        <w:rPr>
          <w:rFonts w:ascii="Arial" w:hAnsi="Arial"/>
          <w:sz w:val="22"/>
          <w:szCs w:val="22"/>
        </w:rPr>
        <w:t xml:space="preserve"> transfer</w:t>
      </w:r>
      <w:r w:rsidR="2EBA126E" w:rsidRPr="007D0473">
        <w:rPr>
          <w:rFonts w:ascii="Arial" w:hAnsi="Arial"/>
          <w:sz w:val="22"/>
          <w:szCs w:val="22"/>
        </w:rPr>
        <w:t xml:space="preserve"> of</w:t>
      </w:r>
      <w:r w:rsidR="1AA9A494" w:rsidRPr="007D0473">
        <w:rPr>
          <w:rFonts w:ascii="Arial" w:hAnsi="Arial"/>
          <w:sz w:val="22"/>
          <w:szCs w:val="22"/>
        </w:rPr>
        <w:t xml:space="preserve"> </w:t>
      </w:r>
      <w:proofErr w:type="spellStart"/>
      <w:r w:rsidR="1AA9A494" w:rsidRPr="007D0473">
        <w:rPr>
          <w:rFonts w:ascii="Arial" w:hAnsi="Arial"/>
          <w:i/>
          <w:iCs/>
          <w:sz w:val="22"/>
          <w:szCs w:val="22"/>
        </w:rPr>
        <w:t>cpsE</w:t>
      </w:r>
      <w:r w:rsidR="1AA9A494" w:rsidRPr="007D0473">
        <w:rPr>
          <w:rFonts w:ascii="Arial" w:hAnsi="Arial"/>
          <w:sz w:val="22"/>
          <w:szCs w:val="22"/>
        </w:rPr>
        <w:t>-</w:t>
      </w:r>
      <w:r w:rsidR="1AA9A494" w:rsidRPr="007D0473">
        <w:rPr>
          <w:rFonts w:ascii="Arial" w:hAnsi="Arial"/>
          <w:i/>
          <w:iCs/>
          <w:sz w:val="22"/>
          <w:szCs w:val="22"/>
        </w:rPr>
        <w:t>cpsG</w:t>
      </w:r>
      <w:proofErr w:type="spellEnd"/>
      <w:r w:rsidR="1AA9A494" w:rsidRPr="007D0473">
        <w:rPr>
          <w:rFonts w:ascii="Arial" w:hAnsi="Arial"/>
          <w:sz w:val="22"/>
          <w:szCs w:val="22"/>
        </w:rPr>
        <w:t xml:space="preserve"> and </w:t>
      </w:r>
      <w:proofErr w:type="spellStart"/>
      <w:r w:rsidR="1AA9A494" w:rsidRPr="007D0473">
        <w:rPr>
          <w:rFonts w:ascii="Arial" w:hAnsi="Arial"/>
          <w:i/>
          <w:iCs/>
          <w:sz w:val="22"/>
          <w:szCs w:val="22"/>
        </w:rPr>
        <w:t>neuB</w:t>
      </w:r>
      <w:r w:rsidR="1AA9A494" w:rsidRPr="007D0473">
        <w:rPr>
          <w:rFonts w:ascii="Arial" w:hAnsi="Arial"/>
          <w:sz w:val="22"/>
          <w:szCs w:val="22"/>
        </w:rPr>
        <w:t>-</w:t>
      </w:r>
      <w:r w:rsidR="1AA9A494" w:rsidRPr="007D0473">
        <w:rPr>
          <w:rFonts w:ascii="Arial" w:hAnsi="Arial"/>
          <w:i/>
          <w:iCs/>
          <w:sz w:val="22"/>
          <w:szCs w:val="22"/>
        </w:rPr>
        <w:t>neuA</w:t>
      </w:r>
      <w:proofErr w:type="spellEnd"/>
      <w:r w:rsidR="1AA9A494" w:rsidRPr="007D0473">
        <w:rPr>
          <w:rFonts w:ascii="Arial" w:hAnsi="Arial"/>
          <w:sz w:val="22"/>
          <w:szCs w:val="22"/>
        </w:rPr>
        <w:t xml:space="preserve"> genes </w:t>
      </w:r>
      <w:r w:rsidR="04BFA221" w:rsidRPr="007D0473">
        <w:rPr>
          <w:rFonts w:ascii="Arial" w:hAnsi="Arial"/>
          <w:sz w:val="22"/>
          <w:szCs w:val="22"/>
        </w:rPr>
        <w:t>was</w:t>
      </w:r>
      <w:r w:rsidR="1AA9A494" w:rsidRPr="007D0473">
        <w:rPr>
          <w:rFonts w:ascii="Arial" w:hAnsi="Arial"/>
          <w:sz w:val="22"/>
          <w:szCs w:val="22"/>
        </w:rPr>
        <w:t xml:space="preserve"> highly conserved</w:t>
      </w:r>
      <w:r w:rsidR="4222F12F" w:rsidRPr="007D0473">
        <w:rPr>
          <w:rFonts w:ascii="Arial" w:hAnsi="Arial"/>
          <w:sz w:val="22"/>
          <w:szCs w:val="22"/>
        </w:rPr>
        <w:t>,</w:t>
      </w:r>
      <w:r w:rsidR="1AA9A494" w:rsidRPr="007D0473">
        <w:rPr>
          <w:rFonts w:ascii="Arial" w:hAnsi="Arial"/>
          <w:sz w:val="22"/>
          <w:szCs w:val="22"/>
        </w:rPr>
        <w:t xml:space="preserve"> irrespective of whether they were present in isolates with determinants designating them CC1 or CC17, not only </w:t>
      </w:r>
      <w:r w:rsidR="6F7007C6" w:rsidRPr="007D0473">
        <w:rPr>
          <w:rFonts w:ascii="Arial" w:hAnsi="Arial"/>
          <w:sz w:val="22"/>
          <w:szCs w:val="22"/>
        </w:rPr>
        <w:t>in isolates from</w:t>
      </w:r>
      <w:r w:rsidR="1AA9A494" w:rsidRPr="007D0473">
        <w:rPr>
          <w:rFonts w:ascii="Arial" w:hAnsi="Arial"/>
          <w:sz w:val="22"/>
          <w:szCs w:val="22"/>
        </w:rPr>
        <w:t xml:space="preserve"> </w:t>
      </w:r>
      <w:r w:rsidR="4875350B" w:rsidRPr="007D0473">
        <w:rPr>
          <w:rFonts w:ascii="Arial" w:hAnsi="Arial"/>
          <w:sz w:val="22"/>
          <w:szCs w:val="22"/>
        </w:rPr>
        <w:t>this</w:t>
      </w:r>
      <w:r w:rsidR="1AA9A494" w:rsidRPr="007D0473">
        <w:rPr>
          <w:rFonts w:ascii="Arial" w:hAnsi="Arial"/>
          <w:sz w:val="22"/>
          <w:szCs w:val="22"/>
        </w:rPr>
        <w:t xml:space="preserve"> study, but also in </w:t>
      </w:r>
      <w:r w:rsidR="6F7007C6" w:rsidRPr="007D0473">
        <w:rPr>
          <w:rFonts w:ascii="Arial" w:hAnsi="Arial"/>
          <w:sz w:val="22"/>
          <w:szCs w:val="22"/>
        </w:rPr>
        <w:t>isolates previously reported to undergo the capsular switching in</w:t>
      </w:r>
      <w:r w:rsidR="1AA9A494" w:rsidRPr="007D0473">
        <w:rPr>
          <w:rFonts w:ascii="Arial" w:hAnsi="Arial"/>
          <w:sz w:val="22"/>
          <w:szCs w:val="22"/>
        </w:rPr>
        <w:t xml:space="preserve"> CC1 and CC17 serotype IV isolates from France (CC209361</w:t>
      </w:r>
      <w:r w:rsidR="6F7007C6" w:rsidRPr="007D0473">
        <w:rPr>
          <w:rFonts w:ascii="Arial" w:hAnsi="Arial"/>
          <w:sz w:val="22"/>
          <w:szCs w:val="22"/>
        </w:rPr>
        <w:t xml:space="preserve">, </w:t>
      </w:r>
      <w:r w:rsidR="009A0604" w:rsidRPr="007D0473">
        <w:rPr>
          <w:rFonts w:ascii="Arial" w:hAnsi="Arial"/>
          <w:sz w:val="22"/>
          <w:szCs w:val="22"/>
        </w:rPr>
        <w:fldChar w:fldCharType="begin" w:fldLock="1"/>
      </w:r>
      <w:r w:rsidR="0093692F" w:rsidRPr="007D0473">
        <w:rPr>
          <w:rFonts w:ascii="Arial" w:hAnsi="Arial"/>
          <w:sz w:val="22"/>
          <w:szCs w:val="22"/>
        </w:rPr>
        <w:instrText>ADDIN CSL_CITATION {"citationItems":[{"id":"ITEM-1","itemData":{"DOI":"10.1093/infdis/jis605","ISSN":"00221899","PMID":"23002446","abstract":"BACKGROUND: The capsular polysaccharide (CPS) is an important virulence factor and a vaccine target of the major neonatal pathogen group B Streptococcus (GBS). Population studies revealed no strong correlation between CPS type and multilocus sequence typing (MLST) cluster, with the remarkable exception of the worldwide spread of hypervirulent GBS CC17, which were all until recently CPS type III.\\n\\nMETHODS: A total of 965 GBS strains from invasive infection isolated in France were CPS typed and the presence of the CC17-specific surface protein encoding gene hvgA gene was investigated. Three hvgA-positive GBS strains screened were surprisingly CPS type IV and thus further characterized by MLST typing, pulsed-field gel electrophoresis (PFGE), and whole genome sequencing.\\n\\nRESULTS: MLST and PFGE demonstrated a capsular switching from CPS type III to IV within the highly homogeneous GBS CC17. Sequence analysis revealed that this capsular switch was due to the exchange of a 35.5-kb DNA fragment containing the entire cps operon.\\n\\nCONCLUSIONS: This work shows that GBS CC17 hypervirulent strains have switched one of their main vaccine targets. Thus, continued surveillance of GBS population remains of the utmost importance during clinical trials of conjugate GBS vaccines.","author":[{"dropping-particle":"","family":"Bellais","given":"Samuel","non-dropping-particle":"","parse-names":false,"suffix":""},{"dropping-particle":"","family":"Six","given":"Anne","non-dropping-particle":"","parse-names":false,"suffix":""},{"dropping-particle":"","family":"Fouet","given":"Agnès","non-dropping-particle":"","parse-names":false,"suffix":""},{"dropping-particle":"","family":"Longo","given":"Magalie","non-dropping-particle":"","parse-names":false,"suffix":""},{"dropping-particle":"","family":"Dmytruk","given":"Nicolas","non-dropping-particle":"","parse-names":false,"suffix":""},{"dropping-particle":"","family":"Glaser","given":"Philippe","non-dropping-particle":"","parse-names":false,"suffix":""},{"dropping-particle":"","family":"Trieu-Cuot","given":"Patrick","non-dropping-particle":"","parse-names":false,"suffix":""},{"dropping-particle":"","family":"Poyart","given":"Claire","non-dropping-particle":"","parse-names":false,"suffix":""}],"container-title":"Journal of Infectious Diseases","id":"ITEM-1","issued":{"date-parts":[["2012"]]},"title":"Capsular switching in group B streptococcus CC17 hypervirulent clone: A future challenge for polysaccharide vaccine development","type":"article-journal"},"uris":["http://www.mendeley.com/documents/?uuid=e690f2a3-f283-4fe6-86e4-559ce28ca74d"]}],"mendeley":{"formattedCitation":"[16]","plainTextFormattedCitation":"[16]","previouslyFormattedCitation":"[16]"},"properties":{"noteIndex":0},"schema":"https://github.com/citation-style-language/schema/raw/master/csl-citation.json"}</w:instrText>
      </w:r>
      <w:r w:rsidR="009A0604" w:rsidRPr="007D0473">
        <w:rPr>
          <w:rFonts w:ascii="Arial" w:hAnsi="Arial"/>
          <w:sz w:val="22"/>
          <w:szCs w:val="22"/>
        </w:rPr>
        <w:fldChar w:fldCharType="separate"/>
      </w:r>
      <w:r w:rsidR="53E84A95" w:rsidRPr="007D0473">
        <w:rPr>
          <w:rFonts w:ascii="Arial" w:hAnsi="Arial"/>
          <w:noProof/>
          <w:sz w:val="22"/>
          <w:szCs w:val="22"/>
        </w:rPr>
        <w:t>[16]</w:t>
      </w:r>
      <w:r w:rsidR="009A0604" w:rsidRPr="007D0473">
        <w:rPr>
          <w:rFonts w:ascii="Arial" w:hAnsi="Arial"/>
          <w:sz w:val="22"/>
          <w:szCs w:val="22"/>
        </w:rPr>
        <w:fldChar w:fldCharType="end"/>
      </w:r>
      <w:r w:rsidR="1AA9A494" w:rsidRPr="007D0473">
        <w:rPr>
          <w:rFonts w:ascii="Arial" w:hAnsi="Arial"/>
          <w:sz w:val="22"/>
          <w:szCs w:val="22"/>
        </w:rPr>
        <w:t xml:space="preserve">) </w:t>
      </w:r>
      <w:r w:rsidR="6F7007C6" w:rsidRPr="007D0473">
        <w:rPr>
          <w:rFonts w:ascii="Arial" w:hAnsi="Arial"/>
          <w:sz w:val="22"/>
          <w:szCs w:val="22"/>
        </w:rPr>
        <w:t xml:space="preserve">and </w:t>
      </w:r>
      <w:r w:rsidR="1AA9A494" w:rsidRPr="007D0473">
        <w:rPr>
          <w:rFonts w:ascii="Arial" w:hAnsi="Arial"/>
          <w:sz w:val="22"/>
          <w:szCs w:val="22"/>
        </w:rPr>
        <w:t>Ireland (GBS148, GBS150 and GBS175</w:t>
      </w:r>
      <w:r w:rsidR="434DE540" w:rsidRPr="007D0473">
        <w:rPr>
          <w:rFonts w:ascii="Arial" w:hAnsi="Arial"/>
          <w:sz w:val="22"/>
          <w:szCs w:val="22"/>
        </w:rPr>
        <w:t xml:space="preserve">, </w:t>
      </w:r>
      <w:r w:rsidR="009B22F7" w:rsidRPr="007D0473">
        <w:rPr>
          <w:rFonts w:ascii="Arial" w:hAnsi="Arial"/>
          <w:sz w:val="22"/>
          <w:szCs w:val="22"/>
        </w:rPr>
        <w:fldChar w:fldCharType="begin" w:fldLock="1"/>
      </w:r>
      <w:r w:rsidR="001D09F3">
        <w:rPr>
          <w:rFonts w:ascii="Arial" w:hAnsi="Arial"/>
          <w:sz w:val="22"/>
          <w:szCs w:val="22"/>
        </w:rPr>
        <w:instrText>ADDIN CSL_CITATION {"citationItems":[{"id":"ITEM-1","itemData":{"DOI":"10.1007/s10096-014-2055-5","ISSN":"1435-4373","abstract":"The molecular epidemiology of group B Streptococcus (GBS) in Ireland was investigated. Invasive (n = 132) and non-invasive (n = 45) isolates, collected in 2007-2011, were analysed by multilocus locus sequence typing, capsular polysaccharide (CPS) serotyping, profiling of surface proteins, pilus islands (PI), and antimicrobial susceptibility. Isolates grouped into 45 sequence types and five main clonal complexes (CC). CC1, CC17 and CC23 represented 67.2 % of isolates and the most prevalent serotypes Ia, III and V. Serotype and surface protein genes were largely predictive of CC. Accordingly, CPS V/alp3, CPS Ib/CPS II/bca + bac, and CPS Ia/eps predominated in CC1, CC12 and CC23, respectively, and CPS III/rib in CC17 and CC19. Supporting their vaccine potential, all isolates harboured at least one PI, of which the PI-1 + PI-2a combination was most prevalent. Macrolide resistance was found in 18.6 % of isolates. erm(B) and the globally disseminated CC1/CPS V were the most common resistance mechanism and CC/CPS type, respectively. CC17, significantly associated with neonatal disease, was also prevalent in pregnant adults, but was underrepresented among non-pregnant adults. Two of 46 CC17 isolates (typically CPS III) were CPS IV. Sequence analysis confirmed capsular switching and their relatedness to CC17/CPS IV strains recently characterized in France. CPS IV, detected only in invasive isolates (6.8 %), was most prevalent in adults (12 %) and showed an increase in prevalence to that reported (1.4 %) for invasive isolates in Ireland 1997-1999. Increases in serotype IV and evidence of capsular switching in CC17 highlights the importance of ongoing surveillance of GBS and may have implications for vaccine development strategies.","author":[{"dropping-particle":"","family":"Meehan","given":"Mary","non-dropping-particle":"","parse-names":false,"suffix":""},{"dropping-particle":"","family":"Cunney","given":"Robert","non-dropping-particle":"","parse-names":false,"suffix":""},{"dropping-particle":"","family":"Cafferkey","given":"Mary","non-dropping-particle":"","parse-names":false,"suffix":""}],"container-title":"European journal of clinical microbiology &amp; infectious diseases : official publication of the European Society of Clinical Microbiology","edition":"2014/01/28","id":"ITEM-1","issue":"7","issued":{"date-parts":[["2014","7"]]},"page":"1155-1162","publisher-place":"Germany","title":"Molecular epidemiology of group B streptococci in Ireland reveals a diverse population with evidence of capsular switching","type":"article-journal","volume":"33"},"uris":["http://www.mendeley.com/documents/?uuid=432d6e7e-fd4e-4a41-936a-15a6a92bf581"]}],"mendeley":{"formattedCitation":"[43]","plainTextFormattedCitation":"[43]","previouslyFormattedCitation":"[43]"},"properties":{"noteIndex":0},"schema":"https://github.com/citation-style-language/schema/raw/master/csl-citation.json"}</w:instrText>
      </w:r>
      <w:r w:rsidR="009B22F7" w:rsidRPr="007D0473">
        <w:rPr>
          <w:rFonts w:ascii="Arial" w:hAnsi="Arial"/>
          <w:sz w:val="22"/>
          <w:szCs w:val="22"/>
        </w:rPr>
        <w:fldChar w:fldCharType="separate"/>
      </w:r>
      <w:r w:rsidR="001D09F3" w:rsidRPr="001D09F3">
        <w:rPr>
          <w:rFonts w:ascii="Arial" w:hAnsi="Arial"/>
          <w:noProof/>
          <w:sz w:val="22"/>
          <w:szCs w:val="22"/>
        </w:rPr>
        <w:t>[43]</w:t>
      </w:r>
      <w:r w:rsidR="009B22F7" w:rsidRPr="007D0473">
        <w:rPr>
          <w:rFonts w:ascii="Arial" w:hAnsi="Arial"/>
          <w:sz w:val="22"/>
          <w:szCs w:val="22"/>
        </w:rPr>
        <w:fldChar w:fldCharType="end"/>
      </w:r>
      <w:r w:rsidR="1AA9A494" w:rsidRPr="007D0473">
        <w:rPr>
          <w:rFonts w:ascii="Arial" w:hAnsi="Arial"/>
          <w:sz w:val="22"/>
          <w:szCs w:val="22"/>
        </w:rPr>
        <w:t>)</w:t>
      </w:r>
      <w:r w:rsidR="434DE540" w:rsidRPr="007D0473">
        <w:rPr>
          <w:rFonts w:ascii="Arial" w:hAnsi="Arial"/>
          <w:sz w:val="22"/>
          <w:szCs w:val="22"/>
        </w:rPr>
        <w:t xml:space="preserve">, </w:t>
      </w:r>
      <w:r w:rsidR="1CEB092F" w:rsidRPr="007D0473">
        <w:rPr>
          <w:rFonts w:ascii="Arial" w:hAnsi="Arial"/>
          <w:sz w:val="22"/>
          <w:szCs w:val="22"/>
        </w:rPr>
        <w:t xml:space="preserve">where </w:t>
      </w:r>
      <w:r w:rsidR="1AA9A494" w:rsidRPr="007D0473">
        <w:rPr>
          <w:rFonts w:ascii="Arial" w:hAnsi="Arial"/>
          <w:sz w:val="22"/>
          <w:szCs w:val="22"/>
        </w:rPr>
        <w:t>two SNPs, one in</w:t>
      </w:r>
      <w:r w:rsidR="00571191" w:rsidRPr="007D0473">
        <w:rPr>
          <w:rFonts w:ascii="Arial" w:hAnsi="Arial"/>
          <w:noProof/>
          <w:sz w:val="22"/>
          <w:szCs w:val="22"/>
        </w:rPr>
        <w:drawing>
          <wp:anchor distT="0" distB="0" distL="114300" distR="114300" simplePos="0" relativeHeight="251662336" behindDoc="1" locked="0" layoutInCell="1" allowOverlap="1" wp14:anchorId="12BE2B15" wp14:editId="24878EBC">
            <wp:simplePos x="0" y="0"/>
            <wp:positionH relativeFrom="column">
              <wp:posOffset>794385</wp:posOffset>
            </wp:positionH>
            <wp:positionV relativeFrom="paragraph">
              <wp:posOffset>517525</wp:posOffset>
            </wp:positionV>
            <wp:extent cx="5768340"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8340" cy="6350"/>
                    </a:xfrm>
                    <a:prstGeom prst="rect">
                      <a:avLst/>
                    </a:prstGeom>
                    <a:noFill/>
                  </pic:spPr>
                </pic:pic>
              </a:graphicData>
            </a:graphic>
            <wp14:sizeRelH relativeFrom="page">
              <wp14:pctWidth>0</wp14:pctWidth>
            </wp14:sizeRelH>
            <wp14:sizeRelV relativeFrom="page">
              <wp14:pctHeight>0</wp14:pctHeight>
            </wp14:sizeRelV>
          </wp:anchor>
        </w:drawing>
      </w:r>
      <w:r w:rsidR="1AA9A494" w:rsidRPr="007D0473">
        <w:rPr>
          <w:rFonts w:ascii="Arial" w:hAnsi="Arial"/>
          <w:sz w:val="22"/>
          <w:szCs w:val="22"/>
        </w:rPr>
        <w:t xml:space="preserve"> </w:t>
      </w:r>
      <w:bookmarkStart w:id="4" w:name="page13"/>
      <w:bookmarkEnd w:id="4"/>
      <w:r w:rsidR="1AA9A494" w:rsidRPr="007D0473">
        <w:rPr>
          <w:rFonts w:ascii="Arial" w:hAnsi="Arial"/>
          <w:sz w:val="22"/>
          <w:szCs w:val="22"/>
        </w:rPr>
        <w:t xml:space="preserve">each of the </w:t>
      </w:r>
      <w:proofErr w:type="spellStart"/>
      <w:r w:rsidR="1AA9A494" w:rsidRPr="007D0473">
        <w:rPr>
          <w:rFonts w:ascii="Arial" w:hAnsi="Arial"/>
          <w:i/>
          <w:iCs/>
          <w:sz w:val="22"/>
          <w:szCs w:val="22"/>
        </w:rPr>
        <w:t>cpsE</w:t>
      </w:r>
      <w:proofErr w:type="spellEnd"/>
      <w:r w:rsidR="1AA9A494" w:rsidRPr="007D0473">
        <w:rPr>
          <w:rFonts w:ascii="Arial" w:hAnsi="Arial"/>
          <w:sz w:val="22"/>
          <w:szCs w:val="22"/>
        </w:rPr>
        <w:t xml:space="preserve"> and </w:t>
      </w:r>
      <w:proofErr w:type="spellStart"/>
      <w:r w:rsidR="1AA9A494" w:rsidRPr="007D0473">
        <w:rPr>
          <w:rFonts w:ascii="Arial" w:hAnsi="Arial"/>
          <w:i/>
          <w:iCs/>
          <w:sz w:val="22"/>
          <w:szCs w:val="22"/>
        </w:rPr>
        <w:t>cpsF</w:t>
      </w:r>
      <w:proofErr w:type="spellEnd"/>
      <w:r w:rsidR="1AA9A494" w:rsidRPr="007D0473">
        <w:rPr>
          <w:rFonts w:ascii="Arial" w:hAnsi="Arial"/>
          <w:sz w:val="22"/>
          <w:szCs w:val="22"/>
        </w:rPr>
        <w:t xml:space="preserve"> genes (PHEGBS0476) were observed (</w:t>
      </w:r>
      <w:r w:rsidR="1AA9A494" w:rsidRPr="007D0473">
        <w:rPr>
          <w:rFonts w:ascii="Arial" w:hAnsi="Arial"/>
          <w:b/>
          <w:bCs/>
          <w:sz w:val="22"/>
          <w:szCs w:val="22"/>
        </w:rPr>
        <w:t xml:space="preserve">Figure </w:t>
      </w:r>
      <w:r w:rsidR="434DE540" w:rsidRPr="007D0473">
        <w:rPr>
          <w:rFonts w:ascii="Arial" w:hAnsi="Arial"/>
          <w:b/>
          <w:bCs/>
          <w:sz w:val="22"/>
          <w:szCs w:val="22"/>
        </w:rPr>
        <w:t>S</w:t>
      </w:r>
      <w:r w:rsidR="1AA9A494" w:rsidRPr="007D0473">
        <w:rPr>
          <w:rFonts w:ascii="Arial" w:hAnsi="Arial"/>
          <w:b/>
          <w:bCs/>
          <w:sz w:val="22"/>
          <w:szCs w:val="22"/>
        </w:rPr>
        <w:t>3</w:t>
      </w:r>
      <w:r w:rsidR="1AA9A494" w:rsidRPr="007D0473">
        <w:rPr>
          <w:rFonts w:ascii="Arial" w:hAnsi="Arial"/>
          <w:sz w:val="22"/>
          <w:szCs w:val="22"/>
        </w:rPr>
        <w:t>).</w:t>
      </w:r>
      <w:r w:rsidR="0EA89DCB" w:rsidRPr="007D0473">
        <w:rPr>
          <w:rFonts w:ascii="Arial" w:hAnsi="Arial"/>
          <w:sz w:val="22"/>
          <w:szCs w:val="22"/>
        </w:rPr>
        <w:t xml:space="preserve"> </w:t>
      </w:r>
    </w:p>
    <w:p w14:paraId="17CB8457" w14:textId="269C8C34" w:rsidR="00261B3C" w:rsidRPr="007D0473" w:rsidRDefault="00261B3C" w:rsidP="00DB7C46">
      <w:pPr>
        <w:spacing w:before="120" w:after="120" w:line="480" w:lineRule="auto"/>
        <w:rPr>
          <w:rFonts w:ascii="Arial" w:hAnsi="Arial"/>
          <w:sz w:val="22"/>
          <w:szCs w:val="22"/>
        </w:rPr>
      </w:pPr>
    </w:p>
    <w:p w14:paraId="13359F6E" w14:textId="173EB49B" w:rsidR="00EF6E73" w:rsidRPr="007D0473" w:rsidRDefault="00C72DF2" w:rsidP="00DB7C46">
      <w:pPr>
        <w:spacing w:before="120" w:after="120" w:line="480" w:lineRule="auto"/>
        <w:rPr>
          <w:rFonts w:ascii="Arial" w:hAnsi="Arial"/>
          <w:sz w:val="22"/>
          <w:szCs w:val="22"/>
        </w:rPr>
      </w:pPr>
      <w:r w:rsidRPr="007D0473">
        <w:rPr>
          <w:rFonts w:ascii="Arial" w:hAnsi="Arial"/>
          <w:sz w:val="22"/>
          <w:szCs w:val="22"/>
        </w:rPr>
        <w:t xml:space="preserve">We have noted that three ST498 (CC23) isolates were serotypes </w:t>
      </w:r>
      <w:proofErr w:type="spellStart"/>
      <w:r w:rsidRPr="007D0473">
        <w:rPr>
          <w:rFonts w:ascii="Arial" w:hAnsi="Arial"/>
          <w:sz w:val="22"/>
          <w:szCs w:val="22"/>
        </w:rPr>
        <w:t>I</w:t>
      </w:r>
      <w:r w:rsidR="002D62E8" w:rsidRPr="007D0473">
        <w:rPr>
          <w:rFonts w:ascii="Arial" w:hAnsi="Arial"/>
          <w:sz w:val="22"/>
          <w:szCs w:val="22"/>
        </w:rPr>
        <w:t>a</w:t>
      </w:r>
      <w:proofErr w:type="spellEnd"/>
      <w:r w:rsidRPr="007D0473">
        <w:rPr>
          <w:rFonts w:ascii="Arial" w:hAnsi="Arial"/>
          <w:sz w:val="22"/>
          <w:szCs w:val="22"/>
        </w:rPr>
        <w:t xml:space="preserve"> (n=1</w:t>
      </w:r>
      <w:r w:rsidR="002D62E8" w:rsidRPr="007D0473">
        <w:rPr>
          <w:rFonts w:ascii="Arial" w:hAnsi="Arial"/>
          <w:sz w:val="22"/>
          <w:szCs w:val="22"/>
        </w:rPr>
        <w:t>, most common serotype within CC23</w:t>
      </w:r>
      <w:r w:rsidRPr="007D0473">
        <w:rPr>
          <w:rFonts w:ascii="Arial" w:hAnsi="Arial"/>
          <w:sz w:val="22"/>
          <w:szCs w:val="22"/>
        </w:rPr>
        <w:t xml:space="preserve">) and V(n=2). </w:t>
      </w:r>
      <w:r w:rsidR="006C4C35" w:rsidRPr="007D0473">
        <w:rPr>
          <w:rFonts w:ascii="Arial" w:hAnsi="Arial"/>
          <w:sz w:val="22"/>
          <w:szCs w:val="22"/>
        </w:rPr>
        <w:t xml:space="preserve">Further genomic investigation of the two serotype V isolates identified </w:t>
      </w:r>
      <w:r w:rsidR="006D6FB9" w:rsidRPr="007D0473">
        <w:rPr>
          <w:rFonts w:ascii="Arial" w:hAnsi="Arial"/>
          <w:sz w:val="22"/>
          <w:szCs w:val="22"/>
        </w:rPr>
        <w:t xml:space="preserve">large </w:t>
      </w:r>
      <w:r w:rsidR="006C4C35" w:rsidRPr="007D0473">
        <w:rPr>
          <w:rFonts w:ascii="Arial" w:hAnsi="Arial"/>
          <w:sz w:val="22"/>
          <w:szCs w:val="22"/>
        </w:rPr>
        <w:t xml:space="preserve">recombination blocks </w:t>
      </w:r>
      <w:r w:rsidR="006D6FB9" w:rsidRPr="007D0473">
        <w:rPr>
          <w:rFonts w:ascii="Arial" w:hAnsi="Arial"/>
          <w:sz w:val="22"/>
          <w:szCs w:val="22"/>
        </w:rPr>
        <w:t xml:space="preserve">(353kb in isolate PHEGBS0337 and 352kb in PHEGBS0630) </w:t>
      </w:r>
      <w:r w:rsidR="006C4C35" w:rsidRPr="007D0473">
        <w:rPr>
          <w:rFonts w:ascii="Arial" w:hAnsi="Arial"/>
          <w:sz w:val="22"/>
          <w:szCs w:val="22"/>
        </w:rPr>
        <w:t xml:space="preserve">that were spanning across the whole capsular locus indicating a potential capsular switch between serotype </w:t>
      </w:r>
      <w:proofErr w:type="spellStart"/>
      <w:r w:rsidR="006C4C35" w:rsidRPr="007D0473">
        <w:rPr>
          <w:rFonts w:ascii="Arial" w:hAnsi="Arial"/>
          <w:sz w:val="22"/>
          <w:szCs w:val="22"/>
        </w:rPr>
        <w:t>Ia</w:t>
      </w:r>
      <w:proofErr w:type="spellEnd"/>
      <w:r w:rsidR="006C4C35" w:rsidRPr="007D0473">
        <w:rPr>
          <w:rFonts w:ascii="Arial" w:hAnsi="Arial"/>
          <w:sz w:val="22"/>
          <w:szCs w:val="22"/>
        </w:rPr>
        <w:t xml:space="preserve"> and V (</w:t>
      </w:r>
      <w:r w:rsidR="006C4C35" w:rsidRPr="007D0473">
        <w:rPr>
          <w:rFonts w:ascii="Arial" w:hAnsi="Arial"/>
          <w:b/>
          <w:bCs/>
          <w:sz w:val="22"/>
          <w:szCs w:val="22"/>
        </w:rPr>
        <w:t>Figure 4e</w:t>
      </w:r>
      <w:r w:rsidR="006C4C35" w:rsidRPr="007D0473">
        <w:rPr>
          <w:rFonts w:ascii="Arial" w:hAnsi="Arial"/>
          <w:sz w:val="22"/>
          <w:szCs w:val="22"/>
        </w:rPr>
        <w:t xml:space="preserve">). </w:t>
      </w:r>
      <w:r w:rsidR="7116C95E" w:rsidRPr="007D0473">
        <w:rPr>
          <w:rFonts w:ascii="Arial" w:hAnsi="Arial"/>
          <w:sz w:val="22"/>
          <w:szCs w:val="22"/>
        </w:rPr>
        <w:t xml:space="preserve">Investigation of </w:t>
      </w:r>
      <w:r w:rsidR="1AA9A494" w:rsidRPr="007D0473">
        <w:rPr>
          <w:rFonts w:ascii="Arial" w:hAnsi="Arial"/>
          <w:sz w:val="22"/>
          <w:szCs w:val="22"/>
        </w:rPr>
        <w:t xml:space="preserve">potential recombination events between five serotype V ST19 isolates (PHEGBS139, PHEGBS595, PHEGBS608, PHEGBS657 and PHEGBS738), which </w:t>
      </w:r>
      <w:r w:rsidR="71CE6818" w:rsidRPr="007D0473">
        <w:rPr>
          <w:rFonts w:ascii="Arial" w:hAnsi="Arial"/>
          <w:sz w:val="22"/>
          <w:szCs w:val="22"/>
        </w:rPr>
        <w:t xml:space="preserve">formed a cluster in the CC19 </w:t>
      </w:r>
      <w:r w:rsidR="10C322E0" w:rsidRPr="007D0473">
        <w:rPr>
          <w:rFonts w:ascii="Arial" w:hAnsi="Arial"/>
          <w:sz w:val="22"/>
          <w:szCs w:val="22"/>
        </w:rPr>
        <w:t>clade</w:t>
      </w:r>
      <w:r w:rsidR="1AA9A494" w:rsidRPr="007D0473">
        <w:rPr>
          <w:rFonts w:ascii="Arial" w:hAnsi="Arial"/>
          <w:sz w:val="22"/>
          <w:szCs w:val="22"/>
        </w:rPr>
        <w:t xml:space="preserve"> (</w:t>
      </w:r>
      <w:r w:rsidR="1AA9A494" w:rsidRPr="007D0473">
        <w:rPr>
          <w:rFonts w:ascii="Arial" w:hAnsi="Arial"/>
          <w:b/>
          <w:bCs/>
          <w:sz w:val="22"/>
          <w:szCs w:val="22"/>
        </w:rPr>
        <w:t xml:space="preserve">Figure </w:t>
      </w:r>
      <w:r w:rsidR="71CE6818" w:rsidRPr="007D0473">
        <w:rPr>
          <w:rFonts w:ascii="Arial" w:hAnsi="Arial"/>
          <w:b/>
          <w:bCs/>
          <w:sz w:val="22"/>
          <w:szCs w:val="22"/>
        </w:rPr>
        <w:t>3</w:t>
      </w:r>
      <w:r w:rsidR="3FE1CE9F" w:rsidRPr="007D0473">
        <w:rPr>
          <w:rFonts w:ascii="Arial" w:hAnsi="Arial"/>
          <w:b/>
          <w:bCs/>
          <w:sz w:val="22"/>
          <w:szCs w:val="22"/>
        </w:rPr>
        <w:t>d</w:t>
      </w:r>
      <w:r w:rsidR="1AA9A494" w:rsidRPr="007D0473">
        <w:rPr>
          <w:rFonts w:ascii="Arial" w:hAnsi="Arial"/>
          <w:sz w:val="22"/>
          <w:szCs w:val="22"/>
        </w:rPr>
        <w:t>)</w:t>
      </w:r>
      <w:r w:rsidR="06AF7FCA" w:rsidRPr="007D0473">
        <w:rPr>
          <w:rFonts w:ascii="Arial" w:hAnsi="Arial"/>
          <w:sz w:val="22"/>
          <w:szCs w:val="22"/>
        </w:rPr>
        <w:t xml:space="preserve">. </w:t>
      </w:r>
      <w:r w:rsidR="20AD1D9E" w:rsidRPr="007D0473">
        <w:rPr>
          <w:rFonts w:ascii="Arial" w:hAnsi="Arial"/>
          <w:sz w:val="22"/>
          <w:szCs w:val="22"/>
        </w:rPr>
        <w:t>These</w:t>
      </w:r>
      <w:r w:rsidR="06AF7FCA" w:rsidRPr="007D0473">
        <w:rPr>
          <w:rFonts w:ascii="Arial" w:hAnsi="Arial"/>
          <w:sz w:val="22"/>
          <w:szCs w:val="22"/>
        </w:rPr>
        <w:t xml:space="preserve"> isolates</w:t>
      </w:r>
      <w:r w:rsidR="4938871A" w:rsidRPr="007D0473">
        <w:rPr>
          <w:rFonts w:ascii="Arial" w:hAnsi="Arial"/>
          <w:sz w:val="22"/>
          <w:szCs w:val="22"/>
        </w:rPr>
        <w:t xml:space="preserve"> were compared to </w:t>
      </w:r>
      <w:r w:rsidR="06AF7FCA" w:rsidRPr="007D0473">
        <w:rPr>
          <w:rFonts w:ascii="Arial" w:hAnsi="Arial"/>
          <w:sz w:val="22"/>
          <w:szCs w:val="22"/>
        </w:rPr>
        <w:t>a serotype III ST19 reference</w:t>
      </w:r>
      <w:r w:rsidR="2FBBAE90" w:rsidRPr="007D0473">
        <w:rPr>
          <w:rFonts w:ascii="Arial" w:hAnsi="Arial"/>
          <w:sz w:val="22"/>
          <w:szCs w:val="22"/>
        </w:rPr>
        <w:t xml:space="preserve">. </w:t>
      </w:r>
      <w:r w:rsidR="76D42A0D" w:rsidRPr="007D0473">
        <w:rPr>
          <w:rFonts w:ascii="Arial" w:hAnsi="Arial"/>
          <w:sz w:val="22"/>
          <w:szCs w:val="22"/>
        </w:rPr>
        <w:t>R</w:t>
      </w:r>
      <w:r w:rsidR="1AA9A494" w:rsidRPr="007D0473">
        <w:rPr>
          <w:rFonts w:ascii="Arial" w:hAnsi="Arial"/>
          <w:sz w:val="22"/>
          <w:szCs w:val="22"/>
        </w:rPr>
        <w:t xml:space="preserve">ecombinant DNA regions </w:t>
      </w:r>
      <w:r w:rsidR="0DC702A8" w:rsidRPr="007D0473">
        <w:rPr>
          <w:rFonts w:ascii="Arial" w:hAnsi="Arial"/>
          <w:sz w:val="22"/>
          <w:szCs w:val="22"/>
        </w:rPr>
        <w:t xml:space="preserve">identified </w:t>
      </w:r>
      <w:r w:rsidR="1AA9A494" w:rsidRPr="007D0473">
        <w:rPr>
          <w:rFonts w:ascii="Arial" w:hAnsi="Arial"/>
          <w:sz w:val="22"/>
          <w:szCs w:val="22"/>
        </w:rPr>
        <w:t>includ</w:t>
      </w:r>
      <w:r w:rsidR="00F083B1" w:rsidRPr="007D0473">
        <w:rPr>
          <w:rFonts w:ascii="Arial" w:hAnsi="Arial"/>
          <w:sz w:val="22"/>
          <w:szCs w:val="22"/>
        </w:rPr>
        <w:t>ed</w:t>
      </w:r>
      <w:r w:rsidR="1AA9A494" w:rsidRPr="007D0473">
        <w:rPr>
          <w:rFonts w:ascii="Arial" w:hAnsi="Arial"/>
          <w:sz w:val="22"/>
          <w:szCs w:val="22"/>
        </w:rPr>
        <w:t xml:space="preserve"> </w:t>
      </w:r>
      <w:proofErr w:type="spellStart"/>
      <w:r w:rsidR="1AA9A494" w:rsidRPr="007D0473">
        <w:rPr>
          <w:rFonts w:ascii="Arial" w:hAnsi="Arial"/>
          <w:i/>
          <w:iCs/>
          <w:sz w:val="22"/>
          <w:szCs w:val="22"/>
        </w:rPr>
        <w:t>cps</w:t>
      </w:r>
      <w:r w:rsidR="1AA9A494" w:rsidRPr="007D0473">
        <w:rPr>
          <w:rFonts w:ascii="Arial" w:hAnsi="Arial"/>
          <w:sz w:val="22"/>
          <w:szCs w:val="22"/>
        </w:rPr>
        <w:t>V</w:t>
      </w:r>
      <w:proofErr w:type="spellEnd"/>
      <w:r w:rsidR="1AA9A494" w:rsidRPr="007D0473">
        <w:rPr>
          <w:rFonts w:ascii="Arial" w:hAnsi="Arial"/>
          <w:sz w:val="22"/>
          <w:szCs w:val="22"/>
        </w:rPr>
        <w:t xml:space="preserve"> locus in PHEGBS139, PHEGBS595, PHEGBS608 </w:t>
      </w:r>
      <w:r w:rsidR="296C2837" w:rsidRPr="007D0473">
        <w:rPr>
          <w:rFonts w:ascii="Arial" w:hAnsi="Arial"/>
          <w:sz w:val="22"/>
          <w:szCs w:val="22"/>
        </w:rPr>
        <w:t>of</w:t>
      </w:r>
      <w:r w:rsidR="1AA9A494" w:rsidRPr="007D0473">
        <w:rPr>
          <w:rFonts w:ascii="Arial" w:hAnsi="Arial"/>
          <w:sz w:val="22"/>
          <w:szCs w:val="22"/>
        </w:rPr>
        <w:t xml:space="preserve"> 301 kb</w:t>
      </w:r>
      <w:r w:rsidR="02C52683" w:rsidRPr="007D0473">
        <w:rPr>
          <w:rFonts w:ascii="Arial" w:hAnsi="Arial"/>
          <w:sz w:val="22"/>
          <w:szCs w:val="22"/>
        </w:rPr>
        <w:t xml:space="preserve"> in size</w:t>
      </w:r>
      <w:r w:rsidR="63C17348" w:rsidRPr="007D0473">
        <w:rPr>
          <w:rFonts w:ascii="Arial" w:hAnsi="Arial"/>
          <w:sz w:val="22"/>
          <w:szCs w:val="22"/>
        </w:rPr>
        <w:t xml:space="preserve"> and in</w:t>
      </w:r>
      <w:r w:rsidR="1AA9A494" w:rsidRPr="007D0473">
        <w:rPr>
          <w:rFonts w:ascii="Arial" w:hAnsi="Arial"/>
          <w:sz w:val="22"/>
          <w:szCs w:val="22"/>
        </w:rPr>
        <w:t xml:space="preserve"> PHEGBS657 and PHEGBS738 </w:t>
      </w:r>
      <w:r w:rsidR="3B037550" w:rsidRPr="007D0473">
        <w:rPr>
          <w:rFonts w:ascii="Arial" w:hAnsi="Arial"/>
          <w:sz w:val="22"/>
          <w:szCs w:val="22"/>
        </w:rPr>
        <w:t xml:space="preserve">acquisition of </w:t>
      </w:r>
      <w:r w:rsidR="1AA9A494" w:rsidRPr="007D0473">
        <w:rPr>
          <w:rFonts w:ascii="Arial" w:hAnsi="Arial"/>
          <w:sz w:val="22"/>
          <w:szCs w:val="22"/>
        </w:rPr>
        <w:t>334 kb and 344 kb</w:t>
      </w:r>
      <w:r w:rsidR="3DCB5841" w:rsidRPr="007D0473">
        <w:rPr>
          <w:rFonts w:ascii="Arial" w:hAnsi="Arial"/>
          <w:sz w:val="22"/>
          <w:szCs w:val="22"/>
        </w:rPr>
        <w:t xml:space="preserve"> </w:t>
      </w:r>
      <w:r w:rsidR="3DCB5841" w:rsidRPr="007D0473">
        <w:rPr>
          <w:rFonts w:ascii="Arial" w:hAnsi="Arial"/>
          <w:sz w:val="22"/>
          <w:szCs w:val="22"/>
        </w:rPr>
        <w:lastRenderedPageBreak/>
        <w:t>regions</w:t>
      </w:r>
      <w:r w:rsidR="1AA9A494" w:rsidRPr="007D0473">
        <w:rPr>
          <w:rFonts w:ascii="Arial" w:hAnsi="Arial"/>
          <w:sz w:val="22"/>
          <w:szCs w:val="22"/>
        </w:rPr>
        <w:t xml:space="preserve"> respectively</w:t>
      </w:r>
      <w:r w:rsidR="06AF7FCA" w:rsidRPr="007D0473">
        <w:rPr>
          <w:rFonts w:ascii="Arial" w:hAnsi="Arial"/>
          <w:sz w:val="22"/>
          <w:szCs w:val="22"/>
        </w:rPr>
        <w:t xml:space="preserve"> (</w:t>
      </w:r>
      <w:r w:rsidR="06AF7FCA" w:rsidRPr="007D0473">
        <w:rPr>
          <w:rFonts w:ascii="Arial" w:hAnsi="Arial"/>
          <w:b/>
          <w:bCs/>
          <w:sz w:val="22"/>
          <w:szCs w:val="22"/>
        </w:rPr>
        <w:t>Figure S2b</w:t>
      </w:r>
      <w:r w:rsidR="06AF7FCA" w:rsidRPr="007D0473">
        <w:rPr>
          <w:rFonts w:ascii="Arial" w:hAnsi="Arial"/>
          <w:sz w:val="22"/>
          <w:szCs w:val="22"/>
        </w:rPr>
        <w:t>)</w:t>
      </w:r>
      <w:r w:rsidR="1AA9A494" w:rsidRPr="007D0473">
        <w:rPr>
          <w:rFonts w:ascii="Arial" w:hAnsi="Arial"/>
          <w:sz w:val="22"/>
          <w:szCs w:val="22"/>
        </w:rPr>
        <w:t xml:space="preserve">. </w:t>
      </w:r>
      <w:r w:rsidR="00EF6E73" w:rsidRPr="007D0473">
        <w:rPr>
          <w:rFonts w:ascii="Arial" w:hAnsi="Arial"/>
          <w:sz w:val="22"/>
          <w:szCs w:val="22"/>
        </w:rPr>
        <w:t xml:space="preserve">We have not detected any of the transposons present in close vicinity of the identified recombination blocks </w:t>
      </w:r>
      <w:r w:rsidR="00E678F5" w:rsidRPr="007D0473">
        <w:rPr>
          <w:rFonts w:ascii="Arial" w:hAnsi="Arial"/>
          <w:sz w:val="22"/>
          <w:szCs w:val="22"/>
        </w:rPr>
        <w:t xml:space="preserve">within capsular region </w:t>
      </w:r>
      <w:r w:rsidR="00EF6E73" w:rsidRPr="007D0473">
        <w:rPr>
          <w:rFonts w:ascii="Arial" w:hAnsi="Arial"/>
          <w:sz w:val="22"/>
          <w:szCs w:val="22"/>
        </w:rPr>
        <w:t>in any of the isolates analysed</w:t>
      </w:r>
      <w:r w:rsidR="00826037" w:rsidRPr="007D0473">
        <w:rPr>
          <w:rFonts w:ascii="Arial" w:hAnsi="Arial"/>
          <w:sz w:val="22"/>
          <w:szCs w:val="22"/>
        </w:rPr>
        <w:t xml:space="preserve"> in this study. </w:t>
      </w:r>
    </w:p>
    <w:p w14:paraId="15726010" w14:textId="77777777" w:rsidR="00EF6E73" w:rsidRPr="007D0473" w:rsidRDefault="00EF6E73" w:rsidP="00DB7C46">
      <w:pPr>
        <w:spacing w:before="120" w:after="120" w:line="480" w:lineRule="auto"/>
        <w:rPr>
          <w:rFonts w:ascii="Arial" w:hAnsi="Arial"/>
          <w:sz w:val="22"/>
          <w:szCs w:val="22"/>
        </w:rPr>
      </w:pPr>
    </w:p>
    <w:p w14:paraId="0AC6FDC8" w14:textId="77777777" w:rsidR="00034138" w:rsidRPr="007D0473" w:rsidRDefault="00034138" w:rsidP="00DB7C46">
      <w:pPr>
        <w:spacing w:before="120" w:after="120" w:line="480" w:lineRule="auto"/>
        <w:rPr>
          <w:rFonts w:ascii="Arial" w:hAnsi="Arial"/>
          <w:b/>
          <w:bCs/>
          <w:sz w:val="22"/>
          <w:szCs w:val="22"/>
        </w:rPr>
      </w:pPr>
    </w:p>
    <w:p w14:paraId="5B8866B4" w14:textId="5986285B" w:rsidR="00571191" w:rsidRPr="007D0473" w:rsidRDefault="0E0CED43" w:rsidP="00DB7C46">
      <w:pPr>
        <w:spacing w:before="120" w:after="120" w:line="480" w:lineRule="auto"/>
        <w:rPr>
          <w:rFonts w:ascii="Arial" w:hAnsi="Arial"/>
          <w:b/>
          <w:bCs/>
          <w:sz w:val="22"/>
          <w:szCs w:val="22"/>
        </w:rPr>
      </w:pPr>
      <w:r w:rsidRPr="007D0473">
        <w:rPr>
          <w:rFonts w:ascii="Arial" w:hAnsi="Arial"/>
          <w:b/>
          <w:bCs/>
          <w:sz w:val="22"/>
          <w:szCs w:val="22"/>
        </w:rPr>
        <w:t>Discussion</w:t>
      </w:r>
    </w:p>
    <w:p w14:paraId="1AD8E641" w14:textId="5CE1D448" w:rsidR="00B87E22" w:rsidRPr="007D0473" w:rsidRDefault="2AB8A17C" w:rsidP="00DB7C46">
      <w:pPr>
        <w:spacing w:before="120" w:after="120" w:line="480" w:lineRule="auto"/>
        <w:rPr>
          <w:rFonts w:ascii="Arial" w:hAnsi="Arial"/>
          <w:sz w:val="22"/>
          <w:szCs w:val="22"/>
        </w:rPr>
      </w:pPr>
      <w:r w:rsidRPr="007D0473">
        <w:rPr>
          <w:rFonts w:ascii="Arial" w:hAnsi="Arial"/>
          <w:sz w:val="22"/>
          <w:szCs w:val="22"/>
        </w:rPr>
        <w:t xml:space="preserve">Previous reports note an increase of GBS infections in adults between 1991-2010 and 2015-2016 in England and Wales </w:t>
      </w:r>
      <w:r w:rsidR="00571191" w:rsidRPr="007D0473">
        <w:rPr>
          <w:rFonts w:ascii="Arial" w:hAnsi="Arial"/>
          <w:sz w:val="22"/>
          <w:szCs w:val="22"/>
        </w:rPr>
        <w:fldChar w:fldCharType="begin" w:fldLock="1"/>
      </w:r>
      <w:r w:rsidR="00571191" w:rsidRPr="007D0473">
        <w:rPr>
          <w:rFonts w:ascii="Arial" w:hAnsi="Arial"/>
          <w:sz w:val="22"/>
          <w:szCs w:val="22"/>
        </w:rPr>
        <w:instrText>ADDIN CSL_CITATION {"citationItems":[{"id":"ITEM-1","itemData":{"DOI":"10.1093/cid/cit337","ISBN":"1058-4838","ISSN":"10584838","PMID":"23845950","abstract":"Background. Few cross-population studies examining the epidemiology of invasive group B streptococcal (GBS) disease have been undertaken. To identify longitudinal trends in the burden and characteristics of infections, national surveillance data on diagnoses in England and Wales from 1991 to 2010 were analyzed. Methods. A parallel review of laboratory-confirmed invasive GBS infection surveillance reports and isolates submitted to the national reference laboratory was undertaken. Cases were defined as GBS isolated from a normally sterile site. Results. A total of 21 386 reports of invasive GBS infection were made between 1991 and 2010. The annual rate of reports doubled over the 20 years from 1.48 to 2.99 per 100 000 population. Significant increases were seen in all age groups but most pronounced in adults. Rates of early-onset (0-6 days) infant disease fluctuated but showed a general rise between 2000 and 2010 from 0.28 to 0.41 per 1000 live births. Rates of late-onset (7-90 days) disease increased steadily between 1991 and 2010 from 0.11 to 0.29 per 1000 live births. Resistance to erythromycin increased markedly from 2.5% in 1991 to 15% in 2010. The distribution of serotypes varied according to patient age and over time with type III increasing among early-onset cases and decreasing in adults. Conclusions. Although risk of invasive GBS infection remains highest within the first few days of life, the relative burden of disease is shifting toward adults. The rise in incidence and antibiotic resistance makes development of an effective and safe vaccine all the more pressing.","author":[{"dropping-particle":"","family":"Lamagni","given":"Theresa L.","non-dropping-particle":"","parse-names":false,"suffix":""},{"dropping-particle":"","family":"Keshishian","given":"Catherine","non-dropping-particle":"","parse-names":false,"suffix":""},{"dropping-particle":"","family":"Efstratiou","given":"Androulla","non-dropping-particle":"","parse-names":false,"suffix":""},{"dropping-particle":"","family":"Guy","given":"Rebecca","non-dropping-particle":"","parse-names":false,"suffix":""},{"dropping-particle":"","family":"Henderson","given":"Katherine L.","non-dropping-particle":"","parse-names":false,"suffix":""},{"dropping-particle":"","family":"Broughton","given":"Karen","non-dropping-particle":"","parse-names":false,"suffix":""},{"dropping-particle":"","family":"Sheridan","given":"Elizabeth","non-dropping-particle":"","parse-names":false,"suffix":""}],"container-title":"Clinical Infectious Diseases","id":"ITEM-1","issued":{"date-parts":[["2013"]]},"title":"Emerging trends in the epidemiology of invasive group B streptococcal disease in England and Wales, 1991-2010","type":"article-journal"},"uris":["http://www.mendeley.com/documents/?uuid=0f29b287-14ba-4a76-a32e-11422d042df3"]},{"id":"ITEM-2","itemData":{"DOI":"10.3201/EID2606.191141","ISSN":"10806059","abstract":"During 2015-2016, a total of 3,156 episodes of invasive group B Streptococcus (iGBS) infection in adults (&gt;15 years of age) were recorded in England, corresponding to an annual incidence of 3.48/100,000 population. iGBS incidence was highest in older patients and women of childbearing age. The 493 pregnancy-related iGBS episodes correspond to a rate of 1.34/10,000 live births. In adults up to 60-69 years of age and in pregnant women, iGBS incidence increased with higher levels of socioeconomic deprivation. Hospital admissions associated with iGBS were predominantly emergency admissions (73% [2,260/3,099]); only 7% of nonpregnancy iGBS diagnoses were made &gt;48 hours after admission. Underlying conditions were highly prevalent in nonpregnant adult case-patients, including cardiovascular (57%), lung (43%), and kidney (45%) disease and diabetes (40%). Post-iGBS episode 30-day and 12-month all-cause mortality rates in nonpregnant adults were 12% and 24%, respectively. No pregnancy-related iGBS deaths were identified.","author":[{"dropping-particle":"","family":"Collin","given":"Simon M.","non-dropping-particle":"","parse-names":false,"suffix":""},{"dropping-particle":"","family":"Shetty","given":"Nandini","non-dropping-particle":"","parse-names":false,"suffix":""},{"dropping-particle":"","family":"Lamagni","given":"Theresa","non-dropping-particle":"","parse-names":false,"suffix":""}],"container-title":"Emerging Infectious Diseases","id":"ITEM-2","issue":"6","issued":{"date-parts":[["2020"]]},"title":"Invasive Group B streptococcus infections in adults, England, 2015-2016","type":"article-journal","volume":"26"},"uris":["http://www.mendeley.com/documents/?uuid=b717870e-8413-3a5c-a7b1-446d4928f9cf"]}],"mendeley":{"formattedCitation":"[3,5]","plainTextFormattedCitation":"[3,5]","previouslyFormattedCitation":"[3,5]"},"properties":{"noteIndex":0},"schema":"https://github.com/citation-style-language/schema/raw/master/csl-citation.json"}</w:instrText>
      </w:r>
      <w:r w:rsidR="00571191" w:rsidRPr="007D0473">
        <w:rPr>
          <w:rFonts w:ascii="Arial" w:hAnsi="Arial"/>
          <w:sz w:val="22"/>
          <w:szCs w:val="22"/>
        </w:rPr>
        <w:fldChar w:fldCharType="separate"/>
      </w:r>
      <w:r w:rsidRPr="007D0473">
        <w:rPr>
          <w:rFonts w:ascii="Arial" w:hAnsi="Arial"/>
          <w:noProof/>
          <w:sz w:val="22"/>
          <w:szCs w:val="22"/>
        </w:rPr>
        <w:t>[3,5]</w:t>
      </w:r>
      <w:r w:rsidR="00571191" w:rsidRPr="007D0473">
        <w:rPr>
          <w:rFonts w:ascii="Arial" w:hAnsi="Arial"/>
          <w:sz w:val="22"/>
          <w:szCs w:val="22"/>
        </w:rPr>
        <w:fldChar w:fldCharType="end"/>
      </w:r>
      <w:r w:rsidR="00934FC9" w:rsidRPr="007D0473">
        <w:rPr>
          <w:rFonts w:ascii="Arial" w:hAnsi="Arial"/>
          <w:sz w:val="22"/>
          <w:szCs w:val="22"/>
        </w:rPr>
        <w:t xml:space="preserve">. </w:t>
      </w:r>
      <w:r w:rsidR="00366023" w:rsidRPr="007D0473">
        <w:rPr>
          <w:rFonts w:ascii="Arial" w:hAnsi="Arial"/>
          <w:sz w:val="22"/>
          <w:szCs w:val="22"/>
        </w:rPr>
        <w:t>Our study</w:t>
      </w:r>
      <w:r w:rsidR="1AA9A494" w:rsidRPr="007D0473">
        <w:rPr>
          <w:rFonts w:ascii="Arial" w:hAnsi="Arial"/>
          <w:sz w:val="22"/>
          <w:szCs w:val="22"/>
        </w:rPr>
        <w:t xml:space="preserve"> demonstrates serotype and genotype distribution of GBS infections reported in adults between 2014 and 2015 in the UK. </w:t>
      </w:r>
      <w:bookmarkStart w:id="5" w:name="_Hlk80122661"/>
      <w:r w:rsidR="00FC5288" w:rsidRPr="007D0473">
        <w:rPr>
          <w:rFonts w:ascii="Arial" w:hAnsi="Arial"/>
          <w:sz w:val="22"/>
          <w:szCs w:val="22"/>
        </w:rPr>
        <w:t xml:space="preserve">Serotypes III, </w:t>
      </w:r>
      <w:proofErr w:type="spellStart"/>
      <w:r w:rsidR="00FC5288" w:rsidRPr="007D0473">
        <w:rPr>
          <w:rFonts w:ascii="Arial" w:hAnsi="Arial"/>
          <w:sz w:val="22"/>
          <w:szCs w:val="22"/>
        </w:rPr>
        <w:t>Ia</w:t>
      </w:r>
      <w:proofErr w:type="spellEnd"/>
      <w:r w:rsidR="00FC5288" w:rsidRPr="007D0473">
        <w:rPr>
          <w:rFonts w:ascii="Arial" w:hAnsi="Arial"/>
          <w:sz w:val="22"/>
          <w:szCs w:val="22"/>
        </w:rPr>
        <w:t xml:space="preserve"> and V predominate in this data set indicating no change in the three predominant serotypes the UK population since 2010</w:t>
      </w:r>
      <w:r w:rsidR="007721F3">
        <w:rPr>
          <w:rFonts w:ascii="Arial" w:hAnsi="Arial"/>
          <w:sz w:val="22"/>
          <w:szCs w:val="22"/>
        </w:rPr>
        <w:t xml:space="preserve"> </w:t>
      </w:r>
      <w:bookmarkEnd w:id="5"/>
      <w:r w:rsidR="00571191" w:rsidRPr="007D0473">
        <w:rPr>
          <w:rFonts w:ascii="Arial" w:hAnsi="Arial"/>
          <w:sz w:val="22"/>
          <w:szCs w:val="22"/>
        </w:rPr>
        <w:fldChar w:fldCharType="begin" w:fldLock="1"/>
      </w:r>
      <w:r w:rsidR="00571191" w:rsidRPr="007D0473">
        <w:rPr>
          <w:rFonts w:ascii="Arial" w:hAnsi="Arial"/>
          <w:sz w:val="22"/>
          <w:szCs w:val="22"/>
        </w:rPr>
        <w:instrText>ADDIN CSL_CITATION {"citationItems":[{"id":"ITEM-1","itemData":{"DOI":"10.1093/cid/cit337","ISBN":"1058-4838","ISSN":"10584838","PMID":"23845950","abstract":"Background. Few cross-population studies examining the epidemiology of invasive group B streptococcal (GBS) disease have been undertaken. To identify longitudinal trends in the burden and characteristics of infections, national surveillance data on diagnoses in England and Wales from 1991 to 2010 were analyzed. Methods. A parallel review of laboratory-confirmed invasive GBS infection surveillance reports and isolates submitted to the national reference laboratory was undertaken. Cases were defined as GBS isolated from a normally sterile site. Results. A total of 21 386 reports of invasive GBS infection were made between 1991 and 2010. The annual rate of reports doubled over the 20 years from 1.48 to 2.99 per 100 000 population. Significant increases were seen in all age groups but most pronounced in adults. Rates of early-onset (0-6 days) infant disease fluctuated but showed a general rise between 2000 and 2010 from 0.28 to 0.41 per 1000 live births. Rates of late-onset (7-90 days) disease increased steadily between 1991 and 2010 from 0.11 to 0.29 per 1000 live births. Resistance to erythromycin increased markedly from 2.5% in 1991 to 15% in 2010. The distribution of serotypes varied according to patient age and over time with type III increasing among early-onset cases and decreasing in adults. Conclusions. Although risk of invasive GBS infection remains highest within the first few days of life, the relative burden of disease is shifting toward adults. The rise in incidence and antibiotic resistance makes development of an effective and safe vaccine all the more pressing.","author":[{"dropping-particle":"","family":"Lamagni","given":"Theresa L.","non-dropping-particle":"","parse-names":false,"suffix":""},{"dropping-particle":"","family":"Keshishian","given":"Catherine","non-dropping-particle":"","parse-names":false,"suffix":""},{"dropping-particle":"","family":"Efstratiou","given":"Androulla","non-dropping-particle":"","parse-names":false,"suffix":""},{"dropping-particle":"","family":"Guy","given":"Rebecca","non-dropping-particle":"","parse-names":false,"suffix":""},{"dropping-particle":"","family":"Henderson","given":"Katherine L.","non-dropping-particle":"","parse-names":false,"suffix":""},{"dropping-particle":"","family":"Broughton","given":"Karen","non-dropping-particle":"","parse-names":false,"suffix":""},{"dropping-particle":"","family":"Sheridan","given":"Elizabeth","non-dropping-particle":"","parse-names":false,"suffix":""}],"container-title":"Clinical Infectious Diseases","id":"ITEM-1","issued":{"date-parts":[["2013"]]},"title":"Emerging trends in the epidemiology of invasive group B streptococcal disease in England and Wales, 1991-2010","type":"article-journal"},"uris":["http://www.mendeley.com/documents/?uuid=0f29b287-14ba-4a76-a32e-11422d042df3"]}],"mendeley":{"formattedCitation":"[3]","plainTextFormattedCitation":"[3]","previouslyFormattedCitation":"[3]"},"properties":{"noteIndex":0},"schema":"https://github.com/citation-style-language/schema/raw/master/csl-citation.json"}</w:instrText>
      </w:r>
      <w:r w:rsidR="00571191" w:rsidRPr="007D0473">
        <w:rPr>
          <w:rFonts w:ascii="Arial" w:hAnsi="Arial"/>
          <w:sz w:val="22"/>
          <w:szCs w:val="22"/>
        </w:rPr>
        <w:fldChar w:fldCharType="separate"/>
      </w:r>
      <w:r w:rsidR="7DD00E65" w:rsidRPr="007D0473">
        <w:rPr>
          <w:rFonts w:ascii="Arial" w:hAnsi="Arial"/>
          <w:noProof/>
          <w:sz w:val="22"/>
          <w:szCs w:val="22"/>
        </w:rPr>
        <w:t>[3]</w:t>
      </w:r>
      <w:r w:rsidR="00571191" w:rsidRPr="007D0473">
        <w:rPr>
          <w:rFonts w:ascii="Arial" w:hAnsi="Arial"/>
          <w:sz w:val="22"/>
          <w:szCs w:val="22"/>
        </w:rPr>
        <w:fldChar w:fldCharType="end"/>
      </w:r>
      <w:r w:rsidR="7DD00E65" w:rsidRPr="007D0473">
        <w:rPr>
          <w:rFonts w:ascii="Arial" w:hAnsi="Arial"/>
          <w:sz w:val="22"/>
          <w:szCs w:val="22"/>
        </w:rPr>
        <w:t>.</w:t>
      </w:r>
      <w:r w:rsidR="28275128" w:rsidRPr="007D0473">
        <w:rPr>
          <w:rFonts w:ascii="Arial" w:hAnsi="Arial"/>
          <w:sz w:val="22"/>
          <w:szCs w:val="22"/>
        </w:rPr>
        <w:t xml:space="preserve"> </w:t>
      </w:r>
      <w:r w:rsidR="164DD0D2" w:rsidRPr="007D0473">
        <w:rPr>
          <w:rFonts w:ascii="Arial" w:hAnsi="Arial"/>
          <w:sz w:val="22"/>
          <w:szCs w:val="22"/>
        </w:rPr>
        <w:t xml:space="preserve">Despite this, a high genomic diversity has been identified </w:t>
      </w:r>
      <w:r w:rsidR="1F7B2732" w:rsidRPr="007D0473">
        <w:rPr>
          <w:rFonts w:ascii="Arial" w:hAnsi="Arial"/>
          <w:sz w:val="22"/>
          <w:szCs w:val="22"/>
        </w:rPr>
        <w:t>with 47 different MLST genotypes determined, including 15 new STs</w:t>
      </w:r>
      <w:r w:rsidR="0CD47ABC" w:rsidRPr="007D0473">
        <w:rPr>
          <w:rFonts w:ascii="Arial" w:hAnsi="Arial"/>
          <w:sz w:val="22"/>
          <w:szCs w:val="22"/>
        </w:rPr>
        <w:t xml:space="preserve">, all clustering into five major clonal clusters </w:t>
      </w:r>
      <w:r w:rsidR="3720142E" w:rsidRPr="007D0473">
        <w:rPr>
          <w:rFonts w:ascii="Arial" w:hAnsi="Arial"/>
          <w:sz w:val="22"/>
          <w:szCs w:val="22"/>
        </w:rPr>
        <w:t xml:space="preserve">(CC1, CC8, CC17, CC19 and CC23) </w:t>
      </w:r>
      <w:r w:rsidR="0CD47ABC" w:rsidRPr="007D0473">
        <w:rPr>
          <w:rFonts w:ascii="Arial" w:hAnsi="Arial"/>
          <w:sz w:val="22"/>
          <w:szCs w:val="22"/>
        </w:rPr>
        <w:t xml:space="preserve">as expected. </w:t>
      </w:r>
      <w:r w:rsidR="4AFCD0BD" w:rsidRPr="007D0473">
        <w:rPr>
          <w:rFonts w:ascii="Arial" w:hAnsi="Arial"/>
          <w:sz w:val="22"/>
          <w:szCs w:val="22"/>
        </w:rPr>
        <w:t>Of importance, no</w:t>
      </w:r>
      <w:r w:rsidR="294E0F70" w:rsidRPr="007D0473">
        <w:rPr>
          <w:rFonts w:ascii="Arial" w:hAnsi="Arial"/>
          <w:sz w:val="22"/>
          <w:szCs w:val="22"/>
        </w:rPr>
        <w:t xml:space="preserve"> geographic or phylogenetic </w:t>
      </w:r>
      <w:r w:rsidR="4AFCD0BD" w:rsidRPr="007D0473">
        <w:rPr>
          <w:rFonts w:ascii="Arial" w:hAnsi="Arial"/>
          <w:sz w:val="22"/>
          <w:szCs w:val="22"/>
        </w:rPr>
        <w:t>clusters of isolates were noted indicating that in this limited dataset</w:t>
      </w:r>
      <w:r w:rsidR="00726445" w:rsidRPr="007D0473">
        <w:rPr>
          <w:rFonts w:ascii="Arial" w:hAnsi="Arial"/>
          <w:sz w:val="22"/>
          <w:szCs w:val="22"/>
        </w:rPr>
        <w:t xml:space="preserve"> </w:t>
      </w:r>
      <w:r w:rsidR="4AFCD0BD" w:rsidRPr="007D0473">
        <w:rPr>
          <w:rFonts w:ascii="Arial" w:hAnsi="Arial"/>
          <w:sz w:val="22"/>
          <w:szCs w:val="22"/>
        </w:rPr>
        <w:t>evidence of tran</w:t>
      </w:r>
      <w:r w:rsidR="08A08209" w:rsidRPr="007D0473">
        <w:rPr>
          <w:rFonts w:ascii="Arial" w:hAnsi="Arial"/>
          <w:sz w:val="22"/>
          <w:szCs w:val="22"/>
        </w:rPr>
        <w:t>s</w:t>
      </w:r>
      <w:r w:rsidR="4AFCD0BD" w:rsidRPr="007D0473">
        <w:rPr>
          <w:rFonts w:ascii="Arial" w:hAnsi="Arial"/>
          <w:sz w:val="22"/>
          <w:szCs w:val="22"/>
        </w:rPr>
        <w:t>mission events w</w:t>
      </w:r>
      <w:r w:rsidR="3ECFA938" w:rsidRPr="007D0473">
        <w:rPr>
          <w:rFonts w:ascii="Arial" w:hAnsi="Arial"/>
          <w:sz w:val="22"/>
          <w:szCs w:val="22"/>
        </w:rPr>
        <w:t>as</w:t>
      </w:r>
      <w:r w:rsidR="4AFCD0BD" w:rsidRPr="007D0473">
        <w:rPr>
          <w:rFonts w:ascii="Arial" w:hAnsi="Arial"/>
          <w:sz w:val="22"/>
          <w:szCs w:val="22"/>
        </w:rPr>
        <w:t xml:space="preserve"> not found. </w:t>
      </w:r>
    </w:p>
    <w:p w14:paraId="0E0608E8" w14:textId="77777777" w:rsidR="00642475" w:rsidRPr="007D0473" w:rsidRDefault="00642475" w:rsidP="00DB7C46">
      <w:pPr>
        <w:spacing w:before="120" w:after="120" w:line="480" w:lineRule="auto"/>
        <w:rPr>
          <w:rFonts w:ascii="Arial" w:hAnsi="Arial"/>
          <w:sz w:val="22"/>
          <w:szCs w:val="22"/>
        </w:rPr>
      </w:pPr>
    </w:p>
    <w:p w14:paraId="57EA232A" w14:textId="0D3BB51A" w:rsidR="00DF6852" w:rsidRDefault="16E0404F" w:rsidP="00DB7C46">
      <w:pPr>
        <w:spacing w:before="120" w:after="120" w:line="480" w:lineRule="auto"/>
        <w:rPr>
          <w:rFonts w:ascii="Arial" w:eastAsiaTheme="minorEastAsia" w:hAnsi="Arial"/>
          <w:sz w:val="22"/>
          <w:szCs w:val="22"/>
          <w:lang w:eastAsia="en-US"/>
        </w:rPr>
      </w:pPr>
      <w:r w:rsidRPr="007D0473">
        <w:rPr>
          <w:rFonts w:ascii="Arial" w:eastAsiaTheme="minorEastAsia" w:hAnsi="Arial"/>
          <w:sz w:val="22"/>
          <w:szCs w:val="22"/>
          <w:lang w:eastAsia="en-US"/>
        </w:rPr>
        <w:t xml:space="preserve">In this study, </w:t>
      </w:r>
      <w:r w:rsidR="0083336A">
        <w:rPr>
          <w:rFonts w:ascii="Arial" w:eastAsiaTheme="minorEastAsia" w:hAnsi="Arial"/>
          <w:sz w:val="22"/>
          <w:szCs w:val="22"/>
          <w:lang w:eastAsia="en-US"/>
        </w:rPr>
        <w:t xml:space="preserve">we have noted </w:t>
      </w:r>
      <w:r w:rsidR="00DF6852">
        <w:rPr>
          <w:rFonts w:ascii="Arial" w:eastAsiaTheme="minorEastAsia" w:hAnsi="Arial"/>
          <w:sz w:val="22"/>
          <w:szCs w:val="22"/>
          <w:lang w:eastAsia="en-US"/>
        </w:rPr>
        <w:t xml:space="preserve">four </w:t>
      </w:r>
      <w:r w:rsidR="67F2F4A1" w:rsidRPr="007D0473">
        <w:rPr>
          <w:rFonts w:ascii="Arial" w:eastAsiaTheme="minorEastAsia" w:hAnsi="Arial"/>
          <w:sz w:val="22"/>
          <w:szCs w:val="22"/>
          <w:lang w:eastAsia="en-US"/>
        </w:rPr>
        <w:t xml:space="preserve">potential </w:t>
      </w:r>
      <w:r w:rsidR="7B747F0F" w:rsidRPr="007D0473">
        <w:rPr>
          <w:rFonts w:ascii="Arial" w:eastAsiaTheme="minorEastAsia" w:hAnsi="Arial"/>
          <w:sz w:val="22"/>
          <w:szCs w:val="22"/>
          <w:lang w:eastAsia="en-US"/>
        </w:rPr>
        <w:t xml:space="preserve">capsular switching events involving </w:t>
      </w:r>
      <w:r w:rsidR="0083336A">
        <w:rPr>
          <w:rFonts w:ascii="Arial" w:eastAsiaTheme="minorEastAsia" w:hAnsi="Arial"/>
          <w:sz w:val="22"/>
          <w:szCs w:val="22"/>
          <w:lang w:eastAsia="en-US"/>
        </w:rPr>
        <w:t xml:space="preserve">isolates of </w:t>
      </w:r>
      <w:r w:rsidR="703DABB7" w:rsidRPr="007D0473">
        <w:rPr>
          <w:rFonts w:ascii="Arial" w:eastAsiaTheme="minorEastAsia" w:hAnsi="Arial"/>
          <w:sz w:val="22"/>
          <w:szCs w:val="22"/>
          <w:lang w:eastAsia="en-US"/>
        </w:rPr>
        <w:t xml:space="preserve">ST1, CC17 </w:t>
      </w:r>
      <w:r w:rsidR="00A45C6E" w:rsidRPr="007D0473">
        <w:rPr>
          <w:rFonts w:ascii="Arial" w:eastAsiaTheme="minorEastAsia" w:hAnsi="Arial"/>
          <w:sz w:val="22"/>
          <w:szCs w:val="22"/>
          <w:lang w:eastAsia="en-US"/>
        </w:rPr>
        <w:t xml:space="preserve">CC23 </w:t>
      </w:r>
      <w:r w:rsidR="703DABB7" w:rsidRPr="007D0473">
        <w:rPr>
          <w:rFonts w:ascii="Arial" w:eastAsiaTheme="minorEastAsia" w:hAnsi="Arial"/>
          <w:sz w:val="22"/>
          <w:szCs w:val="22"/>
          <w:lang w:eastAsia="en-US"/>
        </w:rPr>
        <w:t xml:space="preserve">and ST19 </w:t>
      </w:r>
      <w:r w:rsidR="0083336A">
        <w:rPr>
          <w:rFonts w:ascii="Arial" w:eastAsiaTheme="minorEastAsia" w:hAnsi="Arial"/>
          <w:sz w:val="22"/>
          <w:szCs w:val="22"/>
          <w:lang w:eastAsia="en-US"/>
        </w:rPr>
        <w:t>genotypes</w:t>
      </w:r>
      <w:r w:rsidR="703DABB7" w:rsidRPr="007D0473">
        <w:rPr>
          <w:rFonts w:ascii="Arial" w:eastAsiaTheme="minorEastAsia" w:hAnsi="Arial"/>
          <w:sz w:val="22"/>
          <w:szCs w:val="22"/>
          <w:lang w:eastAsia="en-US"/>
        </w:rPr>
        <w:t xml:space="preserve">. </w:t>
      </w:r>
      <w:r w:rsidR="003C73B7">
        <w:rPr>
          <w:rFonts w:ascii="Arial" w:eastAsiaTheme="minorEastAsia" w:hAnsi="Arial"/>
          <w:sz w:val="22"/>
          <w:szCs w:val="22"/>
          <w:lang w:eastAsia="en-US"/>
        </w:rPr>
        <w:t>R</w:t>
      </w:r>
      <w:r w:rsidR="00210C6F">
        <w:rPr>
          <w:rFonts w:ascii="Arial" w:eastAsiaTheme="minorEastAsia" w:hAnsi="Arial"/>
          <w:sz w:val="22"/>
          <w:szCs w:val="22"/>
          <w:lang w:eastAsia="en-US"/>
        </w:rPr>
        <w:t xml:space="preserve">ecombination leading to capsular switching involved isolates exhibiting serotypes </w:t>
      </w:r>
      <w:proofErr w:type="spellStart"/>
      <w:r w:rsidR="00210C6F">
        <w:rPr>
          <w:rFonts w:ascii="Arial" w:eastAsiaTheme="minorEastAsia" w:hAnsi="Arial"/>
          <w:sz w:val="22"/>
          <w:szCs w:val="22"/>
          <w:lang w:eastAsia="en-US"/>
        </w:rPr>
        <w:t>Ib</w:t>
      </w:r>
      <w:proofErr w:type="spellEnd"/>
      <w:r w:rsidR="00210C6F">
        <w:rPr>
          <w:rFonts w:ascii="Arial" w:eastAsiaTheme="minorEastAsia" w:hAnsi="Arial"/>
          <w:sz w:val="22"/>
          <w:szCs w:val="22"/>
          <w:lang w:eastAsia="en-US"/>
        </w:rPr>
        <w:t xml:space="preserve"> (n=2, both ST1 genetic </w:t>
      </w:r>
      <w:r w:rsidR="00DF7768">
        <w:rPr>
          <w:rFonts w:ascii="Arial" w:eastAsiaTheme="minorEastAsia" w:hAnsi="Arial"/>
          <w:sz w:val="22"/>
          <w:szCs w:val="22"/>
          <w:lang w:eastAsia="en-US"/>
        </w:rPr>
        <w:t>background</w:t>
      </w:r>
      <w:r w:rsidR="00210C6F">
        <w:rPr>
          <w:rFonts w:ascii="Arial" w:eastAsiaTheme="minorEastAsia" w:hAnsi="Arial"/>
          <w:sz w:val="22"/>
          <w:szCs w:val="22"/>
          <w:lang w:eastAsia="en-US"/>
        </w:rPr>
        <w:t xml:space="preserve">), II (n=2, ST1 genetic background), IV (n=1, ST1351/CC17 genetic background) and V (n=7, two isolates of ST498/CC23 and five isolates of ST19 genetic background). </w:t>
      </w:r>
      <w:r w:rsidR="00316231" w:rsidRPr="00D27357">
        <w:rPr>
          <w:rFonts w:ascii="Arial" w:eastAsiaTheme="minorEastAsia" w:hAnsi="Arial"/>
          <w:sz w:val="22"/>
          <w:szCs w:val="22"/>
          <w:lang w:eastAsia="en-US"/>
        </w:rPr>
        <w:t xml:space="preserve">Interestingly, ST1 serotypes </w:t>
      </w:r>
      <w:proofErr w:type="spellStart"/>
      <w:r w:rsidR="00316231" w:rsidRPr="00D27357">
        <w:rPr>
          <w:rFonts w:ascii="Arial" w:eastAsiaTheme="minorEastAsia" w:hAnsi="Arial"/>
          <w:sz w:val="22"/>
          <w:szCs w:val="22"/>
          <w:lang w:eastAsia="en-US"/>
        </w:rPr>
        <w:t>Ib</w:t>
      </w:r>
      <w:proofErr w:type="spellEnd"/>
      <w:r w:rsidR="00316231" w:rsidRPr="00D27357">
        <w:rPr>
          <w:rFonts w:ascii="Arial" w:eastAsiaTheme="minorEastAsia" w:hAnsi="Arial"/>
          <w:sz w:val="22"/>
          <w:szCs w:val="22"/>
          <w:lang w:eastAsia="en-US"/>
        </w:rPr>
        <w:t xml:space="preserve"> and II isolates, </w:t>
      </w:r>
      <w:r w:rsidR="00453FA3" w:rsidRPr="00D27357">
        <w:rPr>
          <w:rFonts w:ascii="Arial" w:eastAsiaTheme="minorEastAsia" w:hAnsi="Arial"/>
          <w:sz w:val="22"/>
          <w:szCs w:val="22"/>
          <w:lang w:eastAsia="en-US"/>
        </w:rPr>
        <w:t>did</w:t>
      </w:r>
      <w:r w:rsidR="00316231" w:rsidRPr="00D27357">
        <w:rPr>
          <w:rFonts w:ascii="Arial" w:eastAsiaTheme="minorEastAsia" w:hAnsi="Arial"/>
          <w:sz w:val="22"/>
          <w:szCs w:val="22"/>
          <w:lang w:eastAsia="en-US"/>
        </w:rPr>
        <w:t xml:space="preserve"> not cluster together in the phylogenetic t</w:t>
      </w:r>
      <w:r w:rsidR="001C1387" w:rsidRPr="00D27357">
        <w:rPr>
          <w:rFonts w:ascii="Arial" w:eastAsiaTheme="minorEastAsia" w:hAnsi="Arial"/>
          <w:sz w:val="22"/>
          <w:szCs w:val="22"/>
          <w:lang w:eastAsia="en-US"/>
        </w:rPr>
        <w:t>r</w:t>
      </w:r>
      <w:r w:rsidR="00D27357" w:rsidRPr="00D27357">
        <w:rPr>
          <w:rFonts w:ascii="Arial" w:eastAsiaTheme="minorEastAsia" w:hAnsi="Arial"/>
          <w:sz w:val="22"/>
          <w:szCs w:val="22"/>
          <w:lang w:eastAsia="en-US"/>
        </w:rPr>
        <w:t>e</w:t>
      </w:r>
      <w:r w:rsidR="00316231" w:rsidRPr="00D27357">
        <w:rPr>
          <w:rFonts w:ascii="Arial" w:eastAsiaTheme="minorEastAsia" w:hAnsi="Arial"/>
          <w:sz w:val="22"/>
          <w:szCs w:val="22"/>
          <w:lang w:eastAsia="en-US"/>
        </w:rPr>
        <w:t xml:space="preserve">e after </w:t>
      </w:r>
      <w:r w:rsidR="00D27357" w:rsidRPr="00D27357">
        <w:rPr>
          <w:rFonts w:ascii="Arial" w:eastAsiaTheme="minorEastAsia" w:hAnsi="Arial"/>
          <w:sz w:val="22"/>
          <w:szCs w:val="22"/>
          <w:lang w:eastAsia="en-US"/>
        </w:rPr>
        <w:t>recombination removal</w:t>
      </w:r>
      <w:r w:rsidR="00316231" w:rsidRPr="00D27357">
        <w:rPr>
          <w:rFonts w:ascii="Arial" w:eastAsiaTheme="minorEastAsia" w:hAnsi="Arial"/>
          <w:sz w:val="22"/>
          <w:szCs w:val="22"/>
          <w:lang w:eastAsia="en-US"/>
        </w:rPr>
        <w:t xml:space="preserve">, suggesting </w:t>
      </w:r>
      <w:r w:rsidR="001C1387" w:rsidRPr="00D27357">
        <w:rPr>
          <w:rFonts w:ascii="Arial" w:eastAsiaTheme="minorEastAsia" w:hAnsi="Arial"/>
          <w:sz w:val="22"/>
          <w:szCs w:val="22"/>
          <w:lang w:eastAsia="en-US"/>
        </w:rPr>
        <w:t>distinct</w:t>
      </w:r>
      <w:r w:rsidR="00316231" w:rsidRPr="00D27357">
        <w:rPr>
          <w:rFonts w:ascii="Arial" w:eastAsiaTheme="minorEastAsia" w:hAnsi="Arial"/>
          <w:sz w:val="22"/>
          <w:szCs w:val="22"/>
          <w:lang w:eastAsia="en-US"/>
        </w:rPr>
        <w:t xml:space="preserve"> recombination events within the ST1 GBS population.</w:t>
      </w:r>
      <w:r w:rsidR="00316231">
        <w:rPr>
          <w:rFonts w:ascii="Arial" w:eastAsiaTheme="minorEastAsia" w:hAnsi="Arial"/>
          <w:sz w:val="22"/>
          <w:szCs w:val="22"/>
          <w:lang w:eastAsia="en-US"/>
        </w:rPr>
        <w:t xml:space="preserve"> </w:t>
      </w:r>
      <w:r w:rsidR="001C1387">
        <w:rPr>
          <w:rFonts w:ascii="Arial" w:eastAsiaTheme="minorEastAsia" w:hAnsi="Arial"/>
          <w:sz w:val="22"/>
          <w:szCs w:val="22"/>
          <w:lang w:eastAsia="en-US"/>
        </w:rPr>
        <w:t>F</w:t>
      </w:r>
      <w:r w:rsidR="00DF7768">
        <w:rPr>
          <w:rFonts w:ascii="Arial" w:eastAsiaTheme="minorEastAsia" w:hAnsi="Arial"/>
          <w:sz w:val="22"/>
          <w:szCs w:val="22"/>
          <w:lang w:eastAsia="en-US"/>
        </w:rPr>
        <w:t>or the ST498 and ST19 isolates</w:t>
      </w:r>
      <w:r w:rsidR="00453FA3">
        <w:rPr>
          <w:rFonts w:ascii="Arial" w:eastAsiaTheme="minorEastAsia" w:hAnsi="Arial"/>
          <w:sz w:val="22"/>
          <w:szCs w:val="22"/>
          <w:lang w:eastAsia="en-US"/>
        </w:rPr>
        <w:t>,</w:t>
      </w:r>
      <w:r w:rsidR="00DF7768">
        <w:rPr>
          <w:rFonts w:ascii="Arial" w:eastAsiaTheme="minorEastAsia" w:hAnsi="Arial"/>
          <w:sz w:val="22"/>
          <w:szCs w:val="22"/>
          <w:lang w:eastAsia="en-US"/>
        </w:rPr>
        <w:t xml:space="preserve"> </w:t>
      </w:r>
      <w:r w:rsidR="003C73B7">
        <w:rPr>
          <w:rFonts w:ascii="Arial" w:eastAsiaTheme="minorEastAsia" w:hAnsi="Arial"/>
          <w:sz w:val="22"/>
          <w:szCs w:val="22"/>
          <w:lang w:eastAsia="en-US"/>
        </w:rPr>
        <w:t xml:space="preserve">with </w:t>
      </w:r>
      <w:r w:rsidR="00DF7768">
        <w:rPr>
          <w:rFonts w:ascii="Arial" w:eastAsiaTheme="minorEastAsia" w:hAnsi="Arial"/>
          <w:sz w:val="22"/>
          <w:szCs w:val="22"/>
          <w:lang w:eastAsia="en-US"/>
        </w:rPr>
        <w:t>respective genotype background</w:t>
      </w:r>
      <w:r w:rsidR="003C73B7">
        <w:rPr>
          <w:rFonts w:ascii="Arial" w:eastAsiaTheme="minorEastAsia" w:hAnsi="Arial"/>
          <w:sz w:val="22"/>
          <w:szCs w:val="22"/>
          <w:lang w:eastAsia="en-US"/>
        </w:rPr>
        <w:t>s</w:t>
      </w:r>
      <w:r w:rsidR="00DF7768">
        <w:rPr>
          <w:rFonts w:ascii="Arial" w:eastAsiaTheme="minorEastAsia" w:hAnsi="Arial"/>
          <w:sz w:val="22"/>
          <w:szCs w:val="22"/>
          <w:lang w:eastAsia="en-US"/>
        </w:rPr>
        <w:t xml:space="preserve"> serotype </w:t>
      </w:r>
      <w:proofErr w:type="spellStart"/>
      <w:r w:rsidR="00DF7768">
        <w:rPr>
          <w:rFonts w:ascii="Arial" w:eastAsiaTheme="minorEastAsia" w:hAnsi="Arial"/>
          <w:sz w:val="22"/>
          <w:szCs w:val="22"/>
          <w:lang w:eastAsia="en-US"/>
        </w:rPr>
        <w:t>Ia</w:t>
      </w:r>
      <w:proofErr w:type="spellEnd"/>
      <w:r w:rsidR="00DF7768">
        <w:rPr>
          <w:rFonts w:ascii="Arial" w:eastAsiaTheme="minorEastAsia" w:hAnsi="Arial"/>
          <w:sz w:val="22"/>
          <w:szCs w:val="22"/>
          <w:lang w:eastAsia="en-US"/>
        </w:rPr>
        <w:t xml:space="preserve"> and III, </w:t>
      </w:r>
      <w:r w:rsidR="003C73B7">
        <w:rPr>
          <w:rFonts w:ascii="Arial" w:eastAsiaTheme="minorEastAsia" w:hAnsi="Arial"/>
          <w:sz w:val="22"/>
          <w:szCs w:val="22"/>
          <w:lang w:eastAsia="en-US"/>
        </w:rPr>
        <w:t xml:space="preserve">recombination </w:t>
      </w:r>
      <w:r w:rsidR="00DF7768">
        <w:rPr>
          <w:rFonts w:ascii="Arial" w:eastAsiaTheme="minorEastAsia" w:hAnsi="Arial"/>
          <w:sz w:val="22"/>
          <w:szCs w:val="22"/>
          <w:lang w:eastAsia="en-US"/>
        </w:rPr>
        <w:t>result</w:t>
      </w:r>
      <w:r w:rsidR="001C1387">
        <w:rPr>
          <w:rFonts w:ascii="Arial" w:eastAsiaTheme="minorEastAsia" w:hAnsi="Arial"/>
          <w:sz w:val="22"/>
          <w:szCs w:val="22"/>
          <w:lang w:eastAsia="en-US"/>
        </w:rPr>
        <w:t>ed</w:t>
      </w:r>
      <w:r w:rsidR="00DF7768">
        <w:rPr>
          <w:rFonts w:ascii="Arial" w:eastAsiaTheme="minorEastAsia" w:hAnsi="Arial"/>
          <w:sz w:val="22"/>
          <w:szCs w:val="22"/>
          <w:lang w:eastAsia="en-US"/>
        </w:rPr>
        <w:t xml:space="preserve"> in </w:t>
      </w:r>
      <w:r w:rsidR="003C73B7">
        <w:rPr>
          <w:rFonts w:ascii="Arial" w:eastAsiaTheme="minorEastAsia" w:hAnsi="Arial"/>
          <w:sz w:val="22"/>
          <w:szCs w:val="22"/>
          <w:lang w:eastAsia="en-US"/>
        </w:rPr>
        <w:t xml:space="preserve">co-clustered </w:t>
      </w:r>
      <w:r w:rsidR="00DF7768">
        <w:rPr>
          <w:rFonts w:ascii="Arial" w:eastAsiaTheme="minorEastAsia" w:hAnsi="Arial"/>
          <w:sz w:val="22"/>
          <w:szCs w:val="22"/>
          <w:lang w:eastAsia="en-US"/>
        </w:rPr>
        <w:t xml:space="preserve">serotype V isolates </w:t>
      </w:r>
      <w:r w:rsidR="00000640">
        <w:rPr>
          <w:rFonts w:ascii="Arial" w:eastAsiaTheme="minorEastAsia" w:hAnsi="Arial"/>
          <w:sz w:val="22"/>
          <w:szCs w:val="22"/>
          <w:lang w:eastAsia="en-US"/>
        </w:rPr>
        <w:t xml:space="preserve">in each of the lineages </w:t>
      </w:r>
      <w:r w:rsidR="002C1F4F">
        <w:rPr>
          <w:rFonts w:ascii="Arial" w:eastAsiaTheme="minorEastAsia" w:hAnsi="Arial"/>
          <w:sz w:val="22"/>
          <w:szCs w:val="22"/>
          <w:lang w:eastAsia="en-US"/>
        </w:rPr>
        <w:t xml:space="preserve">during </w:t>
      </w:r>
      <w:r w:rsidR="002C1F4F">
        <w:rPr>
          <w:rFonts w:ascii="Arial" w:eastAsiaTheme="minorEastAsia" w:hAnsi="Arial"/>
          <w:sz w:val="22"/>
          <w:szCs w:val="22"/>
          <w:lang w:eastAsia="en-US"/>
        </w:rPr>
        <w:lastRenderedPageBreak/>
        <w:t xml:space="preserve">phylogenetic analysis suggesting a </w:t>
      </w:r>
      <w:r w:rsidR="00112470">
        <w:rPr>
          <w:rFonts w:ascii="Arial" w:eastAsiaTheme="minorEastAsia" w:hAnsi="Arial"/>
          <w:sz w:val="22"/>
          <w:szCs w:val="22"/>
          <w:lang w:eastAsia="en-US"/>
        </w:rPr>
        <w:t xml:space="preserve">common or </w:t>
      </w:r>
      <w:r w:rsidR="002C1F4F">
        <w:rPr>
          <w:rFonts w:ascii="Arial" w:eastAsiaTheme="minorEastAsia" w:hAnsi="Arial"/>
          <w:sz w:val="22"/>
          <w:szCs w:val="22"/>
          <w:lang w:eastAsia="en-US"/>
        </w:rPr>
        <w:t>single capsular switching event to serotype V</w:t>
      </w:r>
      <w:r w:rsidR="001C1387">
        <w:rPr>
          <w:rFonts w:ascii="Arial" w:eastAsiaTheme="minorEastAsia" w:hAnsi="Arial"/>
          <w:sz w:val="22"/>
          <w:szCs w:val="22"/>
          <w:lang w:eastAsia="en-US"/>
        </w:rPr>
        <w:t xml:space="preserve"> with expansion</w:t>
      </w:r>
      <w:r w:rsidR="002C1F4F">
        <w:rPr>
          <w:rFonts w:ascii="Arial" w:eastAsiaTheme="minorEastAsia" w:hAnsi="Arial"/>
          <w:sz w:val="22"/>
          <w:szCs w:val="22"/>
          <w:lang w:eastAsia="en-US"/>
        </w:rPr>
        <w:t xml:space="preserve">. </w:t>
      </w:r>
      <w:r w:rsidR="00DF7768">
        <w:rPr>
          <w:rFonts w:ascii="Arial" w:eastAsiaTheme="minorEastAsia" w:hAnsi="Arial"/>
          <w:sz w:val="22"/>
          <w:szCs w:val="22"/>
          <w:lang w:eastAsia="en-US"/>
        </w:rPr>
        <w:t xml:space="preserve"> </w:t>
      </w:r>
    </w:p>
    <w:p w14:paraId="4992BAEB" w14:textId="77777777" w:rsidR="00147C03" w:rsidRDefault="00147C03" w:rsidP="00DB7C46">
      <w:pPr>
        <w:spacing w:before="120" w:after="120" w:line="480" w:lineRule="auto"/>
        <w:rPr>
          <w:rFonts w:ascii="Arial" w:eastAsiaTheme="minorEastAsia" w:hAnsi="Arial"/>
          <w:sz w:val="22"/>
          <w:szCs w:val="22"/>
          <w:lang w:eastAsia="en-US"/>
        </w:rPr>
      </w:pPr>
    </w:p>
    <w:p w14:paraId="18907617" w14:textId="60050490" w:rsidR="00AA4B09" w:rsidRPr="00A53FE0" w:rsidRDefault="00453FA3" w:rsidP="00DB7C46">
      <w:pPr>
        <w:spacing w:before="120" w:after="120" w:line="480" w:lineRule="auto"/>
        <w:rPr>
          <w:rFonts w:ascii="Arial" w:eastAsiaTheme="minorEastAsia" w:hAnsi="Arial"/>
          <w:sz w:val="22"/>
          <w:szCs w:val="22"/>
          <w:lang w:eastAsia="en-US"/>
        </w:rPr>
      </w:pPr>
      <w:r>
        <w:rPr>
          <w:rFonts w:ascii="Arial" w:eastAsiaTheme="minorEastAsia" w:hAnsi="Arial"/>
          <w:sz w:val="22"/>
          <w:szCs w:val="22"/>
          <w:lang w:eastAsia="en-US"/>
        </w:rPr>
        <w:t>S</w:t>
      </w:r>
      <w:r w:rsidR="00F62F98">
        <w:rPr>
          <w:rFonts w:ascii="Arial" w:eastAsiaTheme="minorEastAsia" w:hAnsi="Arial"/>
          <w:sz w:val="22"/>
          <w:szCs w:val="22"/>
          <w:lang w:eastAsia="en-US"/>
        </w:rPr>
        <w:t>ome of the</w:t>
      </w:r>
      <w:r w:rsidR="00132EE9">
        <w:rPr>
          <w:rFonts w:ascii="Arial" w:eastAsiaTheme="minorEastAsia" w:hAnsi="Arial"/>
          <w:sz w:val="22"/>
          <w:szCs w:val="22"/>
          <w:lang w:eastAsia="en-US"/>
        </w:rPr>
        <w:t xml:space="preserve"> capsular switching events identified in this study have been previously reported </w:t>
      </w:r>
      <w:r w:rsidR="01528A30" w:rsidRPr="007D0473">
        <w:rPr>
          <w:rFonts w:ascii="Arial" w:eastAsiaTheme="minorEastAsia" w:hAnsi="Arial"/>
          <w:sz w:val="22"/>
          <w:szCs w:val="22"/>
          <w:lang w:eastAsia="en-US"/>
        </w:rPr>
        <w:t>in</w:t>
      </w:r>
      <w:r w:rsidR="152CA799" w:rsidRPr="007D0473">
        <w:rPr>
          <w:rFonts w:ascii="Arial" w:eastAsiaTheme="minorEastAsia" w:hAnsi="Arial"/>
          <w:sz w:val="22"/>
          <w:szCs w:val="22"/>
          <w:lang w:eastAsia="en-US"/>
        </w:rPr>
        <w:t xml:space="preserve"> </w:t>
      </w:r>
      <w:r w:rsidR="42A73B5C" w:rsidRPr="007D0473">
        <w:rPr>
          <w:rFonts w:ascii="Arial" w:hAnsi="Arial"/>
          <w:sz w:val="22"/>
          <w:szCs w:val="22"/>
        </w:rPr>
        <w:t>Portugal</w:t>
      </w:r>
      <w:r w:rsidR="152CA799" w:rsidRPr="007D0473">
        <w:rPr>
          <w:rFonts w:ascii="Arial" w:hAnsi="Arial"/>
          <w:sz w:val="22"/>
          <w:szCs w:val="22"/>
        </w:rPr>
        <w:t xml:space="preserve"> </w:t>
      </w:r>
      <w:r w:rsidR="003D1C53" w:rsidRPr="007D0473">
        <w:rPr>
          <w:rFonts w:ascii="Arial" w:hAnsi="Arial"/>
          <w:sz w:val="22"/>
          <w:szCs w:val="22"/>
        </w:rPr>
        <w:fldChar w:fldCharType="begin" w:fldLock="1"/>
      </w:r>
      <w:r w:rsidR="007C5A6A" w:rsidRPr="007D0473">
        <w:rPr>
          <w:rFonts w:ascii="Arial" w:hAnsi="Arial"/>
          <w:sz w:val="22"/>
          <w:szCs w:val="22"/>
        </w:rPr>
        <w:instrText>ADDIN CSL_CITATION {"citationItems":[{"id":"ITEM-1","itemData":{"DOI":"10.2807/1560-7917.ES.2018.23.21.1700473","ISSN":"1560-7917","author":[{"dropping-particle":"","family":"Lopes","given":"Elísia","non-dropping-particle":"","parse-names":false,"suffix":""},{"dropping-particle":"","family":"Fernandes","given":"Tânia","non-dropping-particle":"","parse-names":false,"suffix":""},{"dropping-particle":"","family":"Machado","given":"Miguel P","non-dropping-particle":"","parse-names":false,"suffix":""},{"dropping-particle":"","family":"Carriço","given":"João André","non-dropping-particle":"","parse-names":false,"suffix":""},{"dropping-particle":"","family":"Melo-Cristino","given":"José","non-dropping-particle":"","parse-names":false,"suffix":""},{"dropping-particle":"","family":"Ramirez","given":"Mário","non-dropping-particle":"","parse-names":false,"suffix":""},{"dropping-particle":"","family":"Martins","given":"Elisabete R","non-dropping-particle":"","parse-names":false,"suffix":""}],"container-title":"Eurosurveillance","id":"ITEM-1","issue":"21","issued":{"date-parts":[["2018","5"]]},"title":"Increasing macrolide resistance among Streptococcus agalactiae causing invasive disease in non-pregnant adults was driven by a single capsular-transformed lineage, Portugal, 2009 to 2015","type":"article-journal","volume":"23"},"uris":["http://www.mendeley.com/documents/?uuid=4bad89a0-aadc-4c1f-b5d7-c78a4fbcfe92"]}],"mendeley":{"formattedCitation":"[31]","plainTextFormattedCitation":"[31]","previouslyFormattedCitation":"[31]"},"properties":{"noteIndex":0},"schema":"https://github.com/citation-style-language/schema/raw/master/csl-citation.json"}</w:instrText>
      </w:r>
      <w:r w:rsidR="003D1C53" w:rsidRPr="007D0473">
        <w:rPr>
          <w:rFonts w:ascii="Arial" w:hAnsi="Arial"/>
          <w:sz w:val="22"/>
          <w:szCs w:val="22"/>
        </w:rPr>
        <w:fldChar w:fldCharType="separate"/>
      </w:r>
      <w:r w:rsidR="007C5A6A" w:rsidRPr="007D0473">
        <w:rPr>
          <w:rFonts w:ascii="Arial" w:hAnsi="Arial"/>
          <w:noProof/>
          <w:sz w:val="22"/>
          <w:szCs w:val="22"/>
        </w:rPr>
        <w:t>[31]</w:t>
      </w:r>
      <w:r w:rsidR="003D1C53" w:rsidRPr="007D0473">
        <w:rPr>
          <w:rFonts w:ascii="Arial" w:hAnsi="Arial"/>
          <w:sz w:val="22"/>
          <w:szCs w:val="22"/>
        </w:rPr>
        <w:fldChar w:fldCharType="end"/>
      </w:r>
      <w:r w:rsidR="77D4010C" w:rsidRPr="007D0473">
        <w:rPr>
          <w:rFonts w:ascii="Arial" w:hAnsi="Arial"/>
          <w:sz w:val="22"/>
          <w:szCs w:val="22"/>
        </w:rPr>
        <w:t xml:space="preserve">, </w:t>
      </w:r>
      <w:r w:rsidR="42A73B5C" w:rsidRPr="007D0473">
        <w:rPr>
          <w:rFonts w:ascii="Arial" w:hAnsi="Arial"/>
          <w:sz w:val="22"/>
          <w:szCs w:val="22"/>
        </w:rPr>
        <w:t>Canada</w:t>
      </w:r>
      <w:r w:rsidR="41ACB222" w:rsidRPr="007D0473">
        <w:rPr>
          <w:rFonts w:ascii="Arial" w:hAnsi="Arial"/>
          <w:sz w:val="22"/>
          <w:szCs w:val="22"/>
        </w:rPr>
        <w:t xml:space="preserve"> </w:t>
      </w:r>
      <w:r w:rsidR="003D1C53" w:rsidRPr="007D0473">
        <w:rPr>
          <w:rFonts w:ascii="Arial" w:hAnsi="Arial"/>
          <w:sz w:val="22"/>
          <w:szCs w:val="22"/>
        </w:rPr>
        <w:fldChar w:fldCharType="begin" w:fldLock="1"/>
      </w:r>
      <w:r w:rsidR="003D1C53" w:rsidRPr="007D0473">
        <w:rPr>
          <w:rFonts w:ascii="Arial" w:hAnsi="Arial"/>
          <w:sz w:val="22"/>
          <w:szCs w:val="22"/>
        </w:rPr>
        <w:instrText>ADDIN CSL_CITATION {"citationItems":[{"id":"ITEM-1","itemData":{"DOI":"10.3201//eid2211.152064","ISSN":"10806059","abstract":"We report several cases of recombination events leading to capsular switching among sequence type (ST) 1 group B Streptococcus strains. These strains otherwise shared a common genome backbone with serotype V ST1 strains. However, the genomes of ST1 serotype V strains and those of serotypes VI, VII, and VIII strains differed substantially.","author":[{"dropping-particle":"","family":"Neemuchwala","given":"Alefiya","non-dropping-particle":"","parse-names":false,"suffix":""},{"dropping-particle":"","family":"Teatero","given":"Sarah","non-dropping-particle":"","parse-names":false,"suffix":""},{"dropping-particle":"","family":"Athey","given":"Taryn B.T.","non-dropping-particle":"","parse-names":false,"suffix":""},{"dropping-particle":"","family":"McGeer","given":"Allison","non-dropping-particle":"","parse-names":false,"suffix":""},{"dropping-particle":"","family":"Fittipaldi","given":"Nahuel","non-dropping-particle":"","parse-names":false,"suffix":""}],"container-title":"Emerging Infectious Diseases","id":"ITEM-1","issue":"11","issued":{"date-parts":[["2016"]]},"title":"Capsular switching and other large-scale recombination events in invasive sequence type 1 group B Streptococcus","type":"article-journal","volume":"22"},"uris":["http://www.mendeley.com/documents/?uuid=11c6c8f3-14bc-3dcc-9faf-b2074e3d19a8"]}],"mendeley":{"formattedCitation":"[12]","plainTextFormattedCitation":"[12]","previouslyFormattedCitation":"[12]"},"properties":{"noteIndex":0},"schema":"https://github.com/citation-style-language/schema/raw/master/csl-citation.json"}</w:instrText>
      </w:r>
      <w:r w:rsidR="003D1C53" w:rsidRPr="007D0473">
        <w:rPr>
          <w:rFonts w:ascii="Arial" w:hAnsi="Arial"/>
          <w:sz w:val="22"/>
          <w:szCs w:val="22"/>
        </w:rPr>
        <w:fldChar w:fldCharType="separate"/>
      </w:r>
      <w:r w:rsidR="774F5783" w:rsidRPr="007D0473">
        <w:rPr>
          <w:rFonts w:ascii="Arial" w:hAnsi="Arial"/>
          <w:noProof/>
          <w:sz w:val="22"/>
          <w:szCs w:val="22"/>
        </w:rPr>
        <w:t>[12]</w:t>
      </w:r>
      <w:r w:rsidR="003D1C53" w:rsidRPr="007D0473">
        <w:rPr>
          <w:rFonts w:ascii="Arial" w:hAnsi="Arial"/>
          <w:sz w:val="22"/>
          <w:szCs w:val="22"/>
        </w:rPr>
        <w:fldChar w:fldCharType="end"/>
      </w:r>
      <w:r w:rsidR="0C7333B3" w:rsidRPr="007D0473">
        <w:rPr>
          <w:rFonts w:ascii="Arial" w:hAnsi="Arial"/>
          <w:sz w:val="22"/>
          <w:szCs w:val="22"/>
        </w:rPr>
        <w:t xml:space="preserve"> and</w:t>
      </w:r>
      <w:r w:rsidR="0F0998D5" w:rsidRPr="007D0473">
        <w:rPr>
          <w:rFonts w:ascii="Arial" w:hAnsi="Arial"/>
          <w:sz w:val="22"/>
          <w:szCs w:val="22"/>
        </w:rPr>
        <w:t xml:space="preserve"> France </w:t>
      </w:r>
      <w:r w:rsidR="003D1C53" w:rsidRPr="007D0473">
        <w:rPr>
          <w:rFonts w:ascii="Arial" w:hAnsi="Arial"/>
          <w:sz w:val="22"/>
          <w:szCs w:val="22"/>
        </w:rPr>
        <w:fldChar w:fldCharType="begin" w:fldLock="1"/>
      </w:r>
      <w:r w:rsidR="003D1C53" w:rsidRPr="007D0473">
        <w:rPr>
          <w:rFonts w:ascii="Arial" w:hAnsi="Arial"/>
          <w:sz w:val="22"/>
          <w:szCs w:val="22"/>
        </w:rPr>
        <w:instrText>ADDIN CSL_CITATION {"citationItems":[{"id":"ITEM-1","itemData":{"DOI":"10.1093/infdis/jis605","ISSN":"00221899","PMID":"23002446","abstract":"BACKGROUND: The capsular polysaccharide (CPS) is an important virulence factor and a vaccine target of the major neonatal pathogen group B Streptococcus (GBS). Population studies revealed no strong correlation between CPS type and multilocus sequence typing (MLST) cluster, with the remarkable exception of the worldwide spread of hypervirulent GBS CC17, which were all until recently CPS type III.\\n\\nMETHODS: A total of 965 GBS strains from invasive infection isolated in France were CPS typed and the presence of the CC17-specific surface protein encoding gene hvgA gene was investigated. Three hvgA-positive GBS strains screened were surprisingly CPS type IV and thus further characterized by MLST typing, pulsed-field gel electrophoresis (PFGE), and whole genome sequencing.\\n\\nRESULTS: MLST and PFGE demonstrated a capsular switching from CPS type III to IV within the highly homogeneous GBS CC17. Sequence analysis revealed that this capsular switch was due to the exchange of a 35.5-kb DNA fragment containing the entire cps operon.\\n\\nCONCLUSIONS: This work shows that GBS CC17 hypervirulent strains have switched one of their main vaccine targets. Thus, continued surveillance of GBS population remains of the utmost importance during clinical trials of conjugate GBS vaccines.","author":[{"dropping-particle":"","family":"Bellais","given":"Samuel","non-dropping-particle":"","parse-names":false,"suffix":""},{"dropping-particle":"","family":"Six","given":"Anne","non-dropping-particle":"","parse-names":false,"suffix":""},{"dropping-particle":"","family":"Fouet","given":"Agnès","non-dropping-particle":"","parse-names":false,"suffix":""},{"dropping-particle":"","family":"Longo","given":"Magalie","non-dropping-particle":"","parse-names":false,"suffix":""},{"dropping-particle":"","family":"Dmytruk","given":"Nicolas","non-dropping-particle":"","parse-names":false,"suffix":""},{"dropping-particle":"","family":"Glaser","given":"Philippe","non-dropping-particle":"","parse-names":false,"suffix":""},{"dropping-particle":"","family":"Trieu-Cuot","given":"Patrick","non-dropping-particle":"","parse-names":false,"suffix":""},{"dropping-particle":"","family":"Poyart","given":"Claire","non-dropping-particle":"","parse-names":false,"suffix":""}],"container-title":"Journal of Infectious Diseases","id":"ITEM-1","issued":{"date-parts":[["2012"]]},"title":"Capsular switching in group B streptococcus CC17 hypervirulent clone: A future challenge for polysaccharide vaccine development","type":"article-journal"},"uris":["http://www.mendeley.com/documents/?uuid=e690f2a3-f283-4fe6-86e4-559ce28ca74d"]}],"mendeley":{"formattedCitation":"[16]","plainTextFormattedCitation":"[16]","previouslyFormattedCitation":"[16]"},"properties":{"noteIndex":0},"schema":"https://github.com/citation-style-language/schema/raw/master/csl-citation.json"}</w:instrText>
      </w:r>
      <w:r w:rsidR="003D1C53" w:rsidRPr="007D0473">
        <w:rPr>
          <w:rFonts w:ascii="Arial" w:hAnsi="Arial"/>
          <w:sz w:val="22"/>
          <w:szCs w:val="22"/>
        </w:rPr>
        <w:fldChar w:fldCharType="separate"/>
      </w:r>
      <w:r w:rsidR="479A6DC9" w:rsidRPr="007D0473">
        <w:rPr>
          <w:rFonts w:ascii="Arial" w:hAnsi="Arial"/>
          <w:noProof/>
          <w:sz w:val="22"/>
          <w:szCs w:val="22"/>
        </w:rPr>
        <w:t>[16]</w:t>
      </w:r>
      <w:r w:rsidR="003D1C53" w:rsidRPr="007D0473">
        <w:rPr>
          <w:rFonts w:ascii="Arial" w:hAnsi="Arial"/>
          <w:sz w:val="22"/>
          <w:szCs w:val="22"/>
        </w:rPr>
        <w:fldChar w:fldCharType="end"/>
      </w:r>
      <w:r>
        <w:rPr>
          <w:rFonts w:ascii="Arial" w:hAnsi="Arial"/>
          <w:sz w:val="22"/>
          <w:szCs w:val="22"/>
        </w:rPr>
        <w:t>. However,</w:t>
      </w:r>
      <w:r w:rsidR="00112470" w:rsidRPr="00112470">
        <w:rPr>
          <w:rFonts w:ascii="Arial" w:hAnsi="Arial"/>
          <w:sz w:val="22"/>
          <w:szCs w:val="22"/>
        </w:rPr>
        <w:t xml:space="preserve"> </w:t>
      </w:r>
      <w:r w:rsidR="00112470">
        <w:rPr>
          <w:rFonts w:ascii="Arial" w:hAnsi="Arial"/>
          <w:sz w:val="22"/>
          <w:szCs w:val="22"/>
        </w:rPr>
        <w:t>to the best of our knowledge</w:t>
      </w:r>
      <w:r w:rsidR="00F62F98">
        <w:rPr>
          <w:rFonts w:ascii="Arial" w:hAnsi="Arial"/>
          <w:sz w:val="22"/>
          <w:szCs w:val="22"/>
        </w:rPr>
        <w:t xml:space="preserve"> investigations into</w:t>
      </w:r>
      <w:r w:rsidR="00F76E45">
        <w:rPr>
          <w:rFonts w:ascii="Arial" w:hAnsi="Arial"/>
          <w:sz w:val="22"/>
          <w:szCs w:val="22"/>
        </w:rPr>
        <w:t xml:space="preserve"> </w:t>
      </w:r>
      <w:r w:rsidR="00F62F98">
        <w:rPr>
          <w:rFonts w:ascii="Arial" w:hAnsi="Arial"/>
          <w:sz w:val="22"/>
          <w:szCs w:val="22"/>
        </w:rPr>
        <w:t>recombination for CC23 and ST19 isolates have not been reported</w:t>
      </w:r>
      <w:r w:rsidR="00112470">
        <w:rPr>
          <w:rFonts w:ascii="Arial" w:hAnsi="Arial"/>
          <w:sz w:val="22"/>
          <w:szCs w:val="22"/>
        </w:rPr>
        <w:t xml:space="preserve">. </w:t>
      </w:r>
      <w:r w:rsidR="0024608D">
        <w:rPr>
          <w:rFonts w:ascii="Arial" w:hAnsi="Arial"/>
          <w:sz w:val="22"/>
          <w:szCs w:val="22"/>
        </w:rPr>
        <w:t>W</w:t>
      </w:r>
      <w:r w:rsidR="00D2329F">
        <w:rPr>
          <w:rFonts w:ascii="Arial" w:hAnsi="Arial"/>
          <w:sz w:val="22"/>
          <w:szCs w:val="22"/>
        </w:rPr>
        <w:t xml:space="preserve">e have observed </w:t>
      </w:r>
      <w:r w:rsidR="006B05C6">
        <w:rPr>
          <w:rFonts w:ascii="Arial" w:hAnsi="Arial"/>
          <w:sz w:val="22"/>
          <w:szCs w:val="22"/>
        </w:rPr>
        <w:t>novel</w:t>
      </w:r>
      <w:r w:rsidR="00D2329F">
        <w:rPr>
          <w:rFonts w:ascii="Arial" w:hAnsi="Arial"/>
          <w:sz w:val="22"/>
          <w:szCs w:val="22"/>
        </w:rPr>
        <w:t xml:space="preserve"> capsular switching events in ST1 isolates, with isolates of serotype </w:t>
      </w:r>
      <w:proofErr w:type="spellStart"/>
      <w:r w:rsidR="00D2329F">
        <w:rPr>
          <w:rFonts w:ascii="Arial" w:hAnsi="Arial"/>
          <w:sz w:val="22"/>
          <w:szCs w:val="22"/>
        </w:rPr>
        <w:t>Ib</w:t>
      </w:r>
      <w:proofErr w:type="spellEnd"/>
      <w:r w:rsidR="00D2329F">
        <w:rPr>
          <w:rFonts w:ascii="Arial" w:hAnsi="Arial"/>
          <w:sz w:val="22"/>
          <w:szCs w:val="22"/>
        </w:rPr>
        <w:t xml:space="preserve"> and II showing recombined capsular regions compared to reference sequence of serotype V ST1</w:t>
      </w:r>
      <w:r w:rsidR="00DD63FD">
        <w:rPr>
          <w:rFonts w:ascii="Arial" w:hAnsi="Arial"/>
          <w:sz w:val="22"/>
          <w:szCs w:val="22"/>
        </w:rPr>
        <w:t xml:space="preserve">, </w:t>
      </w:r>
      <w:r w:rsidR="00112470">
        <w:rPr>
          <w:rFonts w:ascii="Arial" w:hAnsi="Arial"/>
          <w:sz w:val="22"/>
          <w:szCs w:val="22"/>
        </w:rPr>
        <w:t xml:space="preserve">confirming </w:t>
      </w:r>
      <w:r w:rsidR="00834ACA">
        <w:rPr>
          <w:rFonts w:ascii="Arial" w:hAnsi="Arial"/>
          <w:sz w:val="22"/>
          <w:szCs w:val="22"/>
        </w:rPr>
        <w:t xml:space="preserve">findings from </w:t>
      </w:r>
      <w:r w:rsidR="00DD63FD">
        <w:rPr>
          <w:rFonts w:ascii="Arial" w:hAnsi="Arial"/>
          <w:sz w:val="22"/>
          <w:szCs w:val="22"/>
        </w:rPr>
        <w:t xml:space="preserve">previous </w:t>
      </w:r>
      <w:r w:rsidR="00834ACA">
        <w:rPr>
          <w:rFonts w:ascii="Arial" w:hAnsi="Arial"/>
          <w:sz w:val="22"/>
          <w:szCs w:val="22"/>
        </w:rPr>
        <w:t>study</w:t>
      </w:r>
      <w:r w:rsidR="0024608D">
        <w:rPr>
          <w:rFonts w:ascii="Arial" w:hAnsi="Arial"/>
          <w:sz w:val="22"/>
          <w:szCs w:val="22"/>
        </w:rPr>
        <w:t xml:space="preserve"> </w:t>
      </w:r>
      <w:r w:rsidR="0024608D">
        <w:rPr>
          <w:rFonts w:ascii="Arial" w:hAnsi="Arial"/>
          <w:sz w:val="22"/>
          <w:szCs w:val="22"/>
        </w:rPr>
        <w:fldChar w:fldCharType="begin" w:fldLock="1"/>
      </w:r>
      <w:r w:rsidR="0024608D">
        <w:rPr>
          <w:rFonts w:ascii="Arial" w:hAnsi="Arial"/>
          <w:sz w:val="22"/>
          <w:szCs w:val="22"/>
        </w:rPr>
        <w:instrText>ADDIN CSL_CITATION {"citationItems":[{"id":"ITEM-1","itemData":{"DOI":"10.3201//eid2211.152064","ISSN":"10806059","abstract":"We report several cases of recombination events leading to capsular switching among sequence type (ST) 1 group B Streptococcus strains. These strains otherwise shared a common genome backbone with serotype V ST1 strains. However, the genomes of ST1 serotype V strains and those of serotypes VI, VII, and VIII strains differed substantially.","author":[{"dropping-particle":"","family":"Neemuchwala","given":"Alefiya","non-dropping-particle":"","parse-names":false,"suffix":""},{"dropping-particle":"","family":"Teatero","given":"Sarah","non-dropping-particle":"","parse-names":false,"suffix":""},{"dropping-particle":"","family":"Athey","given":"Taryn B.T.","non-dropping-particle":"","parse-names":false,"suffix":""},{"dropping-particle":"","family":"McGeer","given":"Allison","non-dropping-particle":"","parse-names":false,"suffix":""},{"dropping-particle":"","family":"Fittipaldi","given":"Nahuel","non-dropping-particle":"","parse-names":false,"suffix":""}],"container-title":"Emerging Infectious Diseases","id":"ITEM-1","issue":"11","issued":{"date-parts":[["2016"]]},"title":"Capsular switching and other large-scale recombination events in invasive sequence type 1 group B Streptococcus","type":"article-journal","volume":"22"},"uris":["http://www.mendeley.com/documents/?uuid=11c6c8f3-14bc-3dcc-9faf-b2074e3d19a8"]}],"mendeley":{"formattedCitation":"[12]","plainTextFormattedCitation":"[12]","previouslyFormattedCitation":"[12]"},"properties":{"noteIndex":0},"schema":"https://github.com/citation-style-language/schema/raw/master/csl-citation.json"}</w:instrText>
      </w:r>
      <w:r w:rsidR="0024608D">
        <w:rPr>
          <w:rFonts w:ascii="Arial" w:hAnsi="Arial"/>
          <w:sz w:val="22"/>
          <w:szCs w:val="22"/>
        </w:rPr>
        <w:fldChar w:fldCharType="separate"/>
      </w:r>
      <w:r w:rsidR="0024608D" w:rsidRPr="0024608D">
        <w:rPr>
          <w:rFonts w:ascii="Arial" w:hAnsi="Arial"/>
          <w:noProof/>
          <w:sz w:val="22"/>
          <w:szCs w:val="22"/>
        </w:rPr>
        <w:t>[12]</w:t>
      </w:r>
      <w:r w:rsidR="0024608D">
        <w:rPr>
          <w:rFonts w:ascii="Arial" w:hAnsi="Arial"/>
          <w:sz w:val="22"/>
          <w:szCs w:val="22"/>
        </w:rPr>
        <w:fldChar w:fldCharType="end"/>
      </w:r>
      <w:r w:rsidR="00DD63FD">
        <w:rPr>
          <w:rFonts w:ascii="Arial" w:hAnsi="Arial"/>
          <w:sz w:val="22"/>
          <w:szCs w:val="22"/>
        </w:rPr>
        <w:t xml:space="preserve">. </w:t>
      </w:r>
      <w:r w:rsidR="00F217D1">
        <w:rPr>
          <w:rFonts w:ascii="Arial" w:hAnsi="Arial"/>
          <w:sz w:val="22"/>
          <w:szCs w:val="22"/>
        </w:rPr>
        <w:t>CC17 isolates have been reported to be most</w:t>
      </w:r>
      <w:r w:rsidR="00112470">
        <w:rPr>
          <w:rFonts w:ascii="Arial" w:hAnsi="Arial"/>
          <w:sz w:val="22"/>
          <w:szCs w:val="22"/>
        </w:rPr>
        <w:t>ly</w:t>
      </w:r>
      <w:r w:rsidR="00F217D1">
        <w:rPr>
          <w:rFonts w:ascii="Arial" w:hAnsi="Arial"/>
          <w:sz w:val="22"/>
          <w:szCs w:val="22"/>
        </w:rPr>
        <w:t xml:space="preserve"> clonal and only one capsular switching even to serotype IV </w:t>
      </w:r>
      <w:r w:rsidR="00B50624">
        <w:rPr>
          <w:rFonts w:ascii="Arial" w:hAnsi="Arial"/>
          <w:sz w:val="22"/>
          <w:szCs w:val="22"/>
        </w:rPr>
        <w:fldChar w:fldCharType="begin" w:fldLock="1"/>
      </w:r>
      <w:r w:rsidR="00990B13">
        <w:rPr>
          <w:rFonts w:ascii="Arial" w:hAnsi="Arial"/>
          <w:sz w:val="22"/>
          <w:szCs w:val="22"/>
        </w:rPr>
        <w:instrText>ADDIN CSL_CITATION {"citationItems":[{"id":"ITEM-1","itemData":{"DOI":"10.1093/infdis/jis605","ISSN":"00221899","PMID":"23002446","abstract":"BACKGROUND: The capsular polysaccharide (CPS) is an important virulence factor and a vaccine target of the major neonatal pathogen group B Streptococcus (GBS). Population studies revealed no strong correlation between CPS type and multilocus sequence typing (MLST) cluster, with the remarkable exception of the worldwide spread of hypervirulent GBS CC17, which were all until recently CPS type III.\\n\\nMETHODS: A total of 965 GBS strains from invasive infection isolated in France were CPS typed and the presence of the CC17-specific surface protein encoding gene hvgA gene was investigated. Three hvgA-positive GBS strains screened were surprisingly CPS type IV and thus further characterized by MLST typing, pulsed-field gel electrophoresis (PFGE), and whole genome sequencing.\\n\\nRESULTS: MLST and PFGE demonstrated a capsular switching from CPS type III to IV within the highly homogeneous GBS CC17. Sequence analysis revealed that this capsular switch was due to the exchange of a 35.5-kb DNA fragment containing the entire cps operon.\\n\\nCONCLUSIONS: This work shows that GBS CC17 hypervirulent strains have switched one of their main vaccine targets. Thus, continued surveillance of GBS population remains of the utmost importance during clinical trials of conjugate GBS vaccines.","author":[{"dropping-particle":"","family":"Bellais","given":"Samuel","non-dropping-particle":"","parse-names":false,"suffix":""},{"dropping-particle":"","family":"Six","given":"Anne","non-dropping-particle":"","parse-names":false,"suffix":""},{"dropping-particle":"","family":"Fouet","given":"Agnès","non-dropping-particle":"","parse-names":false,"suffix":""},{"dropping-particle":"","family":"Longo","given":"Magalie","non-dropping-particle":"","parse-names":false,"suffix":""},{"dropping-particle":"","family":"Dmytruk","given":"Nicolas","non-dropping-particle":"","parse-names":false,"suffix":""},{"dropping-particle":"","family":"Glaser","given":"Philippe","non-dropping-particle":"","parse-names":false,"suffix":""},{"dropping-particle":"","family":"Trieu-Cuot","given":"Patrick","non-dropping-particle":"","parse-names":false,"suffix":""},{"dropping-particle":"","family":"Poyart","given":"Claire","non-dropping-particle":"","parse-names":false,"suffix":""}],"container-title":"Journal of Infectious Diseases","id":"ITEM-1","issued":{"date-parts":[["2012"]]},"title":"Capsular switching in group B streptococcus CC17 hypervirulent clone: A future challenge for polysaccharide vaccine development","type":"article-journal"},"uris":["http://www.mendeley.com/documents/?uuid=e690f2a3-f283-4fe6-86e4-559ce28ca74d"]}],"mendeley":{"formattedCitation":"[16]","plainTextFormattedCitation":"[16]","previouslyFormattedCitation":"[16]"},"properties":{"noteIndex":0},"schema":"https://github.com/citation-style-language/schema/raw/master/csl-citation.json"}</w:instrText>
      </w:r>
      <w:r w:rsidR="00B50624">
        <w:rPr>
          <w:rFonts w:ascii="Arial" w:hAnsi="Arial"/>
          <w:sz w:val="22"/>
          <w:szCs w:val="22"/>
        </w:rPr>
        <w:fldChar w:fldCharType="separate"/>
      </w:r>
      <w:r w:rsidR="00B50624" w:rsidRPr="00B50624">
        <w:rPr>
          <w:rFonts w:ascii="Arial" w:hAnsi="Arial"/>
          <w:noProof/>
          <w:sz w:val="22"/>
          <w:szCs w:val="22"/>
        </w:rPr>
        <w:t>[16]</w:t>
      </w:r>
      <w:r w:rsidR="00B50624">
        <w:rPr>
          <w:rFonts w:ascii="Arial" w:hAnsi="Arial"/>
          <w:sz w:val="22"/>
          <w:szCs w:val="22"/>
        </w:rPr>
        <w:fldChar w:fldCharType="end"/>
      </w:r>
      <w:r w:rsidR="00B50624">
        <w:rPr>
          <w:rFonts w:ascii="Arial" w:hAnsi="Arial"/>
          <w:sz w:val="22"/>
          <w:szCs w:val="22"/>
        </w:rPr>
        <w:t xml:space="preserve"> </w:t>
      </w:r>
      <w:r w:rsidR="00F217D1">
        <w:rPr>
          <w:rFonts w:ascii="Arial" w:hAnsi="Arial"/>
          <w:sz w:val="22"/>
          <w:szCs w:val="22"/>
        </w:rPr>
        <w:t>has been reported to date</w:t>
      </w:r>
      <w:r w:rsidR="004F4D1A">
        <w:rPr>
          <w:rFonts w:ascii="Arial" w:hAnsi="Arial"/>
          <w:sz w:val="22"/>
          <w:szCs w:val="22"/>
        </w:rPr>
        <w:t xml:space="preserve">, which we observed also </w:t>
      </w:r>
      <w:r w:rsidR="00112470">
        <w:rPr>
          <w:rFonts w:ascii="Arial" w:hAnsi="Arial"/>
          <w:sz w:val="22"/>
          <w:szCs w:val="22"/>
        </w:rPr>
        <w:t>in</w:t>
      </w:r>
      <w:r w:rsidR="004F4D1A">
        <w:rPr>
          <w:rFonts w:ascii="Arial" w:hAnsi="Arial"/>
          <w:sz w:val="22"/>
          <w:szCs w:val="22"/>
        </w:rPr>
        <w:t xml:space="preserve"> ST</w:t>
      </w:r>
      <w:r w:rsidR="005B7B44">
        <w:rPr>
          <w:rFonts w:ascii="Arial" w:hAnsi="Arial"/>
          <w:sz w:val="22"/>
          <w:szCs w:val="22"/>
        </w:rPr>
        <w:t xml:space="preserve">1351 </w:t>
      </w:r>
      <w:r w:rsidR="004F4D1A">
        <w:rPr>
          <w:rFonts w:ascii="Arial" w:hAnsi="Arial"/>
          <w:sz w:val="22"/>
          <w:szCs w:val="22"/>
        </w:rPr>
        <w:t>(CC17) serotype IV isolate.</w:t>
      </w:r>
      <w:r w:rsidR="002920F9">
        <w:rPr>
          <w:rFonts w:ascii="Arial" w:hAnsi="Arial"/>
          <w:sz w:val="22"/>
          <w:szCs w:val="22"/>
        </w:rPr>
        <w:t xml:space="preserve"> </w:t>
      </w:r>
      <w:r w:rsidR="006B05C6">
        <w:rPr>
          <w:rFonts w:ascii="Arial" w:hAnsi="Arial"/>
          <w:sz w:val="22"/>
          <w:szCs w:val="22"/>
        </w:rPr>
        <w:t>W</w:t>
      </w:r>
      <w:r w:rsidR="0083336A">
        <w:rPr>
          <w:rFonts w:ascii="Arial" w:hAnsi="Arial"/>
          <w:sz w:val="22"/>
          <w:szCs w:val="22"/>
        </w:rPr>
        <w:t xml:space="preserve">ith increasing studies </w:t>
      </w:r>
      <w:r w:rsidR="00112470">
        <w:rPr>
          <w:rFonts w:ascii="Arial" w:hAnsi="Arial"/>
          <w:sz w:val="22"/>
          <w:szCs w:val="22"/>
        </w:rPr>
        <w:t>pertaining</w:t>
      </w:r>
      <w:r w:rsidR="0083336A">
        <w:rPr>
          <w:rFonts w:ascii="Arial" w:hAnsi="Arial"/>
          <w:sz w:val="22"/>
          <w:szCs w:val="22"/>
        </w:rPr>
        <w:t xml:space="preserve"> GBS genomic epidemiology, we </w:t>
      </w:r>
      <w:r w:rsidR="00112470">
        <w:rPr>
          <w:rFonts w:ascii="Arial" w:hAnsi="Arial"/>
          <w:sz w:val="22"/>
          <w:szCs w:val="22"/>
        </w:rPr>
        <w:t xml:space="preserve">gain further understanding of </w:t>
      </w:r>
      <w:r w:rsidR="0083336A">
        <w:rPr>
          <w:rFonts w:ascii="Arial" w:hAnsi="Arial"/>
          <w:sz w:val="22"/>
          <w:szCs w:val="22"/>
        </w:rPr>
        <w:t xml:space="preserve">the diversity of </w:t>
      </w:r>
      <w:r w:rsidR="0C460900" w:rsidRPr="00BD3CD8">
        <w:rPr>
          <w:rFonts w:ascii="Arial" w:hAnsi="Arial"/>
          <w:sz w:val="22"/>
          <w:szCs w:val="22"/>
        </w:rPr>
        <w:t>serotype-genotype</w:t>
      </w:r>
      <w:r w:rsidR="0669B86C" w:rsidRPr="00BD3CD8">
        <w:rPr>
          <w:rFonts w:ascii="Arial" w:hAnsi="Arial"/>
          <w:sz w:val="22"/>
          <w:szCs w:val="22"/>
        </w:rPr>
        <w:t xml:space="preserve"> combinations</w:t>
      </w:r>
      <w:r w:rsidR="0083336A" w:rsidRPr="00BD3CD8">
        <w:rPr>
          <w:rFonts w:ascii="Arial" w:hAnsi="Arial"/>
          <w:sz w:val="22"/>
          <w:szCs w:val="22"/>
        </w:rPr>
        <w:t xml:space="preserve">, </w:t>
      </w:r>
      <w:r w:rsidR="006B05C6" w:rsidRPr="00BD3CD8">
        <w:rPr>
          <w:rFonts w:ascii="Arial" w:hAnsi="Arial"/>
          <w:sz w:val="22"/>
          <w:szCs w:val="22"/>
        </w:rPr>
        <w:t xml:space="preserve">the </w:t>
      </w:r>
      <w:r w:rsidR="0083336A" w:rsidRPr="00BD3CD8">
        <w:rPr>
          <w:rFonts w:ascii="Arial" w:hAnsi="Arial"/>
          <w:sz w:val="22"/>
          <w:szCs w:val="22"/>
        </w:rPr>
        <w:t>spread of AMR determinants within GBS populations</w:t>
      </w:r>
      <w:r w:rsidR="0669B86C" w:rsidRPr="00BD3CD8">
        <w:rPr>
          <w:rFonts w:ascii="Arial" w:hAnsi="Arial"/>
          <w:sz w:val="22"/>
          <w:szCs w:val="22"/>
        </w:rPr>
        <w:t xml:space="preserve">, </w:t>
      </w:r>
      <w:r w:rsidR="006B05C6" w:rsidRPr="00BD3CD8">
        <w:rPr>
          <w:rFonts w:ascii="Arial" w:hAnsi="Arial"/>
          <w:sz w:val="22"/>
          <w:szCs w:val="22"/>
        </w:rPr>
        <w:t xml:space="preserve">the </w:t>
      </w:r>
      <w:r w:rsidR="0669B86C" w:rsidRPr="00BD3CD8">
        <w:rPr>
          <w:rFonts w:ascii="Arial" w:hAnsi="Arial"/>
          <w:sz w:val="22"/>
          <w:szCs w:val="22"/>
        </w:rPr>
        <w:t>g</w:t>
      </w:r>
      <w:r w:rsidR="7B047B29" w:rsidRPr="00BD3CD8">
        <w:rPr>
          <w:rFonts w:ascii="Arial" w:hAnsi="Arial"/>
          <w:sz w:val="22"/>
          <w:szCs w:val="22"/>
        </w:rPr>
        <w:t>lobal</w:t>
      </w:r>
      <w:r w:rsidR="0669B86C" w:rsidRPr="00BD3CD8">
        <w:rPr>
          <w:rFonts w:ascii="Arial" w:hAnsi="Arial"/>
          <w:sz w:val="22"/>
          <w:szCs w:val="22"/>
        </w:rPr>
        <w:t xml:space="preserve"> distribution </w:t>
      </w:r>
      <w:r w:rsidR="0083336A" w:rsidRPr="00BD3CD8">
        <w:rPr>
          <w:rFonts w:ascii="Arial" w:hAnsi="Arial"/>
          <w:sz w:val="22"/>
          <w:szCs w:val="22"/>
        </w:rPr>
        <w:t xml:space="preserve">of clones of interest, </w:t>
      </w:r>
      <w:r w:rsidR="0669B86C" w:rsidRPr="00BD3CD8">
        <w:rPr>
          <w:rFonts w:ascii="Arial" w:hAnsi="Arial"/>
          <w:sz w:val="22"/>
          <w:szCs w:val="22"/>
        </w:rPr>
        <w:t>their associations with specific host populations</w:t>
      </w:r>
      <w:r w:rsidR="0083336A" w:rsidRPr="00BD3CD8">
        <w:rPr>
          <w:rFonts w:ascii="Arial" w:hAnsi="Arial"/>
          <w:sz w:val="22"/>
          <w:szCs w:val="22"/>
        </w:rPr>
        <w:t xml:space="preserve">, and </w:t>
      </w:r>
      <w:r w:rsidR="0669B86C" w:rsidRPr="00BD3CD8">
        <w:rPr>
          <w:rFonts w:ascii="Arial" w:hAnsi="Arial"/>
          <w:sz w:val="22"/>
          <w:szCs w:val="22"/>
        </w:rPr>
        <w:t>disease or carriage status.</w:t>
      </w:r>
      <w:r w:rsidR="0669B86C" w:rsidRPr="007D0473">
        <w:rPr>
          <w:rFonts w:ascii="Arial" w:hAnsi="Arial"/>
          <w:sz w:val="22"/>
          <w:szCs w:val="22"/>
        </w:rPr>
        <w:t xml:space="preserve"> </w:t>
      </w:r>
    </w:p>
    <w:p w14:paraId="2E835FC4" w14:textId="7E14F78E" w:rsidR="00B87E22" w:rsidRPr="007D0473" w:rsidRDefault="00B87E22" w:rsidP="00DB7C46">
      <w:pPr>
        <w:spacing w:before="120" w:after="120" w:line="480" w:lineRule="auto"/>
        <w:rPr>
          <w:rFonts w:ascii="Arial" w:hAnsi="Arial"/>
          <w:sz w:val="22"/>
          <w:szCs w:val="22"/>
        </w:rPr>
      </w:pPr>
    </w:p>
    <w:p w14:paraId="1F218985" w14:textId="47DD1B4B" w:rsidR="005440B7" w:rsidRDefault="00112470" w:rsidP="00DB7C46">
      <w:pPr>
        <w:spacing w:before="120" w:after="120" w:line="480" w:lineRule="auto"/>
        <w:rPr>
          <w:rFonts w:ascii="Arial" w:hAnsi="Arial"/>
          <w:sz w:val="22"/>
          <w:szCs w:val="22"/>
        </w:rPr>
      </w:pPr>
      <w:r>
        <w:rPr>
          <w:rFonts w:ascii="Arial" w:hAnsi="Arial"/>
          <w:sz w:val="22"/>
          <w:szCs w:val="22"/>
        </w:rPr>
        <w:t>Genes encoding the m</w:t>
      </w:r>
      <w:r w:rsidR="36B88FF2" w:rsidRPr="007D0473">
        <w:rPr>
          <w:rFonts w:ascii="Arial" w:hAnsi="Arial"/>
          <w:sz w:val="22"/>
          <w:szCs w:val="22"/>
        </w:rPr>
        <w:t>ost</w:t>
      </w:r>
      <w:r w:rsidR="76FDDF37" w:rsidRPr="007D0473">
        <w:rPr>
          <w:rFonts w:ascii="Arial" w:hAnsi="Arial"/>
          <w:sz w:val="22"/>
          <w:szCs w:val="22"/>
        </w:rPr>
        <w:t xml:space="preserve"> abundant </w:t>
      </w:r>
      <w:r w:rsidR="36B88FF2" w:rsidRPr="007D0473">
        <w:rPr>
          <w:rFonts w:ascii="Arial" w:hAnsi="Arial"/>
          <w:sz w:val="22"/>
          <w:szCs w:val="22"/>
        </w:rPr>
        <w:t xml:space="preserve">GBS </w:t>
      </w:r>
      <w:r w:rsidR="76FDDF37" w:rsidRPr="007D0473">
        <w:rPr>
          <w:rFonts w:ascii="Arial" w:hAnsi="Arial"/>
          <w:sz w:val="22"/>
          <w:szCs w:val="22"/>
        </w:rPr>
        <w:t xml:space="preserve">surface Alp family proteins </w:t>
      </w:r>
      <w:r w:rsidR="005D581D">
        <w:rPr>
          <w:rFonts w:ascii="Arial" w:hAnsi="Arial"/>
          <w:sz w:val="22"/>
          <w:szCs w:val="22"/>
        </w:rPr>
        <w:t xml:space="preserve">such as </w:t>
      </w:r>
      <w:r w:rsidR="76FDDF37" w:rsidRPr="007D0473">
        <w:rPr>
          <w:rFonts w:ascii="Arial" w:hAnsi="Arial"/>
          <w:sz w:val="22"/>
          <w:szCs w:val="22"/>
        </w:rPr>
        <w:t>Alp2, Alp3</w:t>
      </w:r>
      <w:r w:rsidR="005D581D">
        <w:rPr>
          <w:rFonts w:ascii="Arial" w:hAnsi="Arial"/>
          <w:sz w:val="22"/>
          <w:szCs w:val="22"/>
        </w:rPr>
        <w:t>, Alpha C (</w:t>
      </w:r>
      <w:proofErr w:type="spellStart"/>
      <w:r w:rsidR="005D581D" w:rsidRPr="005D581D">
        <w:rPr>
          <w:rFonts w:ascii="Arial" w:hAnsi="Arial"/>
          <w:i/>
          <w:iCs/>
          <w:sz w:val="22"/>
          <w:szCs w:val="22"/>
        </w:rPr>
        <w:t>bca</w:t>
      </w:r>
      <w:proofErr w:type="spellEnd"/>
      <w:r w:rsidR="005D581D">
        <w:rPr>
          <w:rFonts w:ascii="Arial" w:hAnsi="Arial"/>
          <w:sz w:val="22"/>
          <w:szCs w:val="22"/>
        </w:rPr>
        <w:t>)</w:t>
      </w:r>
      <w:r w:rsidR="36B88FF2" w:rsidRPr="007D0473">
        <w:rPr>
          <w:rFonts w:ascii="Arial" w:hAnsi="Arial"/>
          <w:sz w:val="22"/>
          <w:szCs w:val="22"/>
        </w:rPr>
        <w:t xml:space="preserve"> </w:t>
      </w:r>
      <w:r w:rsidR="76FDDF37" w:rsidRPr="007D0473">
        <w:rPr>
          <w:rFonts w:ascii="Arial" w:hAnsi="Arial"/>
          <w:sz w:val="22"/>
          <w:szCs w:val="22"/>
        </w:rPr>
        <w:t>and Rib</w:t>
      </w:r>
      <w:r w:rsidR="005D581D">
        <w:rPr>
          <w:rFonts w:ascii="Arial" w:hAnsi="Arial"/>
          <w:sz w:val="22"/>
          <w:szCs w:val="22"/>
        </w:rPr>
        <w:t>,</w:t>
      </w:r>
      <w:r w:rsidR="36B88FF2" w:rsidRPr="007D0473">
        <w:rPr>
          <w:rFonts w:ascii="Arial" w:hAnsi="Arial"/>
          <w:sz w:val="22"/>
          <w:szCs w:val="22"/>
        </w:rPr>
        <w:t xml:space="preserve"> were </w:t>
      </w:r>
      <w:r w:rsidR="7207A8A0" w:rsidRPr="007D0473">
        <w:rPr>
          <w:rFonts w:ascii="Arial" w:hAnsi="Arial"/>
          <w:sz w:val="22"/>
          <w:szCs w:val="22"/>
        </w:rPr>
        <w:t>readily</w:t>
      </w:r>
      <w:r w:rsidR="36B88FF2" w:rsidRPr="007D0473">
        <w:rPr>
          <w:rFonts w:ascii="Arial" w:hAnsi="Arial"/>
          <w:sz w:val="22"/>
          <w:szCs w:val="22"/>
        </w:rPr>
        <w:t xml:space="preserve"> identified in</w:t>
      </w:r>
      <w:r w:rsidR="13B6D09A" w:rsidRPr="007D0473">
        <w:rPr>
          <w:rFonts w:ascii="Arial" w:hAnsi="Arial"/>
          <w:sz w:val="22"/>
          <w:szCs w:val="22"/>
        </w:rPr>
        <w:t xml:space="preserve"> this</w:t>
      </w:r>
      <w:r w:rsidR="36B88FF2" w:rsidRPr="007D0473">
        <w:rPr>
          <w:rFonts w:ascii="Arial" w:hAnsi="Arial"/>
          <w:sz w:val="22"/>
          <w:szCs w:val="22"/>
        </w:rPr>
        <w:t xml:space="preserve"> GBS dataset. </w:t>
      </w:r>
      <w:r w:rsidR="000B2435">
        <w:rPr>
          <w:rFonts w:ascii="Arial" w:hAnsi="Arial"/>
          <w:sz w:val="22"/>
          <w:szCs w:val="22"/>
        </w:rPr>
        <w:t>Alpha C protein in GBS is</w:t>
      </w:r>
      <w:r w:rsidR="00A32E44">
        <w:rPr>
          <w:rFonts w:ascii="Arial" w:hAnsi="Arial"/>
          <w:sz w:val="22"/>
          <w:szCs w:val="22"/>
        </w:rPr>
        <w:t xml:space="preserve"> </w:t>
      </w:r>
      <w:r w:rsidR="002D6E8E">
        <w:rPr>
          <w:rFonts w:ascii="Arial" w:hAnsi="Arial"/>
          <w:sz w:val="22"/>
          <w:szCs w:val="22"/>
        </w:rPr>
        <w:t xml:space="preserve">important for interactions with </w:t>
      </w:r>
      <w:r w:rsidR="002A4AAF">
        <w:rPr>
          <w:rFonts w:ascii="Arial" w:hAnsi="Arial"/>
          <w:sz w:val="22"/>
          <w:szCs w:val="22"/>
        </w:rPr>
        <w:t>cervical</w:t>
      </w:r>
      <w:r w:rsidR="002D6E8E">
        <w:rPr>
          <w:rFonts w:ascii="Arial" w:hAnsi="Arial"/>
          <w:sz w:val="22"/>
          <w:szCs w:val="22"/>
        </w:rPr>
        <w:t xml:space="preserve"> and epithelial cells to promote intracellular invasion and </w:t>
      </w:r>
      <w:r w:rsidR="002A4AAF">
        <w:rPr>
          <w:rFonts w:ascii="Arial" w:hAnsi="Arial"/>
          <w:sz w:val="22"/>
          <w:szCs w:val="22"/>
        </w:rPr>
        <w:t>dissemination</w:t>
      </w:r>
      <w:r w:rsidR="0033181C">
        <w:rPr>
          <w:rFonts w:ascii="Arial" w:hAnsi="Arial"/>
          <w:sz w:val="22"/>
          <w:szCs w:val="22"/>
        </w:rPr>
        <w:t xml:space="preserve"> </w:t>
      </w:r>
      <w:r w:rsidR="005140B8">
        <w:rPr>
          <w:rFonts w:ascii="Arial" w:hAnsi="Arial"/>
          <w:sz w:val="22"/>
          <w:szCs w:val="22"/>
        </w:rPr>
        <w:fldChar w:fldCharType="begin" w:fldLock="1"/>
      </w:r>
      <w:r w:rsidR="00D24C90">
        <w:rPr>
          <w:rFonts w:ascii="Arial" w:hAnsi="Arial"/>
          <w:sz w:val="22"/>
          <w:szCs w:val="22"/>
        </w:rPr>
        <w:instrText>ADDIN CSL_CITATION {"citationItems":[{"id":"ITEM-1","itemData":{"DOI":"10.1046/j.1462-5822.2002.00227.x","ISSN":"1462-5814","abstract":"Group B Streptococcus (GBS) is the leading cause of bacterial chorioamnionitis and neonatal pneumonia, sepsis, and meningitis. Deletion of the alpha C protein gene (bca) attenuates the virulence of GBS in an animal model; significant survival differences in the first 24 h of infection suggest a pathogenic role for the alpha C protein early in the infection process. We examined the role of alpha C protein in the association between GBS and mucosal surfaces using a human cervical epithelial cell line, ME180. Fluorescent and confocal microscopy and flow cytometry demonstrated that 9-repeat alpha C protein binds to the surface of ME180 cells. Isolated N-terminal region of this protein also binds to these cells and competitively inhibits binding of the full protein. Wild-type GBS strain A909 and the bca-null isogenic mutant JL2053 bound similarly to the surface of ME180 cells. However, A909 entered these cells threefold more. Internalization of A909 was inhibited with 2- and 9-repeat alpha C and with N-terminal region alone but not by repeat region-specific peptide. Translocation across polarized ME180 membranes was fivefold greater for A909 than for JL2053. These findings suggest a role for the alpha C protein in interaction with epithelial surfaces and initiation of infection.","author":[{"dropping-particle":"","family":"Bolduc","given":"G R","non-dropping-particle":"","parse-names":false,"suffix":""},{"dropping-particle":"","family":"Baron","given":"M J","non-dropping-particle":"","parse-names":false,"suffix":""},{"dropping-particle":"","family":"Gravekamp","given":"C","non-dropping-particle":"","parse-names":false,"suffix":""},{"dropping-particle":"","family":"Lachenauer","given":"C S","non-dropping-particle":"","parse-names":false,"suffix":""},{"dropping-particle":"","family":"Madoff","given":"L C","non-dropping-particle":"","parse-names":false,"suffix":""}],"container-title":"Cellular microbiology","id":"ITEM-1","issue":"11","issued":{"date-parts":[["2002","11"]]},"page":"751-758","publisher-place":"England","title":"The alpha C protein mediates internalization of group B Streptococcus within human cervical epithelial cells","type":"article-journal","volume":"4"},"uris":["http://www.mendeley.com/documents/?uuid=822990d5-e9b0-4dca-bbf0-17099ce7be25"]},{"id":"ITEM-2","itemData":{"DOI":"10.1074/jbc.M402164200","ISBN":"0021-9258 (Print)$\\$r0021-9258 (Linking)","ISSN":"00219258","PMID":"15044471","abstract":"Group B Streptococcus (GBS) colonizes mucosal surfaces of the human gastrointestinal and gynecological tracts and causes disease in a wide range of patients. Invasive illness occurs after organisms traverse an epithelial boundary and enter deeper tissues. Previously we have reported that the alpha C protein (ACP) on the surface of GBS mediates GBS entry into ME180 cervical epithelial cells and GBS translocation across layers of these cells. We now demonstrate that ACP interacts with host cell glycosaminoglycan (GAG); the interaction of ACP with ME180 cells is inhibited if cells are pretreated with sodium chlorate, an inhibitor of sulfate incorporation, or with heparitinases. The interaction is also inhibited in the presence of soluble heparin or heparan sulfate or host cell-derived GAG. In addition, ACP binds soluble heparin specifically in inhibition and dot blot assays. After interaction with host GAG, soluble ACP enters ME180 cells and fractionates to the eukaryotic cell cytosol. These events are inhibited in cells pretreated with cytochalasin D or with Clostridium difficile toxin B. These data indicate that full-length ACP interacts with ME180 cell GAG and enters the eukaryotic cell cytosol by a mechanism that involves Rho GTPase-dependent actin rearrangements. We suggest that these molecular interactions drive ACP-mediated translocation of GBS across epithelial barriers, thereby facilitating invasive GBS infection.","author":[{"dropping-particle":"","family":"Baron","given":"Miriam J","non-dropping-particle":"","parse-names":false,"suffix":""},{"dropping-particle":"","family":"Bolduc","given":"Gilles R","non-dropping-particle":"","parse-names":false,"suffix":""},{"dropping-particle":"","family":"Goldberg","given":"Marcia B","non-dropping-particle":"","parse-names":false,"suffix":""},{"dropping-particle":"","family":"Aupérin","given":"Thierry C","non-dropping-particle":"","parse-names":false,"suffix":""},{"dropping-particle":"","family":"Madoff","given":"Lawrence C","non-dropping-particle":"","parse-names":false,"suffix":""}],"container-title":"Journal of Biological Chemistry","id":"ITEM-2","issue":"23","issued":{"date-parts":[["2004"]]},"page":"24714-24723","title":"Alpha C protein of group B Streptococcus binds host cell surface glycosaminoglycan and enters cells by an actin-dependent mechanism","type":"article-journal","volume":"279"},"uris":["http://www.mendeley.com/documents/?uuid=17200509-bb6b-4c15-9fed-30b3b1b2b5fa"]}],"mendeley":{"formattedCitation":"[44,45]","plainTextFormattedCitation":"[44,45]","previouslyFormattedCitation":"[44,45]"},"properties":{"noteIndex":0},"schema":"https://github.com/citation-style-language/schema/raw/master/csl-citation.json"}</w:instrText>
      </w:r>
      <w:r w:rsidR="005140B8">
        <w:rPr>
          <w:rFonts w:ascii="Arial" w:hAnsi="Arial"/>
          <w:sz w:val="22"/>
          <w:szCs w:val="22"/>
        </w:rPr>
        <w:fldChar w:fldCharType="separate"/>
      </w:r>
      <w:r w:rsidR="005140B8" w:rsidRPr="005140B8">
        <w:rPr>
          <w:rFonts w:ascii="Arial" w:hAnsi="Arial"/>
          <w:noProof/>
          <w:sz w:val="22"/>
          <w:szCs w:val="22"/>
        </w:rPr>
        <w:t>[44,45]</w:t>
      </w:r>
      <w:r w:rsidR="005140B8">
        <w:rPr>
          <w:rFonts w:ascii="Arial" w:hAnsi="Arial"/>
          <w:sz w:val="22"/>
          <w:szCs w:val="22"/>
        </w:rPr>
        <w:fldChar w:fldCharType="end"/>
      </w:r>
      <w:r w:rsidR="006B6197">
        <w:rPr>
          <w:rFonts w:ascii="Arial" w:hAnsi="Arial"/>
          <w:sz w:val="22"/>
          <w:szCs w:val="22"/>
        </w:rPr>
        <w:t xml:space="preserve">. The </w:t>
      </w:r>
      <w:r w:rsidR="00641B6D">
        <w:rPr>
          <w:rFonts w:ascii="Arial" w:hAnsi="Arial"/>
          <w:sz w:val="22"/>
          <w:szCs w:val="22"/>
        </w:rPr>
        <w:t xml:space="preserve">other </w:t>
      </w:r>
      <w:r w:rsidR="006B6197">
        <w:rPr>
          <w:rFonts w:ascii="Arial" w:hAnsi="Arial"/>
          <w:sz w:val="22"/>
          <w:szCs w:val="22"/>
        </w:rPr>
        <w:t xml:space="preserve">Alp family surface proteins are </w:t>
      </w:r>
      <w:r w:rsidR="00641B6D">
        <w:rPr>
          <w:rFonts w:ascii="Arial" w:hAnsi="Arial"/>
          <w:sz w:val="22"/>
          <w:szCs w:val="22"/>
        </w:rPr>
        <w:t xml:space="preserve">also </w:t>
      </w:r>
      <w:r w:rsidR="006B6197">
        <w:rPr>
          <w:rFonts w:ascii="Arial" w:hAnsi="Arial"/>
          <w:sz w:val="22"/>
          <w:szCs w:val="22"/>
        </w:rPr>
        <w:t xml:space="preserve">of great interest as they provide immunological reaction and potentially protection against GBS disease </w:t>
      </w:r>
      <w:r w:rsidR="00345D87">
        <w:rPr>
          <w:rFonts w:ascii="Arial" w:hAnsi="Arial"/>
          <w:sz w:val="22"/>
          <w:szCs w:val="22"/>
        </w:rPr>
        <w:fldChar w:fldCharType="begin" w:fldLock="1"/>
      </w:r>
      <w:r w:rsidR="003E400C">
        <w:rPr>
          <w:rFonts w:ascii="Arial" w:hAnsi="Arial"/>
          <w:sz w:val="22"/>
          <w:szCs w:val="22"/>
        </w:rPr>
        <w:instrText>ADDIN CSL_CITATION {"citationItems":[{"id":"ITEM-1","itemData":{"DOI":"10.1128/CVI.00643-14","ISSN":"1556-6811","PMID":"25540270","abstract":"Nearly all Streptococcus agalactiae (group B streptococcus [GBS]) strains express a protein which belongs to the so-called alpha-like proteins (Alps), of which C$α$, Alp1, Alp2, Alp3, Rib, and Alp4 are known to occur in GBS. The Alps are chimeras which form mosaic structures on the GBS surface. Both N- and C-terminal stretches of the Alps possess immunogenic sites of dissimilar immunological specificity. In this review, we have compiled data dealing with the specificity of the N- and C-terminal immunogenic sites of the Alps. The majority of N-terminal sites show protein specificity while the C-terminal sites show broader cross-reactivity. Molecular serotyping has revealed that antibody-based serotyping has often resulted in erroneous Alp identification, due to persistence of cross-reacting antibodies in antisera for serotyping. Retrospectively, this could be expected on the basis of sequence analysis results. Some of the historical R proteins are in fact Alps. The data included in the review may provide a basis for decisions regarding techniques for the preparation of specific antisera for serotyping of GBS, for use in other approaches in GBS research, and for decision making in the context of GBS vaccine developments.","author":[{"dropping-particle":"","family":"Maeland","given":"Johan A","non-dropping-particle":"","parse-names":false,"suffix":""},{"dropping-particle":"","family":"Afset","given":"Jan E","non-dropping-particle":"","parse-names":false,"suffix":""},{"dropping-particle":"V","family":"Lyng","given":"Randi","non-dropping-particle":"","parse-names":false,"suffix":""},{"dropping-particle":"","family":"Radtke","given":"Andreas","non-dropping-particle":"","parse-names":false,"suffix":""}],"container-title":"Clinical and Vaccine Immunology","editor":[{"dropping-particle":"","family":"Papasian","given":"C J","non-dropping-particle":"","parse-names":false,"suffix":""}],"id":"ITEM-1","issue":"2","issued":{"date-parts":[["2015","2"]]},"page":"153-159","title":"Survey of Immunological Features of the Alpha-Like Proteins of Streptococcus agalactiae","type":"article-journal","volume":"22"},"uris":["http://www.mendeley.com/documents/?uuid=19b4e300-c124-4840-8e6b-95f2b16d147d"]}],"mendeley":{"formattedCitation":"[46]","plainTextFormattedCitation":"[46]","previouslyFormattedCitation":"[46]"},"properties":{"noteIndex":0},"schema":"https://github.com/citation-style-language/schema/raw/master/csl-citation.json"}</w:instrText>
      </w:r>
      <w:r w:rsidR="00345D87">
        <w:rPr>
          <w:rFonts w:ascii="Arial" w:hAnsi="Arial"/>
          <w:sz w:val="22"/>
          <w:szCs w:val="22"/>
        </w:rPr>
        <w:fldChar w:fldCharType="separate"/>
      </w:r>
      <w:r w:rsidR="00345D87" w:rsidRPr="00345D87">
        <w:rPr>
          <w:rFonts w:ascii="Arial" w:hAnsi="Arial"/>
          <w:noProof/>
          <w:sz w:val="22"/>
          <w:szCs w:val="22"/>
        </w:rPr>
        <w:t>[46]</w:t>
      </w:r>
      <w:r w:rsidR="00345D87">
        <w:rPr>
          <w:rFonts w:ascii="Arial" w:hAnsi="Arial"/>
          <w:sz w:val="22"/>
          <w:szCs w:val="22"/>
        </w:rPr>
        <w:fldChar w:fldCharType="end"/>
      </w:r>
      <w:r w:rsidR="006B6197">
        <w:rPr>
          <w:rFonts w:ascii="Arial" w:hAnsi="Arial"/>
          <w:sz w:val="22"/>
          <w:szCs w:val="22"/>
        </w:rPr>
        <w:t>.</w:t>
      </w:r>
      <w:r w:rsidR="00BE7C29">
        <w:rPr>
          <w:rFonts w:ascii="Arial" w:hAnsi="Arial"/>
          <w:sz w:val="22"/>
          <w:szCs w:val="22"/>
        </w:rPr>
        <w:t xml:space="preserve"> </w:t>
      </w:r>
      <w:r w:rsidR="00CA18B8">
        <w:rPr>
          <w:rFonts w:ascii="Arial" w:hAnsi="Arial"/>
          <w:sz w:val="22"/>
          <w:szCs w:val="22"/>
        </w:rPr>
        <w:t xml:space="preserve">Due to this, studies report associations observed between GBS serotypes and genotypes. </w:t>
      </w:r>
      <w:r w:rsidR="00E71367">
        <w:rPr>
          <w:rFonts w:ascii="Arial" w:hAnsi="Arial"/>
          <w:sz w:val="22"/>
          <w:szCs w:val="22"/>
        </w:rPr>
        <w:t xml:space="preserve">A recent meta-analysis study on global GBS isolates have reported that </w:t>
      </w:r>
      <w:r w:rsidR="007976A4">
        <w:rPr>
          <w:rFonts w:ascii="Arial" w:hAnsi="Arial"/>
          <w:sz w:val="22"/>
          <w:szCs w:val="22"/>
        </w:rPr>
        <w:t>7</w:t>
      </w:r>
      <w:r w:rsidR="00E71367">
        <w:rPr>
          <w:rFonts w:ascii="Arial" w:hAnsi="Arial"/>
          <w:sz w:val="22"/>
          <w:szCs w:val="22"/>
        </w:rPr>
        <w:t xml:space="preserve">9% of invasive adult GBS had at least one </w:t>
      </w:r>
      <w:r w:rsidR="007976A4">
        <w:rPr>
          <w:rFonts w:ascii="Arial" w:hAnsi="Arial"/>
          <w:sz w:val="22"/>
          <w:szCs w:val="22"/>
        </w:rPr>
        <w:t>of the</w:t>
      </w:r>
      <w:r w:rsidR="00E71367" w:rsidRPr="00E46A35">
        <w:rPr>
          <w:rFonts w:ascii="Arial" w:hAnsi="Arial"/>
          <w:sz w:val="22"/>
          <w:szCs w:val="22"/>
        </w:rPr>
        <w:t xml:space="preserve"> Alp2, Alp3, </w:t>
      </w:r>
      <w:r w:rsidR="00E71367">
        <w:rPr>
          <w:rFonts w:ascii="Arial" w:hAnsi="Arial"/>
          <w:sz w:val="22"/>
          <w:szCs w:val="22"/>
        </w:rPr>
        <w:t>Alpha C (</w:t>
      </w:r>
      <w:proofErr w:type="spellStart"/>
      <w:r w:rsidR="00E71367">
        <w:rPr>
          <w:rFonts w:ascii="Arial" w:hAnsi="Arial"/>
          <w:sz w:val="22"/>
          <w:szCs w:val="22"/>
        </w:rPr>
        <w:t>bca</w:t>
      </w:r>
      <w:proofErr w:type="spellEnd"/>
      <w:r w:rsidR="00E71367">
        <w:rPr>
          <w:rFonts w:ascii="Arial" w:hAnsi="Arial"/>
          <w:sz w:val="22"/>
          <w:szCs w:val="22"/>
        </w:rPr>
        <w:t>)</w:t>
      </w:r>
      <w:r w:rsidR="00E71367" w:rsidRPr="00E46A35">
        <w:rPr>
          <w:rFonts w:ascii="Arial" w:hAnsi="Arial"/>
          <w:sz w:val="22"/>
          <w:szCs w:val="22"/>
        </w:rPr>
        <w:t xml:space="preserve"> or Rib</w:t>
      </w:r>
      <w:r w:rsidR="007976A4">
        <w:rPr>
          <w:rFonts w:ascii="Arial" w:hAnsi="Arial"/>
          <w:sz w:val="22"/>
          <w:szCs w:val="22"/>
        </w:rPr>
        <w:t xml:space="preserve"> protein genes</w:t>
      </w:r>
      <w:r w:rsidR="00E71367">
        <w:rPr>
          <w:rFonts w:ascii="Arial" w:hAnsi="Arial"/>
          <w:sz w:val="22"/>
          <w:szCs w:val="22"/>
        </w:rPr>
        <w:t xml:space="preserve"> </w:t>
      </w:r>
      <w:r w:rsidR="001A43B0">
        <w:rPr>
          <w:rFonts w:ascii="Arial" w:hAnsi="Arial"/>
          <w:sz w:val="22"/>
          <w:szCs w:val="22"/>
        </w:rPr>
        <w:fldChar w:fldCharType="begin" w:fldLock="1"/>
      </w:r>
      <w:r w:rsidR="00B50624">
        <w:rPr>
          <w:rFonts w:ascii="Arial" w:hAnsi="Arial"/>
          <w:sz w:val="22"/>
          <w:szCs w:val="22"/>
        </w:rPr>
        <w:instrText>ADDIN CSL_CITATION {"citationItems":[{"id":"ITEM-1","itemData":{"DOI":"10.1016/j.vaccine.2020.08.052","ISSN":"18732518","PMID":"32888741","abstract":"Background: 21 million pregnant women worldwide (18%) are estimated to carry Group B Streptococcus (GBS), which is a risk for invasive disease in newborns, pregnant women, and stillbirths. Adults ≥ 60 years or with underlying health conditions are also vulnerable to invasive GBS disease. We undertook systematic reviews on GBS organism characteristics including: capsular polysaccharide (serotype), sequence type (multi-locus sequence types (MLST)), and virulence proteins. We synthesised data by at-risk populations, to inform vaccine development. Methods: We conducted systematic reviews and meta-analyses to estimate proportions of GBS serotypes for at risk populations: maternal colonisation, invasive disease in pregnant women, stillbirths, infants 0–90 days age, and older adults (≥60 years). We considered regional variation and time trends (2001–2018). For these at-risk population groups, we summarised reported MLST and surface proteins. Results: Based on 198 studies (29247isolates), 93–99% of GBS isolates were serotypes Ia, Ib, II, III, IV and V. Regional variation is likely, but data gaps are apparent, even for maternal colonisation which has most data. Serotype III dominates for infant invasive disease (60%) and GBS-associated stillbirths (41%). ST17 accounted for a high proportion of infant invasive disease (41%; 95%CI: 35–47) and was found almost exclusively in serotype III strains, less present in maternal colonisation (9%; 95%CI:6–13),(4%; 95%CI:0–11) infant colonisation, and adult invasive disease (4%, 95%CI:2–6). Percentages of strains with at least one of alp 1, alp2/3, alpha C or Rib surface protein targets were 87% of maternal colonisation, 97% infant colonisation, 93% infant disease and 99% adult invasive disease. At least one of three pilus islands proteins were reported in all strains. Discussion: A hexavalent vaccine (serotypes Ia, Ib, II, III, IV and V) might provide comprehensive cover for all at-risk populations. Surveillance of circulating, disease-causing target proteins is useful to inform vaccines not targeting capsular polysaccharide. Addressing data gaps especially by world region and some at-risk populations (notably stillbirths) is fundamental to evidence-based decision-making during vaccine design.","author":[{"dropping-particle":"","family":"Bianchi-Jassir","given":"Fiorella","non-dropping-particle":"","parse-names":false,"suffix":""},{"dropping-particle":"","family":"Paul","given":"Proma","non-dropping-particle":"","parse-names":false,"suffix":""},{"dropping-particle":"","family":"To","given":"Ka Ning","non-dropping-particle":"","parse-names":false,"suffix":""},{"dropping-particle":"","family":"Carreras-Abad","given":"Clara","non-dropping-particle":"","parse-names":false,"suffix":""},{"dropping-particle":"","family":"Seale","given":"Anna C.","non-dropping-particle":"","parse-names":false,"suffix":""},{"dropping-particle":"","family":"Jauneikaite","given":"Elita","non-dropping-particle":"","parse-names":false,"suffix":""},{"dropping-particle":"","family":"Madhi","given":"Shabir A.","non-dropping-particle":"","parse-names":false,"suffix":""},{"dropping-particle":"","family":"Russell","given":"Neal J.","non-dropping-particle":"","parse-names":false,"suffix":""},{"dropping-particle":"","family":"Hall","given":"Jenny","non-dropping-particle":"","parse-names":false,"suffix":""},{"dropping-particle":"","family":"Madrid","given":"Lola","non-dropping-particle":"","parse-names":false,"suffix":""},{"dropping-particle":"","family":"Bassat","given":"Quique","non-dropping-particle":"","parse-names":false,"suffix":""},{"dropping-particle":"","family":"Kwatra","given":"Gaurav","non-dropping-particle":"","parse-names":false,"suffix":""},{"dropping-particle":"","family":"Doare","given":"Kirsty","non-dropping-particle":"Le","parse-names":false,"suffix":""},{"dropping-particle":"","family":"Lawn","given":"Joy E.","non-dropping-particle":"","parse-names":false,"suffix":""}],"container-title":"Vaccine","id":"ITEM-1","issue":"43","issued":{"date-parts":[["2020"]]},"title":"Systematic review of Group B Streptococcal capsular types, sequence types and surface proteins as potential vaccine candidates","type":"article","volume":"38"},"uris":["http://www.mendeley.com/documents/?uuid=eea2a2da-fe9a-4d21-9f86-c6895e2d399d"]}],"mendeley":{"formattedCitation":"[6]","plainTextFormattedCitation":"[6]","previouslyFormattedCitation":"[6]"},"properties":{"noteIndex":0},"schema":"https://github.com/citation-style-language/schema/raw/master/csl-citation.json"}</w:instrText>
      </w:r>
      <w:r w:rsidR="001A43B0">
        <w:rPr>
          <w:rFonts w:ascii="Arial" w:hAnsi="Arial"/>
          <w:sz w:val="22"/>
          <w:szCs w:val="22"/>
        </w:rPr>
        <w:fldChar w:fldCharType="separate"/>
      </w:r>
      <w:r w:rsidR="00B31BD8" w:rsidRPr="00B31BD8">
        <w:rPr>
          <w:rFonts w:ascii="Arial" w:hAnsi="Arial"/>
          <w:noProof/>
          <w:sz w:val="22"/>
          <w:szCs w:val="22"/>
        </w:rPr>
        <w:t>[6]</w:t>
      </w:r>
      <w:r w:rsidR="001A43B0">
        <w:rPr>
          <w:rFonts w:ascii="Arial" w:hAnsi="Arial"/>
          <w:sz w:val="22"/>
          <w:szCs w:val="22"/>
        </w:rPr>
        <w:fldChar w:fldCharType="end"/>
      </w:r>
      <w:r w:rsidR="00BD21F4">
        <w:rPr>
          <w:rFonts w:ascii="Arial" w:hAnsi="Arial"/>
          <w:sz w:val="22"/>
          <w:szCs w:val="22"/>
        </w:rPr>
        <w:t xml:space="preserve">, similar distribution </w:t>
      </w:r>
      <w:r w:rsidR="0054605A">
        <w:rPr>
          <w:rFonts w:ascii="Arial" w:hAnsi="Arial"/>
          <w:sz w:val="22"/>
          <w:szCs w:val="22"/>
        </w:rPr>
        <w:t xml:space="preserve">has been observed in our study </w:t>
      </w:r>
      <w:r w:rsidR="00BD21F4">
        <w:rPr>
          <w:rFonts w:ascii="Arial" w:hAnsi="Arial"/>
          <w:sz w:val="22"/>
          <w:szCs w:val="22"/>
        </w:rPr>
        <w:t>as well</w:t>
      </w:r>
      <w:r w:rsidR="0054605A">
        <w:rPr>
          <w:rFonts w:ascii="Arial" w:hAnsi="Arial"/>
          <w:sz w:val="22"/>
          <w:szCs w:val="22"/>
        </w:rPr>
        <w:t xml:space="preserve"> with 72.5% (n=140/193) of the isolates carrying one of the mentioned alp family proteins. </w:t>
      </w:r>
      <w:r w:rsidR="00EA4E52">
        <w:rPr>
          <w:rFonts w:ascii="Arial" w:hAnsi="Arial"/>
          <w:sz w:val="22"/>
          <w:szCs w:val="22"/>
        </w:rPr>
        <w:t>We have found s</w:t>
      </w:r>
      <w:r w:rsidR="00121B08">
        <w:rPr>
          <w:rFonts w:ascii="Arial" w:hAnsi="Arial"/>
          <w:sz w:val="22"/>
          <w:szCs w:val="22"/>
        </w:rPr>
        <w:t>erotype III isolates were reported to more commonly be associated with Rib protein</w:t>
      </w:r>
      <w:r w:rsidR="00EA4E52">
        <w:rPr>
          <w:rFonts w:ascii="Arial" w:hAnsi="Arial"/>
          <w:sz w:val="22"/>
          <w:szCs w:val="22"/>
        </w:rPr>
        <w:t xml:space="preserve"> and </w:t>
      </w:r>
      <w:r w:rsidR="00121B08">
        <w:rPr>
          <w:rFonts w:ascii="Arial" w:hAnsi="Arial"/>
          <w:sz w:val="22"/>
          <w:szCs w:val="22"/>
        </w:rPr>
        <w:t xml:space="preserve">serotype V </w:t>
      </w:r>
      <w:r w:rsidR="00EA4E52">
        <w:rPr>
          <w:rFonts w:ascii="Arial" w:hAnsi="Arial"/>
          <w:sz w:val="22"/>
          <w:szCs w:val="22"/>
        </w:rPr>
        <w:t xml:space="preserve">isolates to be </w:t>
      </w:r>
      <w:r w:rsidR="00EA4E52">
        <w:rPr>
          <w:rFonts w:ascii="Arial" w:hAnsi="Arial"/>
          <w:sz w:val="22"/>
          <w:szCs w:val="22"/>
        </w:rPr>
        <w:lastRenderedPageBreak/>
        <w:t xml:space="preserve">associated </w:t>
      </w:r>
      <w:r w:rsidR="00121B08">
        <w:rPr>
          <w:rFonts w:ascii="Arial" w:hAnsi="Arial"/>
          <w:sz w:val="22"/>
          <w:szCs w:val="22"/>
        </w:rPr>
        <w:t>with Alp3</w:t>
      </w:r>
      <w:r w:rsidR="00EA4E52">
        <w:rPr>
          <w:rFonts w:ascii="Arial" w:hAnsi="Arial"/>
          <w:sz w:val="22"/>
          <w:szCs w:val="22"/>
        </w:rPr>
        <w:t>, which concurs with previous reports</w:t>
      </w:r>
      <w:r w:rsidR="00121B08">
        <w:rPr>
          <w:rFonts w:ascii="Arial" w:hAnsi="Arial"/>
          <w:sz w:val="22"/>
          <w:szCs w:val="22"/>
        </w:rPr>
        <w:t xml:space="preserve"> </w:t>
      </w:r>
      <w:r w:rsidR="00D24C90">
        <w:rPr>
          <w:rFonts w:ascii="Arial" w:hAnsi="Arial"/>
          <w:sz w:val="22"/>
          <w:szCs w:val="22"/>
        </w:rPr>
        <w:fldChar w:fldCharType="begin" w:fldLock="1"/>
      </w:r>
      <w:r w:rsidR="00B50624">
        <w:rPr>
          <w:rFonts w:ascii="Arial" w:hAnsi="Arial"/>
          <w:sz w:val="22"/>
          <w:szCs w:val="22"/>
        </w:rPr>
        <w:instrText>ADDIN CSL_CITATION {"citationItems":[{"id":"ITEM-1","itemData":{"DOI":"10.1016/j.vaccine.2020.08.052","ISSN":"18732518","PMID":"32888741","abstract":"Background: 21 million pregnant women worldwide (18%) are estimated to carry Group B Streptococcus (GBS), which is a risk for invasive disease in newborns, pregnant women, and stillbirths. Adults ≥ 60 years or with underlying health conditions are also vulnerable to invasive GBS disease. We undertook systematic reviews on GBS organism characteristics including: capsular polysaccharide (serotype), sequence type (multi-locus sequence types (MLST)), and virulence proteins. We synthesised data by at-risk populations, to inform vaccine development. Methods: We conducted systematic reviews and meta-analyses to estimate proportions of GBS serotypes for at risk populations: maternal colonisation, invasive disease in pregnant women, stillbirths, infants 0–90 days age, and older adults (≥60 years). We considered regional variation and time trends (2001–2018). For these at-risk population groups, we summarised reported MLST and surface proteins. Results: Based on 198 studies (29247isolates), 93–99% of GBS isolates were serotypes Ia, Ib, II, III, IV and V. Regional variation is likely, but data gaps are apparent, even for maternal colonisation which has most data. Serotype III dominates for infant invasive disease (60%) and GBS-associated stillbirths (41%). ST17 accounted for a high proportion of infant invasive disease (41%; 95%CI: 35–47) and was found almost exclusively in serotype III strains, less present in maternal colonisation (9%; 95%CI:6–13),(4%; 95%CI:0–11) infant colonisation, and adult invasive disease (4%, 95%CI:2–6). Percentages of strains with at least one of alp 1, alp2/3, alpha C or Rib surface protein targets were 87% of maternal colonisation, 97% infant colonisation, 93% infant disease and 99% adult invasive disease. At least one of three pilus islands proteins were reported in all strains. Discussion: A hexavalent vaccine (serotypes Ia, Ib, II, III, IV and V) might provide comprehensive cover for all at-risk populations. Surveillance of circulating, disease-causing target proteins is useful to inform vaccines not targeting capsular polysaccharide. Addressing data gaps especially by world region and some at-risk populations (notably stillbirths) is fundamental to evidence-based decision-making during vaccine design.","author":[{"dropping-particle":"","family":"Bianchi-Jassir","given":"Fiorella","non-dropping-particle":"","parse-names":false,"suffix":""},{"dropping-particle":"","family":"Paul","given":"Proma","non-dropping-particle":"","parse-names":false,"suffix":""},{"dropping-particle":"","family":"To","given":"Ka Ning","non-dropping-particle":"","parse-names":false,"suffix":""},{"dropping-particle":"","family":"Carreras-Abad","given":"Clara","non-dropping-particle":"","parse-names":false,"suffix":""},{"dropping-particle":"","family":"Seale","given":"Anna C.","non-dropping-particle":"","parse-names":false,"suffix":""},{"dropping-particle":"","family":"Jauneikaite","given":"Elita","non-dropping-particle":"","parse-names":false,"suffix":""},{"dropping-particle":"","family":"Madhi","given":"Shabir A.","non-dropping-particle":"","parse-names":false,"suffix":""},{"dropping-particle":"","family":"Russell","given":"Neal J.","non-dropping-particle":"","parse-names":false,"suffix":""},{"dropping-particle":"","family":"Hall","given":"Jenny","non-dropping-particle":"","parse-names":false,"suffix":""},{"dropping-particle":"","family":"Madrid","given":"Lola","non-dropping-particle":"","parse-names":false,"suffix":""},{"dropping-particle":"","family":"Bassat","given":"Quique","non-dropping-particle":"","parse-names":false,"suffix":""},{"dropping-particle":"","family":"Kwatra","given":"Gaurav","non-dropping-particle":"","parse-names":false,"suffix":""},{"dropping-particle":"","family":"Doare","given":"Kirsty","non-dropping-particle":"Le","parse-names":false,"suffix":""},{"dropping-particle":"","family":"Lawn","given":"Joy E.","non-dropping-particle":"","parse-names":false,"suffix":""}],"container-title":"Vaccine","id":"ITEM-1","issue":"43","issued":{"date-parts":[["2020"]]},"title":"Systematic review of Group B Streptococcal capsular types, sequence types and surface proteins as potential vaccine candidates","type":"article","volume":"38"},"uris":["http://www.mendeley.com/documents/?uuid=eea2a2da-fe9a-4d21-9f86-c6895e2d399d"]}],"mendeley":{"formattedCitation":"[6]","plainTextFormattedCitation":"[6]","previouslyFormattedCitation":"[6]"},"properties":{"noteIndex":0},"schema":"https://github.com/citation-style-language/schema/raw/master/csl-citation.json"}</w:instrText>
      </w:r>
      <w:r w:rsidR="00D24C90">
        <w:rPr>
          <w:rFonts w:ascii="Arial" w:hAnsi="Arial"/>
          <w:sz w:val="22"/>
          <w:szCs w:val="22"/>
        </w:rPr>
        <w:fldChar w:fldCharType="separate"/>
      </w:r>
      <w:r w:rsidR="00B31BD8" w:rsidRPr="00B31BD8">
        <w:rPr>
          <w:rFonts w:ascii="Arial" w:hAnsi="Arial"/>
          <w:noProof/>
          <w:sz w:val="22"/>
          <w:szCs w:val="22"/>
        </w:rPr>
        <w:t>[6]</w:t>
      </w:r>
      <w:r w:rsidR="00D24C90">
        <w:rPr>
          <w:rFonts w:ascii="Arial" w:hAnsi="Arial"/>
          <w:sz w:val="22"/>
          <w:szCs w:val="22"/>
        </w:rPr>
        <w:fldChar w:fldCharType="end"/>
      </w:r>
      <w:r w:rsidR="00EA4E52">
        <w:rPr>
          <w:rFonts w:ascii="Arial" w:hAnsi="Arial"/>
          <w:sz w:val="22"/>
          <w:szCs w:val="22"/>
        </w:rPr>
        <w:t>; and</w:t>
      </w:r>
      <w:r w:rsidR="00445386">
        <w:rPr>
          <w:rFonts w:ascii="Arial" w:hAnsi="Arial"/>
          <w:sz w:val="22"/>
          <w:szCs w:val="22"/>
        </w:rPr>
        <w:t xml:space="preserve"> Alpha C protein (</w:t>
      </w:r>
      <w:proofErr w:type="spellStart"/>
      <w:r w:rsidR="00445386">
        <w:rPr>
          <w:rFonts w:ascii="Arial" w:hAnsi="Arial"/>
          <w:sz w:val="22"/>
          <w:szCs w:val="22"/>
        </w:rPr>
        <w:t>bca</w:t>
      </w:r>
      <w:proofErr w:type="spellEnd"/>
      <w:r w:rsidR="00445386">
        <w:rPr>
          <w:rFonts w:ascii="Arial" w:hAnsi="Arial"/>
          <w:sz w:val="22"/>
          <w:szCs w:val="22"/>
        </w:rPr>
        <w:t xml:space="preserve"> gene) </w:t>
      </w:r>
      <w:r w:rsidR="00EA4E52">
        <w:rPr>
          <w:rFonts w:ascii="Arial" w:hAnsi="Arial"/>
          <w:sz w:val="22"/>
          <w:szCs w:val="22"/>
        </w:rPr>
        <w:t xml:space="preserve">was found to be associated with serotype </w:t>
      </w:r>
      <w:proofErr w:type="spellStart"/>
      <w:r w:rsidR="00EA4E52">
        <w:rPr>
          <w:rFonts w:ascii="Arial" w:hAnsi="Arial"/>
          <w:sz w:val="22"/>
          <w:szCs w:val="22"/>
        </w:rPr>
        <w:t>Ib</w:t>
      </w:r>
      <w:proofErr w:type="spellEnd"/>
      <w:r w:rsidR="00EA4E52">
        <w:rPr>
          <w:rFonts w:ascii="Arial" w:hAnsi="Arial"/>
          <w:sz w:val="22"/>
          <w:szCs w:val="22"/>
        </w:rPr>
        <w:t xml:space="preserve"> in our study, though it has been reported to be associated with</w:t>
      </w:r>
      <w:r w:rsidR="00445386">
        <w:rPr>
          <w:rFonts w:ascii="Arial" w:hAnsi="Arial"/>
          <w:sz w:val="22"/>
          <w:szCs w:val="22"/>
        </w:rPr>
        <w:t xml:space="preserve"> serotype</w:t>
      </w:r>
      <w:r w:rsidR="00EA4E52">
        <w:rPr>
          <w:rFonts w:ascii="Arial" w:hAnsi="Arial"/>
          <w:sz w:val="22"/>
          <w:szCs w:val="22"/>
        </w:rPr>
        <w:t>s</w:t>
      </w:r>
      <w:r w:rsidR="00445386">
        <w:rPr>
          <w:rFonts w:ascii="Arial" w:hAnsi="Arial"/>
          <w:sz w:val="22"/>
          <w:szCs w:val="22"/>
        </w:rPr>
        <w:t xml:space="preserve"> </w:t>
      </w:r>
      <w:proofErr w:type="spellStart"/>
      <w:r w:rsidR="00445386">
        <w:rPr>
          <w:rFonts w:ascii="Arial" w:hAnsi="Arial"/>
          <w:sz w:val="22"/>
          <w:szCs w:val="22"/>
        </w:rPr>
        <w:t>Ib</w:t>
      </w:r>
      <w:proofErr w:type="spellEnd"/>
      <w:r w:rsidR="00445386">
        <w:rPr>
          <w:rFonts w:ascii="Arial" w:hAnsi="Arial"/>
          <w:sz w:val="22"/>
          <w:szCs w:val="22"/>
        </w:rPr>
        <w:t xml:space="preserve"> and </w:t>
      </w:r>
      <w:proofErr w:type="spellStart"/>
      <w:r w:rsidR="00445386">
        <w:rPr>
          <w:rFonts w:ascii="Arial" w:hAnsi="Arial"/>
          <w:sz w:val="22"/>
          <w:szCs w:val="22"/>
        </w:rPr>
        <w:t>Ia</w:t>
      </w:r>
      <w:proofErr w:type="spellEnd"/>
      <w:r w:rsidR="00445386">
        <w:rPr>
          <w:rFonts w:ascii="Arial" w:hAnsi="Arial"/>
          <w:sz w:val="22"/>
          <w:szCs w:val="22"/>
        </w:rPr>
        <w:t xml:space="preserve"> </w:t>
      </w:r>
      <w:r w:rsidR="00D24C90">
        <w:rPr>
          <w:rFonts w:ascii="Arial" w:hAnsi="Arial"/>
          <w:sz w:val="22"/>
          <w:szCs w:val="22"/>
        </w:rPr>
        <w:fldChar w:fldCharType="begin" w:fldLock="1"/>
      </w:r>
      <w:r w:rsidR="00B50624">
        <w:rPr>
          <w:rFonts w:ascii="Arial" w:hAnsi="Arial"/>
          <w:sz w:val="22"/>
          <w:szCs w:val="22"/>
        </w:rPr>
        <w:instrText>ADDIN CSL_CITATION {"citationItems":[{"id":"ITEM-1","itemData":{"DOI":"10.1016/j.vaccine.2020.08.052","ISSN":"18732518","PMID":"32888741","abstract":"Background: 21 million pregnant women worldwide (18%) are estimated to carry Group B Streptococcus (GBS), which is a risk for invasive disease in newborns, pregnant women, and stillbirths. Adults ≥ 60 years or with underlying health conditions are also vulnerable to invasive GBS disease. We undertook systematic reviews on GBS organism characteristics including: capsular polysaccharide (serotype), sequence type (multi-locus sequence types (MLST)), and virulence proteins. We synthesised data by at-risk populations, to inform vaccine development. Methods: We conducted systematic reviews and meta-analyses to estimate proportions of GBS serotypes for at risk populations: maternal colonisation, invasive disease in pregnant women, stillbirths, infants 0–90 days age, and older adults (≥60 years). We considered regional variation and time trends (2001–2018). For these at-risk population groups, we summarised reported MLST and surface proteins. Results: Based on 198 studies (29247isolates), 93–99% of GBS isolates were serotypes Ia, Ib, II, III, IV and V. Regional variation is likely, but data gaps are apparent, even for maternal colonisation which has most data. Serotype III dominates for infant invasive disease (60%) and GBS-associated stillbirths (41%). ST17 accounted for a high proportion of infant invasive disease (41%; 95%CI: 35–47) and was found almost exclusively in serotype III strains, less present in maternal colonisation (9%; 95%CI:6–13),(4%; 95%CI:0–11) infant colonisation, and adult invasive disease (4%, 95%CI:2–6). Percentages of strains with at least one of alp 1, alp2/3, alpha C or Rib surface protein targets were 87% of maternal colonisation, 97% infant colonisation, 93% infant disease and 99% adult invasive disease. At least one of three pilus islands proteins were reported in all strains. Discussion: A hexavalent vaccine (serotypes Ia, Ib, II, III, IV and V) might provide comprehensive cover for all at-risk populations. Surveillance of circulating, disease-causing target proteins is useful to inform vaccines not targeting capsular polysaccharide. Addressing data gaps especially by world region and some at-risk populations (notably stillbirths) is fundamental to evidence-based decision-making during vaccine design.","author":[{"dropping-particle":"","family":"Bianchi-Jassir","given":"Fiorella","non-dropping-particle":"","parse-names":false,"suffix":""},{"dropping-particle":"","family":"Paul","given":"Proma","non-dropping-particle":"","parse-names":false,"suffix":""},{"dropping-particle":"","family":"To","given":"Ka Ning","non-dropping-particle":"","parse-names":false,"suffix":""},{"dropping-particle":"","family":"Carreras-Abad","given":"Clara","non-dropping-particle":"","parse-names":false,"suffix":""},{"dropping-particle":"","family":"Seale","given":"Anna C.","non-dropping-particle":"","parse-names":false,"suffix":""},{"dropping-particle":"","family":"Jauneikaite","given":"Elita","non-dropping-particle":"","parse-names":false,"suffix":""},{"dropping-particle":"","family":"Madhi","given":"Shabir A.","non-dropping-particle":"","parse-names":false,"suffix":""},{"dropping-particle":"","family":"Russell","given":"Neal J.","non-dropping-particle":"","parse-names":false,"suffix":""},{"dropping-particle":"","family":"Hall","given":"Jenny","non-dropping-particle":"","parse-names":false,"suffix":""},{"dropping-particle":"","family":"Madrid","given":"Lola","non-dropping-particle":"","parse-names":false,"suffix":""},{"dropping-particle":"","family":"Bassat","given":"Quique","non-dropping-particle":"","parse-names":false,"suffix":""},{"dropping-particle":"","family":"Kwatra","given":"Gaurav","non-dropping-particle":"","parse-names":false,"suffix":""},{"dropping-particle":"","family":"Doare","given":"Kirsty","non-dropping-particle":"Le","parse-names":false,"suffix":""},{"dropping-particle":"","family":"Lawn","given":"Joy E.","non-dropping-particle":"","parse-names":false,"suffix":""}],"container-title":"Vaccine","id":"ITEM-1","issue":"43","issued":{"date-parts":[["2020"]]},"title":"Systematic review of Group B Streptococcal capsular types, sequence types and surface proteins as potential vaccine candidates","type":"article","volume":"38"},"uris":["http://www.mendeley.com/documents/?uuid=eea2a2da-fe9a-4d21-9f86-c6895e2d399d"]}],"mendeley":{"formattedCitation":"[6]","plainTextFormattedCitation":"[6]","previouslyFormattedCitation":"[6]"},"properties":{"noteIndex":0},"schema":"https://github.com/citation-style-language/schema/raw/master/csl-citation.json"}</w:instrText>
      </w:r>
      <w:r w:rsidR="00D24C90">
        <w:rPr>
          <w:rFonts w:ascii="Arial" w:hAnsi="Arial"/>
          <w:sz w:val="22"/>
          <w:szCs w:val="22"/>
        </w:rPr>
        <w:fldChar w:fldCharType="separate"/>
      </w:r>
      <w:r w:rsidR="00B31BD8" w:rsidRPr="00B31BD8">
        <w:rPr>
          <w:rFonts w:ascii="Arial" w:hAnsi="Arial"/>
          <w:noProof/>
          <w:sz w:val="22"/>
          <w:szCs w:val="22"/>
        </w:rPr>
        <w:t>[6]</w:t>
      </w:r>
      <w:r w:rsidR="00D24C90">
        <w:rPr>
          <w:rFonts w:ascii="Arial" w:hAnsi="Arial"/>
          <w:sz w:val="22"/>
          <w:szCs w:val="22"/>
        </w:rPr>
        <w:fldChar w:fldCharType="end"/>
      </w:r>
      <w:r w:rsidR="00D24C90">
        <w:rPr>
          <w:rFonts w:ascii="Arial" w:hAnsi="Arial"/>
          <w:sz w:val="22"/>
          <w:szCs w:val="22"/>
        </w:rPr>
        <w:t>.</w:t>
      </w:r>
      <w:r w:rsidR="00EA4E52">
        <w:rPr>
          <w:rFonts w:ascii="Arial" w:hAnsi="Arial"/>
          <w:sz w:val="22"/>
          <w:szCs w:val="22"/>
        </w:rPr>
        <w:t xml:space="preserve"> </w:t>
      </w:r>
    </w:p>
    <w:p w14:paraId="034AC220" w14:textId="4D9D5E17" w:rsidR="00E16167" w:rsidRPr="007D0473" w:rsidRDefault="005305E3" w:rsidP="00DB7C46">
      <w:pPr>
        <w:spacing w:before="120" w:after="120" w:line="480" w:lineRule="auto"/>
        <w:rPr>
          <w:rFonts w:ascii="Arial" w:hAnsi="Arial"/>
          <w:sz w:val="22"/>
          <w:szCs w:val="22"/>
        </w:rPr>
      </w:pPr>
      <w:r>
        <w:rPr>
          <w:rFonts w:ascii="Arial" w:hAnsi="Arial"/>
          <w:sz w:val="22"/>
          <w:szCs w:val="22"/>
        </w:rPr>
        <w:t>Due to their antigenic propert</w:t>
      </w:r>
      <w:r w:rsidR="00B93903">
        <w:rPr>
          <w:rFonts w:ascii="Arial" w:hAnsi="Arial"/>
          <w:sz w:val="22"/>
          <w:szCs w:val="22"/>
        </w:rPr>
        <w:t xml:space="preserve">ies, </w:t>
      </w:r>
      <w:r w:rsidR="7207A8A0" w:rsidRPr="007D0473">
        <w:rPr>
          <w:rFonts w:ascii="Arial" w:hAnsi="Arial"/>
          <w:sz w:val="22"/>
          <w:szCs w:val="22"/>
        </w:rPr>
        <w:t xml:space="preserve">Alp family proteins have been proposed and potential targets for protein-based GBS vaccines, one of such using the N-terminal domain of </w:t>
      </w:r>
      <w:proofErr w:type="spellStart"/>
      <w:r w:rsidR="7207A8A0" w:rsidRPr="007D0473">
        <w:rPr>
          <w:rFonts w:ascii="Arial" w:hAnsi="Arial"/>
          <w:sz w:val="22"/>
          <w:szCs w:val="22"/>
        </w:rPr>
        <w:t>AlphaC</w:t>
      </w:r>
      <w:proofErr w:type="spellEnd"/>
      <w:r w:rsidR="7207A8A0" w:rsidRPr="007D0473">
        <w:rPr>
          <w:rFonts w:ascii="Arial" w:hAnsi="Arial"/>
          <w:sz w:val="22"/>
          <w:szCs w:val="22"/>
        </w:rPr>
        <w:t xml:space="preserve"> and Rib has been already studied in Clinical Trials Phase I (NCT02459262). </w:t>
      </w:r>
      <w:r w:rsidR="5CA96D7C" w:rsidRPr="007D0473">
        <w:rPr>
          <w:rFonts w:ascii="Arial" w:hAnsi="Arial"/>
          <w:sz w:val="22"/>
          <w:szCs w:val="22"/>
        </w:rPr>
        <w:t>Vaccines targeting GBS pilus proteins were also proposed, considering that these proteins are present universally in GBS strains</w:t>
      </w:r>
      <w:r w:rsidR="4EFEBB8F" w:rsidRPr="007D0473">
        <w:rPr>
          <w:rFonts w:ascii="Arial" w:hAnsi="Arial"/>
          <w:sz w:val="22"/>
          <w:szCs w:val="22"/>
        </w:rPr>
        <w:t xml:space="preserve">, with </w:t>
      </w:r>
      <w:r w:rsidR="4EFEBB8F" w:rsidRPr="007D0473">
        <w:rPr>
          <w:rFonts w:ascii="Arial" w:hAnsi="Arial"/>
          <w:i/>
          <w:iCs/>
          <w:sz w:val="22"/>
          <w:szCs w:val="22"/>
        </w:rPr>
        <w:t>PI-1+PI-2a</w:t>
      </w:r>
      <w:r w:rsidR="4EFEBB8F" w:rsidRPr="007D0473">
        <w:rPr>
          <w:rFonts w:ascii="Arial" w:hAnsi="Arial"/>
          <w:sz w:val="22"/>
          <w:szCs w:val="22"/>
        </w:rPr>
        <w:t xml:space="preserve"> being the most common </w:t>
      </w:r>
      <w:r w:rsidR="00F364BC" w:rsidRPr="007D0473">
        <w:rPr>
          <w:rFonts w:ascii="Arial" w:hAnsi="Arial"/>
          <w:sz w:val="22"/>
          <w:szCs w:val="22"/>
        </w:rPr>
        <w:fldChar w:fldCharType="begin" w:fldLock="1"/>
      </w:r>
      <w:r w:rsidR="00B31BD8">
        <w:rPr>
          <w:rFonts w:ascii="Arial" w:hAnsi="Arial"/>
          <w:sz w:val="22"/>
          <w:szCs w:val="22"/>
        </w:rPr>
        <w:instrText>ADDIN CSL_CITATION {"citationItems":[{"id":"ITEM-1","itemData":{"DOI":"10.1016/j.vaccine.2020.08.052","ISSN":"18732518","PMID":"32888741","abstract":"Background: 21 million pregnant women worldwide (18%) are estimated to carry Group B Streptococcus (GBS), which is a risk for invasive disease in newborns, pregnant women, and stillbirths. Adults ≥ 60 years or with underlying health conditions are also vulnerable to invasive GBS disease. We undertook systematic reviews on GBS organism characteristics including: capsular polysaccharide (serotype), sequence type (multi-locus sequence types (MLST)), and virulence proteins. We synthesised data by at-risk populations, to inform vaccine development. Methods: We conducted systematic reviews and meta-analyses to estimate proportions of GBS serotypes for at risk populations: maternal colonisation, invasive disease in pregnant women, stillbirths, infants 0–90 days age, and older adults (≥60 years). We considered regional variation and time trends (2001–2018). For these at-risk population groups, we summarised reported MLST and surface proteins. Results: Based on 198 studies (29247isolates), 93–99% of GBS isolates were serotypes Ia, Ib, II, III, IV and V. Regional variation is likely, but data gaps are apparent, even for maternal colonisation which has most data. Serotype III dominates for infant invasive disease (60%) and GBS-associated stillbirths (41%). ST17 accounted for a high proportion of infant invasive disease (41%; 95%CI: 35–47) and was found almost exclusively in serotype III strains, less present in maternal colonisation (9%; 95%CI:6–13),(4%; 95%CI:0–11) infant colonisation, and adult invasive disease (4%, 95%CI:2–6). Percentages of strains with at least one of alp 1, alp2/3, alpha C or Rib surface protein targets were 87% of maternal colonisation, 97% infant colonisation, 93% infant disease and 99% adult invasive disease. At least one of three pilus islands proteins were reported in all strains. Discussion: A hexavalent vaccine (serotypes Ia, Ib, II, III, IV and V) might provide comprehensive cover for all at-risk populations. Surveillance of circulating, disease-causing target proteins is useful to inform vaccines not targeting capsular polysaccharide. Addressing data gaps especially by world region and some at-risk populations (notably stillbirths) is fundamental to evidence-based decision-making during vaccine design.","author":[{"dropping-particle":"","family":"Bianchi-Jassir","given":"Fiorella","non-dropping-particle":"","parse-names":false,"suffix":""},{"dropping-particle":"","family":"Paul","given":"Proma","non-dropping-particle":"","parse-names":false,"suffix":""},{"dropping-particle":"","family":"To","given":"Ka Ning","non-dropping-particle":"","parse-names":false,"suffix":""},{"dropping-particle":"","family":"Carreras-Abad","given":"Clara","non-dropping-particle":"","parse-names":false,"suffix":""},{"dropping-particle":"","family":"Seale","given":"Anna C.","non-dropping-particle":"","parse-names":false,"suffix":""},{"dropping-particle":"","family":"Jauneikaite","given":"Elita","non-dropping-particle":"","parse-names":false,"suffix":""},{"dropping-particle":"","family":"Madhi","given":"Shabir A.","non-dropping-particle":"","parse-names":false,"suffix":""},{"dropping-particle":"","family":"Russell","given":"Neal J.","non-dropping-particle":"","parse-names":false,"suffix":""},{"dropping-particle":"","family":"Hall","given":"Jenny","non-dropping-particle":"","parse-names":false,"suffix":""},{"dropping-particle":"","family":"Madrid","given":"Lola","non-dropping-particle":"","parse-names":false,"suffix":""},{"dropping-particle":"","family":"Bassat","given":"Quique","non-dropping-particle":"","parse-names":false,"suffix":""},{"dropping-particle":"","family":"Kwatra","given":"Gaurav","non-dropping-particle":"","parse-names":false,"suffix":""},{"dropping-particle":"","family":"Doare","given":"Kirsty","non-dropping-particle":"Le","parse-names":false,"suffix":""},{"dropping-particle":"","family":"Lawn","given":"Joy E.","non-dropping-particle":"","parse-names":false,"suffix":""}],"container-title":"Vaccine","id":"ITEM-1","issue":"43","issued":{"date-parts":[["2020"]]},"title":"Systematic review of Group B Streptococcal capsular types, sequence types and surface proteins as potential vaccine candidates","type":"article","volume":"38"},"uris":["http://www.mendeley.com/documents/?uuid=eea2a2da-fe9a-4d21-9f86-c6895e2d399d"]}],"mendeley":{"formattedCitation":"[6]","plainTextFormattedCitation":"[6]","previouslyFormattedCitation":"[6]"},"properties":{"noteIndex":0},"schema":"https://github.com/citation-style-language/schema/raw/master/csl-citation.json"}</w:instrText>
      </w:r>
      <w:r w:rsidR="00F364BC" w:rsidRPr="007D0473">
        <w:rPr>
          <w:rFonts w:ascii="Arial" w:hAnsi="Arial"/>
          <w:sz w:val="22"/>
          <w:szCs w:val="22"/>
        </w:rPr>
        <w:fldChar w:fldCharType="separate"/>
      </w:r>
      <w:r w:rsidR="4EFEBB8F" w:rsidRPr="007D0473">
        <w:rPr>
          <w:rFonts w:ascii="Arial" w:hAnsi="Arial"/>
          <w:noProof/>
          <w:sz w:val="22"/>
          <w:szCs w:val="22"/>
        </w:rPr>
        <w:t>[6]</w:t>
      </w:r>
      <w:r w:rsidR="00F364BC" w:rsidRPr="007D0473">
        <w:rPr>
          <w:rFonts w:ascii="Arial" w:hAnsi="Arial"/>
          <w:sz w:val="22"/>
          <w:szCs w:val="22"/>
        </w:rPr>
        <w:fldChar w:fldCharType="end"/>
      </w:r>
      <w:r w:rsidR="7DCEB450" w:rsidRPr="007D0473">
        <w:rPr>
          <w:rFonts w:ascii="Arial" w:hAnsi="Arial"/>
          <w:noProof/>
          <w:sz w:val="22"/>
          <w:szCs w:val="22"/>
        </w:rPr>
        <w:t xml:space="preserve"> and were</w:t>
      </w:r>
      <w:r w:rsidR="00A85C6D" w:rsidRPr="007D0473">
        <w:rPr>
          <w:rFonts w:ascii="Arial" w:hAnsi="Arial"/>
          <w:noProof/>
          <w:sz w:val="22"/>
          <w:szCs w:val="22"/>
        </w:rPr>
        <w:t xml:space="preserve"> </w:t>
      </w:r>
      <w:r w:rsidR="4EFEBB8F" w:rsidRPr="007D0473">
        <w:rPr>
          <w:rFonts w:ascii="Arial" w:hAnsi="Arial"/>
          <w:sz w:val="22"/>
          <w:szCs w:val="22"/>
        </w:rPr>
        <w:t xml:space="preserve">identified in </w:t>
      </w:r>
      <w:r w:rsidR="1433C251" w:rsidRPr="007D0473">
        <w:rPr>
          <w:rFonts w:ascii="Arial" w:hAnsi="Arial"/>
          <w:sz w:val="22"/>
          <w:szCs w:val="22"/>
        </w:rPr>
        <w:t>this</w:t>
      </w:r>
      <w:r w:rsidR="4EFEBB8F" w:rsidRPr="007D0473">
        <w:rPr>
          <w:rFonts w:ascii="Arial" w:hAnsi="Arial"/>
          <w:sz w:val="22"/>
          <w:szCs w:val="22"/>
        </w:rPr>
        <w:t xml:space="preserve"> study </w:t>
      </w:r>
      <w:r w:rsidR="36893D7B" w:rsidRPr="007D0473">
        <w:rPr>
          <w:rFonts w:ascii="Arial" w:hAnsi="Arial"/>
          <w:sz w:val="22"/>
          <w:szCs w:val="22"/>
        </w:rPr>
        <w:t>also</w:t>
      </w:r>
      <w:r w:rsidR="360D031E" w:rsidRPr="007D0473">
        <w:rPr>
          <w:rFonts w:ascii="Arial" w:hAnsi="Arial"/>
          <w:sz w:val="22"/>
          <w:szCs w:val="22"/>
        </w:rPr>
        <w:t xml:space="preserve">. However, </w:t>
      </w:r>
      <w:r w:rsidR="292712E6" w:rsidRPr="007D0473">
        <w:rPr>
          <w:rFonts w:ascii="Arial" w:hAnsi="Arial"/>
          <w:sz w:val="22"/>
          <w:szCs w:val="22"/>
        </w:rPr>
        <w:t>there is a lack of data supporting its potential as vaccine candidate</w:t>
      </w:r>
      <w:r w:rsidR="573EC2A7" w:rsidRPr="007D0473">
        <w:rPr>
          <w:rFonts w:ascii="Arial" w:hAnsi="Arial"/>
          <w:sz w:val="22"/>
          <w:szCs w:val="22"/>
        </w:rPr>
        <w:t xml:space="preserve"> at this time and further analysis is needed</w:t>
      </w:r>
      <w:r w:rsidR="292712E6" w:rsidRPr="007D0473">
        <w:rPr>
          <w:rFonts w:ascii="Arial" w:hAnsi="Arial"/>
          <w:sz w:val="22"/>
          <w:szCs w:val="22"/>
        </w:rPr>
        <w:t xml:space="preserve"> </w:t>
      </w:r>
      <w:r w:rsidR="00F364BC" w:rsidRPr="007D0473">
        <w:rPr>
          <w:rFonts w:ascii="Arial" w:hAnsi="Arial"/>
          <w:sz w:val="22"/>
          <w:szCs w:val="22"/>
        </w:rPr>
        <w:fldChar w:fldCharType="begin" w:fldLock="1"/>
      </w:r>
      <w:r w:rsidR="00B50624">
        <w:rPr>
          <w:rFonts w:ascii="Arial" w:hAnsi="Arial"/>
          <w:sz w:val="22"/>
          <w:szCs w:val="22"/>
        </w:rPr>
        <w:instrText>ADDIN CSL_CITATION {"citationItems":[{"id":"ITEM-1","itemData":{"DOI":"10.1080/21645515.2018.1493326","ISSN":"2164554X","abstract":"Streptococcus agalactiae (group B Streptococcus, GBS) is a leading cause of severe invasive disease in neonate, elderly, and immunocompromised patients worldwide. Despite recent advances in the diagnosis and intrapartum antibiotic prophylaxis (IAP) of GBS infections, it remains one of the most common causes of neonatal morbidity and mortality, causing serious infections. Furthermore, recent studies reported an increasing number of GBS infections in pregnant women and elderly. Although IAP is effective, it has several limitations, including increasing antimicrobial resistance and late GBS infection after negative antenatal screening. Maternal immunization is the most promising and effective countermeasure against GBS infection in neonates. However, no vaccine is available to date, but two types of vaccines, protein subunit and capsular polysaccharide conjugate vaccines, were investigated in clinical trials. Here, we provide an overview of the GBS vaccine development status and recent advances in the development of immunoassays to evaluate the GBS vaccine clinical efficacy.","author":[{"dropping-particle":"","family":"Song","given":"Joon Young","non-dropping-particle":"","parse-names":false,"suffix":""},{"dropping-particle":"","family":"Lim","given":"Jae Hyang","non-dropping-particle":"","parse-names":false,"suffix":""},{"dropping-particle":"","family":"Lim","given":"Sangyong","non-dropping-particle":"","parse-names":false,"suffix":""},{"dropping-particle":"","family":"Yong","given":"Zhi","non-dropping-particle":"","parse-names":false,"suffix":""},{"dropping-particle":"","family":"Seo","given":"Ho Seong","non-dropping-particle":"","parse-names":false,"suffix":""}],"container-title":"Human Vaccines and Immunotherapeutics","id":"ITEM-1","issue":"11","issued":{"date-parts":[["2018"]]},"title":"Progress toward a group B streptococcal vaccine","type":"article","volume":"14"},"uris":["http://www.mendeley.com/documents/?uuid=f32cd251-9432-3790-a1a3-28b3d6eadc03"]},{"id":"ITEM-2","itemData":{"DOI":"10.1586/14760584.2015.1085307","ISSN":"1744-8395","abstract":"OBJECTIVES: Group B Streptococcus (GBS) surface-proteins have been shown to be immunogenic and potential vaccine candidates. We aim to determine the association between maternal IgG antibodies to select GBS surface-proteins and invasive GBS disease in their infants. METHODS: Using a matched case-control study, maternal antibody levels for GBS-immunogenic bacterial adhesin, fibrinogen-binding protein A and pilus-island (PI) PI-1, PI-2a, PI-2b were compared between infants with invasive GBS disease and well-baby controls. RESULTS: The absolute risk of disease did not differ between cases and colonized controls with increasing antibody concentrations for these surface-proteins. There was, however, a relative risk reduction in invasive disease associated with fibrinogen-binding protein A, with an adjusted odds ratio of 0.04 (95% CI: 0.01-0.69) at antibody levels ≥10,000 AU/ml. CONCLUSION: We have not demonstrated an association between naturally occurring fibrinogen-binding protein A, GBS-immunogenic bacterial adhesin, and PI surface-protein antibodies and the risk of invasive disease in young infants. These surface-proteins may not be suitable GBS vaccine candidates.","author":[{"dropping-particle":"","family":"Dangor","given":"Ziyaad","non-dropping-particle":"","parse-names":false,"suffix":""},{"dropping-particle":"","family":"Kwatra","given":"Gaurav","non-dropping-particle":"","parse-names":false,"suffix":""},{"dropping-particle":"","family":"Izu","given":"Alane","non-dropping-particle":"","parse-names":false,"suffix":""},{"dropping-particle":"","family":"Adrian","given":"Peter","non-dropping-particle":"","parse-names":false,"suffix":""},{"dropping-particle":"","family":"Cutland","given":"Clare L","non-dropping-particle":"","parse-names":false,"suffix":""},{"dropping-particle":"","family":"Velaphi","given":"Sithembiso","non-dropping-particle":"","parse-names":false,"suffix":""},{"dropping-particle":"","family":"Ballot","given":"Daynia","non-dropping-particle":"","parse-names":false,"suffix":""},{"dropping-particle":"","family":"Reubenson","given":"Gary","non-dropping-particle":"","parse-names":false,"suffix":""},{"dropping-particle":"","family":"Zell","given":"Elizabeth R","non-dropping-particle":"","parse-names":false,"suffix":""},{"dropping-particle":"","family":"Lala","given":"Sanjay G","non-dropping-particle":"","parse-names":false,"suffix":""},{"dropping-particle":"","family":"Madhi","given":"Shabir A","non-dropping-particle":"","parse-names":false,"suffix":""}],"container-title":"Expert review of vaccines","edition":"2015/09/12","id":"ITEM-2","issue":"12","issued":{"date-parts":[["2015"]]},"page":"1651-1660","publisher-place":"England","title":"Association between maternal Group B Streptococcus surface-protein antibody concentrations and invasive disease in their infants","type":"article-journal","volume":"14"},"uris":["http://www.mendeley.com/documents/?uuid=046e1436-e7c9-4a40-a648-9828adbbc8d6"]}],"mendeley":{"formattedCitation":"[47,48]","plainTextFormattedCitation":"[47,48]","previouslyFormattedCitation":"[47,48]"},"properties":{"noteIndex":0},"schema":"https://github.com/citation-style-language/schema/raw/master/csl-citation.json"}</w:instrText>
      </w:r>
      <w:r w:rsidR="00F364BC" w:rsidRPr="007D0473">
        <w:rPr>
          <w:rFonts w:ascii="Arial" w:hAnsi="Arial"/>
          <w:sz w:val="22"/>
          <w:szCs w:val="22"/>
        </w:rPr>
        <w:fldChar w:fldCharType="separate"/>
      </w:r>
      <w:r w:rsidR="00B31BD8" w:rsidRPr="00B31BD8">
        <w:rPr>
          <w:rFonts w:ascii="Arial" w:hAnsi="Arial"/>
          <w:noProof/>
          <w:sz w:val="22"/>
          <w:szCs w:val="22"/>
        </w:rPr>
        <w:t>[47,48]</w:t>
      </w:r>
      <w:r w:rsidR="00F364BC" w:rsidRPr="007D0473">
        <w:rPr>
          <w:rFonts w:ascii="Arial" w:hAnsi="Arial"/>
          <w:sz w:val="22"/>
          <w:szCs w:val="22"/>
        </w:rPr>
        <w:fldChar w:fldCharType="end"/>
      </w:r>
      <w:r w:rsidR="63A916D7" w:rsidRPr="007D0473">
        <w:rPr>
          <w:rFonts w:ascii="Arial" w:hAnsi="Arial"/>
          <w:sz w:val="22"/>
          <w:szCs w:val="22"/>
        </w:rPr>
        <w:t>.</w:t>
      </w:r>
    </w:p>
    <w:p w14:paraId="402D1C8F" w14:textId="77777777" w:rsidR="00571191" w:rsidRPr="007D0473" w:rsidRDefault="00571191" w:rsidP="00DB7C46">
      <w:pPr>
        <w:spacing w:before="120" w:after="120" w:line="480" w:lineRule="auto"/>
        <w:rPr>
          <w:rFonts w:ascii="Arial" w:hAnsi="Arial"/>
          <w:sz w:val="22"/>
          <w:szCs w:val="22"/>
        </w:rPr>
      </w:pPr>
    </w:p>
    <w:p w14:paraId="1DAD64A8" w14:textId="35BEC548" w:rsidR="00571191" w:rsidRPr="007D0473" w:rsidRDefault="006E5D7E" w:rsidP="00DB7C46">
      <w:pPr>
        <w:spacing w:before="120" w:after="120" w:line="480" w:lineRule="auto"/>
        <w:rPr>
          <w:rFonts w:ascii="Arial" w:hAnsi="Arial"/>
          <w:sz w:val="22"/>
          <w:szCs w:val="22"/>
        </w:rPr>
      </w:pPr>
      <w:bookmarkStart w:id="6" w:name="_Hlk80122096"/>
      <w:r w:rsidRPr="007D0473">
        <w:rPr>
          <w:rFonts w:ascii="Arial" w:hAnsi="Arial"/>
          <w:sz w:val="22"/>
          <w:szCs w:val="22"/>
        </w:rPr>
        <w:t>This study has several limitations; the sample set is a cross sectional observational study limited to only referred isolates within adults over the time-period in question. It does not represent an accurate number of isolates from cases with disease burden or include isolates from screening adults.</w:t>
      </w:r>
      <w:r w:rsidR="00A317B6" w:rsidRPr="007D0473">
        <w:rPr>
          <w:rFonts w:ascii="Arial" w:hAnsi="Arial"/>
          <w:sz w:val="22"/>
          <w:szCs w:val="22"/>
        </w:rPr>
        <w:t xml:space="preserve"> However, though this dataset is not representative of all GBS infection in adults during the study period, isolates analysed here are likely to be representative of infection of greatest severity, which are more likely to be sent to the reference laboratory. </w:t>
      </w:r>
      <w:bookmarkEnd w:id="6"/>
      <w:r w:rsidR="1AA9A494" w:rsidRPr="007D0473">
        <w:rPr>
          <w:rFonts w:ascii="Arial" w:hAnsi="Arial"/>
          <w:sz w:val="22"/>
          <w:szCs w:val="22"/>
        </w:rPr>
        <w:t xml:space="preserve">Irrespective, this study </w:t>
      </w:r>
      <w:r w:rsidR="007A4E06" w:rsidRPr="007D0473">
        <w:rPr>
          <w:rFonts w:ascii="Arial" w:hAnsi="Arial"/>
          <w:sz w:val="22"/>
          <w:szCs w:val="22"/>
        </w:rPr>
        <w:t xml:space="preserve">highlights the need </w:t>
      </w:r>
      <w:r w:rsidR="1AA9A494" w:rsidRPr="007D0473">
        <w:rPr>
          <w:rFonts w:ascii="Arial" w:hAnsi="Arial"/>
          <w:sz w:val="22"/>
          <w:szCs w:val="22"/>
        </w:rPr>
        <w:t>for continuous genomic surveillance to monitor genotype, genotypic capsular serotype, genes associated with hypervirulence and antibiotic resistance</w:t>
      </w:r>
      <w:r w:rsidR="2E137F4D" w:rsidRPr="007D0473">
        <w:rPr>
          <w:rFonts w:ascii="Arial" w:hAnsi="Arial"/>
          <w:sz w:val="22"/>
          <w:szCs w:val="22"/>
        </w:rPr>
        <w:t xml:space="preserve"> to help inform future</w:t>
      </w:r>
      <w:r w:rsidR="04AB43BD" w:rsidRPr="007D0473">
        <w:rPr>
          <w:rFonts w:ascii="Arial" w:hAnsi="Arial"/>
          <w:sz w:val="22"/>
          <w:szCs w:val="22"/>
        </w:rPr>
        <w:t xml:space="preserve"> treatment of cases and</w:t>
      </w:r>
      <w:r w:rsidR="2E137F4D" w:rsidRPr="007D0473">
        <w:rPr>
          <w:rFonts w:ascii="Arial" w:hAnsi="Arial"/>
          <w:sz w:val="22"/>
          <w:szCs w:val="22"/>
        </w:rPr>
        <w:t xml:space="preserve"> potential vaccination programmes</w:t>
      </w:r>
      <w:r w:rsidR="0478CA9C" w:rsidRPr="007D0473">
        <w:rPr>
          <w:rFonts w:ascii="Arial" w:hAnsi="Arial"/>
          <w:sz w:val="22"/>
          <w:szCs w:val="22"/>
        </w:rPr>
        <w:t xml:space="preserve">, </w:t>
      </w:r>
      <w:r w:rsidR="0478CA9C" w:rsidRPr="00D27357">
        <w:rPr>
          <w:rFonts w:ascii="Arial" w:hAnsi="Arial"/>
          <w:sz w:val="22"/>
          <w:szCs w:val="22"/>
        </w:rPr>
        <w:t xml:space="preserve">including </w:t>
      </w:r>
      <w:r w:rsidR="00D27357" w:rsidRPr="00D27357">
        <w:rPr>
          <w:rFonts w:ascii="Arial" w:hAnsi="Arial"/>
          <w:sz w:val="22"/>
          <w:szCs w:val="22"/>
        </w:rPr>
        <w:t>polysaccharide</w:t>
      </w:r>
      <w:r w:rsidR="0478CA9C" w:rsidRPr="00D27357">
        <w:rPr>
          <w:rFonts w:ascii="Arial" w:hAnsi="Arial"/>
          <w:sz w:val="22"/>
          <w:szCs w:val="22"/>
        </w:rPr>
        <w:t>-</w:t>
      </w:r>
      <w:r w:rsidR="0478CA9C" w:rsidRPr="007D0473">
        <w:rPr>
          <w:rFonts w:ascii="Arial" w:hAnsi="Arial"/>
          <w:sz w:val="22"/>
          <w:szCs w:val="22"/>
        </w:rPr>
        <w:t xml:space="preserve"> or protein-based GBS vaccines.</w:t>
      </w:r>
    </w:p>
    <w:p w14:paraId="1FFB382E" w14:textId="77777777" w:rsidR="00571191" w:rsidRPr="007D0473" w:rsidRDefault="00571191" w:rsidP="00DB7C46">
      <w:pPr>
        <w:spacing w:before="120" w:after="120" w:line="480" w:lineRule="auto"/>
        <w:rPr>
          <w:rFonts w:ascii="Arial" w:hAnsi="Arial"/>
          <w:sz w:val="22"/>
          <w:szCs w:val="22"/>
        </w:rPr>
      </w:pPr>
    </w:p>
    <w:p w14:paraId="3A4D0596" w14:textId="77777777" w:rsidR="00B16E0A" w:rsidRPr="007D0473" w:rsidRDefault="00B16E0A" w:rsidP="00DB7C46">
      <w:pPr>
        <w:spacing w:before="120" w:after="120" w:line="480" w:lineRule="auto"/>
        <w:rPr>
          <w:rFonts w:ascii="Arial" w:hAnsi="Arial"/>
          <w:b/>
          <w:sz w:val="22"/>
          <w:szCs w:val="22"/>
        </w:rPr>
      </w:pPr>
    </w:p>
    <w:p w14:paraId="37DC2C13" w14:textId="77777777" w:rsidR="00B16E0A" w:rsidRPr="007D0473" w:rsidRDefault="00B16E0A" w:rsidP="00DB7C46">
      <w:pPr>
        <w:spacing w:before="120" w:after="120" w:line="480" w:lineRule="auto"/>
        <w:rPr>
          <w:rFonts w:ascii="Arial" w:hAnsi="Arial"/>
          <w:sz w:val="22"/>
          <w:szCs w:val="22"/>
        </w:rPr>
      </w:pPr>
      <w:r w:rsidRPr="007D0473">
        <w:rPr>
          <w:rFonts w:ascii="Arial" w:hAnsi="Arial"/>
          <w:b/>
          <w:sz w:val="22"/>
          <w:szCs w:val="22"/>
        </w:rPr>
        <w:t>Authors’ contributions</w:t>
      </w:r>
    </w:p>
    <w:p w14:paraId="1493B3EA" w14:textId="70205FF6" w:rsidR="00B16E0A" w:rsidRPr="007D0473" w:rsidRDefault="7EC8DF7A" w:rsidP="00DB7C46">
      <w:pPr>
        <w:spacing w:before="120" w:after="120" w:line="480" w:lineRule="auto"/>
        <w:rPr>
          <w:rFonts w:ascii="Arial" w:hAnsi="Arial"/>
          <w:sz w:val="22"/>
          <w:szCs w:val="22"/>
        </w:rPr>
      </w:pPr>
      <w:r w:rsidRPr="007D0473">
        <w:rPr>
          <w:rFonts w:ascii="Arial" w:hAnsi="Arial"/>
          <w:sz w:val="22"/>
          <w:szCs w:val="22"/>
        </w:rPr>
        <w:lastRenderedPageBreak/>
        <w:t xml:space="preserve">UBK and EJ contributed equally to data collection, genomic analysis, </w:t>
      </w:r>
      <w:r w:rsidR="759C2233" w:rsidRPr="007D0473">
        <w:rPr>
          <w:rFonts w:ascii="Arial" w:hAnsi="Arial"/>
          <w:sz w:val="22"/>
          <w:szCs w:val="22"/>
        </w:rPr>
        <w:t xml:space="preserve">figure production, </w:t>
      </w:r>
      <w:r w:rsidRPr="007D0473">
        <w:rPr>
          <w:rFonts w:ascii="Arial" w:hAnsi="Arial"/>
          <w:sz w:val="22"/>
          <w:szCs w:val="22"/>
        </w:rPr>
        <w:t xml:space="preserve">data interpretation and writing, RA contributed to data analysis. </w:t>
      </w:r>
      <w:r w:rsidR="04E46F2B" w:rsidRPr="007D0473">
        <w:rPr>
          <w:rFonts w:ascii="Arial" w:hAnsi="Arial"/>
          <w:sz w:val="22"/>
          <w:szCs w:val="22"/>
        </w:rPr>
        <w:t xml:space="preserve">EJ, VJC and OBS contributed to study design, data interpretation and writing. </w:t>
      </w:r>
      <w:r w:rsidR="5FA1260E" w:rsidRPr="007D0473">
        <w:rPr>
          <w:rFonts w:ascii="Arial" w:hAnsi="Arial"/>
          <w:sz w:val="22"/>
          <w:szCs w:val="22"/>
        </w:rPr>
        <w:t xml:space="preserve">VJC contributed to sample </w:t>
      </w:r>
      <w:r w:rsidR="3D6DC4AC" w:rsidRPr="007D0473">
        <w:rPr>
          <w:rFonts w:ascii="Arial" w:hAnsi="Arial"/>
          <w:sz w:val="22"/>
          <w:szCs w:val="22"/>
        </w:rPr>
        <w:t xml:space="preserve">collection and processing </w:t>
      </w:r>
      <w:r w:rsidR="10AD8821" w:rsidRPr="007D0473">
        <w:rPr>
          <w:rFonts w:ascii="Arial" w:hAnsi="Arial"/>
          <w:sz w:val="22"/>
          <w:szCs w:val="22"/>
        </w:rPr>
        <w:t xml:space="preserve">and data </w:t>
      </w:r>
      <w:r w:rsidR="5FA1260E" w:rsidRPr="007D0473">
        <w:rPr>
          <w:rFonts w:ascii="Arial" w:hAnsi="Arial"/>
          <w:sz w:val="22"/>
          <w:szCs w:val="22"/>
        </w:rPr>
        <w:t xml:space="preserve">collection. </w:t>
      </w:r>
      <w:r w:rsidRPr="007D0473">
        <w:rPr>
          <w:rFonts w:ascii="Arial" w:hAnsi="Arial"/>
          <w:sz w:val="22"/>
          <w:szCs w:val="22"/>
        </w:rPr>
        <w:t xml:space="preserve">OBS contributed to figure production, data collection and data interpretation. All authors reviewed and edited the manuscript.   </w:t>
      </w:r>
    </w:p>
    <w:p w14:paraId="0169D7C7" w14:textId="77777777" w:rsidR="0074105B" w:rsidRPr="007D0473" w:rsidRDefault="0074105B" w:rsidP="00DB7C46">
      <w:pPr>
        <w:spacing w:before="120" w:after="120" w:line="480" w:lineRule="auto"/>
        <w:rPr>
          <w:rFonts w:ascii="Arial" w:hAnsi="Arial"/>
          <w:sz w:val="22"/>
          <w:szCs w:val="22"/>
        </w:rPr>
      </w:pPr>
    </w:p>
    <w:p w14:paraId="54879082" w14:textId="77777777" w:rsidR="0074105B" w:rsidRPr="007D0473" w:rsidRDefault="0074105B" w:rsidP="00DB7C46">
      <w:pPr>
        <w:spacing w:before="120" w:after="120" w:line="480" w:lineRule="auto"/>
        <w:rPr>
          <w:rFonts w:ascii="Arial" w:hAnsi="Arial"/>
          <w:sz w:val="22"/>
          <w:szCs w:val="22"/>
        </w:rPr>
      </w:pPr>
      <w:r w:rsidRPr="007D0473">
        <w:rPr>
          <w:rFonts w:ascii="Arial" w:hAnsi="Arial"/>
          <w:b/>
          <w:sz w:val="22"/>
          <w:szCs w:val="22"/>
        </w:rPr>
        <w:t>Declaration of Interest</w:t>
      </w:r>
    </w:p>
    <w:p w14:paraId="6FBFB34D" w14:textId="77777777" w:rsidR="0074105B" w:rsidRPr="007D0473" w:rsidRDefault="0074105B" w:rsidP="00DB7C46">
      <w:pPr>
        <w:spacing w:before="120" w:after="120" w:line="480" w:lineRule="auto"/>
        <w:rPr>
          <w:rFonts w:ascii="Arial" w:hAnsi="Arial"/>
          <w:sz w:val="22"/>
          <w:szCs w:val="22"/>
        </w:rPr>
      </w:pPr>
      <w:r w:rsidRPr="007D0473">
        <w:rPr>
          <w:rFonts w:ascii="Arial" w:hAnsi="Arial"/>
          <w:sz w:val="22"/>
          <w:szCs w:val="22"/>
        </w:rPr>
        <w:t>No conflicts to declare.</w:t>
      </w:r>
    </w:p>
    <w:p w14:paraId="284E81BE" w14:textId="77777777" w:rsidR="00B16E0A" w:rsidRPr="007D0473" w:rsidRDefault="00B16E0A" w:rsidP="00DB7C46">
      <w:pPr>
        <w:spacing w:before="120" w:after="120" w:line="480" w:lineRule="auto"/>
        <w:rPr>
          <w:rFonts w:ascii="Arial" w:hAnsi="Arial"/>
          <w:b/>
          <w:sz w:val="22"/>
          <w:szCs w:val="22"/>
        </w:rPr>
      </w:pPr>
    </w:p>
    <w:p w14:paraId="66D417BC" w14:textId="77777777" w:rsidR="00CC09FD" w:rsidRPr="007D0473" w:rsidRDefault="00CC09FD" w:rsidP="00DB7C46">
      <w:pPr>
        <w:spacing w:before="120" w:after="120" w:line="480" w:lineRule="auto"/>
        <w:rPr>
          <w:rFonts w:ascii="Arial" w:hAnsi="Arial"/>
          <w:b/>
          <w:bCs/>
          <w:sz w:val="22"/>
          <w:szCs w:val="22"/>
        </w:rPr>
      </w:pPr>
      <w:r w:rsidRPr="007D0473">
        <w:rPr>
          <w:rFonts w:ascii="Arial" w:hAnsi="Arial"/>
          <w:b/>
          <w:bCs/>
          <w:sz w:val="22"/>
          <w:szCs w:val="22"/>
        </w:rPr>
        <w:t>Funding information</w:t>
      </w:r>
    </w:p>
    <w:p w14:paraId="719F6C99" w14:textId="37527333" w:rsidR="00CC09FD" w:rsidRPr="007D0473" w:rsidRDefault="5AE0EA54" w:rsidP="00DB7C46">
      <w:pPr>
        <w:spacing w:before="120" w:after="120" w:line="480" w:lineRule="auto"/>
        <w:rPr>
          <w:rFonts w:ascii="Arial" w:hAnsi="Arial"/>
          <w:sz w:val="22"/>
          <w:szCs w:val="22"/>
        </w:rPr>
      </w:pPr>
      <w:r w:rsidRPr="007D0473">
        <w:rPr>
          <w:rFonts w:ascii="Arial" w:hAnsi="Arial"/>
          <w:sz w:val="22"/>
          <w:szCs w:val="22"/>
        </w:rPr>
        <w:t xml:space="preserve">Laboratory work was funded by </w:t>
      </w:r>
      <w:r w:rsidR="00F35FC9">
        <w:rPr>
          <w:rFonts w:ascii="Arial" w:hAnsi="Arial"/>
          <w:sz w:val="22"/>
          <w:szCs w:val="22"/>
        </w:rPr>
        <w:t>UK Health Security Agency</w:t>
      </w:r>
      <w:r w:rsidRPr="007D0473">
        <w:rPr>
          <w:rFonts w:ascii="Arial" w:hAnsi="Arial"/>
          <w:sz w:val="22"/>
          <w:szCs w:val="22"/>
        </w:rPr>
        <w:t xml:space="preserve">. </w:t>
      </w:r>
      <w:r w:rsidR="00726156" w:rsidRPr="007D0473">
        <w:rPr>
          <w:rFonts w:ascii="Arial" w:hAnsi="Arial"/>
          <w:sz w:val="22"/>
          <w:szCs w:val="22"/>
        </w:rPr>
        <w:t>The Fiona Elizabeth Agnew Trust (FEATURES award) and Cardiff University provided financial support to OBS (including studentship of UBK).</w:t>
      </w:r>
      <w:r w:rsidR="00726156">
        <w:rPr>
          <w:rFonts w:ascii="Arial" w:hAnsi="Arial"/>
          <w:sz w:val="22"/>
          <w:szCs w:val="22"/>
        </w:rPr>
        <w:t xml:space="preserve"> </w:t>
      </w:r>
      <w:r w:rsidR="41C864C7" w:rsidRPr="007D0473">
        <w:rPr>
          <w:rFonts w:ascii="Arial" w:hAnsi="Arial"/>
          <w:sz w:val="22"/>
          <w:szCs w:val="22"/>
        </w:rPr>
        <w:t xml:space="preserve">EJ is a </w:t>
      </w:r>
      <w:proofErr w:type="spellStart"/>
      <w:r w:rsidR="41C864C7" w:rsidRPr="007D0473">
        <w:rPr>
          <w:rFonts w:ascii="Arial" w:hAnsi="Arial"/>
          <w:sz w:val="22"/>
          <w:szCs w:val="22"/>
        </w:rPr>
        <w:t>Rosetrees</w:t>
      </w:r>
      <w:proofErr w:type="spellEnd"/>
      <w:r w:rsidR="41C864C7" w:rsidRPr="007D0473">
        <w:rPr>
          <w:rFonts w:ascii="Arial" w:hAnsi="Arial"/>
          <w:sz w:val="22"/>
          <w:szCs w:val="22"/>
        </w:rPr>
        <w:t>/</w:t>
      </w:r>
      <w:proofErr w:type="spellStart"/>
      <w:r w:rsidR="41C864C7" w:rsidRPr="007D0473">
        <w:rPr>
          <w:rFonts w:ascii="Arial" w:hAnsi="Arial"/>
          <w:sz w:val="22"/>
          <w:szCs w:val="22"/>
        </w:rPr>
        <w:t>Stoneygate</w:t>
      </w:r>
      <w:proofErr w:type="spellEnd"/>
      <w:r w:rsidR="41C864C7" w:rsidRPr="007D0473">
        <w:rPr>
          <w:rFonts w:ascii="Arial" w:hAnsi="Arial"/>
          <w:sz w:val="22"/>
          <w:szCs w:val="22"/>
        </w:rPr>
        <w:t xml:space="preserve"> 2017 Imperial College Research Fellow, funded by </w:t>
      </w:r>
      <w:proofErr w:type="spellStart"/>
      <w:r w:rsidR="41C864C7" w:rsidRPr="007D0473">
        <w:rPr>
          <w:rFonts w:ascii="Arial" w:hAnsi="Arial"/>
          <w:sz w:val="22"/>
          <w:szCs w:val="22"/>
        </w:rPr>
        <w:t>Rosetrees</w:t>
      </w:r>
      <w:proofErr w:type="spellEnd"/>
      <w:r w:rsidR="41C864C7" w:rsidRPr="007D0473">
        <w:rPr>
          <w:rFonts w:ascii="Arial" w:hAnsi="Arial"/>
          <w:sz w:val="22"/>
          <w:szCs w:val="22"/>
        </w:rPr>
        <w:t xml:space="preserve"> Trust and the </w:t>
      </w:r>
      <w:proofErr w:type="spellStart"/>
      <w:r w:rsidR="41C864C7" w:rsidRPr="007D0473">
        <w:rPr>
          <w:rFonts w:ascii="Arial" w:hAnsi="Arial"/>
          <w:sz w:val="22"/>
          <w:szCs w:val="22"/>
        </w:rPr>
        <w:t>Stoneygate</w:t>
      </w:r>
      <w:proofErr w:type="spellEnd"/>
      <w:r w:rsidR="41C864C7" w:rsidRPr="007D0473">
        <w:rPr>
          <w:rFonts w:ascii="Arial" w:hAnsi="Arial"/>
          <w:sz w:val="22"/>
          <w:szCs w:val="22"/>
        </w:rPr>
        <w:t xml:space="preserve"> Trust. EJ is also affiliated with the National Institute for Health Research Health Protection Research Unit (NIHR HPRU) in Healthcare Associated Infections and Antimicrobial Resistance at Imperial College London in partnership with </w:t>
      </w:r>
      <w:r w:rsidR="009D2341">
        <w:rPr>
          <w:rFonts w:ascii="Arial" w:hAnsi="Arial"/>
          <w:sz w:val="22"/>
          <w:szCs w:val="22"/>
        </w:rPr>
        <w:t>UK Health Security Agency (UKHSA)</w:t>
      </w:r>
      <w:r w:rsidR="41C864C7" w:rsidRPr="007D0473">
        <w:rPr>
          <w:rFonts w:ascii="Arial" w:hAnsi="Arial"/>
          <w:sz w:val="22"/>
          <w:szCs w:val="22"/>
        </w:rPr>
        <w:t xml:space="preserve"> in collaboration with, Imperial Healthcare Partners, University of </w:t>
      </w:r>
      <w:r w:rsidR="007C6E5D" w:rsidRPr="007D0473">
        <w:rPr>
          <w:rFonts w:ascii="Arial" w:hAnsi="Arial"/>
          <w:sz w:val="22"/>
          <w:szCs w:val="22"/>
        </w:rPr>
        <w:t>Cambridge,</w:t>
      </w:r>
      <w:r w:rsidR="41C864C7" w:rsidRPr="007D0473">
        <w:rPr>
          <w:rFonts w:ascii="Arial" w:hAnsi="Arial"/>
          <w:sz w:val="22"/>
          <w:szCs w:val="22"/>
        </w:rPr>
        <w:t xml:space="preserve"> and University of Warwick. </w:t>
      </w:r>
    </w:p>
    <w:p w14:paraId="65CED29E" w14:textId="77777777" w:rsidR="005D3C1E" w:rsidRPr="007D0473" w:rsidRDefault="005D3C1E" w:rsidP="00DB7C46">
      <w:pPr>
        <w:spacing w:before="120" w:after="120" w:line="480" w:lineRule="auto"/>
        <w:rPr>
          <w:rFonts w:ascii="Arial" w:hAnsi="Arial"/>
          <w:b/>
          <w:sz w:val="22"/>
          <w:szCs w:val="22"/>
        </w:rPr>
      </w:pPr>
    </w:p>
    <w:p w14:paraId="4A72E34B" w14:textId="77777777" w:rsidR="00571191" w:rsidRPr="007D0473" w:rsidRDefault="00571191" w:rsidP="00DB7C46">
      <w:pPr>
        <w:spacing w:before="120" w:after="120" w:line="480" w:lineRule="auto"/>
        <w:rPr>
          <w:rFonts w:ascii="Arial" w:hAnsi="Arial"/>
          <w:sz w:val="22"/>
          <w:szCs w:val="22"/>
        </w:rPr>
      </w:pPr>
      <w:r w:rsidRPr="007D0473">
        <w:rPr>
          <w:rFonts w:ascii="Arial" w:hAnsi="Arial"/>
          <w:b/>
          <w:sz w:val="22"/>
          <w:szCs w:val="22"/>
        </w:rPr>
        <w:t>Acknowledgements</w:t>
      </w:r>
    </w:p>
    <w:p w14:paraId="3486A3AA" w14:textId="7445C536" w:rsidR="00446875" w:rsidRPr="007D0473" w:rsidRDefault="287DF70D" w:rsidP="00DB7C46">
      <w:pPr>
        <w:spacing w:before="120" w:after="120" w:line="480" w:lineRule="auto"/>
        <w:rPr>
          <w:rFonts w:ascii="Arial" w:hAnsi="Arial"/>
          <w:sz w:val="22"/>
          <w:szCs w:val="22"/>
        </w:rPr>
      </w:pPr>
      <w:r w:rsidRPr="007D0473">
        <w:rPr>
          <w:rFonts w:ascii="Arial" w:hAnsi="Arial"/>
          <w:sz w:val="22"/>
          <w:szCs w:val="22"/>
        </w:rPr>
        <w:t>We thank colleagues for their work in maintaining laboratory surveillance through interfacing with local hospitals. We extend our sincere thanks to the efforts of hospital microbiology and surveillance staff across the country in referring specimens for laboratory surveillance.</w:t>
      </w:r>
      <w:r w:rsidR="3CCF4AC6" w:rsidRPr="007D0473">
        <w:rPr>
          <w:rFonts w:ascii="Arial" w:hAnsi="Arial"/>
          <w:sz w:val="22"/>
          <w:szCs w:val="22"/>
        </w:rPr>
        <w:t xml:space="preserve"> </w:t>
      </w:r>
      <w:r w:rsidR="554FB2A1" w:rsidRPr="007D0473">
        <w:rPr>
          <w:rFonts w:ascii="Arial" w:hAnsi="Arial"/>
          <w:sz w:val="22"/>
          <w:szCs w:val="22"/>
        </w:rPr>
        <w:t xml:space="preserve"> S</w:t>
      </w:r>
      <w:r w:rsidR="2CC42A06" w:rsidRPr="007D0473">
        <w:rPr>
          <w:rFonts w:ascii="Arial" w:hAnsi="Arial"/>
          <w:sz w:val="22"/>
          <w:szCs w:val="22"/>
        </w:rPr>
        <w:t xml:space="preserve">pecial thanks </w:t>
      </w:r>
      <w:r w:rsidR="3B2D8817" w:rsidRPr="007D0473">
        <w:rPr>
          <w:rFonts w:ascii="Arial" w:hAnsi="Arial"/>
          <w:sz w:val="22"/>
          <w:szCs w:val="22"/>
        </w:rPr>
        <w:t>to</w:t>
      </w:r>
      <w:r w:rsidR="2CC42A06" w:rsidRPr="007D0473">
        <w:rPr>
          <w:rFonts w:ascii="Arial" w:hAnsi="Arial"/>
          <w:sz w:val="22"/>
          <w:szCs w:val="22"/>
        </w:rPr>
        <w:t xml:space="preserve"> staff in the Reference Laborator</w:t>
      </w:r>
      <w:r w:rsidR="27D4F872" w:rsidRPr="007D0473">
        <w:rPr>
          <w:rFonts w:ascii="Arial" w:hAnsi="Arial"/>
          <w:sz w:val="22"/>
          <w:szCs w:val="22"/>
        </w:rPr>
        <w:t>y</w:t>
      </w:r>
      <w:r w:rsidR="283E029F" w:rsidRPr="007D0473">
        <w:rPr>
          <w:rFonts w:ascii="Arial" w:hAnsi="Arial"/>
          <w:sz w:val="22"/>
          <w:szCs w:val="22"/>
        </w:rPr>
        <w:t xml:space="preserve"> </w:t>
      </w:r>
      <w:r w:rsidR="00DD5B7F">
        <w:rPr>
          <w:rFonts w:ascii="Arial" w:hAnsi="Arial"/>
          <w:sz w:val="22"/>
          <w:szCs w:val="22"/>
        </w:rPr>
        <w:t>UKHSA</w:t>
      </w:r>
      <w:r w:rsidR="283E029F" w:rsidRPr="007D0473">
        <w:rPr>
          <w:rFonts w:ascii="Arial" w:hAnsi="Arial"/>
          <w:sz w:val="22"/>
          <w:szCs w:val="22"/>
        </w:rPr>
        <w:t>,</w:t>
      </w:r>
      <w:r w:rsidR="27D4F872" w:rsidRPr="007D0473">
        <w:rPr>
          <w:rFonts w:ascii="Arial" w:hAnsi="Arial"/>
          <w:sz w:val="22"/>
          <w:szCs w:val="22"/>
        </w:rPr>
        <w:t xml:space="preserve"> for </w:t>
      </w:r>
      <w:r w:rsidR="4BA11163" w:rsidRPr="007D0473">
        <w:rPr>
          <w:rFonts w:ascii="Arial" w:hAnsi="Arial"/>
          <w:sz w:val="22"/>
          <w:szCs w:val="22"/>
        </w:rPr>
        <w:t xml:space="preserve">expert assistance with </w:t>
      </w:r>
      <w:r w:rsidR="435E2A77" w:rsidRPr="007D0473">
        <w:rPr>
          <w:rFonts w:ascii="Arial" w:hAnsi="Arial"/>
          <w:sz w:val="22"/>
          <w:szCs w:val="22"/>
        </w:rPr>
        <w:t>DNA extraction and sequencing</w:t>
      </w:r>
      <w:r w:rsidR="2CC42A06" w:rsidRPr="007D0473">
        <w:rPr>
          <w:rFonts w:ascii="Arial" w:hAnsi="Arial"/>
          <w:sz w:val="22"/>
          <w:szCs w:val="22"/>
        </w:rPr>
        <w:t xml:space="preserve">. </w:t>
      </w:r>
      <w:r w:rsidR="0567E5EC" w:rsidRPr="007D0473">
        <w:rPr>
          <w:rFonts w:ascii="Arial" w:hAnsi="Arial"/>
          <w:sz w:val="22"/>
          <w:szCs w:val="22"/>
        </w:rPr>
        <w:t xml:space="preserve">This publication made use of the </w:t>
      </w:r>
      <w:proofErr w:type="spellStart"/>
      <w:r w:rsidR="0567E5EC" w:rsidRPr="007D0473">
        <w:rPr>
          <w:rFonts w:ascii="Arial" w:hAnsi="Arial"/>
          <w:sz w:val="22"/>
          <w:szCs w:val="22"/>
        </w:rPr>
        <w:t>PubMLST</w:t>
      </w:r>
      <w:proofErr w:type="spellEnd"/>
      <w:r w:rsidR="0567E5EC" w:rsidRPr="007D0473">
        <w:rPr>
          <w:rFonts w:ascii="Arial" w:hAnsi="Arial"/>
          <w:sz w:val="22"/>
          <w:szCs w:val="22"/>
        </w:rPr>
        <w:t xml:space="preserve"> website </w:t>
      </w:r>
      <w:r w:rsidR="0567E5EC" w:rsidRPr="007D0473">
        <w:rPr>
          <w:rFonts w:ascii="Arial" w:hAnsi="Arial"/>
          <w:sz w:val="22"/>
          <w:szCs w:val="22"/>
        </w:rPr>
        <w:lastRenderedPageBreak/>
        <w:t>(</w:t>
      </w:r>
      <w:hyperlink r:id="rId15">
        <w:r w:rsidR="0567E5EC" w:rsidRPr="007D0473">
          <w:rPr>
            <w:rStyle w:val="Hyperlink"/>
            <w:rFonts w:ascii="Arial" w:hAnsi="Arial"/>
            <w:sz w:val="22"/>
            <w:szCs w:val="22"/>
          </w:rPr>
          <w:t>https://pubmlst.org/</w:t>
        </w:r>
      </w:hyperlink>
      <w:r w:rsidR="0567E5EC" w:rsidRPr="007D0473">
        <w:rPr>
          <w:rFonts w:ascii="Arial" w:hAnsi="Arial"/>
          <w:sz w:val="22"/>
          <w:szCs w:val="22"/>
        </w:rPr>
        <w:t>) developed by Keith Jolley (</w:t>
      </w:r>
      <w:hyperlink r:id="rId16">
        <w:r w:rsidR="0567E5EC" w:rsidRPr="007D0473">
          <w:rPr>
            <w:rStyle w:val="Hyperlink"/>
            <w:rFonts w:ascii="Arial" w:hAnsi="Arial"/>
            <w:sz w:val="22"/>
            <w:szCs w:val="22"/>
          </w:rPr>
          <w:t>Jolley </w:t>
        </w:r>
        <w:r w:rsidR="0567E5EC" w:rsidRPr="007D0473">
          <w:rPr>
            <w:rStyle w:val="Hyperlink"/>
            <w:rFonts w:ascii="Arial" w:hAnsi="Arial"/>
            <w:i/>
            <w:iCs/>
            <w:sz w:val="22"/>
            <w:szCs w:val="22"/>
          </w:rPr>
          <w:t>et al.</w:t>
        </w:r>
        <w:r w:rsidR="0567E5EC" w:rsidRPr="007D0473">
          <w:rPr>
            <w:rStyle w:val="Hyperlink"/>
            <w:rFonts w:ascii="Arial" w:hAnsi="Arial"/>
            <w:sz w:val="22"/>
            <w:szCs w:val="22"/>
          </w:rPr>
          <w:t> </w:t>
        </w:r>
        <w:proofErr w:type="spellStart"/>
        <w:r w:rsidR="0567E5EC" w:rsidRPr="007D0473">
          <w:rPr>
            <w:rStyle w:val="Hyperlink"/>
            <w:rFonts w:ascii="Arial" w:hAnsi="Arial"/>
            <w:i/>
            <w:iCs/>
            <w:sz w:val="22"/>
            <w:szCs w:val="22"/>
          </w:rPr>
          <w:t>Wellcome</w:t>
        </w:r>
        <w:proofErr w:type="spellEnd"/>
        <w:r w:rsidR="0567E5EC" w:rsidRPr="007D0473">
          <w:rPr>
            <w:rStyle w:val="Hyperlink"/>
            <w:rFonts w:ascii="Arial" w:hAnsi="Arial"/>
            <w:i/>
            <w:iCs/>
            <w:sz w:val="22"/>
            <w:szCs w:val="22"/>
          </w:rPr>
          <w:t xml:space="preserve"> Open Res</w:t>
        </w:r>
        <w:r w:rsidR="0567E5EC" w:rsidRPr="007D0473">
          <w:rPr>
            <w:rStyle w:val="Hyperlink"/>
            <w:rFonts w:ascii="Arial" w:hAnsi="Arial"/>
            <w:sz w:val="22"/>
            <w:szCs w:val="22"/>
          </w:rPr>
          <w:t> 2018, 3:124 [version 1; referees: 2 approved]</w:t>
        </w:r>
      </w:hyperlink>
      <w:r w:rsidR="0567E5EC" w:rsidRPr="007D0473">
        <w:rPr>
          <w:rFonts w:ascii="Arial" w:hAnsi="Arial"/>
          <w:sz w:val="22"/>
          <w:szCs w:val="22"/>
        </w:rPr>
        <w:t xml:space="preserve">) and sited at the University of Oxford. The development of that website was funded by the </w:t>
      </w:r>
      <w:proofErr w:type="spellStart"/>
      <w:r w:rsidR="0567E5EC" w:rsidRPr="007D0473">
        <w:rPr>
          <w:rFonts w:ascii="Arial" w:hAnsi="Arial"/>
          <w:sz w:val="22"/>
          <w:szCs w:val="22"/>
        </w:rPr>
        <w:t>Wellcome</w:t>
      </w:r>
      <w:proofErr w:type="spellEnd"/>
      <w:r w:rsidR="0567E5EC" w:rsidRPr="007D0473">
        <w:rPr>
          <w:rFonts w:ascii="Arial" w:hAnsi="Arial"/>
          <w:sz w:val="22"/>
          <w:szCs w:val="22"/>
        </w:rPr>
        <w:t xml:space="preserve"> Trust</w:t>
      </w:r>
      <w:r w:rsidR="6B4CDC50" w:rsidRPr="007D0473">
        <w:rPr>
          <w:rFonts w:ascii="Arial" w:hAnsi="Arial"/>
          <w:sz w:val="22"/>
          <w:szCs w:val="22"/>
        </w:rPr>
        <w:t xml:space="preserve">. </w:t>
      </w:r>
    </w:p>
    <w:p w14:paraId="2C418E6B" w14:textId="413E0C5E" w:rsidR="00446875" w:rsidRPr="007D0473" w:rsidRDefault="00446875" w:rsidP="00DB7C46">
      <w:pPr>
        <w:spacing w:before="120" w:after="120" w:line="480" w:lineRule="auto"/>
        <w:rPr>
          <w:rFonts w:ascii="Arial" w:hAnsi="Arial"/>
          <w:sz w:val="22"/>
          <w:szCs w:val="22"/>
        </w:rPr>
      </w:pPr>
    </w:p>
    <w:p w14:paraId="046D5489" w14:textId="3933470E" w:rsidR="0044644C" w:rsidRPr="007D0473" w:rsidRDefault="0044644C" w:rsidP="00DB7C46">
      <w:pPr>
        <w:spacing w:before="120" w:after="120" w:line="480" w:lineRule="auto"/>
        <w:rPr>
          <w:rFonts w:ascii="Arial" w:hAnsi="Arial"/>
          <w:sz w:val="22"/>
          <w:szCs w:val="22"/>
        </w:rPr>
      </w:pPr>
    </w:p>
    <w:p w14:paraId="7F39C99C" w14:textId="32DAC315" w:rsidR="0044644C" w:rsidRPr="007D0473" w:rsidRDefault="0044644C" w:rsidP="00DB7C46">
      <w:pPr>
        <w:spacing w:before="120" w:after="120" w:line="480" w:lineRule="auto"/>
        <w:rPr>
          <w:rFonts w:ascii="Arial" w:hAnsi="Arial"/>
          <w:b/>
          <w:bCs/>
          <w:sz w:val="22"/>
          <w:szCs w:val="22"/>
        </w:rPr>
      </w:pPr>
      <w:r w:rsidRPr="007D0473">
        <w:rPr>
          <w:rFonts w:ascii="Arial" w:hAnsi="Arial"/>
          <w:b/>
          <w:bCs/>
          <w:sz w:val="22"/>
          <w:szCs w:val="22"/>
        </w:rPr>
        <w:t>Figures</w:t>
      </w:r>
    </w:p>
    <w:p w14:paraId="2BC261DA" w14:textId="77777777" w:rsidR="00385179" w:rsidRPr="007D0473" w:rsidRDefault="00385179" w:rsidP="00DB7C46">
      <w:pPr>
        <w:spacing w:before="120" w:after="120" w:line="480" w:lineRule="auto"/>
        <w:rPr>
          <w:rFonts w:ascii="Arial" w:hAnsi="Arial"/>
          <w:sz w:val="22"/>
          <w:szCs w:val="22"/>
        </w:rPr>
      </w:pPr>
      <w:r w:rsidRPr="007D0473">
        <w:rPr>
          <w:rFonts w:ascii="Arial" w:hAnsi="Arial"/>
          <w:b/>
          <w:bCs/>
          <w:sz w:val="22"/>
          <w:szCs w:val="22"/>
        </w:rPr>
        <w:t>Figure 1.</w:t>
      </w:r>
      <w:r w:rsidRPr="007D0473">
        <w:rPr>
          <w:rFonts w:ascii="Arial" w:hAnsi="Arial"/>
          <w:sz w:val="22"/>
          <w:szCs w:val="22"/>
        </w:rPr>
        <w:t xml:space="preserve"> </w:t>
      </w:r>
      <w:r w:rsidRPr="007D0473">
        <w:rPr>
          <w:rFonts w:ascii="Arial" w:hAnsi="Arial"/>
          <w:b/>
          <w:bCs/>
          <w:sz w:val="22"/>
          <w:szCs w:val="22"/>
        </w:rPr>
        <w:t xml:space="preserve">Summary of demographic information available for 193 </w:t>
      </w:r>
      <w:r w:rsidRPr="007D0473">
        <w:rPr>
          <w:rFonts w:ascii="Arial" w:hAnsi="Arial"/>
          <w:b/>
          <w:bCs/>
          <w:i/>
          <w:iCs/>
          <w:sz w:val="22"/>
          <w:szCs w:val="22"/>
        </w:rPr>
        <w:t>Streptococcus agalactiae</w:t>
      </w:r>
      <w:r w:rsidRPr="007D0473">
        <w:rPr>
          <w:rFonts w:ascii="Arial" w:hAnsi="Arial"/>
          <w:b/>
          <w:bCs/>
          <w:sz w:val="22"/>
          <w:szCs w:val="22"/>
        </w:rPr>
        <w:t xml:space="preserve"> strains submitted to Public Health England between January 2014 and December 2015.</w:t>
      </w:r>
      <w:r w:rsidRPr="007D0473">
        <w:rPr>
          <w:rFonts w:ascii="Arial" w:hAnsi="Arial"/>
          <w:sz w:val="22"/>
          <w:szCs w:val="22"/>
        </w:rPr>
        <w:t xml:space="preserve"> (a) Overall number of GBS serotypes observed in the dataset segregated by sex; (b) graphical distribution of GBS serotypes identified in female patients, segregated by age group; (c) graphical distribution of GBS serotypes identified in male patients, segregated by age group. </w:t>
      </w:r>
    </w:p>
    <w:p w14:paraId="6A017AA8" w14:textId="349B9772" w:rsidR="00446875" w:rsidRPr="007D0473" w:rsidRDefault="00446875" w:rsidP="00DB7C46">
      <w:pPr>
        <w:spacing w:before="120" w:after="120" w:line="480" w:lineRule="auto"/>
        <w:rPr>
          <w:rFonts w:ascii="Arial" w:hAnsi="Arial"/>
          <w:sz w:val="22"/>
          <w:szCs w:val="22"/>
        </w:rPr>
      </w:pPr>
    </w:p>
    <w:p w14:paraId="238999BA" w14:textId="58B0C750" w:rsidR="004F5221" w:rsidRPr="007D0473" w:rsidRDefault="004F5221" w:rsidP="00DB7C46">
      <w:pPr>
        <w:spacing w:before="120" w:after="120" w:line="480" w:lineRule="auto"/>
        <w:rPr>
          <w:rFonts w:ascii="Arial" w:hAnsi="Arial"/>
          <w:sz w:val="22"/>
          <w:szCs w:val="22"/>
        </w:rPr>
      </w:pPr>
      <w:r w:rsidRPr="007D0473">
        <w:rPr>
          <w:rFonts w:ascii="Arial" w:hAnsi="Arial"/>
          <w:b/>
          <w:bCs/>
          <w:sz w:val="22"/>
          <w:szCs w:val="22"/>
        </w:rPr>
        <w:t xml:space="preserve">Figure 2. Phylogenetic relationship between GBS isolates causing disease in adult population in the UK. </w:t>
      </w:r>
      <w:r w:rsidRPr="007D0473">
        <w:rPr>
          <w:rFonts w:ascii="Arial" w:hAnsi="Arial"/>
          <w:sz w:val="22"/>
          <w:szCs w:val="22"/>
        </w:rPr>
        <w:t>A total of 193 genomes were analysed for the study. Mid-point rooted maximum likelihood phylogeny tree built using SNPs after correcting for recombination. The inner ring indicates one of the eight serotypes identified amongst 193 GBS isolates in this study. The outer ring indicates five major clonal complexes CC23, CC1, CC19, CC17</w:t>
      </w:r>
      <w:r w:rsidR="002C5C2E" w:rsidRPr="007D0473">
        <w:rPr>
          <w:rFonts w:ascii="Arial" w:hAnsi="Arial"/>
          <w:sz w:val="22"/>
          <w:szCs w:val="22"/>
        </w:rPr>
        <w:t xml:space="preserve"> </w:t>
      </w:r>
      <w:r w:rsidRPr="007D0473">
        <w:rPr>
          <w:rFonts w:ascii="Arial" w:hAnsi="Arial"/>
          <w:sz w:val="22"/>
          <w:szCs w:val="22"/>
        </w:rPr>
        <w:t>and CC8/CC10 identified in the study, purple indicates CC22/CC1213, and brown indicates CC24/CC498, dark grey indicates CC130/CC1216 and light grey colour indicates isolates identified as singleton</w:t>
      </w:r>
      <w:r w:rsidR="002C5C2E" w:rsidRPr="007D0473">
        <w:rPr>
          <w:rFonts w:ascii="Arial" w:hAnsi="Arial"/>
          <w:sz w:val="22"/>
          <w:szCs w:val="22"/>
        </w:rPr>
        <w:t xml:space="preserve"> </w:t>
      </w:r>
      <w:r w:rsidRPr="007D0473">
        <w:rPr>
          <w:rFonts w:ascii="Arial" w:hAnsi="Arial"/>
          <w:sz w:val="22"/>
          <w:szCs w:val="22"/>
        </w:rPr>
        <w:t xml:space="preserve">based on </w:t>
      </w:r>
      <w:proofErr w:type="spellStart"/>
      <w:r w:rsidRPr="007D0473">
        <w:rPr>
          <w:rFonts w:ascii="Arial" w:hAnsi="Arial"/>
          <w:i/>
          <w:iCs/>
          <w:sz w:val="22"/>
          <w:szCs w:val="22"/>
        </w:rPr>
        <w:t>goe</w:t>
      </w:r>
      <w:r w:rsidRPr="007D0473">
        <w:rPr>
          <w:rFonts w:ascii="Arial" w:hAnsi="Arial"/>
          <w:sz w:val="22"/>
          <w:szCs w:val="22"/>
        </w:rPr>
        <w:t>BURST</w:t>
      </w:r>
      <w:proofErr w:type="spellEnd"/>
      <w:r w:rsidRPr="007D0473">
        <w:rPr>
          <w:rFonts w:ascii="Arial" w:hAnsi="Arial"/>
          <w:sz w:val="22"/>
          <w:szCs w:val="22"/>
        </w:rPr>
        <w:t xml:space="preserve"> SLV analysis.</w:t>
      </w:r>
    </w:p>
    <w:p w14:paraId="500DBECA" w14:textId="418444D2" w:rsidR="00385179" w:rsidRPr="007D0473" w:rsidRDefault="00385179" w:rsidP="00DB7C46">
      <w:pPr>
        <w:spacing w:before="120" w:after="120" w:line="480" w:lineRule="auto"/>
        <w:rPr>
          <w:rFonts w:ascii="Arial" w:hAnsi="Arial"/>
          <w:sz w:val="22"/>
          <w:szCs w:val="22"/>
        </w:rPr>
      </w:pPr>
    </w:p>
    <w:p w14:paraId="05B67CED" w14:textId="166A6997" w:rsidR="004F5221" w:rsidRPr="007D0473" w:rsidRDefault="004F5221" w:rsidP="00DB7C46">
      <w:pPr>
        <w:spacing w:before="120" w:after="120" w:line="480" w:lineRule="auto"/>
        <w:rPr>
          <w:rFonts w:ascii="Arial" w:hAnsi="Arial"/>
          <w:sz w:val="22"/>
          <w:szCs w:val="22"/>
        </w:rPr>
      </w:pPr>
      <w:r w:rsidRPr="007D0473">
        <w:rPr>
          <w:rFonts w:ascii="Arial" w:hAnsi="Arial"/>
          <w:b/>
          <w:bCs/>
          <w:sz w:val="22"/>
          <w:szCs w:val="22"/>
        </w:rPr>
        <w:t xml:space="preserve">Figure 3. Phylogenetic relationship between GBS isolates within major clonal complexes causing disease in adult population in the UK. </w:t>
      </w:r>
      <w:r w:rsidRPr="007D0473">
        <w:rPr>
          <w:rFonts w:ascii="Arial" w:hAnsi="Arial"/>
          <w:sz w:val="22"/>
          <w:szCs w:val="22"/>
        </w:rPr>
        <w:t xml:space="preserve">Phylogenetic </w:t>
      </w:r>
      <w:proofErr w:type="gramStart"/>
      <w:r w:rsidRPr="007D0473">
        <w:rPr>
          <w:rFonts w:ascii="Arial" w:hAnsi="Arial"/>
          <w:sz w:val="22"/>
          <w:szCs w:val="22"/>
        </w:rPr>
        <w:t>analysis  indicates</w:t>
      </w:r>
      <w:proofErr w:type="gramEnd"/>
      <w:r w:rsidRPr="007D0473">
        <w:rPr>
          <w:rFonts w:ascii="Arial" w:hAnsi="Arial"/>
          <w:sz w:val="22"/>
          <w:szCs w:val="22"/>
        </w:rPr>
        <w:t xml:space="preserve"> strains belong to the five major clonal complexes identified in this study: </w:t>
      </w:r>
      <w:r w:rsidRPr="007D0473">
        <w:rPr>
          <w:rFonts w:ascii="Arial" w:hAnsi="Arial"/>
          <w:b/>
          <w:bCs/>
          <w:sz w:val="22"/>
          <w:szCs w:val="22"/>
        </w:rPr>
        <w:t>(a)</w:t>
      </w:r>
      <w:r w:rsidRPr="007D0473">
        <w:rPr>
          <w:rFonts w:ascii="Arial" w:hAnsi="Arial"/>
          <w:sz w:val="22"/>
          <w:szCs w:val="22"/>
        </w:rPr>
        <w:t xml:space="preserve"> </w:t>
      </w:r>
      <w:r w:rsidRPr="007D0473">
        <w:rPr>
          <w:rFonts w:ascii="Arial" w:hAnsi="Arial"/>
          <w:b/>
          <w:bCs/>
          <w:i/>
          <w:iCs/>
          <w:sz w:val="22"/>
          <w:szCs w:val="22"/>
        </w:rPr>
        <w:t>phylogenetic relationship between GBS isolates belonging to CC23.</w:t>
      </w:r>
      <w:r w:rsidRPr="007D0473">
        <w:rPr>
          <w:rFonts w:ascii="Arial" w:hAnsi="Arial"/>
          <w:sz w:val="22"/>
          <w:szCs w:val="22"/>
        </w:rPr>
        <w:t xml:space="preserve"> </w:t>
      </w:r>
      <w:r w:rsidR="00BA2B9E" w:rsidRPr="007D0473">
        <w:rPr>
          <w:rFonts w:ascii="Arial" w:hAnsi="Arial"/>
          <w:sz w:val="22"/>
          <w:szCs w:val="22"/>
        </w:rPr>
        <w:t>Fifty-three</w:t>
      </w:r>
      <w:r w:rsidRPr="007D0473">
        <w:rPr>
          <w:rFonts w:ascii="Arial" w:hAnsi="Arial"/>
          <w:sz w:val="22"/>
          <w:szCs w:val="22"/>
        </w:rPr>
        <w:t xml:space="preserve"> isolates </w:t>
      </w:r>
      <w:r w:rsidRPr="007D0473">
        <w:rPr>
          <w:rFonts w:ascii="Arial" w:hAnsi="Arial"/>
          <w:sz w:val="22"/>
          <w:szCs w:val="22"/>
        </w:rPr>
        <w:lastRenderedPageBreak/>
        <w:t xml:space="preserve">grouped to CC23 and are represented by a mid-point rooted maximum likelihood phylogeny tree using </w:t>
      </w:r>
      <w:r w:rsidR="000F499E" w:rsidRPr="007D0473">
        <w:rPr>
          <w:rFonts w:ascii="Arial" w:hAnsi="Arial"/>
          <w:sz w:val="22"/>
          <w:szCs w:val="22"/>
        </w:rPr>
        <w:t>1,570</w:t>
      </w:r>
      <w:r w:rsidRPr="007D0473">
        <w:rPr>
          <w:rFonts w:ascii="Arial" w:hAnsi="Arial"/>
          <w:sz w:val="22"/>
          <w:szCs w:val="22"/>
        </w:rPr>
        <w:t xml:space="preserve"> core SNPs called from reference sequence FDAARGOS 512 (NZ_CP033822.1). </w:t>
      </w:r>
      <w:r w:rsidRPr="007D0473">
        <w:rPr>
          <w:rFonts w:ascii="Arial" w:hAnsi="Arial"/>
          <w:b/>
          <w:bCs/>
          <w:sz w:val="22"/>
          <w:szCs w:val="22"/>
        </w:rPr>
        <w:t xml:space="preserve">(b) </w:t>
      </w:r>
      <w:r w:rsidRPr="007D0473">
        <w:rPr>
          <w:rFonts w:ascii="Arial" w:hAnsi="Arial"/>
          <w:b/>
          <w:bCs/>
          <w:i/>
          <w:iCs/>
          <w:sz w:val="22"/>
          <w:szCs w:val="22"/>
        </w:rPr>
        <w:t>phylogenetic relationship between GBS isolates belonging to CC1.</w:t>
      </w:r>
      <w:r w:rsidRPr="007D0473">
        <w:rPr>
          <w:rFonts w:ascii="Arial" w:hAnsi="Arial"/>
          <w:i/>
          <w:iCs/>
          <w:sz w:val="22"/>
          <w:szCs w:val="22"/>
        </w:rPr>
        <w:t xml:space="preserve"> </w:t>
      </w:r>
      <w:r w:rsidRPr="007D0473">
        <w:rPr>
          <w:rFonts w:ascii="Arial" w:hAnsi="Arial"/>
          <w:sz w:val="22"/>
          <w:szCs w:val="22"/>
        </w:rPr>
        <w:t xml:space="preserve">Thirty-five isolates grouped to CC1 and are represented by a mid-point rooted maximum likelihood phylogeny tree using </w:t>
      </w:r>
      <w:r w:rsidR="001448BE" w:rsidRPr="007D0473">
        <w:rPr>
          <w:rFonts w:ascii="Arial" w:hAnsi="Arial"/>
          <w:sz w:val="22"/>
          <w:szCs w:val="22"/>
        </w:rPr>
        <w:t>1,108</w:t>
      </w:r>
      <w:r w:rsidRPr="007D0473">
        <w:rPr>
          <w:rFonts w:ascii="Arial" w:hAnsi="Arial"/>
          <w:sz w:val="22"/>
          <w:szCs w:val="22"/>
        </w:rPr>
        <w:t xml:space="preserve"> core SNPs determined using reference sequence SS1 (NZ CP010867). </w:t>
      </w:r>
      <w:r w:rsidRPr="007D0473">
        <w:rPr>
          <w:rFonts w:ascii="Arial" w:hAnsi="Arial"/>
          <w:b/>
          <w:bCs/>
          <w:sz w:val="22"/>
          <w:szCs w:val="22"/>
        </w:rPr>
        <w:t>(c)</w:t>
      </w:r>
      <w:r w:rsidRPr="007D0473">
        <w:rPr>
          <w:rFonts w:ascii="Arial" w:hAnsi="Arial"/>
          <w:sz w:val="22"/>
          <w:szCs w:val="22"/>
        </w:rPr>
        <w:t xml:space="preserve"> </w:t>
      </w:r>
      <w:r w:rsidRPr="007D0473">
        <w:rPr>
          <w:rFonts w:ascii="Arial" w:hAnsi="Arial"/>
          <w:b/>
          <w:bCs/>
          <w:i/>
          <w:iCs/>
          <w:sz w:val="22"/>
          <w:szCs w:val="22"/>
        </w:rPr>
        <w:t>phylogenetic relationship between GBS isolates belonging to CC8/CC10.</w:t>
      </w:r>
      <w:r w:rsidRPr="007D0473">
        <w:rPr>
          <w:rFonts w:ascii="Arial" w:hAnsi="Arial"/>
          <w:sz w:val="22"/>
          <w:szCs w:val="22"/>
        </w:rPr>
        <w:t xml:space="preserve"> Twenty-nine isolates belonged to CC8/CC10 and are represented by a mid-point rooted maximum likelihood phylogeny tree using </w:t>
      </w:r>
      <w:r w:rsidR="00B87D0E" w:rsidRPr="007D0473">
        <w:rPr>
          <w:rFonts w:ascii="Arial" w:hAnsi="Arial"/>
          <w:sz w:val="22"/>
          <w:szCs w:val="22"/>
        </w:rPr>
        <w:t>2,552</w:t>
      </w:r>
      <w:r w:rsidRPr="007D0473">
        <w:rPr>
          <w:rFonts w:ascii="Arial" w:hAnsi="Arial"/>
          <w:sz w:val="22"/>
          <w:szCs w:val="22"/>
        </w:rPr>
        <w:t xml:space="preserve"> core SNPs called using reference sequence Sag37 (NZ CP019978.1). </w:t>
      </w:r>
      <w:r w:rsidRPr="007D0473">
        <w:rPr>
          <w:rFonts w:ascii="Arial" w:hAnsi="Arial"/>
          <w:b/>
          <w:bCs/>
          <w:sz w:val="22"/>
          <w:szCs w:val="22"/>
        </w:rPr>
        <w:t>(d)</w:t>
      </w:r>
      <w:r w:rsidRPr="007D0473">
        <w:rPr>
          <w:rFonts w:ascii="Arial" w:hAnsi="Arial"/>
          <w:sz w:val="22"/>
          <w:szCs w:val="22"/>
        </w:rPr>
        <w:t xml:space="preserve"> </w:t>
      </w:r>
      <w:r w:rsidRPr="007D0473">
        <w:rPr>
          <w:rFonts w:ascii="Arial" w:hAnsi="Arial"/>
          <w:b/>
          <w:bCs/>
          <w:i/>
          <w:iCs/>
          <w:sz w:val="22"/>
          <w:szCs w:val="22"/>
        </w:rPr>
        <w:t>phylogenetic relationship between GBS isolates belonging to CC19</w:t>
      </w:r>
      <w:r w:rsidRPr="007D0473">
        <w:rPr>
          <w:rFonts w:ascii="Arial" w:hAnsi="Arial"/>
          <w:b/>
          <w:bCs/>
          <w:sz w:val="22"/>
          <w:szCs w:val="22"/>
        </w:rPr>
        <w:t>.</w:t>
      </w:r>
      <w:r w:rsidRPr="007D0473">
        <w:rPr>
          <w:rFonts w:ascii="Arial" w:hAnsi="Arial"/>
          <w:sz w:val="22"/>
          <w:szCs w:val="22"/>
        </w:rPr>
        <w:t xml:space="preserve"> Thirty-three isolates belonged to CC19 and are represented by a mid-point rooted maximum likelihood phylogeny tree using </w:t>
      </w:r>
      <w:r w:rsidR="00143AC5" w:rsidRPr="007D0473">
        <w:rPr>
          <w:rFonts w:ascii="Arial" w:hAnsi="Arial"/>
          <w:sz w:val="22"/>
          <w:szCs w:val="22"/>
        </w:rPr>
        <w:t xml:space="preserve">2,423 </w:t>
      </w:r>
      <w:r w:rsidRPr="007D0473">
        <w:rPr>
          <w:rFonts w:ascii="Arial" w:hAnsi="Arial"/>
          <w:sz w:val="22"/>
          <w:szCs w:val="22"/>
        </w:rPr>
        <w:t xml:space="preserve">core SNPs called using reference sequence SG-M25 (NZ_CP021867.1). </w:t>
      </w:r>
      <w:r w:rsidRPr="007D0473">
        <w:rPr>
          <w:rFonts w:ascii="Arial" w:hAnsi="Arial"/>
          <w:b/>
          <w:bCs/>
          <w:sz w:val="22"/>
          <w:szCs w:val="22"/>
        </w:rPr>
        <w:t>(e)</w:t>
      </w:r>
      <w:r w:rsidRPr="007D0473">
        <w:rPr>
          <w:rFonts w:ascii="Arial" w:hAnsi="Arial"/>
          <w:sz w:val="22"/>
          <w:szCs w:val="22"/>
        </w:rPr>
        <w:t xml:space="preserve"> </w:t>
      </w:r>
      <w:r w:rsidRPr="007D0473">
        <w:rPr>
          <w:rFonts w:ascii="Arial" w:hAnsi="Arial"/>
          <w:b/>
          <w:bCs/>
          <w:i/>
          <w:iCs/>
          <w:sz w:val="22"/>
          <w:szCs w:val="22"/>
        </w:rPr>
        <w:t>phylogenetic relationship between GBS isolates belonging to CC17</w:t>
      </w:r>
      <w:r w:rsidRPr="007D0473">
        <w:rPr>
          <w:rFonts w:ascii="Arial" w:hAnsi="Arial"/>
          <w:sz w:val="22"/>
          <w:szCs w:val="22"/>
        </w:rPr>
        <w:t>. Thirty-two isolates belonged to CC17 and are represented by a mid-point rooted maximum likelihood phylogeny tree using 2,</w:t>
      </w:r>
      <w:r w:rsidR="00972EED" w:rsidRPr="007D0473">
        <w:rPr>
          <w:rFonts w:ascii="Arial" w:hAnsi="Arial"/>
          <w:sz w:val="22"/>
          <w:szCs w:val="22"/>
        </w:rPr>
        <w:t>45</w:t>
      </w:r>
      <w:r w:rsidRPr="007D0473">
        <w:rPr>
          <w:rFonts w:ascii="Arial" w:hAnsi="Arial"/>
          <w:sz w:val="22"/>
          <w:szCs w:val="22"/>
        </w:rPr>
        <w:t>6 core SNPs relative to reference sequence COH1 (NZ HG9394456.1). Additional information for isolates presented includes isolate (strain) unique identifier, capsular serotype, sequence type (ST), age group (18-44: orange; 45-64: blue; 65-84: green; ≥85 years of age; purple; information not available: black), where relevant presence or absence of antimicrobial resistance genes was shown, if none of the clonal complex members had a particular gene present, gene name was not added to the description column, otherwise genes were indicated as follows: tetracycline resistance gene (</w:t>
      </w:r>
      <w:proofErr w:type="spellStart"/>
      <w:r w:rsidRPr="007D0473">
        <w:rPr>
          <w:rFonts w:ascii="Arial" w:hAnsi="Arial"/>
          <w:i/>
          <w:iCs/>
          <w:sz w:val="22"/>
          <w:szCs w:val="22"/>
        </w:rPr>
        <w:t>tet</w:t>
      </w:r>
      <w:r w:rsidRPr="007D0473">
        <w:rPr>
          <w:rFonts w:ascii="Arial" w:hAnsi="Arial"/>
          <w:sz w:val="22"/>
          <w:szCs w:val="22"/>
        </w:rPr>
        <w:t>M</w:t>
      </w:r>
      <w:proofErr w:type="spellEnd"/>
      <w:r w:rsidRPr="007D0473">
        <w:rPr>
          <w:rFonts w:ascii="Arial" w:hAnsi="Arial"/>
          <w:sz w:val="22"/>
          <w:szCs w:val="22"/>
        </w:rPr>
        <w:t xml:space="preserve">, </w:t>
      </w:r>
      <w:proofErr w:type="spellStart"/>
      <w:r w:rsidRPr="007D0473">
        <w:rPr>
          <w:rFonts w:ascii="Arial" w:hAnsi="Arial"/>
          <w:i/>
          <w:iCs/>
          <w:sz w:val="22"/>
          <w:szCs w:val="22"/>
        </w:rPr>
        <w:t>tet</w:t>
      </w:r>
      <w:r w:rsidRPr="007D0473">
        <w:rPr>
          <w:rFonts w:ascii="Arial" w:hAnsi="Arial"/>
          <w:sz w:val="22"/>
          <w:szCs w:val="22"/>
        </w:rPr>
        <w:t>S</w:t>
      </w:r>
      <w:proofErr w:type="spellEnd"/>
      <w:r w:rsidRPr="007D0473">
        <w:rPr>
          <w:rFonts w:ascii="Arial" w:hAnsi="Arial"/>
          <w:sz w:val="22"/>
          <w:szCs w:val="22"/>
        </w:rPr>
        <w:t xml:space="preserve">, </w:t>
      </w:r>
      <w:proofErr w:type="spellStart"/>
      <w:r w:rsidRPr="007D0473">
        <w:rPr>
          <w:rFonts w:ascii="Arial" w:hAnsi="Arial"/>
          <w:i/>
          <w:iCs/>
          <w:color w:val="000000" w:themeColor="text1"/>
          <w:sz w:val="22"/>
          <w:szCs w:val="22"/>
        </w:rPr>
        <w:t>tet</w:t>
      </w:r>
      <w:r w:rsidRPr="007D0473">
        <w:rPr>
          <w:rFonts w:ascii="Arial" w:hAnsi="Arial"/>
          <w:color w:val="000000" w:themeColor="text1"/>
          <w:sz w:val="22"/>
          <w:szCs w:val="22"/>
        </w:rPr>
        <w:t>W</w:t>
      </w:r>
      <w:proofErr w:type="spellEnd"/>
      <w:r w:rsidRPr="007D0473">
        <w:rPr>
          <w:rFonts w:ascii="Arial" w:hAnsi="Arial"/>
          <w:color w:val="000000" w:themeColor="text1"/>
          <w:sz w:val="22"/>
          <w:szCs w:val="22"/>
        </w:rPr>
        <w:t xml:space="preserve">, </w:t>
      </w:r>
      <w:proofErr w:type="spellStart"/>
      <w:r w:rsidRPr="007D0473">
        <w:rPr>
          <w:rFonts w:ascii="Arial" w:hAnsi="Arial"/>
          <w:i/>
          <w:iCs/>
          <w:color w:val="000000" w:themeColor="text1"/>
          <w:sz w:val="22"/>
          <w:szCs w:val="22"/>
        </w:rPr>
        <w:t>tet</w:t>
      </w:r>
      <w:r w:rsidRPr="007D0473">
        <w:rPr>
          <w:rFonts w:ascii="Arial" w:hAnsi="Arial"/>
          <w:color w:val="000000" w:themeColor="text1"/>
          <w:sz w:val="22"/>
          <w:szCs w:val="22"/>
        </w:rPr>
        <w:t>L</w:t>
      </w:r>
      <w:proofErr w:type="spellEnd"/>
      <w:r w:rsidRPr="007D0473">
        <w:rPr>
          <w:rFonts w:ascii="Arial" w:hAnsi="Arial"/>
          <w:color w:val="000000" w:themeColor="text1"/>
          <w:sz w:val="22"/>
          <w:szCs w:val="22"/>
        </w:rPr>
        <w:t xml:space="preserve"> or </w:t>
      </w:r>
      <w:proofErr w:type="spellStart"/>
      <w:r w:rsidRPr="007D0473">
        <w:rPr>
          <w:rFonts w:ascii="Arial" w:hAnsi="Arial"/>
          <w:i/>
          <w:iCs/>
          <w:sz w:val="22"/>
          <w:szCs w:val="22"/>
        </w:rPr>
        <w:t>tet</w:t>
      </w:r>
      <w:r w:rsidRPr="007D0473">
        <w:rPr>
          <w:rFonts w:ascii="Arial" w:hAnsi="Arial"/>
          <w:sz w:val="22"/>
          <w:szCs w:val="22"/>
        </w:rPr>
        <w:t>O</w:t>
      </w:r>
      <w:proofErr w:type="spellEnd"/>
      <w:r w:rsidRPr="007D0473">
        <w:rPr>
          <w:rFonts w:ascii="Arial" w:hAnsi="Arial"/>
          <w:sz w:val="22"/>
          <w:szCs w:val="22"/>
        </w:rPr>
        <w:t xml:space="preserve"> gene is present - light green, absent - blank),  macrolide resistance genes (</w:t>
      </w:r>
      <w:proofErr w:type="spellStart"/>
      <w:r w:rsidRPr="007D0473">
        <w:rPr>
          <w:rFonts w:ascii="Arial" w:hAnsi="Arial"/>
          <w:i/>
          <w:iCs/>
          <w:sz w:val="22"/>
          <w:szCs w:val="22"/>
        </w:rPr>
        <w:t>erm</w:t>
      </w:r>
      <w:r w:rsidRPr="007D0473">
        <w:rPr>
          <w:rFonts w:ascii="Arial" w:hAnsi="Arial"/>
          <w:sz w:val="22"/>
          <w:szCs w:val="22"/>
        </w:rPr>
        <w:t>A</w:t>
      </w:r>
      <w:proofErr w:type="spellEnd"/>
      <w:r w:rsidRPr="007D0473">
        <w:rPr>
          <w:rFonts w:ascii="Arial" w:hAnsi="Arial"/>
          <w:sz w:val="22"/>
          <w:szCs w:val="22"/>
        </w:rPr>
        <w:t xml:space="preserve">, </w:t>
      </w:r>
      <w:proofErr w:type="spellStart"/>
      <w:r w:rsidRPr="007D0473">
        <w:rPr>
          <w:rFonts w:ascii="Arial" w:hAnsi="Arial"/>
          <w:i/>
          <w:iCs/>
          <w:sz w:val="22"/>
          <w:szCs w:val="22"/>
        </w:rPr>
        <w:t>erm</w:t>
      </w:r>
      <w:r w:rsidRPr="007D0473">
        <w:rPr>
          <w:rFonts w:ascii="Arial" w:hAnsi="Arial"/>
          <w:sz w:val="22"/>
          <w:szCs w:val="22"/>
        </w:rPr>
        <w:t>T</w:t>
      </w:r>
      <w:proofErr w:type="spellEnd"/>
      <w:r w:rsidRPr="007D0473">
        <w:rPr>
          <w:rFonts w:ascii="Arial" w:hAnsi="Arial"/>
          <w:sz w:val="22"/>
          <w:szCs w:val="22"/>
        </w:rPr>
        <w:t>,</w:t>
      </w:r>
      <w:r w:rsidRPr="007D0473">
        <w:rPr>
          <w:rFonts w:ascii="Arial" w:hAnsi="Arial"/>
          <w:i/>
          <w:iCs/>
          <w:sz w:val="22"/>
          <w:szCs w:val="22"/>
        </w:rPr>
        <w:t xml:space="preserve"> </w:t>
      </w:r>
      <w:proofErr w:type="spellStart"/>
      <w:r w:rsidRPr="007D0473">
        <w:rPr>
          <w:rFonts w:ascii="Arial" w:hAnsi="Arial"/>
          <w:i/>
          <w:iCs/>
          <w:sz w:val="22"/>
          <w:szCs w:val="22"/>
        </w:rPr>
        <w:t>lun</w:t>
      </w:r>
      <w:r w:rsidRPr="007D0473">
        <w:rPr>
          <w:rFonts w:ascii="Arial" w:hAnsi="Arial"/>
          <w:sz w:val="22"/>
          <w:szCs w:val="22"/>
        </w:rPr>
        <w:t>C</w:t>
      </w:r>
      <w:proofErr w:type="spellEnd"/>
      <w:r w:rsidRPr="007D0473">
        <w:rPr>
          <w:rFonts w:ascii="Arial" w:hAnsi="Arial"/>
          <w:sz w:val="22"/>
          <w:szCs w:val="22"/>
        </w:rPr>
        <w:t>,</w:t>
      </w:r>
      <w:r w:rsidRPr="007D0473">
        <w:rPr>
          <w:rFonts w:ascii="Arial" w:hAnsi="Arial"/>
          <w:i/>
          <w:iCs/>
          <w:sz w:val="22"/>
          <w:szCs w:val="22"/>
        </w:rPr>
        <w:t xml:space="preserve"> </w:t>
      </w:r>
      <w:proofErr w:type="spellStart"/>
      <w:r w:rsidRPr="007D0473">
        <w:rPr>
          <w:rFonts w:ascii="Arial" w:hAnsi="Arial"/>
          <w:i/>
          <w:iCs/>
          <w:sz w:val="22"/>
          <w:szCs w:val="22"/>
        </w:rPr>
        <w:t>lsa</w:t>
      </w:r>
      <w:r w:rsidRPr="007D0473">
        <w:rPr>
          <w:rFonts w:ascii="Arial" w:hAnsi="Arial"/>
          <w:sz w:val="22"/>
          <w:szCs w:val="22"/>
        </w:rPr>
        <w:t>C</w:t>
      </w:r>
      <w:proofErr w:type="spellEnd"/>
      <w:r w:rsidRPr="007D0473">
        <w:rPr>
          <w:rFonts w:ascii="Arial" w:hAnsi="Arial"/>
          <w:sz w:val="22"/>
          <w:szCs w:val="22"/>
        </w:rPr>
        <w:t xml:space="preserve"> or </w:t>
      </w:r>
      <w:proofErr w:type="spellStart"/>
      <w:r w:rsidRPr="007D0473">
        <w:rPr>
          <w:rFonts w:ascii="Arial" w:hAnsi="Arial"/>
          <w:i/>
          <w:iCs/>
          <w:sz w:val="22"/>
          <w:szCs w:val="22"/>
        </w:rPr>
        <w:t>mef</w:t>
      </w:r>
      <w:r w:rsidRPr="007D0473">
        <w:rPr>
          <w:rFonts w:ascii="Arial" w:hAnsi="Arial"/>
          <w:sz w:val="22"/>
          <w:szCs w:val="22"/>
        </w:rPr>
        <w:t>A+</w:t>
      </w:r>
      <w:r w:rsidRPr="007D0473">
        <w:rPr>
          <w:rFonts w:ascii="Arial" w:hAnsi="Arial"/>
          <w:i/>
          <w:iCs/>
          <w:sz w:val="22"/>
          <w:szCs w:val="22"/>
        </w:rPr>
        <w:t>msr</w:t>
      </w:r>
      <w:r w:rsidRPr="007D0473">
        <w:rPr>
          <w:rFonts w:ascii="Arial" w:hAnsi="Arial"/>
          <w:sz w:val="22"/>
          <w:szCs w:val="22"/>
        </w:rPr>
        <w:t>D</w:t>
      </w:r>
      <w:proofErr w:type="spellEnd"/>
      <w:r w:rsidRPr="007D0473">
        <w:rPr>
          <w:rFonts w:ascii="Arial" w:hAnsi="Arial"/>
          <w:sz w:val="22"/>
          <w:szCs w:val="22"/>
        </w:rPr>
        <w:t>; purple, absent - blank), aminoglycoside resistance genes (</w:t>
      </w:r>
      <w:r w:rsidRPr="007D0473">
        <w:rPr>
          <w:rFonts w:ascii="Arial" w:hAnsi="Arial"/>
          <w:i/>
          <w:iCs/>
          <w:sz w:val="22"/>
          <w:szCs w:val="22"/>
        </w:rPr>
        <w:t>ant</w:t>
      </w:r>
      <w:r w:rsidRPr="007D0473">
        <w:rPr>
          <w:rFonts w:ascii="Arial" w:hAnsi="Arial"/>
          <w:sz w:val="22"/>
          <w:szCs w:val="22"/>
        </w:rPr>
        <w:t xml:space="preserve">(6-Ia), </w:t>
      </w:r>
      <w:proofErr w:type="spellStart"/>
      <w:r w:rsidRPr="007D0473">
        <w:rPr>
          <w:rFonts w:ascii="Arial" w:hAnsi="Arial"/>
          <w:i/>
          <w:iCs/>
          <w:sz w:val="22"/>
          <w:szCs w:val="22"/>
        </w:rPr>
        <w:t>aph</w:t>
      </w:r>
      <w:proofErr w:type="spellEnd"/>
      <w:r w:rsidRPr="007D0473">
        <w:rPr>
          <w:rFonts w:ascii="Arial" w:hAnsi="Arial"/>
          <w:sz w:val="22"/>
          <w:szCs w:val="22"/>
        </w:rPr>
        <w:t xml:space="preserve">(3’-III), </w:t>
      </w:r>
      <w:proofErr w:type="spellStart"/>
      <w:r w:rsidRPr="007D0473">
        <w:rPr>
          <w:rFonts w:ascii="Arial" w:hAnsi="Arial"/>
          <w:i/>
          <w:iCs/>
          <w:sz w:val="22"/>
          <w:szCs w:val="22"/>
        </w:rPr>
        <w:t>aac</w:t>
      </w:r>
      <w:proofErr w:type="spellEnd"/>
      <w:r w:rsidRPr="007D0473">
        <w:rPr>
          <w:rFonts w:ascii="Arial" w:hAnsi="Arial"/>
          <w:sz w:val="22"/>
          <w:szCs w:val="22"/>
        </w:rPr>
        <w:t>(6’)-</w:t>
      </w:r>
      <w:proofErr w:type="spellStart"/>
      <w:r w:rsidRPr="007D0473">
        <w:rPr>
          <w:rFonts w:ascii="Arial" w:hAnsi="Arial"/>
          <w:i/>
          <w:iCs/>
          <w:sz w:val="22"/>
          <w:szCs w:val="22"/>
        </w:rPr>
        <w:t>aph</w:t>
      </w:r>
      <w:proofErr w:type="spellEnd"/>
      <w:r w:rsidRPr="007D0473">
        <w:rPr>
          <w:rFonts w:ascii="Arial" w:hAnsi="Arial"/>
          <w:i/>
          <w:iCs/>
          <w:sz w:val="22"/>
          <w:szCs w:val="22"/>
        </w:rPr>
        <w:t>(</w:t>
      </w:r>
      <w:r w:rsidRPr="007D0473">
        <w:rPr>
          <w:rFonts w:ascii="Arial" w:hAnsi="Arial"/>
          <w:sz w:val="22"/>
          <w:szCs w:val="22"/>
        </w:rPr>
        <w:t xml:space="preserve">2”) or </w:t>
      </w:r>
      <w:proofErr w:type="spellStart"/>
      <w:r w:rsidRPr="007D0473">
        <w:rPr>
          <w:rFonts w:ascii="Arial" w:hAnsi="Arial"/>
          <w:i/>
          <w:iCs/>
          <w:sz w:val="22"/>
          <w:szCs w:val="22"/>
        </w:rPr>
        <w:t>aad</w:t>
      </w:r>
      <w:r w:rsidRPr="007D0473">
        <w:rPr>
          <w:rFonts w:ascii="Arial" w:hAnsi="Arial"/>
          <w:sz w:val="22"/>
          <w:szCs w:val="22"/>
        </w:rPr>
        <w:t>E</w:t>
      </w:r>
      <w:proofErr w:type="spellEnd"/>
      <w:r w:rsidRPr="007D0473">
        <w:rPr>
          <w:rFonts w:ascii="Arial" w:hAnsi="Arial"/>
          <w:sz w:val="22"/>
          <w:szCs w:val="22"/>
        </w:rPr>
        <w:t>; gene present – salmon, absent - blank), chloramphenicol resistance genes (</w:t>
      </w:r>
      <w:proofErr w:type="spellStart"/>
      <w:r w:rsidRPr="007D0473">
        <w:rPr>
          <w:rFonts w:ascii="Arial" w:hAnsi="Arial"/>
          <w:i/>
          <w:iCs/>
          <w:sz w:val="22"/>
          <w:szCs w:val="22"/>
        </w:rPr>
        <w:t>cat</w:t>
      </w:r>
      <w:r w:rsidRPr="007D0473">
        <w:rPr>
          <w:rFonts w:ascii="Arial" w:hAnsi="Arial"/>
          <w:sz w:val="22"/>
          <w:szCs w:val="22"/>
        </w:rPr>
        <w:t>Q</w:t>
      </w:r>
      <w:proofErr w:type="spellEnd"/>
      <w:r w:rsidRPr="007D0473">
        <w:rPr>
          <w:rFonts w:ascii="Arial" w:hAnsi="Arial"/>
          <w:sz w:val="22"/>
          <w:szCs w:val="22"/>
        </w:rPr>
        <w:t xml:space="preserve"> or</w:t>
      </w:r>
      <w:r w:rsidRPr="007D0473">
        <w:rPr>
          <w:rFonts w:ascii="Arial" w:hAnsi="Arial"/>
          <w:i/>
          <w:iCs/>
          <w:sz w:val="22"/>
          <w:szCs w:val="22"/>
        </w:rPr>
        <w:t xml:space="preserve"> cat</w:t>
      </w:r>
      <w:r w:rsidRPr="007D0473">
        <w:rPr>
          <w:rFonts w:ascii="Arial" w:hAnsi="Arial"/>
          <w:sz w:val="22"/>
          <w:szCs w:val="22"/>
        </w:rPr>
        <w:t>(pC194</w:t>
      </w:r>
      <w:r w:rsidRPr="007672B3">
        <w:rPr>
          <w:rFonts w:ascii="Arial" w:hAnsi="Arial"/>
          <w:sz w:val="22"/>
          <w:szCs w:val="22"/>
        </w:rPr>
        <w:t>). Strains</w:t>
      </w:r>
      <w:r w:rsidRPr="007D0473">
        <w:rPr>
          <w:rFonts w:ascii="Arial" w:hAnsi="Arial"/>
          <w:sz w:val="22"/>
          <w:szCs w:val="22"/>
        </w:rPr>
        <w:t xml:space="preserve"> indicated by an asterisk (*) highlight uncommon combination of capsular serotype and sequence type. Scale bar shows substitution rate. </w:t>
      </w:r>
    </w:p>
    <w:p w14:paraId="0A511292" w14:textId="77777777" w:rsidR="004F5221" w:rsidRPr="007D0473" w:rsidRDefault="004F5221" w:rsidP="00DB7C46">
      <w:pPr>
        <w:spacing w:before="120" w:after="120" w:line="480" w:lineRule="auto"/>
        <w:rPr>
          <w:rFonts w:ascii="Arial" w:hAnsi="Arial"/>
          <w:sz w:val="22"/>
          <w:szCs w:val="22"/>
        </w:rPr>
      </w:pPr>
    </w:p>
    <w:p w14:paraId="2D4D5D38" w14:textId="03C4AD6D" w:rsidR="000E2880" w:rsidRPr="007D0473" w:rsidRDefault="000E2880" w:rsidP="00DB7C46">
      <w:pPr>
        <w:spacing w:before="120" w:after="120" w:line="480" w:lineRule="auto"/>
        <w:rPr>
          <w:rFonts w:ascii="Arial" w:hAnsi="Arial"/>
          <w:b/>
          <w:bCs/>
          <w:sz w:val="22"/>
          <w:szCs w:val="22"/>
        </w:rPr>
      </w:pPr>
      <w:r w:rsidRPr="007D0473">
        <w:rPr>
          <w:rFonts w:ascii="Arial" w:hAnsi="Arial"/>
          <w:b/>
          <w:bCs/>
          <w:sz w:val="22"/>
          <w:szCs w:val="22"/>
        </w:rPr>
        <w:t>Figure 4.</w:t>
      </w:r>
      <w:r w:rsidRPr="007D0473">
        <w:rPr>
          <w:rFonts w:ascii="Arial" w:hAnsi="Arial"/>
          <w:sz w:val="22"/>
          <w:szCs w:val="22"/>
        </w:rPr>
        <w:t xml:space="preserve"> </w:t>
      </w:r>
      <w:r w:rsidRPr="007D0473">
        <w:rPr>
          <w:rFonts w:ascii="Arial" w:hAnsi="Arial"/>
          <w:b/>
          <w:bCs/>
          <w:sz w:val="22"/>
          <w:szCs w:val="22"/>
        </w:rPr>
        <w:t>Recombination leading to serotype switching for ST1 and CC17 GBS strains from adult patients isolated from January 2014 and December 2015.</w:t>
      </w:r>
      <w:r w:rsidRPr="007D0473">
        <w:rPr>
          <w:rFonts w:ascii="Arial" w:hAnsi="Arial"/>
          <w:sz w:val="22"/>
          <w:szCs w:val="22"/>
        </w:rPr>
        <w:t xml:space="preserve"> Polymorphisms determined in unexpected serotypes within ST1: serotype </w:t>
      </w:r>
      <w:proofErr w:type="spellStart"/>
      <w:r w:rsidRPr="007D0473">
        <w:rPr>
          <w:rFonts w:ascii="Arial" w:hAnsi="Arial"/>
          <w:sz w:val="22"/>
          <w:szCs w:val="22"/>
        </w:rPr>
        <w:t>Ib</w:t>
      </w:r>
      <w:proofErr w:type="spellEnd"/>
      <w:r w:rsidRPr="007D0473">
        <w:rPr>
          <w:rFonts w:ascii="Arial" w:hAnsi="Arial"/>
          <w:sz w:val="22"/>
          <w:szCs w:val="22"/>
        </w:rPr>
        <w:t xml:space="preserve"> ST1 strains PHEGBS0670 and PHEGBS0450 (a); serotype II ST1 strains PHEGBS0549 and PHEGBS0568 (b); and serotype VI ST1 strains PHEGBS0662 and PHEGBS0446 (c) are plotted against the reference serotype V ST1 strain SS1 (NZ_CP010867). Serotype IV ST1351 (CC17) PHEGBS0476 strain (d) is plotted against serotype III ST17 reference strain COH1 (NZ_HG9394456.1). The innermost (black circle) represents the respective reference SS1 or COH1. Following genome landmarks are shown in the outermost circle: cps locus: capsular polysaccharide locus in orange, </w:t>
      </w:r>
      <w:r w:rsidRPr="007D0473">
        <w:rPr>
          <w:rFonts w:ascii="Arial" w:hAnsi="Arial"/>
          <w:i/>
          <w:iCs/>
          <w:sz w:val="22"/>
          <w:szCs w:val="22"/>
        </w:rPr>
        <w:t>alp</w:t>
      </w:r>
      <w:r w:rsidRPr="007D0473">
        <w:rPr>
          <w:rFonts w:ascii="Arial" w:hAnsi="Arial"/>
          <w:sz w:val="22"/>
          <w:szCs w:val="22"/>
        </w:rPr>
        <w:t xml:space="preserve">3:  alpha like surface protein encoding gene in green, </w:t>
      </w:r>
      <w:proofErr w:type="spellStart"/>
      <w:r w:rsidRPr="007D0473">
        <w:rPr>
          <w:rFonts w:ascii="Arial" w:hAnsi="Arial"/>
          <w:i/>
          <w:iCs/>
          <w:sz w:val="22"/>
          <w:szCs w:val="22"/>
        </w:rPr>
        <w:t>hvgA</w:t>
      </w:r>
      <w:proofErr w:type="spellEnd"/>
      <w:r w:rsidRPr="007D0473">
        <w:rPr>
          <w:rFonts w:ascii="Arial" w:hAnsi="Arial"/>
          <w:sz w:val="22"/>
          <w:szCs w:val="22"/>
        </w:rPr>
        <w:t xml:space="preserve">: hypervirulent surface anchored adhesin gene in aqua, seven </w:t>
      </w:r>
      <w:proofErr w:type="spellStart"/>
      <w:r w:rsidRPr="007D0473">
        <w:rPr>
          <w:rFonts w:ascii="Arial" w:hAnsi="Arial"/>
          <w:sz w:val="22"/>
          <w:szCs w:val="22"/>
        </w:rPr>
        <w:t>multilocus</w:t>
      </w:r>
      <w:proofErr w:type="spellEnd"/>
      <w:r w:rsidRPr="007D0473">
        <w:rPr>
          <w:rFonts w:ascii="Arial" w:hAnsi="Arial"/>
          <w:sz w:val="22"/>
          <w:szCs w:val="22"/>
        </w:rPr>
        <w:t xml:space="preserve"> sequence typing (</w:t>
      </w:r>
      <w:proofErr w:type="spellStart"/>
      <w:r w:rsidRPr="007D0473">
        <w:rPr>
          <w:rFonts w:ascii="Arial" w:hAnsi="Arial"/>
          <w:i/>
          <w:iCs/>
          <w:sz w:val="22"/>
          <w:szCs w:val="22"/>
        </w:rPr>
        <w:t>adhP</w:t>
      </w:r>
      <w:proofErr w:type="spellEnd"/>
      <w:r w:rsidRPr="007D0473">
        <w:rPr>
          <w:rFonts w:ascii="Arial" w:hAnsi="Arial"/>
          <w:i/>
          <w:iCs/>
          <w:sz w:val="22"/>
          <w:szCs w:val="22"/>
        </w:rPr>
        <w:t xml:space="preserve">, </w:t>
      </w:r>
      <w:proofErr w:type="spellStart"/>
      <w:r w:rsidRPr="007D0473">
        <w:rPr>
          <w:rFonts w:ascii="Arial" w:hAnsi="Arial"/>
          <w:i/>
          <w:iCs/>
          <w:sz w:val="22"/>
          <w:szCs w:val="22"/>
        </w:rPr>
        <w:t>atr</w:t>
      </w:r>
      <w:proofErr w:type="spellEnd"/>
      <w:r w:rsidRPr="007D0473">
        <w:rPr>
          <w:rFonts w:ascii="Arial" w:hAnsi="Arial"/>
          <w:i/>
          <w:iCs/>
          <w:sz w:val="22"/>
          <w:szCs w:val="22"/>
        </w:rPr>
        <w:t xml:space="preserve">, </w:t>
      </w:r>
      <w:proofErr w:type="spellStart"/>
      <w:r w:rsidRPr="007D0473">
        <w:rPr>
          <w:rFonts w:ascii="Arial" w:hAnsi="Arial"/>
          <w:i/>
          <w:iCs/>
          <w:sz w:val="22"/>
          <w:szCs w:val="22"/>
        </w:rPr>
        <w:t>tkt</w:t>
      </w:r>
      <w:proofErr w:type="spellEnd"/>
      <w:r w:rsidRPr="007D0473">
        <w:rPr>
          <w:rFonts w:ascii="Arial" w:hAnsi="Arial"/>
          <w:i/>
          <w:iCs/>
          <w:sz w:val="22"/>
          <w:szCs w:val="22"/>
        </w:rPr>
        <w:t xml:space="preserve">, </w:t>
      </w:r>
      <w:proofErr w:type="spellStart"/>
      <w:r w:rsidRPr="007D0473">
        <w:rPr>
          <w:rFonts w:ascii="Arial" w:hAnsi="Arial"/>
          <w:i/>
          <w:iCs/>
          <w:sz w:val="22"/>
          <w:szCs w:val="22"/>
        </w:rPr>
        <w:t>glcK</w:t>
      </w:r>
      <w:proofErr w:type="spellEnd"/>
      <w:r w:rsidRPr="007D0473">
        <w:rPr>
          <w:rFonts w:ascii="Arial" w:hAnsi="Arial"/>
          <w:i/>
          <w:iCs/>
          <w:sz w:val="22"/>
          <w:szCs w:val="22"/>
        </w:rPr>
        <w:t xml:space="preserve">, </w:t>
      </w:r>
      <w:proofErr w:type="spellStart"/>
      <w:r w:rsidRPr="007D0473">
        <w:rPr>
          <w:rFonts w:ascii="Arial" w:hAnsi="Arial"/>
          <w:i/>
          <w:iCs/>
          <w:sz w:val="22"/>
          <w:szCs w:val="22"/>
        </w:rPr>
        <w:t>sdhA</w:t>
      </w:r>
      <w:proofErr w:type="spellEnd"/>
      <w:r w:rsidRPr="007D0473">
        <w:rPr>
          <w:rFonts w:ascii="Arial" w:hAnsi="Arial"/>
          <w:i/>
          <w:iCs/>
          <w:sz w:val="22"/>
          <w:szCs w:val="22"/>
        </w:rPr>
        <w:t xml:space="preserve">, </w:t>
      </w:r>
      <w:proofErr w:type="spellStart"/>
      <w:r w:rsidRPr="007D0473">
        <w:rPr>
          <w:rFonts w:ascii="Arial" w:hAnsi="Arial"/>
          <w:i/>
          <w:iCs/>
          <w:sz w:val="22"/>
          <w:szCs w:val="22"/>
        </w:rPr>
        <w:t>glnA</w:t>
      </w:r>
      <w:proofErr w:type="spellEnd"/>
      <w:r w:rsidRPr="007D0473">
        <w:rPr>
          <w:rFonts w:ascii="Arial" w:hAnsi="Arial"/>
          <w:i/>
          <w:iCs/>
          <w:sz w:val="22"/>
          <w:szCs w:val="22"/>
        </w:rPr>
        <w:t>,</w:t>
      </w:r>
      <w:r w:rsidRPr="007D0473">
        <w:rPr>
          <w:rFonts w:ascii="Arial" w:hAnsi="Arial"/>
          <w:sz w:val="22"/>
          <w:szCs w:val="22"/>
        </w:rPr>
        <w:t xml:space="preserve"> and </w:t>
      </w:r>
      <w:proofErr w:type="spellStart"/>
      <w:r w:rsidRPr="007D0473">
        <w:rPr>
          <w:rFonts w:ascii="Arial" w:hAnsi="Arial"/>
          <w:i/>
          <w:iCs/>
          <w:sz w:val="22"/>
          <w:szCs w:val="22"/>
        </w:rPr>
        <w:t>pheS</w:t>
      </w:r>
      <w:proofErr w:type="spellEnd"/>
      <w:r w:rsidRPr="007D0473">
        <w:rPr>
          <w:rFonts w:ascii="Arial" w:hAnsi="Arial"/>
          <w:sz w:val="22"/>
          <w:szCs w:val="22"/>
        </w:rPr>
        <w:t xml:space="preserve">) genes in purple, MGE: Mobile genetic element in black, </w:t>
      </w:r>
      <w:r w:rsidRPr="007D0473">
        <w:rPr>
          <w:rFonts w:ascii="Arial" w:hAnsi="Arial"/>
          <w:i/>
          <w:iCs/>
          <w:sz w:val="22"/>
          <w:szCs w:val="22"/>
        </w:rPr>
        <w:t>PI-1</w:t>
      </w:r>
      <w:r w:rsidRPr="007D0473">
        <w:rPr>
          <w:rFonts w:ascii="Arial" w:hAnsi="Arial"/>
          <w:sz w:val="22"/>
          <w:szCs w:val="22"/>
        </w:rPr>
        <w:t xml:space="preserve"> and </w:t>
      </w:r>
      <w:r w:rsidRPr="007D0473">
        <w:rPr>
          <w:rFonts w:ascii="Arial" w:hAnsi="Arial"/>
          <w:i/>
          <w:iCs/>
          <w:sz w:val="22"/>
          <w:szCs w:val="22"/>
        </w:rPr>
        <w:t>PI-2a</w:t>
      </w:r>
      <w:r w:rsidRPr="007D0473">
        <w:rPr>
          <w:rFonts w:ascii="Arial" w:hAnsi="Arial"/>
          <w:sz w:val="22"/>
          <w:szCs w:val="22"/>
        </w:rPr>
        <w:t xml:space="preserve">: </w:t>
      </w:r>
      <w:r w:rsidR="00551E20" w:rsidRPr="007D0473">
        <w:rPr>
          <w:rFonts w:ascii="Arial" w:hAnsi="Arial"/>
          <w:sz w:val="22"/>
          <w:szCs w:val="22"/>
        </w:rPr>
        <w:t>Pilus Island</w:t>
      </w:r>
      <w:r w:rsidRPr="007D0473">
        <w:rPr>
          <w:rFonts w:ascii="Arial" w:hAnsi="Arial"/>
          <w:sz w:val="22"/>
          <w:szCs w:val="22"/>
        </w:rPr>
        <w:t xml:space="preserve"> genes also in black. Polymorphisms mapping to MGE identified in the various non–serotype V ST1 strains were not included in the analysis.</w:t>
      </w:r>
    </w:p>
    <w:p w14:paraId="5E75ECF3" w14:textId="77777777" w:rsidR="00EB020D" w:rsidRPr="007D0473" w:rsidRDefault="00EB020D" w:rsidP="00DB7C46">
      <w:pPr>
        <w:spacing w:before="120" w:after="120" w:line="480" w:lineRule="auto"/>
        <w:rPr>
          <w:rFonts w:ascii="Arial" w:hAnsi="Arial"/>
          <w:b/>
          <w:sz w:val="22"/>
          <w:szCs w:val="22"/>
        </w:rPr>
      </w:pPr>
    </w:p>
    <w:p w14:paraId="4F2A23D4" w14:textId="77777777" w:rsidR="00EB020D" w:rsidRPr="007D0473" w:rsidRDefault="00EB020D" w:rsidP="00DB7C46">
      <w:pPr>
        <w:spacing w:before="120" w:after="120" w:line="480" w:lineRule="auto"/>
        <w:rPr>
          <w:rFonts w:ascii="Arial" w:hAnsi="Arial"/>
          <w:b/>
          <w:sz w:val="22"/>
          <w:szCs w:val="22"/>
        </w:rPr>
      </w:pPr>
    </w:p>
    <w:p w14:paraId="780B72ED" w14:textId="12793670" w:rsidR="00561AB6" w:rsidRPr="007D0473" w:rsidRDefault="00156877" w:rsidP="00DB7C46">
      <w:pPr>
        <w:spacing w:before="120" w:after="120" w:line="480" w:lineRule="auto"/>
        <w:rPr>
          <w:rFonts w:ascii="Arial" w:hAnsi="Arial"/>
          <w:b/>
          <w:sz w:val="22"/>
          <w:szCs w:val="22"/>
        </w:rPr>
      </w:pPr>
      <w:r w:rsidRPr="007D0473">
        <w:rPr>
          <w:rFonts w:ascii="Arial" w:hAnsi="Arial"/>
          <w:b/>
          <w:sz w:val="22"/>
          <w:szCs w:val="22"/>
        </w:rPr>
        <w:t>References</w:t>
      </w:r>
    </w:p>
    <w:p w14:paraId="33A2AD6D" w14:textId="12F2FE10" w:rsidR="00990B13" w:rsidRPr="00990B13" w:rsidRDefault="007B0B75" w:rsidP="00990B13">
      <w:pPr>
        <w:widowControl w:val="0"/>
        <w:autoSpaceDE w:val="0"/>
        <w:autoSpaceDN w:val="0"/>
        <w:adjustRightInd w:val="0"/>
        <w:spacing w:before="120" w:after="120" w:line="480" w:lineRule="auto"/>
        <w:ind w:left="640" w:hanging="640"/>
        <w:rPr>
          <w:rFonts w:ascii="Arial" w:hAnsi="Arial"/>
          <w:noProof/>
          <w:sz w:val="22"/>
        </w:rPr>
      </w:pPr>
      <w:r w:rsidRPr="007D0473">
        <w:rPr>
          <w:rFonts w:ascii="Arial" w:hAnsi="Arial"/>
          <w:b/>
          <w:sz w:val="22"/>
          <w:szCs w:val="22"/>
        </w:rPr>
        <w:fldChar w:fldCharType="begin" w:fldLock="1"/>
      </w:r>
      <w:r w:rsidRPr="007D0473">
        <w:rPr>
          <w:rFonts w:ascii="Arial" w:hAnsi="Arial"/>
          <w:b/>
          <w:sz w:val="22"/>
          <w:szCs w:val="22"/>
        </w:rPr>
        <w:instrText xml:space="preserve">ADDIN Mendeley Bibliography CSL_BIBLIOGRAPHY </w:instrText>
      </w:r>
      <w:r w:rsidRPr="007D0473">
        <w:rPr>
          <w:rFonts w:ascii="Arial" w:hAnsi="Arial"/>
          <w:b/>
          <w:sz w:val="22"/>
          <w:szCs w:val="22"/>
        </w:rPr>
        <w:fldChar w:fldCharType="separate"/>
      </w:r>
      <w:r w:rsidR="00990B13" w:rsidRPr="00990B13">
        <w:rPr>
          <w:rFonts w:ascii="Arial" w:hAnsi="Arial"/>
          <w:noProof/>
          <w:sz w:val="22"/>
        </w:rPr>
        <w:t>[1]</w:t>
      </w:r>
      <w:r w:rsidR="00990B13" w:rsidRPr="00990B13">
        <w:rPr>
          <w:rFonts w:ascii="Arial" w:hAnsi="Arial"/>
          <w:noProof/>
          <w:sz w:val="22"/>
        </w:rPr>
        <w:tab/>
        <w:t>Le Doare K, Heath PT. An overview of global GBS epidemiology. Vaccine 2013;31. https://doi.org/10.1016/j.vaccine.2013.01.009.</w:t>
      </w:r>
    </w:p>
    <w:p w14:paraId="02E40A04"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w:t>
      </w:r>
      <w:r w:rsidRPr="00990B13">
        <w:rPr>
          <w:rFonts w:ascii="Arial" w:hAnsi="Arial"/>
          <w:noProof/>
          <w:sz w:val="22"/>
        </w:rPr>
        <w:tab/>
        <w:t>Bjoernsdottir ES, Martins ER, Erlendsdottir H, Haraldsson G, Melo-Cristino J, Kristinsson KG, et al. Changing epidemiology of group B streptococcal infections among adults in Iceland: 1975-2014. Clin Microbiol Infect 2016;22. https://doi.org/10.1016/j.cmi.2015.11.020.</w:t>
      </w:r>
    </w:p>
    <w:p w14:paraId="0160DFA6"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w:t>
      </w:r>
      <w:r w:rsidRPr="00990B13">
        <w:rPr>
          <w:rFonts w:ascii="Arial" w:hAnsi="Arial"/>
          <w:noProof/>
          <w:sz w:val="22"/>
        </w:rPr>
        <w:tab/>
        <w:t xml:space="preserve">Lamagni TL, Keshishian C, Efstratiou A, Guy R, Henderson KL, Broughton K, et al. </w:t>
      </w:r>
      <w:r w:rsidRPr="00990B13">
        <w:rPr>
          <w:rFonts w:ascii="Arial" w:hAnsi="Arial"/>
          <w:noProof/>
          <w:sz w:val="22"/>
        </w:rPr>
        <w:lastRenderedPageBreak/>
        <w:t>Emerging trends in the epidemiology of invasive group B streptococcal disease in England and Wales, 1991-2010. Clin Infect Dis 2013. https://doi.org/10.1093/cid/cit337.</w:t>
      </w:r>
    </w:p>
    <w:p w14:paraId="7C708C84"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w:t>
      </w:r>
      <w:r w:rsidRPr="00990B13">
        <w:rPr>
          <w:rFonts w:ascii="Arial" w:hAnsi="Arial"/>
          <w:noProof/>
          <w:sz w:val="22"/>
        </w:rPr>
        <w:tab/>
        <w:t>Francois Watkins LK, McGee L, Schrag SJ, Beall B, Jain JH, Pondo T, et al. Epidemiology of Invasive Group B Streptococcal Infections among Nonpregnant Adults in the United States, 2008-2016. JAMA Intern Med 2019;179. https://doi.org/10.1001/jamainternmed.2018.7269.</w:t>
      </w:r>
    </w:p>
    <w:p w14:paraId="04CB910C"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[5]</w:t>
      </w:r>
      <w:r w:rsidRPr="00990B13">
        <w:rPr>
          <w:rFonts w:ascii="Arial" w:hAnsi="Arial"/>
          <w:noProof/>
          <w:sz w:val="22"/>
        </w:rPr>
        <w:tab/>
        <w:t>Collin SM, Shetty N, Lamagni T. Invasive Group B streptococcus infections in adults, England, 2015-2016. Emerg Infect Dis 2020;26. https://doi.org/10.3201/EID2606.191141.</w:t>
      </w:r>
    </w:p>
    <w:p w14:paraId="10882BCA"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[6]</w:t>
      </w:r>
      <w:r w:rsidRPr="00990B13">
        <w:rPr>
          <w:rFonts w:ascii="Arial" w:hAnsi="Arial"/>
          <w:noProof/>
          <w:sz w:val="22"/>
        </w:rPr>
        <w:tab/>
        <w:t>Bianchi-Jassir F, Paul P, To KN, Carreras-Abad C, Seale AC, Jauneikaite E, et al. Systematic review of Group B Streptococcal capsular types, sequence types and surface proteins as potential vaccine candidates. Vaccine 2020;38. https://doi.org/10.1016/j.vaccine.2020.08.052.</w:t>
      </w:r>
    </w:p>
    <w:p w14:paraId="5304A139"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[7]</w:t>
      </w:r>
      <w:r w:rsidRPr="00990B13">
        <w:rPr>
          <w:rFonts w:ascii="Arial" w:hAnsi="Arial"/>
          <w:noProof/>
          <w:sz w:val="22"/>
        </w:rPr>
        <w:tab/>
        <w:t>Madhi SA, Cutland CL, Jose L, Koen A, Govender N, Wittke F, et al. Safety and immunogenicity of an investigational maternal trivalent group B streptococcus vaccine in healthy women and their infants: a randomised phase 1b/2 trial. Lancet Infect Dis 2016;16. https://doi.org/10.1016/S1473-3099(16)00152-3.</w:t>
      </w:r>
    </w:p>
    <w:p w14:paraId="73A9F46D"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[8]</w:t>
      </w:r>
      <w:r w:rsidRPr="00990B13">
        <w:rPr>
          <w:rFonts w:ascii="Arial" w:hAnsi="Arial"/>
          <w:noProof/>
          <w:sz w:val="22"/>
        </w:rPr>
        <w:tab/>
        <w:t>Buurman ET, Timofeyeva Y, Gu J, Kim JH, Kodali S, Liu Y, et al. A Novel Hexavalent Capsular Polysaccharide Conjugate Vaccine (GBS6) for the Prevention of Neonatal Group B Streptococcal Infections by Maternal Immunization. J Infect Dis 2019;220. https://doi.org/10.1093/infdis/jiz062.</w:t>
      </w:r>
    </w:p>
    <w:p w14:paraId="5A12E8F1"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[9]</w:t>
      </w:r>
      <w:r w:rsidRPr="00990B13">
        <w:rPr>
          <w:rFonts w:ascii="Arial" w:hAnsi="Arial"/>
          <w:noProof/>
          <w:sz w:val="22"/>
        </w:rPr>
        <w:tab/>
        <w:t xml:space="preserve">Absalon J, Segall N, Block SL, Center KJ, Scully IL, Giardina PC, et al. Safety and immunogenicity of a novel hexavalent group B streptococcus conjugate vaccine in healthy, non-pregnant adults: a phase 1/2, randomised, placebo-controlled, observer-blinded, dose-escalation trial. Lancet Infect Dis 2021;21. </w:t>
      </w:r>
      <w:r w:rsidRPr="00990B13">
        <w:rPr>
          <w:rFonts w:ascii="Arial" w:hAnsi="Arial"/>
          <w:noProof/>
          <w:sz w:val="22"/>
        </w:rPr>
        <w:lastRenderedPageBreak/>
        <w:t>https://doi.org/10.1016/S1473-3099(20)30478-3.</w:t>
      </w:r>
    </w:p>
    <w:p w14:paraId="227F3C65"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[10]</w:t>
      </w:r>
      <w:r w:rsidRPr="00990B13">
        <w:rPr>
          <w:rFonts w:ascii="Arial" w:hAnsi="Arial"/>
          <w:noProof/>
          <w:sz w:val="22"/>
        </w:rPr>
        <w:tab/>
        <w:t>Feikin DR, Kagucia EW, Loo JD, Link-Gelles R, Puhan MA, Cherian T, et al. Serotype-Specific Changes in Invasive Pneumococcal Disease after Pneumococcal Conjugate Vaccine Introduction: A Pooled Analysis of Multiple Surveillance Sites. PLoS Med 2013;10. https://doi.org/10.1371/journal.pmed.1001517.</w:t>
      </w:r>
    </w:p>
    <w:p w14:paraId="063CB62D"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[11]</w:t>
      </w:r>
      <w:r w:rsidRPr="00990B13">
        <w:rPr>
          <w:rFonts w:ascii="Arial" w:hAnsi="Arial"/>
          <w:noProof/>
          <w:sz w:val="22"/>
        </w:rPr>
        <w:tab/>
        <w:t>Croucher NJ, Finkelstein JA, Pelton SI, Mitchell PK, Lee GM, Parkhill J, et al. Population genomics of post-vaccine changes in pneumococcal epidemiology. Nat Genet 2013;45. https://doi.org/10.1038/ng.2625.</w:t>
      </w:r>
    </w:p>
    <w:p w14:paraId="62259AC3"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[12]</w:t>
      </w:r>
      <w:r w:rsidRPr="00990B13">
        <w:rPr>
          <w:rFonts w:ascii="Arial" w:hAnsi="Arial"/>
          <w:noProof/>
          <w:sz w:val="22"/>
        </w:rPr>
        <w:tab/>
        <w:t>Neemuchwala A, Teatero S, Athey TBT, McGeer A, Fittipaldi N. Capsular switching and other large-scale recombination events in invasive sequence type 1 group B Streptococcus. Emerg Infect Dis 2016;22. https://doi.org/10.3201//eid2211.152064.</w:t>
      </w:r>
    </w:p>
    <w:p w14:paraId="57AF1071"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[13]</w:t>
      </w:r>
      <w:r w:rsidRPr="00990B13">
        <w:rPr>
          <w:rFonts w:ascii="Arial" w:hAnsi="Arial"/>
          <w:noProof/>
          <w:sz w:val="22"/>
        </w:rPr>
        <w:tab/>
        <w:t>Teatero S, Ferrieri P, Martin I, Demczuk W, CGeer A, Fittipaldi N. Serotype distribution, population structure, and antimicrobial resistance of group b streptococcus strains recovered from colonized pregnant women. J Clin Microbiol 2017;55. https://doi.org/10.1128/JCM.01615-16.</w:t>
      </w:r>
    </w:p>
    <w:p w14:paraId="7216A493"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[14]</w:t>
      </w:r>
      <w:r w:rsidRPr="00990B13">
        <w:rPr>
          <w:rFonts w:ascii="Arial" w:hAnsi="Arial"/>
          <w:noProof/>
          <w:sz w:val="22"/>
        </w:rPr>
        <w:tab/>
        <w:t>Flores AR, Galloway-Peña J, Sahasrabhojane P, Saldaña M, Yao H, Su X, et al. Sequence type 1 group B Streptococcus, an emerging cause of invasive disease in adults, evolves by small genetic changes. Proc Natl Acad Sci U S A 2015. https://doi.org/10.1073/pnas.1504725112.</w:t>
      </w:r>
    </w:p>
    <w:p w14:paraId="69B4A053"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[15]</w:t>
      </w:r>
      <w:r w:rsidRPr="00990B13">
        <w:rPr>
          <w:rFonts w:ascii="Arial" w:hAnsi="Arial"/>
          <w:noProof/>
          <w:sz w:val="22"/>
        </w:rPr>
        <w:tab/>
        <w:t>McGee L, Chochua S, Li Z, Mathis S, Rivers J, Metcalf B, et al. Multistate, Population-Based Distributions of Candidate Vaccine Targets, Clonal Complexes, and Resistance Features of Invasive Group B Streptococci Within the United States, 2015–2017. Clin Infect Dis 2020. https://doi.org/10.1093/cid/ciaa151.</w:t>
      </w:r>
    </w:p>
    <w:p w14:paraId="517772FB"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[16]</w:t>
      </w:r>
      <w:r w:rsidRPr="00990B13">
        <w:rPr>
          <w:rFonts w:ascii="Arial" w:hAnsi="Arial"/>
          <w:noProof/>
          <w:sz w:val="22"/>
        </w:rPr>
        <w:tab/>
        <w:t xml:space="preserve">Bellais S, Six A, Fouet A, Longo M, Dmytruk N, Glaser P, et al. Capsular switching in group B streptococcus CC17 hypervirulent clone: A future challenge for polysaccharide vaccine development. J Infect Dis 2012. </w:t>
      </w:r>
      <w:r w:rsidRPr="00990B13">
        <w:rPr>
          <w:rFonts w:ascii="Arial" w:hAnsi="Arial"/>
          <w:noProof/>
          <w:sz w:val="22"/>
        </w:rPr>
        <w:lastRenderedPageBreak/>
        <w:t>https://doi.org/10.1093/infdis/jis605.</w:t>
      </w:r>
    </w:p>
    <w:p w14:paraId="6E82F76C"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[17]</w:t>
      </w:r>
      <w:r w:rsidRPr="00990B13">
        <w:rPr>
          <w:rFonts w:ascii="Arial" w:hAnsi="Arial"/>
          <w:noProof/>
          <w:sz w:val="22"/>
        </w:rPr>
        <w:tab/>
        <w:t>Collin SM, Groves N, O’Sullivan C, Jauneikaite E, Patel D, Cunney R, et al. Uncovering Infant Group B Streptococcal (GBS) Disease Clusters in the United Kingdom and Ireland Through Genomic Analysis: A Population-based Epidemiological Study. Clin Infect Dis 2021;72:e296–302. https://doi.org/10.1093/cid/ciaa1087.</w:t>
      </w:r>
    </w:p>
    <w:p w14:paraId="315AEE2F"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[18]</w:t>
      </w:r>
      <w:r w:rsidRPr="00990B13">
        <w:rPr>
          <w:rFonts w:ascii="Arial" w:hAnsi="Arial"/>
          <w:noProof/>
          <w:sz w:val="22"/>
        </w:rPr>
        <w:tab/>
        <w:t>Bankevich A, Nurk S, Antipov D, Gurevich AA, Dvorkin M, Kulikov AS, et al. SPAdes: A New Genome Assembly Algorithm and Its Applications to Single-Cell Sequencing. J Comput Biol 2012. https://doi.org/10.1089/cmb.2012.0021.</w:t>
      </w:r>
    </w:p>
    <w:p w14:paraId="087055F9"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[19]</w:t>
      </w:r>
      <w:r w:rsidRPr="00990B13">
        <w:rPr>
          <w:rFonts w:ascii="Arial" w:hAnsi="Arial"/>
          <w:noProof/>
          <w:sz w:val="22"/>
        </w:rPr>
        <w:tab/>
        <w:t>Walker BJ, Abeel T, Shea T, Priest M, Abouelliel A, Sakthikumar S, et al. Pilon: An integrated tool for comprehensive microbial variant detection and genome assembly improvement. PLoS One 2014;9. https://doi.org/10.1371/journal.pone.0112963.</w:t>
      </w:r>
    </w:p>
    <w:p w14:paraId="589EDD37"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[20]</w:t>
      </w:r>
      <w:r w:rsidRPr="00990B13">
        <w:rPr>
          <w:rFonts w:ascii="Arial" w:hAnsi="Arial"/>
          <w:noProof/>
          <w:sz w:val="22"/>
        </w:rPr>
        <w:tab/>
        <w:t>Magoč T, Salzberg SL. FLASH: Fast length adjustment of short reads to improve genome assemblies. Bioinformatics 2011;27. https://doi.org/10.1093/bioinformatics/btr507.</w:t>
      </w:r>
    </w:p>
    <w:p w14:paraId="619963D1"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[21]</w:t>
      </w:r>
      <w:r w:rsidRPr="00990B13">
        <w:rPr>
          <w:rFonts w:ascii="Arial" w:hAnsi="Arial"/>
          <w:noProof/>
          <w:sz w:val="22"/>
        </w:rPr>
        <w:tab/>
        <w:t>Gurevich A, Saveliev V, Vyahhi N, Tesler G. QUAST: Quality assessment tool for genome assemblies. Bioinformatics 2013;29. https://doi.org/10.1093/bioinformatics/btt086.</w:t>
      </w:r>
    </w:p>
    <w:p w14:paraId="549724C9"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[22]</w:t>
      </w:r>
      <w:r w:rsidRPr="00990B13">
        <w:rPr>
          <w:rFonts w:ascii="Arial" w:hAnsi="Arial"/>
          <w:noProof/>
          <w:sz w:val="22"/>
        </w:rPr>
        <w:tab/>
        <w:t>Seemann T. Prokka: Rapid prokaryotic genome annotation. Bioinformatics 2014. https://doi.org/10.1093/bioinformatics/btu153.</w:t>
      </w:r>
    </w:p>
    <w:p w14:paraId="456B2762"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[23]</w:t>
      </w:r>
      <w:r w:rsidRPr="00990B13">
        <w:rPr>
          <w:rFonts w:ascii="Arial" w:hAnsi="Arial"/>
          <w:noProof/>
          <w:sz w:val="22"/>
        </w:rPr>
        <w:tab/>
        <w:t>Ripma LA, Simpson MG, Hasenstab-Lehman K.  Geneious! Simplified Genome Skimming Methods for Phylogenetic Systematic Studies: A Case Study in Oreocarya (Boraginaceae) . Appl Plant Sci 2014;2. https://doi.org/10.3732/apps.1400062.</w:t>
      </w:r>
    </w:p>
    <w:p w14:paraId="3AD2B7D0"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[24]</w:t>
      </w:r>
      <w:r w:rsidRPr="00990B13">
        <w:rPr>
          <w:rFonts w:ascii="Arial" w:hAnsi="Arial"/>
          <w:noProof/>
          <w:sz w:val="22"/>
        </w:rPr>
        <w:tab/>
        <w:t>Kapatai G, Patel D, Efstratiou A, Chalker VJ. Comparison of molecular serotyping approaches of Streptococcus agalactiae from genomic sequences. BMC Genomics 2017;18:429. https://doi.org/10.1186/s12864-017-3820-5.</w:t>
      </w:r>
    </w:p>
    <w:p w14:paraId="40E27EE7"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lastRenderedPageBreak/>
        <w:t>[25]</w:t>
      </w:r>
      <w:r w:rsidRPr="00990B13">
        <w:rPr>
          <w:rFonts w:ascii="Arial" w:hAnsi="Arial"/>
          <w:noProof/>
          <w:sz w:val="22"/>
        </w:rPr>
        <w:tab/>
        <w:t>Yamamoto S, Miyake K, Koike Y, Watanabe M, Machida Y, Ohta M, et al. Molecular characterization of type-specific capsular polysaccharide biosynthesis genes of Streptococcus agalactiae type Ia. J Bacteriol 1999;181. https://doi.org/10.1128/jb.181.17.5176-5184.1999.</w:t>
      </w:r>
    </w:p>
    <w:p w14:paraId="4C2B43AD"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[26]</w:t>
      </w:r>
      <w:r w:rsidRPr="00990B13">
        <w:rPr>
          <w:rFonts w:ascii="Arial" w:hAnsi="Arial"/>
          <w:noProof/>
          <w:sz w:val="22"/>
        </w:rPr>
        <w:tab/>
        <w:t>Watanabe M, Miyake K, Yanae K, Kataoka Y, Koizumi S, Endo T, et al. Molecular characterization of a novel β1,3-galactosyltransferase for capsular polysaccharide synthesis by Streptococcus agalactiae type Ib. J Biochem 2002;131:183–91. https://doi.org/10.1093/oxfordjournals.jbchem.a003086.</w:t>
      </w:r>
    </w:p>
    <w:p w14:paraId="32D022EF"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[27]</w:t>
      </w:r>
      <w:r w:rsidRPr="00990B13">
        <w:rPr>
          <w:rFonts w:ascii="Arial" w:hAnsi="Arial"/>
          <w:noProof/>
          <w:sz w:val="22"/>
        </w:rPr>
        <w:tab/>
        <w:t>Chaffin DO, Beres SB, Yim HH, Rubens CE. The serotype of type Ia and III group B streptococci is determined by the polymerase gene within the polycistronic capsule operon. J Bacteriol 2000;182. https://doi.org/10.1128/JB.182.16.4466-4477.2000.</w:t>
      </w:r>
    </w:p>
    <w:p w14:paraId="75D8F18E"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[28]</w:t>
      </w:r>
      <w:r w:rsidRPr="00990B13">
        <w:rPr>
          <w:rFonts w:ascii="Arial" w:hAnsi="Arial"/>
          <w:noProof/>
          <w:sz w:val="22"/>
        </w:rPr>
        <w:tab/>
        <w:t>Cieslewicz MJ, Chaffin D, Glusman G, Kasper D, Madan A, Rodrigues S, et al. Structural and genetic diversity of group B Streptococcus capsular polysaccharides. Infect Immun 2005;73. https://doi.org/10.1128/IAI.73.5.3096-3103.2005.</w:t>
      </w:r>
    </w:p>
    <w:p w14:paraId="1EB7C069"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[29]</w:t>
      </w:r>
      <w:r w:rsidRPr="00990B13">
        <w:rPr>
          <w:rFonts w:ascii="Arial" w:hAnsi="Arial"/>
          <w:noProof/>
          <w:sz w:val="22"/>
        </w:rPr>
        <w:tab/>
        <w:t>Inouye M, Dashnow H, Raven LA, Schultz MB, Pope BJ, Tomita T, et al. SRST2: Rapid genomic surveillance for public health and hospital microbiology labs. Genome Med 2014. https://doi.org/10.1186/s13073-014-0090-6.</w:t>
      </w:r>
    </w:p>
    <w:p w14:paraId="0A5D3E4F"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[30]</w:t>
      </w:r>
      <w:r w:rsidRPr="00990B13">
        <w:rPr>
          <w:rFonts w:ascii="Arial" w:hAnsi="Arial"/>
          <w:noProof/>
          <w:sz w:val="22"/>
        </w:rPr>
        <w:tab/>
        <w:t>Nascimento M, Sousa A, Ramirez M, Francisco AP, Carriço JA, Vaz C. PHYLOViZ 2.0: Providing scalable data integration and visualization for multiple phylogenetic inference methods. Bioinformatics 2017;33. https://doi.org/10.1093/bioinformatics/btw582.</w:t>
      </w:r>
    </w:p>
    <w:p w14:paraId="362C1F16"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[31]</w:t>
      </w:r>
      <w:r w:rsidRPr="00990B13">
        <w:rPr>
          <w:rFonts w:ascii="Arial" w:hAnsi="Arial"/>
          <w:noProof/>
          <w:sz w:val="22"/>
        </w:rPr>
        <w:tab/>
        <w:t>Lopes E, Fernandes T, Machado MP, Carriço JA, Melo-Cristino J, Ramirez M, et al. Increasing macrolide resistance among Streptococcus agalactiae causing invasive disease in non-pregnant adults was driven by a single capsular-transformed lineage, Portugal, 2009 to 2015. Eurosurveillance 2018;23. https://doi.org/10.2807/1560-7917.ES.2018.23.21.1700473.</w:t>
      </w:r>
    </w:p>
    <w:p w14:paraId="55B16648"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lastRenderedPageBreak/>
        <w:t>[32]</w:t>
      </w:r>
      <w:r w:rsidRPr="00990B13">
        <w:rPr>
          <w:rFonts w:ascii="Arial" w:hAnsi="Arial"/>
          <w:noProof/>
          <w:sz w:val="22"/>
        </w:rPr>
        <w:tab/>
        <w:t>Teatero S, McGeer A, Low DE, Li A, Demczuk W, Martin I, et al. Characterization of invasive group B Streptococcus strains from the greater Toronto area, Canada. J Clin Microbiol 2014;52. https://doi.org/10.1128/JCM.03554-13.</w:t>
      </w:r>
    </w:p>
    <w:p w14:paraId="11ADC973"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[33]</w:t>
      </w:r>
      <w:r w:rsidRPr="00990B13">
        <w:rPr>
          <w:rFonts w:ascii="Arial" w:hAnsi="Arial"/>
          <w:noProof/>
          <w:sz w:val="22"/>
        </w:rPr>
        <w:tab/>
        <w:t>Croucher NJ, Page AJ, Connor TR, Delaney AJ, Keane JA, Bentley SD, et al. Rapid phylogenetic analysis of large samples of recombinant bacterial whole genome sequences using Gubbins. Nucleic Acids Res 2015;43. https://doi.org/10.1093/nar/gku1196.</w:t>
      </w:r>
    </w:p>
    <w:p w14:paraId="53160CD4"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[34]</w:t>
      </w:r>
      <w:r w:rsidRPr="00990B13">
        <w:rPr>
          <w:rFonts w:ascii="Arial" w:hAnsi="Arial"/>
          <w:noProof/>
          <w:sz w:val="22"/>
        </w:rPr>
        <w:tab/>
        <w:t>Stamatakis A. RAxML version 8: A tool for phylogenetic analysis and post-analysis of large phylogenies. Bioinformatics 2014. https://doi.org/10.1093/bioinformatics/btu033.</w:t>
      </w:r>
    </w:p>
    <w:p w14:paraId="0FF708DF"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[35]</w:t>
      </w:r>
      <w:r w:rsidRPr="00990B13">
        <w:rPr>
          <w:rFonts w:ascii="Arial" w:hAnsi="Arial"/>
          <w:noProof/>
          <w:sz w:val="22"/>
        </w:rPr>
        <w:tab/>
        <w:t>Letunic I, Bork P. Interactive Tree of Life (iTOL) v4: Recent updates and new developments. Nucleic Acids Res 2019;47. https://doi.org/10.1093/nar/gkz239.</w:t>
      </w:r>
    </w:p>
    <w:p w14:paraId="131BFD0D"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[36]</w:t>
      </w:r>
      <w:r w:rsidRPr="00990B13">
        <w:rPr>
          <w:rFonts w:ascii="Arial" w:hAnsi="Arial"/>
          <w:noProof/>
          <w:sz w:val="22"/>
        </w:rPr>
        <w:tab/>
        <w:t>Alikhan NF, Petty NK, Ben Zakour NL, Beatson SA. BLAST Ring Image Generator (BRIG): Simple prokaryote genome comparisons. BMC Genomics 2011. https://doi.org/10.1186/1471-2164-12-402.</w:t>
      </w:r>
    </w:p>
    <w:p w14:paraId="33C78B61"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[37]</w:t>
      </w:r>
      <w:r w:rsidRPr="00990B13">
        <w:rPr>
          <w:rFonts w:ascii="Arial" w:hAnsi="Arial"/>
          <w:noProof/>
          <w:sz w:val="22"/>
        </w:rPr>
        <w:tab/>
        <w:t>Wickham H. ggplot2: Elegant Graphics for Data Analysis. Springer-Verlag New York. vol. 35. 2009.</w:t>
      </w:r>
    </w:p>
    <w:p w14:paraId="093ACFCC"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[38]</w:t>
      </w:r>
      <w:r w:rsidRPr="00990B13">
        <w:rPr>
          <w:rFonts w:ascii="Arial" w:hAnsi="Arial"/>
          <w:noProof/>
          <w:sz w:val="22"/>
        </w:rPr>
        <w:tab/>
        <w:t>R Core Team. R: A language and environment for statistical computing. R Found Stat Comput 2019.</w:t>
      </w:r>
    </w:p>
    <w:p w14:paraId="30428A7F"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[39]</w:t>
      </w:r>
      <w:r w:rsidRPr="00990B13">
        <w:rPr>
          <w:rFonts w:ascii="Arial" w:hAnsi="Arial"/>
          <w:noProof/>
          <w:sz w:val="22"/>
        </w:rPr>
        <w:tab/>
        <w:t>Florindo C, Damiao V, Silvestre I, Farinha C, Rodrigues F, Nogueira F, et al. Epidemiological surveillance of colonising group B Streptococcus epidemiology in the Lisbon and Tagus Valley regions, Portugal (2005 to 2012): emergence of a new epidemic type IV/clonal complex 17 clone. Euro Surveill 2014;19.</w:t>
      </w:r>
    </w:p>
    <w:p w14:paraId="03C7E542"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[40]</w:t>
      </w:r>
      <w:r w:rsidRPr="00990B13">
        <w:rPr>
          <w:rFonts w:ascii="Arial" w:hAnsi="Arial"/>
          <w:noProof/>
          <w:sz w:val="22"/>
        </w:rPr>
        <w:tab/>
        <w:t>Teatero S, Neemuchwala A, Yang K, Gomes J, Athey TBT, Martin I, et al. Genetic evidence for a novel variant of the pilus island 1 backbone protein in group B Streptococcus. J Med Microbiol 2017;66:1409–15. https://doi.org/10.1099/jmm.0.000588.</w:t>
      </w:r>
    </w:p>
    <w:p w14:paraId="26B2D485"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lastRenderedPageBreak/>
        <w:t>[41]</w:t>
      </w:r>
      <w:r w:rsidRPr="00990B13">
        <w:rPr>
          <w:rFonts w:ascii="Arial" w:hAnsi="Arial"/>
          <w:noProof/>
          <w:sz w:val="22"/>
        </w:rPr>
        <w:tab/>
        <w:t>Bjornsdottir ES, Martins ER, Erlendsdottir H, Haraldsson G, Melo-Cristino J, Ramirez M, et al. Group B Streptococcal Neonatal and Early Infancy Infections in Iceland, 1976-2015. Pediatr Infect Dis J 2019;38:620–4. https://doi.org/10.1097/INF.0000000000002214.</w:t>
      </w:r>
    </w:p>
    <w:p w14:paraId="358FA6FE"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[42]</w:t>
      </w:r>
      <w:r w:rsidRPr="00990B13">
        <w:rPr>
          <w:rFonts w:ascii="Arial" w:hAnsi="Arial"/>
          <w:noProof/>
          <w:sz w:val="22"/>
        </w:rPr>
        <w:tab/>
        <w:t>Kong F, Gowan S, Martin D, James G, Gilbert GL. Molecular profiles of group B streptococcal surface protein antigen genes: relationship to molecular serotypes. J Clin Microbiol 2002;40:620–6. https://doi.org/10.1128/jcm.40.2.620-626.2002.</w:t>
      </w:r>
    </w:p>
    <w:p w14:paraId="63062C59"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[43]</w:t>
      </w:r>
      <w:r w:rsidRPr="00990B13">
        <w:rPr>
          <w:rFonts w:ascii="Arial" w:hAnsi="Arial"/>
          <w:noProof/>
          <w:sz w:val="22"/>
        </w:rPr>
        <w:tab/>
        <w:t>Meehan M, Cunney R, Cafferkey M. Molecular epidemiology of group B streptococci in Ireland reveals a diverse population with evidence of capsular switching. Eur J Clin Microbiol Infect Dis 2014;33:1155–62. https://doi.org/10.1007/s10096-014-2055-5.</w:t>
      </w:r>
    </w:p>
    <w:p w14:paraId="7EE03682"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[44]</w:t>
      </w:r>
      <w:r w:rsidRPr="00990B13">
        <w:rPr>
          <w:rFonts w:ascii="Arial" w:hAnsi="Arial"/>
          <w:noProof/>
          <w:sz w:val="22"/>
        </w:rPr>
        <w:tab/>
        <w:t>Bolduc GR, Baron MJ, Gravekamp C, Lachenauer CS, Madoff LC. The alpha C protein mediates internalization of group B Streptococcus within human cervical epithelial cells. Cell Microbiol 2002;4:751–8. https://doi.org/10.1046/j.1462-5822.2002.00227.x.</w:t>
      </w:r>
    </w:p>
    <w:p w14:paraId="7A9813CE"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[45]</w:t>
      </w:r>
      <w:r w:rsidRPr="00990B13">
        <w:rPr>
          <w:rFonts w:ascii="Arial" w:hAnsi="Arial"/>
          <w:noProof/>
          <w:sz w:val="22"/>
        </w:rPr>
        <w:tab/>
        <w:t>Baron MJ, Bolduc GR, Goldberg MB, Aupérin TC, Madoff LC. Alpha C protein of group B Streptococcus binds host cell surface glycosaminoglycan and enters cells by an actin-dependent mechanism. J Biol Chem 2004;279:24714–23. https://doi.org/10.1074/jbc.M402164200.</w:t>
      </w:r>
    </w:p>
    <w:p w14:paraId="373CCC55"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[46]</w:t>
      </w:r>
      <w:r w:rsidRPr="00990B13">
        <w:rPr>
          <w:rFonts w:ascii="Arial" w:hAnsi="Arial"/>
          <w:noProof/>
          <w:sz w:val="22"/>
        </w:rPr>
        <w:tab/>
        <w:t>Maeland JA, Afset JE, Lyng R V, Radtke A. Survey of Immunological Features of the Alpha-Like Proteins of Streptococcus agalactiae. Clin Vaccine Immunol 2015;22:153–9. https://doi.org/10.1128/CVI.00643-14.</w:t>
      </w:r>
    </w:p>
    <w:p w14:paraId="3277B484"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[47]</w:t>
      </w:r>
      <w:r w:rsidRPr="00990B13">
        <w:rPr>
          <w:rFonts w:ascii="Arial" w:hAnsi="Arial"/>
          <w:noProof/>
          <w:sz w:val="22"/>
        </w:rPr>
        <w:tab/>
        <w:t>Song JY, Lim JH, Lim S, Yong Z, Seo HS. Progress toward a group B streptococcal vaccine. Hum Vaccines Immunother 2018;14. https://doi.org/10.1080/21645515.2018.1493326.</w:t>
      </w:r>
    </w:p>
    <w:p w14:paraId="35550B6A" w14:textId="77777777" w:rsidR="00990B13" w:rsidRPr="00990B13" w:rsidRDefault="00990B13" w:rsidP="00990B13">
      <w:pPr>
        <w:widowControl w:val="0"/>
        <w:autoSpaceDE w:val="0"/>
        <w:autoSpaceDN w:val="0"/>
        <w:adjustRightInd w:val="0"/>
        <w:spacing w:before="120" w:after="120" w:line="480" w:lineRule="auto"/>
        <w:ind w:left="640" w:hanging="640"/>
        <w:rPr>
          <w:rFonts w:ascii="Arial" w:hAnsi="Arial"/>
          <w:noProof/>
          <w:sz w:val="22"/>
        </w:rPr>
      </w:pPr>
      <w:r w:rsidRPr="00990B13">
        <w:rPr>
          <w:rFonts w:ascii="Arial" w:hAnsi="Arial"/>
          <w:noProof/>
          <w:sz w:val="22"/>
        </w:rPr>
        <w:t>[48]</w:t>
      </w:r>
      <w:r w:rsidRPr="00990B13">
        <w:rPr>
          <w:rFonts w:ascii="Arial" w:hAnsi="Arial"/>
          <w:noProof/>
          <w:sz w:val="22"/>
        </w:rPr>
        <w:tab/>
        <w:t xml:space="preserve">Dangor Z, Kwatra G, Izu A, Adrian P, Cutland CL, Velaphi S, et al. Association between maternal Group B Streptococcus surface-protein antibody concentrations </w:t>
      </w:r>
      <w:r w:rsidRPr="00990B13">
        <w:rPr>
          <w:rFonts w:ascii="Arial" w:hAnsi="Arial"/>
          <w:noProof/>
          <w:sz w:val="22"/>
        </w:rPr>
        <w:lastRenderedPageBreak/>
        <w:t>and invasive disease in their infants. Expert Rev Vaccines 2015;14:1651–60. https://doi.org/10.1586/14760584.2015.1085307.</w:t>
      </w:r>
    </w:p>
    <w:p w14:paraId="216BE75C" w14:textId="1AA3A4B9" w:rsidR="0060219E" w:rsidRPr="007D0473" w:rsidRDefault="007B0B75" w:rsidP="00990B13">
      <w:pPr>
        <w:widowControl w:val="0"/>
        <w:autoSpaceDE w:val="0"/>
        <w:autoSpaceDN w:val="0"/>
        <w:adjustRightInd w:val="0"/>
        <w:spacing w:before="120" w:after="120" w:line="480" w:lineRule="auto"/>
        <w:ind w:left="640" w:hanging="640"/>
        <w:rPr>
          <w:rFonts w:ascii="Arial" w:hAnsi="Arial"/>
          <w:b/>
          <w:sz w:val="22"/>
          <w:szCs w:val="22"/>
        </w:rPr>
      </w:pPr>
      <w:r w:rsidRPr="007D0473">
        <w:rPr>
          <w:rFonts w:ascii="Arial" w:hAnsi="Arial"/>
          <w:b/>
          <w:sz w:val="22"/>
          <w:szCs w:val="22"/>
        </w:rPr>
        <w:fldChar w:fldCharType="end"/>
      </w:r>
    </w:p>
    <w:p w14:paraId="2AC390B2" w14:textId="0F4B00AA" w:rsidR="00DE1CED" w:rsidRPr="007D0473" w:rsidRDefault="00DE1CED" w:rsidP="00DB7C46">
      <w:pPr>
        <w:widowControl w:val="0"/>
        <w:autoSpaceDE w:val="0"/>
        <w:autoSpaceDN w:val="0"/>
        <w:adjustRightInd w:val="0"/>
        <w:spacing w:before="120" w:after="120" w:line="480" w:lineRule="auto"/>
        <w:ind w:left="640" w:hanging="640"/>
        <w:rPr>
          <w:rFonts w:ascii="Arial" w:hAnsi="Arial"/>
          <w:b/>
          <w:sz w:val="22"/>
          <w:szCs w:val="22"/>
        </w:rPr>
      </w:pPr>
    </w:p>
    <w:p w14:paraId="56B65543" w14:textId="77777777" w:rsidR="00DE1CED" w:rsidRPr="007D0473" w:rsidRDefault="00DE1CED" w:rsidP="00DB7C46">
      <w:pPr>
        <w:widowControl w:val="0"/>
        <w:autoSpaceDE w:val="0"/>
        <w:autoSpaceDN w:val="0"/>
        <w:adjustRightInd w:val="0"/>
        <w:spacing w:before="120" w:after="120" w:line="480" w:lineRule="auto"/>
        <w:ind w:left="640" w:hanging="640"/>
        <w:rPr>
          <w:rFonts w:ascii="Arial" w:hAnsi="Arial"/>
          <w:sz w:val="22"/>
          <w:szCs w:val="22"/>
        </w:rPr>
      </w:pPr>
    </w:p>
    <w:sectPr w:rsidR="00DE1CED" w:rsidRPr="007D0473" w:rsidSect="00796350">
      <w:footerReference w:type="even" r:id="rId17"/>
      <w:footerReference w:type="default" r:id="rId18"/>
      <w:pgSz w:w="11900" w:h="16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B9389" w14:textId="77777777" w:rsidR="00E21856" w:rsidRDefault="00E21856" w:rsidP="00796350">
      <w:r>
        <w:separator/>
      </w:r>
    </w:p>
  </w:endnote>
  <w:endnote w:type="continuationSeparator" w:id="0">
    <w:p w14:paraId="25A3BFA7" w14:textId="77777777" w:rsidR="00E21856" w:rsidRDefault="00E21856" w:rsidP="00796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2932873"/>
      <w:docPartObj>
        <w:docPartGallery w:val="Page Numbers (Bottom of Page)"/>
        <w:docPartUnique/>
      </w:docPartObj>
    </w:sdtPr>
    <w:sdtEndPr>
      <w:rPr>
        <w:rStyle w:val="PageNumber"/>
      </w:rPr>
    </w:sdtEndPr>
    <w:sdtContent>
      <w:p w14:paraId="0F91576F" w14:textId="77777777" w:rsidR="003C73B7" w:rsidRDefault="003C73B7" w:rsidP="00561A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D3E6FC" w14:textId="77777777" w:rsidR="003C73B7" w:rsidRDefault="003C73B7" w:rsidP="007963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9182586"/>
      <w:docPartObj>
        <w:docPartGallery w:val="Page Numbers (Bottom of Page)"/>
        <w:docPartUnique/>
      </w:docPartObj>
    </w:sdtPr>
    <w:sdtEndPr>
      <w:rPr>
        <w:rStyle w:val="PageNumber"/>
      </w:rPr>
    </w:sdtEndPr>
    <w:sdtContent>
      <w:p w14:paraId="6DEEC727" w14:textId="77777777" w:rsidR="003C73B7" w:rsidRDefault="003C73B7" w:rsidP="00561A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5B0D0A" w14:textId="77777777" w:rsidR="003C73B7" w:rsidRDefault="003C73B7" w:rsidP="007963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20873" w14:textId="77777777" w:rsidR="00E21856" w:rsidRDefault="00E21856" w:rsidP="00796350">
      <w:r>
        <w:separator/>
      </w:r>
    </w:p>
  </w:footnote>
  <w:footnote w:type="continuationSeparator" w:id="0">
    <w:p w14:paraId="57C7059D" w14:textId="77777777" w:rsidR="00E21856" w:rsidRDefault="00E21856" w:rsidP="00796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2F42"/>
    <w:multiLevelType w:val="multilevel"/>
    <w:tmpl w:val="5962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6268C"/>
    <w:multiLevelType w:val="hybridMultilevel"/>
    <w:tmpl w:val="F88259AE"/>
    <w:lvl w:ilvl="0" w:tplc="1618EA8E">
      <w:start w:val="1"/>
      <w:numFmt w:val="bullet"/>
      <w:lvlText w:val="-"/>
      <w:lvlJc w:val="left"/>
      <w:pPr>
        <w:ind w:left="400" w:hanging="360"/>
      </w:pPr>
      <w:rPr>
        <w:rFonts w:ascii="Calibri" w:eastAsia="Calibri" w:hAnsi="Calibri" w:cs="Aria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2" w15:restartNumberingAfterBreak="0">
    <w:nsid w:val="708C69AE"/>
    <w:multiLevelType w:val="multilevel"/>
    <w:tmpl w:val="1E8E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390F0C"/>
    <w:multiLevelType w:val="multilevel"/>
    <w:tmpl w:val="E0E8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F7"/>
    <w:rsid w:val="00000640"/>
    <w:rsid w:val="0000090F"/>
    <w:rsid w:val="000016B8"/>
    <w:rsid w:val="00002C6A"/>
    <w:rsid w:val="000034A5"/>
    <w:rsid w:val="00003EA8"/>
    <w:rsid w:val="000040CD"/>
    <w:rsid w:val="00005AF2"/>
    <w:rsid w:val="000078DD"/>
    <w:rsid w:val="00010111"/>
    <w:rsid w:val="0001044C"/>
    <w:rsid w:val="00010659"/>
    <w:rsid w:val="000117F9"/>
    <w:rsid w:val="00012349"/>
    <w:rsid w:val="000137C3"/>
    <w:rsid w:val="0001698C"/>
    <w:rsid w:val="00017088"/>
    <w:rsid w:val="00020865"/>
    <w:rsid w:val="00021786"/>
    <w:rsid w:val="0002238D"/>
    <w:rsid w:val="00022BC6"/>
    <w:rsid w:val="00024692"/>
    <w:rsid w:val="000248C9"/>
    <w:rsid w:val="000300E0"/>
    <w:rsid w:val="00030B72"/>
    <w:rsid w:val="00030FA9"/>
    <w:rsid w:val="000322BD"/>
    <w:rsid w:val="00034138"/>
    <w:rsid w:val="0003477D"/>
    <w:rsid w:val="00035ED4"/>
    <w:rsid w:val="00037013"/>
    <w:rsid w:val="00037471"/>
    <w:rsid w:val="00037D91"/>
    <w:rsid w:val="000400FE"/>
    <w:rsid w:val="00041F20"/>
    <w:rsid w:val="00041FA9"/>
    <w:rsid w:val="0004256B"/>
    <w:rsid w:val="00043DED"/>
    <w:rsid w:val="0004599E"/>
    <w:rsid w:val="00047D22"/>
    <w:rsid w:val="00050A5B"/>
    <w:rsid w:val="00051CA6"/>
    <w:rsid w:val="000528C1"/>
    <w:rsid w:val="00054CF8"/>
    <w:rsid w:val="000553F5"/>
    <w:rsid w:val="00055673"/>
    <w:rsid w:val="00056C48"/>
    <w:rsid w:val="0006379B"/>
    <w:rsid w:val="0006486B"/>
    <w:rsid w:val="0006592D"/>
    <w:rsid w:val="00065B66"/>
    <w:rsid w:val="00066401"/>
    <w:rsid w:val="0006683C"/>
    <w:rsid w:val="00070385"/>
    <w:rsid w:val="00070DA3"/>
    <w:rsid w:val="00070FEE"/>
    <w:rsid w:val="000717A6"/>
    <w:rsid w:val="000722B8"/>
    <w:rsid w:val="00073EB3"/>
    <w:rsid w:val="00073F4D"/>
    <w:rsid w:val="00075324"/>
    <w:rsid w:val="00077BBA"/>
    <w:rsid w:val="000802B2"/>
    <w:rsid w:val="000804F7"/>
    <w:rsid w:val="00081CDA"/>
    <w:rsid w:val="000826E8"/>
    <w:rsid w:val="00085630"/>
    <w:rsid w:val="000859D8"/>
    <w:rsid w:val="000865A3"/>
    <w:rsid w:val="000902C3"/>
    <w:rsid w:val="000908E7"/>
    <w:rsid w:val="000911A9"/>
    <w:rsid w:val="000915D9"/>
    <w:rsid w:val="000927B2"/>
    <w:rsid w:val="00094707"/>
    <w:rsid w:val="000957B0"/>
    <w:rsid w:val="00096686"/>
    <w:rsid w:val="000967C7"/>
    <w:rsid w:val="000973CA"/>
    <w:rsid w:val="000977BF"/>
    <w:rsid w:val="000A0AB7"/>
    <w:rsid w:val="000A0C66"/>
    <w:rsid w:val="000A6837"/>
    <w:rsid w:val="000A6C7B"/>
    <w:rsid w:val="000B081B"/>
    <w:rsid w:val="000B0ABD"/>
    <w:rsid w:val="000B2435"/>
    <w:rsid w:val="000B3210"/>
    <w:rsid w:val="000B48BF"/>
    <w:rsid w:val="000B4B51"/>
    <w:rsid w:val="000B5C71"/>
    <w:rsid w:val="000B5D89"/>
    <w:rsid w:val="000B7CE3"/>
    <w:rsid w:val="000C05C1"/>
    <w:rsid w:val="000C0C17"/>
    <w:rsid w:val="000C0EDF"/>
    <w:rsid w:val="000C5C42"/>
    <w:rsid w:val="000C5DDB"/>
    <w:rsid w:val="000C78DA"/>
    <w:rsid w:val="000D1A38"/>
    <w:rsid w:val="000D1AF5"/>
    <w:rsid w:val="000D1D0D"/>
    <w:rsid w:val="000D255C"/>
    <w:rsid w:val="000D29F7"/>
    <w:rsid w:val="000D2C83"/>
    <w:rsid w:val="000D53F7"/>
    <w:rsid w:val="000D5DA4"/>
    <w:rsid w:val="000D6AD4"/>
    <w:rsid w:val="000D7739"/>
    <w:rsid w:val="000E011C"/>
    <w:rsid w:val="000E02FC"/>
    <w:rsid w:val="000E1ABD"/>
    <w:rsid w:val="000E2880"/>
    <w:rsid w:val="000E34AC"/>
    <w:rsid w:val="000E55A8"/>
    <w:rsid w:val="000E5A0C"/>
    <w:rsid w:val="000E6E38"/>
    <w:rsid w:val="000E6E51"/>
    <w:rsid w:val="000F0811"/>
    <w:rsid w:val="000F163A"/>
    <w:rsid w:val="000F1EBF"/>
    <w:rsid w:val="000F2EC0"/>
    <w:rsid w:val="000F32A1"/>
    <w:rsid w:val="000F4417"/>
    <w:rsid w:val="000F499E"/>
    <w:rsid w:val="000F5AF1"/>
    <w:rsid w:val="000F6494"/>
    <w:rsid w:val="000F774B"/>
    <w:rsid w:val="001004C1"/>
    <w:rsid w:val="001011F4"/>
    <w:rsid w:val="00101662"/>
    <w:rsid w:val="00101A99"/>
    <w:rsid w:val="0010338B"/>
    <w:rsid w:val="0010514D"/>
    <w:rsid w:val="00105764"/>
    <w:rsid w:val="00105B24"/>
    <w:rsid w:val="001063FB"/>
    <w:rsid w:val="00106AAE"/>
    <w:rsid w:val="00110ACD"/>
    <w:rsid w:val="00111020"/>
    <w:rsid w:val="00112470"/>
    <w:rsid w:val="00117A83"/>
    <w:rsid w:val="00121539"/>
    <w:rsid w:val="00121B08"/>
    <w:rsid w:val="001231E2"/>
    <w:rsid w:val="00123658"/>
    <w:rsid w:val="00123EDF"/>
    <w:rsid w:val="001244E9"/>
    <w:rsid w:val="001245C7"/>
    <w:rsid w:val="001257BE"/>
    <w:rsid w:val="00125BB6"/>
    <w:rsid w:val="00125CB1"/>
    <w:rsid w:val="0012726E"/>
    <w:rsid w:val="00127A57"/>
    <w:rsid w:val="00127B61"/>
    <w:rsid w:val="0012E4F4"/>
    <w:rsid w:val="001316D9"/>
    <w:rsid w:val="00132EE9"/>
    <w:rsid w:val="001332F6"/>
    <w:rsid w:val="00133510"/>
    <w:rsid w:val="00133C64"/>
    <w:rsid w:val="00142721"/>
    <w:rsid w:val="00142F35"/>
    <w:rsid w:val="00143307"/>
    <w:rsid w:val="001434D8"/>
    <w:rsid w:val="00143AC5"/>
    <w:rsid w:val="0014457C"/>
    <w:rsid w:val="001448BE"/>
    <w:rsid w:val="00145ABA"/>
    <w:rsid w:val="001465B8"/>
    <w:rsid w:val="00146AA5"/>
    <w:rsid w:val="00146C0C"/>
    <w:rsid w:val="00147C03"/>
    <w:rsid w:val="00147FCE"/>
    <w:rsid w:val="00151D64"/>
    <w:rsid w:val="0015301A"/>
    <w:rsid w:val="00155331"/>
    <w:rsid w:val="00155C9D"/>
    <w:rsid w:val="00156877"/>
    <w:rsid w:val="0015788C"/>
    <w:rsid w:val="001639C7"/>
    <w:rsid w:val="00163E06"/>
    <w:rsid w:val="001656E2"/>
    <w:rsid w:val="00166260"/>
    <w:rsid w:val="001662EC"/>
    <w:rsid w:val="00171E64"/>
    <w:rsid w:val="00172AE9"/>
    <w:rsid w:val="0017317E"/>
    <w:rsid w:val="00174157"/>
    <w:rsid w:val="001753F0"/>
    <w:rsid w:val="0017688A"/>
    <w:rsid w:val="00177D05"/>
    <w:rsid w:val="00180025"/>
    <w:rsid w:val="001800D3"/>
    <w:rsid w:val="001816F5"/>
    <w:rsid w:val="00181CC9"/>
    <w:rsid w:val="00184936"/>
    <w:rsid w:val="00185099"/>
    <w:rsid w:val="001900BB"/>
    <w:rsid w:val="00192601"/>
    <w:rsid w:val="0019276A"/>
    <w:rsid w:val="00193CB0"/>
    <w:rsid w:val="001A0378"/>
    <w:rsid w:val="001A0450"/>
    <w:rsid w:val="001A28C3"/>
    <w:rsid w:val="001A38B6"/>
    <w:rsid w:val="001A4072"/>
    <w:rsid w:val="001A43B0"/>
    <w:rsid w:val="001B13BB"/>
    <w:rsid w:val="001B14F3"/>
    <w:rsid w:val="001B2A6A"/>
    <w:rsid w:val="001B2BE0"/>
    <w:rsid w:val="001B325B"/>
    <w:rsid w:val="001B3D8E"/>
    <w:rsid w:val="001B428E"/>
    <w:rsid w:val="001B49CF"/>
    <w:rsid w:val="001C031B"/>
    <w:rsid w:val="001C114B"/>
    <w:rsid w:val="001C1158"/>
    <w:rsid w:val="001C1387"/>
    <w:rsid w:val="001C1754"/>
    <w:rsid w:val="001C1AF9"/>
    <w:rsid w:val="001C24CD"/>
    <w:rsid w:val="001C28DD"/>
    <w:rsid w:val="001C360C"/>
    <w:rsid w:val="001C6B50"/>
    <w:rsid w:val="001D09F3"/>
    <w:rsid w:val="001D2263"/>
    <w:rsid w:val="001D52E4"/>
    <w:rsid w:val="001D6CB6"/>
    <w:rsid w:val="001D6D58"/>
    <w:rsid w:val="001E0600"/>
    <w:rsid w:val="001E6D21"/>
    <w:rsid w:val="001E6F50"/>
    <w:rsid w:val="001F1D05"/>
    <w:rsid w:val="001F22FB"/>
    <w:rsid w:val="001F304C"/>
    <w:rsid w:val="001F3862"/>
    <w:rsid w:val="00201190"/>
    <w:rsid w:val="0020145A"/>
    <w:rsid w:val="00201E57"/>
    <w:rsid w:val="00202B22"/>
    <w:rsid w:val="00203E31"/>
    <w:rsid w:val="002044C5"/>
    <w:rsid w:val="002057E1"/>
    <w:rsid w:val="00205905"/>
    <w:rsid w:val="00205D6B"/>
    <w:rsid w:val="002069F4"/>
    <w:rsid w:val="00206BFC"/>
    <w:rsid w:val="00206D18"/>
    <w:rsid w:val="00210C6F"/>
    <w:rsid w:val="002120DB"/>
    <w:rsid w:val="0021211C"/>
    <w:rsid w:val="00212711"/>
    <w:rsid w:val="00213436"/>
    <w:rsid w:val="002158ED"/>
    <w:rsid w:val="00216831"/>
    <w:rsid w:val="00216A39"/>
    <w:rsid w:val="00217CD5"/>
    <w:rsid w:val="00217E4C"/>
    <w:rsid w:val="00222B47"/>
    <w:rsid w:val="00226700"/>
    <w:rsid w:val="0023008C"/>
    <w:rsid w:val="00230775"/>
    <w:rsid w:val="0023083F"/>
    <w:rsid w:val="00230AC0"/>
    <w:rsid w:val="00231855"/>
    <w:rsid w:val="00232DF2"/>
    <w:rsid w:val="002338CA"/>
    <w:rsid w:val="00234074"/>
    <w:rsid w:val="0023449E"/>
    <w:rsid w:val="00235D81"/>
    <w:rsid w:val="00236AF3"/>
    <w:rsid w:val="00236E04"/>
    <w:rsid w:val="00236E74"/>
    <w:rsid w:val="00237146"/>
    <w:rsid w:val="0024290E"/>
    <w:rsid w:val="002444B6"/>
    <w:rsid w:val="00244ABA"/>
    <w:rsid w:val="00244EE0"/>
    <w:rsid w:val="00244F69"/>
    <w:rsid w:val="0024608D"/>
    <w:rsid w:val="00247178"/>
    <w:rsid w:val="0025013A"/>
    <w:rsid w:val="00251BDB"/>
    <w:rsid w:val="00251C2F"/>
    <w:rsid w:val="00253B7C"/>
    <w:rsid w:val="00254074"/>
    <w:rsid w:val="002547E6"/>
    <w:rsid w:val="00254D06"/>
    <w:rsid w:val="00255B9F"/>
    <w:rsid w:val="002564A5"/>
    <w:rsid w:val="00260794"/>
    <w:rsid w:val="002611CD"/>
    <w:rsid w:val="0026132E"/>
    <w:rsid w:val="002614E6"/>
    <w:rsid w:val="00261B3C"/>
    <w:rsid w:val="002628CE"/>
    <w:rsid w:val="00262929"/>
    <w:rsid w:val="00262CE6"/>
    <w:rsid w:val="0026364E"/>
    <w:rsid w:val="0026705D"/>
    <w:rsid w:val="00270734"/>
    <w:rsid w:val="00272497"/>
    <w:rsid w:val="002736F1"/>
    <w:rsid w:val="0028051C"/>
    <w:rsid w:val="00282ED4"/>
    <w:rsid w:val="002838B2"/>
    <w:rsid w:val="00285731"/>
    <w:rsid w:val="00286782"/>
    <w:rsid w:val="00290A52"/>
    <w:rsid w:val="002914F6"/>
    <w:rsid w:val="002920F9"/>
    <w:rsid w:val="002934C6"/>
    <w:rsid w:val="00293C85"/>
    <w:rsid w:val="00293E09"/>
    <w:rsid w:val="002958B6"/>
    <w:rsid w:val="002A18F6"/>
    <w:rsid w:val="002A2CAB"/>
    <w:rsid w:val="002A345D"/>
    <w:rsid w:val="002A3B6B"/>
    <w:rsid w:val="002A4AAF"/>
    <w:rsid w:val="002A4CD6"/>
    <w:rsid w:val="002A7C80"/>
    <w:rsid w:val="002B1DE4"/>
    <w:rsid w:val="002B5267"/>
    <w:rsid w:val="002B52F0"/>
    <w:rsid w:val="002B6C50"/>
    <w:rsid w:val="002C0548"/>
    <w:rsid w:val="002C0C5F"/>
    <w:rsid w:val="002C1248"/>
    <w:rsid w:val="002C1F4F"/>
    <w:rsid w:val="002C3085"/>
    <w:rsid w:val="002C3137"/>
    <w:rsid w:val="002C3D89"/>
    <w:rsid w:val="002C4687"/>
    <w:rsid w:val="002C5B2C"/>
    <w:rsid w:val="002C5C2E"/>
    <w:rsid w:val="002C6266"/>
    <w:rsid w:val="002D2176"/>
    <w:rsid w:val="002D21F0"/>
    <w:rsid w:val="002D2333"/>
    <w:rsid w:val="002D4005"/>
    <w:rsid w:val="002D62E8"/>
    <w:rsid w:val="002D6E8E"/>
    <w:rsid w:val="002D71B4"/>
    <w:rsid w:val="002D737D"/>
    <w:rsid w:val="002D7F47"/>
    <w:rsid w:val="002E0544"/>
    <w:rsid w:val="002E08DD"/>
    <w:rsid w:val="002E172F"/>
    <w:rsid w:val="002E6AB8"/>
    <w:rsid w:val="002E7AC7"/>
    <w:rsid w:val="002E7D76"/>
    <w:rsid w:val="002F0512"/>
    <w:rsid w:val="002F279B"/>
    <w:rsid w:val="002F4AB4"/>
    <w:rsid w:val="002F7390"/>
    <w:rsid w:val="002F7D46"/>
    <w:rsid w:val="00300279"/>
    <w:rsid w:val="003021D4"/>
    <w:rsid w:val="00302DAE"/>
    <w:rsid w:val="003042C2"/>
    <w:rsid w:val="0030789C"/>
    <w:rsid w:val="00310DD1"/>
    <w:rsid w:val="003113B0"/>
    <w:rsid w:val="003127E3"/>
    <w:rsid w:val="00312DAA"/>
    <w:rsid w:val="00314194"/>
    <w:rsid w:val="00314A2B"/>
    <w:rsid w:val="0031539B"/>
    <w:rsid w:val="00316231"/>
    <w:rsid w:val="003205C3"/>
    <w:rsid w:val="00320BC8"/>
    <w:rsid w:val="00322088"/>
    <w:rsid w:val="003252AE"/>
    <w:rsid w:val="00330151"/>
    <w:rsid w:val="0033181C"/>
    <w:rsid w:val="003319FD"/>
    <w:rsid w:val="00332180"/>
    <w:rsid w:val="00333734"/>
    <w:rsid w:val="0033454F"/>
    <w:rsid w:val="00337668"/>
    <w:rsid w:val="00337F19"/>
    <w:rsid w:val="00341509"/>
    <w:rsid w:val="00341B9B"/>
    <w:rsid w:val="00341D51"/>
    <w:rsid w:val="00345D87"/>
    <w:rsid w:val="00350B1A"/>
    <w:rsid w:val="0035204F"/>
    <w:rsid w:val="0035266D"/>
    <w:rsid w:val="00353F01"/>
    <w:rsid w:val="00354586"/>
    <w:rsid w:val="00354A74"/>
    <w:rsid w:val="003558E0"/>
    <w:rsid w:val="00355AB5"/>
    <w:rsid w:val="0035606D"/>
    <w:rsid w:val="00356A5D"/>
    <w:rsid w:val="00360C4C"/>
    <w:rsid w:val="0036337B"/>
    <w:rsid w:val="003637B4"/>
    <w:rsid w:val="003637CB"/>
    <w:rsid w:val="00363A6A"/>
    <w:rsid w:val="003646DF"/>
    <w:rsid w:val="00366023"/>
    <w:rsid w:val="00366053"/>
    <w:rsid w:val="00366FD8"/>
    <w:rsid w:val="003700B7"/>
    <w:rsid w:val="00370DC1"/>
    <w:rsid w:val="00371792"/>
    <w:rsid w:val="00371CA5"/>
    <w:rsid w:val="00375B05"/>
    <w:rsid w:val="00376B13"/>
    <w:rsid w:val="00381C8B"/>
    <w:rsid w:val="003821D7"/>
    <w:rsid w:val="00384955"/>
    <w:rsid w:val="00384DBF"/>
    <w:rsid w:val="00385179"/>
    <w:rsid w:val="00385388"/>
    <w:rsid w:val="0038613F"/>
    <w:rsid w:val="003861A1"/>
    <w:rsid w:val="00386BDC"/>
    <w:rsid w:val="00386DA7"/>
    <w:rsid w:val="003871D6"/>
    <w:rsid w:val="003913B2"/>
    <w:rsid w:val="003927E9"/>
    <w:rsid w:val="00393D1D"/>
    <w:rsid w:val="003949AD"/>
    <w:rsid w:val="00396A50"/>
    <w:rsid w:val="003A30F1"/>
    <w:rsid w:val="003A3EE9"/>
    <w:rsid w:val="003A6895"/>
    <w:rsid w:val="003A734C"/>
    <w:rsid w:val="003A7971"/>
    <w:rsid w:val="003B2DD7"/>
    <w:rsid w:val="003B3A9A"/>
    <w:rsid w:val="003B5D4B"/>
    <w:rsid w:val="003B67E0"/>
    <w:rsid w:val="003C0F7A"/>
    <w:rsid w:val="003C5CC8"/>
    <w:rsid w:val="003C5CE1"/>
    <w:rsid w:val="003C6799"/>
    <w:rsid w:val="003C73B7"/>
    <w:rsid w:val="003C792C"/>
    <w:rsid w:val="003D14BF"/>
    <w:rsid w:val="003D1C53"/>
    <w:rsid w:val="003D1E99"/>
    <w:rsid w:val="003D207B"/>
    <w:rsid w:val="003D384C"/>
    <w:rsid w:val="003D3D67"/>
    <w:rsid w:val="003D6177"/>
    <w:rsid w:val="003D61DF"/>
    <w:rsid w:val="003D622D"/>
    <w:rsid w:val="003D72CE"/>
    <w:rsid w:val="003E288B"/>
    <w:rsid w:val="003E2D1B"/>
    <w:rsid w:val="003E30CD"/>
    <w:rsid w:val="003E400C"/>
    <w:rsid w:val="003E6878"/>
    <w:rsid w:val="003E6A65"/>
    <w:rsid w:val="003E70F6"/>
    <w:rsid w:val="003E7FD7"/>
    <w:rsid w:val="003F0E9F"/>
    <w:rsid w:val="003F25E5"/>
    <w:rsid w:val="003F3721"/>
    <w:rsid w:val="003F59D7"/>
    <w:rsid w:val="004013C2"/>
    <w:rsid w:val="0040198E"/>
    <w:rsid w:val="0041047D"/>
    <w:rsid w:val="00413560"/>
    <w:rsid w:val="004148B9"/>
    <w:rsid w:val="004150E1"/>
    <w:rsid w:val="00415F8C"/>
    <w:rsid w:val="004165C6"/>
    <w:rsid w:val="00417C0D"/>
    <w:rsid w:val="0042130E"/>
    <w:rsid w:val="0042309E"/>
    <w:rsid w:val="00423221"/>
    <w:rsid w:val="004256DD"/>
    <w:rsid w:val="00427077"/>
    <w:rsid w:val="00427A32"/>
    <w:rsid w:val="00430012"/>
    <w:rsid w:val="004328D1"/>
    <w:rsid w:val="00434A77"/>
    <w:rsid w:val="00434D1F"/>
    <w:rsid w:val="00435915"/>
    <w:rsid w:val="0043595A"/>
    <w:rsid w:val="0044091E"/>
    <w:rsid w:val="0044166A"/>
    <w:rsid w:val="00442142"/>
    <w:rsid w:val="00445386"/>
    <w:rsid w:val="00445E19"/>
    <w:rsid w:val="0044644C"/>
    <w:rsid w:val="00446875"/>
    <w:rsid w:val="004476C5"/>
    <w:rsid w:val="00452F22"/>
    <w:rsid w:val="00453A13"/>
    <w:rsid w:val="00453E61"/>
    <w:rsid w:val="00453FA3"/>
    <w:rsid w:val="00454539"/>
    <w:rsid w:val="004546C2"/>
    <w:rsid w:val="0046105A"/>
    <w:rsid w:val="0046121B"/>
    <w:rsid w:val="00461EF6"/>
    <w:rsid w:val="00463090"/>
    <w:rsid w:val="00465BBF"/>
    <w:rsid w:val="00472D7D"/>
    <w:rsid w:val="00474820"/>
    <w:rsid w:val="00474AE9"/>
    <w:rsid w:val="00474CDA"/>
    <w:rsid w:val="00474EF5"/>
    <w:rsid w:val="00476541"/>
    <w:rsid w:val="004829F8"/>
    <w:rsid w:val="00482DC3"/>
    <w:rsid w:val="00482DEB"/>
    <w:rsid w:val="00483534"/>
    <w:rsid w:val="00484F5B"/>
    <w:rsid w:val="004853BC"/>
    <w:rsid w:val="00486663"/>
    <w:rsid w:val="0048799A"/>
    <w:rsid w:val="00492EF9"/>
    <w:rsid w:val="00495ACC"/>
    <w:rsid w:val="004A35A1"/>
    <w:rsid w:val="004A3B54"/>
    <w:rsid w:val="004A654C"/>
    <w:rsid w:val="004A6DAA"/>
    <w:rsid w:val="004B0546"/>
    <w:rsid w:val="004B059B"/>
    <w:rsid w:val="004B05E9"/>
    <w:rsid w:val="004B192D"/>
    <w:rsid w:val="004B2F1D"/>
    <w:rsid w:val="004B327D"/>
    <w:rsid w:val="004B3348"/>
    <w:rsid w:val="004B3AAE"/>
    <w:rsid w:val="004B4E99"/>
    <w:rsid w:val="004B5C82"/>
    <w:rsid w:val="004B7571"/>
    <w:rsid w:val="004C0336"/>
    <w:rsid w:val="004C2D32"/>
    <w:rsid w:val="004C2EAA"/>
    <w:rsid w:val="004C38E6"/>
    <w:rsid w:val="004C3D53"/>
    <w:rsid w:val="004C51A7"/>
    <w:rsid w:val="004C6877"/>
    <w:rsid w:val="004D08D5"/>
    <w:rsid w:val="004D12DE"/>
    <w:rsid w:val="004D1953"/>
    <w:rsid w:val="004D2080"/>
    <w:rsid w:val="004D392D"/>
    <w:rsid w:val="004D3DC8"/>
    <w:rsid w:val="004D5F6E"/>
    <w:rsid w:val="004D688F"/>
    <w:rsid w:val="004D6DBF"/>
    <w:rsid w:val="004E0458"/>
    <w:rsid w:val="004E07E4"/>
    <w:rsid w:val="004E3C40"/>
    <w:rsid w:val="004E420E"/>
    <w:rsid w:val="004E65CF"/>
    <w:rsid w:val="004E6C21"/>
    <w:rsid w:val="004F02BF"/>
    <w:rsid w:val="004F0BB8"/>
    <w:rsid w:val="004F26E3"/>
    <w:rsid w:val="004F3EA0"/>
    <w:rsid w:val="004F429A"/>
    <w:rsid w:val="004F4D1A"/>
    <w:rsid w:val="004F5221"/>
    <w:rsid w:val="004F76F3"/>
    <w:rsid w:val="00502F6E"/>
    <w:rsid w:val="00512C38"/>
    <w:rsid w:val="005140B8"/>
    <w:rsid w:val="0051473F"/>
    <w:rsid w:val="005151E6"/>
    <w:rsid w:val="00515ABC"/>
    <w:rsid w:val="00515CE3"/>
    <w:rsid w:val="00521ECB"/>
    <w:rsid w:val="00525118"/>
    <w:rsid w:val="00525F7B"/>
    <w:rsid w:val="0052618C"/>
    <w:rsid w:val="005305E3"/>
    <w:rsid w:val="00540255"/>
    <w:rsid w:val="0054184C"/>
    <w:rsid w:val="00541C9B"/>
    <w:rsid w:val="00541E6E"/>
    <w:rsid w:val="005440B7"/>
    <w:rsid w:val="0054605A"/>
    <w:rsid w:val="005462EA"/>
    <w:rsid w:val="0054632D"/>
    <w:rsid w:val="00546825"/>
    <w:rsid w:val="00550BD6"/>
    <w:rsid w:val="005513EA"/>
    <w:rsid w:val="00551E20"/>
    <w:rsid w:val="00551F70"/>
    <w:rsid w:val="005544B5"/>
    <w:rsid w:val="00554CCB"/>
    <w:rsid w:val="00557086"/>
    <w:rsid w:val="00557A32"/>
    <w:rsid w:val="00560F25"/>
    <w:rsid w:val="00561AB6"/>
    <w:rsid w:val="00561DDE"/>
    <w:rsid w:val="005622EB"/>
    <w:rsid w:val="00563767"/>
    <w:rsid w:val="005639E4"/>
    <w:rsid w:val="00564052"/>
    <w:rsid w:val="00566B3E"/>
    <w:rsid w:val="0056717F"/>
    <w:rsid w:val="00571191"/>
    <w:rsid w:val="00571D71"/>
    <w:rsid w:val="00572808"/>
    <w:rsid w:val="00573357"/>
    <w:rsid w:val="0057444E"/>
    <w:rsid w:val="00576193"/>
    <w:rsid w:val="00577A38"/>
    <w:rsid w:val="0058021F"/>
    <w:rsid w:val="00580F4F"/>
    <w:rsid w:val="0058138B"/>
    <w:rsid w:val="00581440"/>
    <w:rsid w:val="005865B4"/>
    <w:rsid w:val="0058695C"/>
    <w:rsid w:val="005915C4"/>
    <w:rsid w:val="00591B2E"/>
    <w:rsid w:val="00592400"/>
    <w:rsid w:val="00593930"/>
    <w:rsid w:val="0059393C"/>
    <w:rsid w:val="0059420A"/>
    <w:rsid w:val="00597024"/>
    <w:rsid w:val="00597EFB"/>
    <w:rsid w:val="005A090E"/>
    <w:rsid w:val="005A2786"/>
    <w:rsid w:val="005A334B"/>
    <w:rsid w:val="005A5EC8"/>
    <w:rsid w:val="005A770C"/>
    <w:rsid w:val="005AB0F5"/>
    <w:rsid w:val="005B16E3"/>
    <w:rsid w:val="005B2AC8"/>
    <w:rsid w:val="005B4B2D"/>
    <w:rsid w:val="005B55B8"/>
    <w:rsid w:val="005B7A48"/>
    <w:rsid w:val="005B7B44"/>
    <w:rsid w:val="005B7B68"/>
    <w:rsid w:val="005C100D"/>
    <w:rsid w:val="005C13D0"/>
    <w:rsid w:val="005C20C0"/>
    <w:rsid w:val="005C225C"/>
    <w:rsid w:val="005C356B"/>
    <w:rsid w:val="005C465A"/>
    <w:rsid w:val="005C47BC"/>
    <w:rsid w:val="005C4B0C"/>
    <w:rsid w:val="005C64C8"/>
    <w:rsid w:val="005C65A3"/>
    <w:rsid w:val="005C69DB"/>
    <w:rsid w:val="005C7B19"/>
    <w:rsid w:val="005D1A65"/>
    <w:rsid w:val="005D1BBD"/>
    <w:rsid w:val="005D3C1E"/>
    <w:rsid w:val="005D4D5F"/>
    <w:rsid w:val="005D581D"/>
    <w:rsid w:val="005E1C34"/>
    <w:rsid w:val="005E1EAC"/>
    <w:rsid w:val="005E284D"/>
    <w:rsid w:val="005E2BAC"/>
    <w:rsid w:val="005E30AF"/>
    <w:rsid w:val="005E36FC"/>
    <w:rsid w:val="005E4B7F"/>
    <w:rsid w:val="005E6D24"/>
    <w:rsid w:val="005E7CB0"/>
    <w:rsid w:val="005F02D4"/>
    <w:rsid w:val="005F1047"/>
    <w:rsid w:val="005F1720"/>
    <w:rsid w:val="005F2353"/>
    <w:rsid w:val="005F52D6"/>
    <w:rsid w:val="005F5FB1"/>
    <w:rsid w:val="005F6853"/>
    <w:rsid w:val="00600D92"/>
    <w:rsid w:val="0060219E"/>
    <w:rsid w:val="00602CC3"/>
    <w:rsid w:val="00603373"/>
    <w:rsid w:val="0060448D"/>
    <w:rsid w:val="00604F4B"/>
    <w:rsid w:val="006058D3"/>
    <w:rsid w:val="00605D26"/>
    <w:rsid w:val="00606520"/>
    <w:rsid w:val="0060736D"/>
    <w:rsid w:val="00611882"/>
    <w:rsid w:val="00611BF0"/>
    <w:rsid w:val="00614A3F"/>
    <w:rsid w:val="00615DAA"/>
    <w:rsid w:val="00616482"/>
    <w:rsid w:val="00616945"/>
    <w:rsid w:val="00617FE7"/>
    <w:rsid w:val="00622FB6"/>
    <w:rsid w:val="0062633A"/>
    <w:rsid w:val="00627EFE"/>
    <w:rsid w:val="00631EC4"/>
    <w:rsid w:val="006349EB"/>
    <w:rsid w:val="0063542D"/>
    <w:rsid w:val="00635470"/>
    <w:rsid w:val="00636658"/>
    <w:rsid w:val="00637528"/>
    <w:rsid w:val="0064064A"/>
    <w:rsid w:val="00640758"/>
    <w:rsid w:val="00641B6D"/>
    <w:rsid w:val="0064216E"/>
    <w:rsid w:val="00642475"/>
    <w:rsid w:val="006425BB"/>
    <w:rsid w:val="00643167"/>
    <w:rsid w:val="00643EEC"/>
    <w:rsid w:val="00644241"/>
    <w:rsid w:val="006461B2"/>
    <w:rsid w:val="00646A9B"/>
    <w:rsid w:val="00647145"/>
    <w:rsid w:val="006502B7"/>
    <w:rsid w:val="00650720"/>
    <w:rsid w:val="00651409"/>
    <w:rsid w:val="006556A5"/>
    <w:rsid w:val="00656047"/>
    <w:rsid w:val="00660315"/>
    <w:rsid w:val="00661A71"/>
    <w:rsid w:val="0066251B"/>
    <w:rsid w:val="00663843"/>
    <w:rsid w:val="006639A5"/>
    <w:rsid w:val="0066543C"/>
    <w:rsid w:val="00667225"/>
    <w:rsid w:val="0066768C"/>
    <w:rsid w:val="006677A2"/>
    <w:rsid w:val="006707CB"/>
    <w:rsid w:val="006719ED"/>
    <w:rsid w:val="00673475"/>
    <w:rsid w:val="00674B92"/>
    <w:rsid w:val="006756B5"/>
    <w:rsid w:val="00682365"/>
    <w:rsid w:val="006848B0"/>
    <w:rsid w:val="00684BA4"/>
    <w:rsid w:val="00684D63"/>
    <w:rsid w:val="00685092"/>
    <w:rsid w:val="00686A18"/>
    <w:rsid w:val="0068707E"/>
    <w:rsid w:val="0068770F"/>
    <w:rsid w:val="00687881"/>
    <w:rsid w:val="00687FF3"/>
    <w:rsid w:val="00692897"/>
    <w:rsid w:val="00692901"/>
    <w:rsid w:val="00692EFD"/>
    <w:rsid w:val="00692F2F"/>
    <w:rsid w:val="00692F78"/>
    <w:rsid w:val="00693CD2"/>
    <w:rsid w:val="0069437D"/>
    <w:rsid w:val="00695FAA"/>
    <w:rsid w:val="00696015"/>
    <w:rsid w:val="00696808"/>
    <w:rsid w:val="00697224"/>
    <w:rsid w:val="006976FC"/>
    <w:rsid w:val="006A3F3D"/>
    <w:rsid w:val="006A6056"/>
    <w:rsid w:val="006A64B0"/>
    <w:rsid w:val="006B0248"/>
    <w:rsid w:val="006B05C6"/>
    <w:rsid w:val="006B0CFE"/>
    <w:rsid w:val="006B1D3D"/>
    <w:rsid w:val="006B1F14"/>
    <w:rsid w:val="006B46CC"/>
    <w:rsid w:val="006B5754"/>
    <w:rsid w:val="006B6197"/>
    <w:rsid w:val="006B7014"/>
    <w:rsid w:val="006B746D"/>
    <w:rsid w:val="006C0190"/>
    <w:rsid w:val="006C1BAE"/>
    <w:rsid w:val="006C2247"/>
    <w:rsid w:val="006C2640"/>
    <w:rsid w:val="006C438E"/>
    <w:rsid w:val="006C4C35"/>
    <w:rsid w:val="006C537B"/>
    <w:rsid w:val="006C70D7"/>
    <w:rsid w:val="006D06A7"/>
    <w:rsid w:val="006D21BE"/>
    <w:rsid w:val="006D2BA1"/>
    <w:rsid w:val="006D501E"/>
    <w:rsid w:val="006D6383"/>
    <w:rsid w:val="006D6559"/>
    <w:rsid w:val="006D6FB9"/>
    <w:rsid w:val="006D7486"/>
    <w:rsid w:val="006D76C9"/>
    <w:rsid w:val="006D77C8"/>
    <w:rsid w:val="006E1CD2"/>
    <w:rsid w:val="006E2812"/>
    <w:rsid w:val="006E2D9A"/>
    <w:rsid w:val="006E5D7E"/>
    <w:rsid w:val="006F100A"/>
    <w:rsid w:val="006F166B"/>
    <w:rsid w:val="006F19A3"/>
    <w:rsid w:val="006F26B1"/>
    <w:rsid w:val="006F42B7"/>
    <w:rsid w:val="006F50E3"/>
    <w:rsid w:val="006F57EB"/>
    <w:rsid w:val="006FBF66"/>
    <w:rsid w:val="00702F80"/>
    <w:rsid w:val="007048C3"/>
    <w:rsid w:val="007055B3"/>
    <w:rsid w:val="00705CD7"/>
    <w:rsid w:val="007065D2"/>
    <w:rsid w:val="0070734B"/>
    <w:rsid w:val="00710FD1"/>
    <w:rsid w:val="0071213F"/>
    <w:rsid w:val="007127F7"/>
    <w:rsid w:val="007128A5"/>
    <w:rsid w:val="007136D0"/>
    <w:rsid w:val="00714B69"/>
    <w:rsid w:val="00720524"/>
    <w:rsid w:val="007207D2"/>
    <w:rsid w:val="0072085A"/>
    <w:rsid w:val="00721675"/>
    <w:rsid w:val="007225F3"/>
    <w:rsid w:val="00722FC5"/>
    <w:rsid w:val="00726156"/>
    <w:rsid w:val="00726445"/>
    <w:rsid w:val="00727B2D"/>
    <w:rsid w:val="007316A3"/>
    <w:rsid w:val="00731862"/>
    <w:rsid w:val="00734015"/>
    <w:rsid w:val="007340F8"/>
    <w:rsid w:val="00734DD4"/>
    <w:rsid w:val="00740728"/>
    <w:rsid w:val="00740CE5"/>
    <w:rsid w:val="0074105B"/>
    <w:rsid w:val="00741CD5"/>
    <w:rsid w:val="00743E63"/>
    <w:rsid w:val="007447B1"/>
    <w:rsid w:val="00745E37"/>
    <w:rsid w:val="0075075E"/>
    <w:rsid w:val="0075442D"/>
    <w:rsid w:val="00754B14"/>
    <w:rsid w:val="00756FA2"/>
    <w:rsid w:val="00757482"/>
    <w:rsid w:val="00757DAA"/>
    <w:rsid w:val="007607F0"/>
    <w:rsid w:val="00760EF5"/>
    <w:rsid w:val="007616B6"/>
    <w:rsid w:val="007629A7"/>
    <w:rsid w:val="00764794"/>
    <w:rsid w:val="00765C84"/>
    <w:rsid w:val="00765CAA"/>
    <w:rsid w:val="007672B3"/>
    <w:rsid w:val="00771689"/>
    <w:rsid w:val="00771C10"/>
    <w:rsid w:val="00771EBD"/>
    <w:rsid w:val="007721F3"/>
    <w:rsid w:val="007724F5"/>
    <w:rsid w:val="007725E5"/>
    <w:rsid w:val="00772B74"/>
    <w:rsid w:val="00773F93"/>
    <w:rsid w:val="00774958"/>
    <w:rsid w:val="00774C31"/>
    <w:rsid w:val="00774EA9"/>
    <w:rsid w:val="00775938"/>
    <w:rsid w:val="00782ABB"/>
    <w:rsid w:val="00784570"/>
    <w:rsid w:val="00784D0E"/>
    <w:rsid w:val="00785D25"/>
    <w:rsid w:val="0078783D"/>
    <w:rsid w:val="00791561"/>
    <w:rsid w:val="00791836"/>
    <w:rsid w:val="00791C7F"/>
    <w:rsid w:val="00791DC9"/>
    <w:rsid w:val="007940CE"/>
    <w:rsid w:val="007941EF"/>
    <w:rsid w:val="00794931"/>
    <w:rsid w:val="00795357"/>
    <w:rsid w:val="00796350"/>
    <w:rsid w:val="00797483"/>
    <w:rsid w:val="00797563"/>
    <w:rsid w:val="007976A4"/>
    <w:rsid w:val="00797D50"/>
    <w:rsid w:val="007A01AD"/>
    <w:rsid w:val="007A0DC8"/>
    <w:rsid w:val="007A3235"/>
    <w:rsid w:val="007A4E06"/>
    <w:rsid w:val="007A738B"/>
    <w:rsid w:val="007B0B75"/>
    <w:rsid w:val="007B1CEE"/>
    <w:rsid w:val="007B3A9C"/>
    <w:rsid w:val="007B5B8B"/>
    <w:rsid w:val="007B71F5"/>
    <w:rsid w:val="007B7DE8"/>
    <w:rsid w:val="007C05D0"/>
    <w:rsid w:val="007C5A6A"/>
    <w:rsid w:val="007C6E5D"/>
    <w:rsid w:val="007C7942"/>
    <w:rsid w:val="007C7AF7"/>
    <w:rsid w:val="007D0473"/>
    <w:rsid w:val="007D1F82"/>
    <w:rsid w:val="007D38A2"/>
    <w:rsid w:val="007D4976"/>
    <w:rsid w:val="007D57C8"/>
    <w:rsid w:val="007D6252"/>
    <w:rsid w:val="007D6F8E"/>
    <w:rsid w:val="007D77F9"/>
    <w:rsid w:val="007D78E6"/>
    <w:rsid w:val="007D7927"/>
    <w:rsid w:val="007E01C8"/>
    <w:rsid w:val="007E0B7D"/>
    <w:rsid w:val="007E17B1"/>
    <w:rsid w:val="007E7BF8"/>
    <w:rsid w:val="007F1959"/>
    <w:rsid w:val="007F1A42"/>
    <w:rsid w:val="007F1FC6"/>
    <w:rsid w:val="007F293D"/>
    <w:rsid w:val="007F39EE"/>
    <w:rsid w:val="007F3A9F"/>
    <w:rsid w:val="007F4398"/>
    <w:rsid w:val="007F57E6"/>
    <w:rsid w:val="007F64C7"/>
    <w:rsid w:val="00801AF3"/>
    <w:rsid w:val="008020EE"/>
    <w:rsid w:val="00802474"/>
    <w:rsid w:val="00803A23"/>
    <w:rsid w:val="008040E9"/>
    <w:rsid w:val="00804B27"/>
    <w:rsid w:val="00804D87"/>
    <w:rsid w:val="0080553D"/>
    <w:rsid w:val="00805C8D"/>
    <w:rsid w:val="0081015C"/>
    <w:rsid w:val="0081134B"/>
    <w:rsid w:val="00811D31"/>
    <w:rsid w:val="00811D75"/>
    <w:rsid w:val="00814784"/>
    <w:rsid w:val="00817BEA"/>
    <w:rsid w:val="00817DE6"/>
    <w:rsid w:val="00820431"/>
    <w:rsid w:val="0082106D"/>
    <w:rsid w:val="008231CB"/>
    <w:rsid w:val="00823DCD"/>
    <w:rsid w:val="00824D3E"/>
    <w:rsid w:val="00826037"/>
    <w:rsid w:val="008267D7"/>
    <w:rsid w:val="00831965"/>
    <w:rsid w:val="00831C0C"/>
    <w:rsid w:val="00831FB1"/>
    <w:rsid w:val="0083336A"/>
    <w:rsid w:val="00833D6C"/>
    <w:rsid w:val="00834ACA"/>
    <w:rsid w:val="0083643E"/>
    <w:rsid w:val="008365D9"/>
    <w:rsid w:val="00837206"/>
    <w:rsid w:val="0084147C"/>
    <w:rsid w:val="00841E82"/>
    <w:rsid w:val="008424EB"/>
    <w:rsid w:val="0084386E"/>
    <w:rsid w:val="00843D8E"/>
    <w:rsid w:val="00846E8C"/>
    <w:rsid w:val="008514EE"/>
    <w:rsid w:val="008516D3"/>
    <w:rsid w:val="00851973"/>
    <w:rsid w:val="00852559"/>
    <w:rsid w:val="00853087"/>
    <w:rsid w:val="00854156"/>
    <w:rsid w:val="008544A8"/>
    <w:rsid w:val="00854FE8"/>
    <w:rsid w:val="0085535B"/>
    <w:rsid w:val="008670E4"/>
    <w:rsid w:val="00867160"/>
    <w:rsid w:val="0087203A"/>
    <w:rsid w:val="00874F6E"/>
    <w:rsid w:val="00876128"/>
    <w:rsid w:val="00877620"/>
    <w:rsid w:val="0088123E"/>
    <w:rsid w:val="00882270"/>
    <w:rsid w:val="0088581F"/>
    <w:rsid w:val="00885F20"/>
    <w:rsid w:val="00886F1F"/>
    <w:rsid w:val="00887D06"/>
    <w:rsid w:val="00890D60"/>
    <w:rsid w:val="00891317"/>
    <w:rsid w:val="008942D9"/>
    <w:rsid w:val="008978B1"/>
    <w:rsid w:val="008A060C"/>
    <w:rsid w:val="008A0A1F"/>
    <w:rsid w:val="008A1ED4"/>
    <w:rsid w:val="008A504D"/>
    <w:rsid w:val="008A6615"/>
    <w:rsid w:val="008B049D"/>
    <w:rsid w:val="008B0751"/>
    <w:rsid w:val="008B0DA3"/>
    <w:rsid w:val="008B14FB"/>
    <w:rsid w:val="008B3909"/>
    <w:rsid w:val="008B3F4F"/>
    <w:rsid w:val="008B40C8"/>
    <w:rsid w:val="008B565D"/>
    <w:rsid w:val="008B6031"/>
    <w:rsid w:val="008B77F5"/>
    <w:rsid w:val="008B79FB"/>
    <w:rsid w:val="008C0E49"/>
    <w:rsid w:val="008C295B"/>
    <w:rsid w:val="008C3AB2"/>
    <w:rsid w:val="008C5211"/>
    <w:rsid w:val="008C569E"/>
    <w:rsid w:val="008C652F"/>
    <w:rsid w:val="008C670F"/>
    <w:rsid w:val="008C7B4B"/>
    <w:rsid w:val="008D032E"/>
    <w:rsid w:val="008D1816"/>
    <w:rsid w:val="008D45E8"/>
    <w:rsid w:val="008D5A5A"/>
    <w:rsid w:val="008D71AC"/>
    <w:rsid w:val="008E0BF0"/>
    <w:rsid w:val="008E1840"/>
    <w:rsid w:val="008E3689"/>
    <w:rsid w:val="008E3B6A"/>
    <w:rsid w:val="008E3F0A"/>
    <w:rsid w:val="008E417F"/>
    <w:rsid w:val="008E465E"/>
    <w:rsid w:val="008E4E5E"/>
    <w:rsid w:val="008E61EE"/>
    <w:rsid w:val="008E75D7"/>
    <w:rsid w:val="008E7D98"/>
    <w:rsid w:val="008F0543"/>
    <w:rsid w:val="008F0AD7"/>
    <w:rsid w:val="008F2D0C"/>
    <w:rsid w:val="008F2F87"/>
    <w:rsid w:val="008F3986"/>
    <w:rsid w:val="008F3B55"/>
    <w:rsid w:val="008F6650"/>
    <w:rsid w:val="008F7173"/>
    <w:rsid w:val="0090041A"/>
    <w:rsid w:val="00900BFA"/>
    <w:rsid w:val="009021D3"/>
    <w:rsid w:val="00903201"/>
    <w:rsid w:val="00906346"/>
    <w:rsid w:val="00906A10"/>
    <w:rsid w:val="00906C08"/>
    <w:rsid w:val="00911D2C"/>
    <w:rsid w:val="00911E98"/>
    <w:rsid w:val="009120A7"/>
    <w:rsid w:val="00913367"/>
    <w:rsid w:val="009135E3"/>
    <w:rsid w:val="00914386"/>
    <w:rsid w:val="00915018"/>
    <w:rsid w:val="00915705"/>
    <w:rsid w:val="0091656A"/>
    <w:rsid w:val="00917BE2"/>
    <w:rsid w:val="00920A99"/>
    <w:rsid w:val="00920BED"/>
    <w:rsid w:val="0092210F"/>
    <w:rsid w:val="009221B6"/>
    <w:rsid w:val="00922965"/>
    <w:rsid w:val="009245E3"/>
    <w:rsid w:val="00927997"/>
    <w:rsid w:val="009304C5"/>
    <w:rsid w:val="00931D78"/>
    <w:rsid w:val="00934EE1"/>
    <w:rsid w:val="00934FC9"/>
    <w:rsid w:val="009359DD"/>
    <w:rsid w:val="0093692F"/>
    <w:rsid w:val="00936A34"/>
    <w:rsid w:val="00937A0D"/>
    <w:rsid w:val="00940E7E"/>
    <w:rsid w:val="00941DB9"/>
    <w:rsid w:val="00941E74"/>
    <w:rsid w:val="009436E0"/>
    <w:rsid w:val="00945454"/>
    <w:rsid w:val="0094673D"/>
    <w:rsid w:val="00950295"/>
    <w:rsid w:val="009506C2"/>
    <w:rsid w:val="009508AE"/>
    <w:rsid w:val="00951E8B"/>
    <w:rsid w:val="009565A8"/>
    <w:rsid w:val="009567B6"/>
    <w:rsid w:val="009601C9"/>
    <w:rsid w:val="009639F7"/>
    <w:rsid w:val="00963B26"/>
    <w:rsid w:val="00963B5A"/>
    <w:rsid w:val="009667AB"/>
    <w:rsid w:val="00967A59"/>
    <w:rsid w:val="00967C0B"/>
    <w:rsid w:val="009711E1"/>
    <w:rsid w:val="00972EED"/>
    <w:rsid w:val="00977825"/>
    <w:rsid w:val="00980036"/>
    <w:rsid w:val="0098017D"/>
    <w:rsid w:val="00980A0E"/>
    <w:rsid w:val="00982FD5"/>
    <w:rsid w:val="009855DD"/>
    <w:rsid w:val="00986736"/>
    <w:rsid w:val="00987E17"/>
    <w:rsid w:val="00990B13"/>
    <w:rsid w:val="009936E0"/>
    <w:rsid w:val="00994A27"/>
    <w:rsid w:val="00996248"/>
    <w:rsid w:val="00996A02"/>
    <w:rsid w:val="009A0604"/>
    <w:rsid w:val="009A181B"/>
    <w:rsid w:val="009A1B8F"/>
    <w:rsid w:val="009A3169"/>
    <w:rsid w:val="009A368F"/>
    <w:rsid w:val="009A4B89"/>
    <w:rsid w:val="009A572D"/>
    <w:rsid w:val="009B195B"/>
    <w:rsid w:val="009B20C6"/>
    <w:rsid w:val="009B22F7"/>
    <w:rsid w:val="009B45EE"/>
    <w:rsid w:val="009B5FAD"/>
    <w:rsid w:val="009B767B"/>
    <w:rsid w:val="009C117A"/>
    <w:rsid w:val="009C5688"/>
    <w:rsid w:val="009C62A8"/>
    <w:rsid w:val="009D1325"/>
    <w:rsid w:val="009D2341"/>
    <w:rsid w:val="009D2D53"/>
    <w:rsid w:val="009D2D6E"/>
    <w:rsid w:val="009D30F3"/>
    <w:rsid w:val="009D3109"/>
    <w:rsid w:val="009D3B53"/>
    <w:rsid w:val="009D5299"/>
    <w:rsid w:val="009D53E5"/>
    <w:rsid w:val="009D59FE"/>
    <w:rsid w:val="009D70C2"/>
    <w:rsid w:val="009E052C"/>
    <w:rsid w:val="009E0B09"/>
    <w:rsid w:val="009E0C65"/>
    <w:rsid w:val="009E36D0"/>
    <w:rsid w:val="009E47D0"/>
    <w:rsid w:val="009E576E"/>
    <w:rsid w:val="009E6ED4"/>
    <w:rsid w:val="009E76E7"/>
    <w:rsid w:val="009E7863"/>
    <w:rsid w:val="009F14B8"/>
    <w:rsid w:val="009F1D69"/>
    <w:rsid w:val="009F38FA"/>
    <w:rsid w:val="009F6648"/>
    <w:rsid w:val="009F6EEE"/>
    <w:rsid w:val="009F6EFC"/>
    <w:rsid w:val="009F9F08"/>
    <w:rsid w:val="00A013C0"/>
    <w:rsid w:val="00A018DE"/>
    <w:rsid w:val="00A02AEC"/>
    <w:rsid w:val="00A02D62"/>
    <w:rsid w:val="00A0468C"/>
    <w:rsid w:val="00A0590F"/>
    <w:rsid w:val="00A073E5"/>
    <w:rsid w:val="00A11093"/>
    <w:rsid w:val="00A1158F"/>
    <w:rsid w:val="00A1255D"/>
    <w:rsid w:val="00A13419"/>
    <w:rsid w:val="00A1427C"/>
    <w:rsid w:val="00A14EB8"/>
    <w:rsid w:val="00A153C7"/>
    <w:rsid w:val="00A2065E"/>
    <w:rsid w:val="00A316CE"/>
    <w:rsid w:val="00A317B6"/>
    <w:rsid w:val="00A3295A"/>
    <w:rsid w:val="00A32E44"/>
    <w:rsid w:val="00A341A0"/>
    <w:rsid w:val="00A34DEF"/>
    <w:rsid w:val="00A354E4"/>
    <w:rsid w:val="00A3580F"/>
    <w:rsid w:val="00A36572"/>
    <w:rsid w:val="00A41E3A"/>
    <w:rsid w:val="00A426B8"/>
    <w:rsid w:val="00A43C62"/>
    <w:rsid w:val="00A441EA"/>
    <w:rsid w:val="00A447C1"/>
    <w:rsid w:val="00A45368"/>
    <w:rsid w:val="00A45C6E"/>
    <w:rsid w:val="00A46630"/>
    <w:rsid w:val="00A47895"/>
    <w:rsid w:val="00A50DEA"/>
    <w:rsid w:val="00A52625"/>
    <w:rsid w:val="00A53E40"/>
    <w:rsid w:val="00A53FE0"/>
    <w:rsid w:val="00A54B3D"/>
    <w:rsid w:val="00A57C3F"/>
    <w:rsid w:val="00A60502"/>
    <w:rsid w:val="00A61B78"/>
    <w:rsid w:val="00A6297D"/>
    <w:rsid w:val="00A629E4"/>
    <w:rsid w:val="00A642A1"/>
    <w:rsid w:val="00A6608A"/>
    <w:rsid w:val="00A7050B"/>
    <w:rsid w:val="00A71572"/>
    <w:rsid w:val="00A73B42"/>
    <w:rsid w:val="00A73E8B"/>
    <w:rsid w:val="00A7411D"/>
    <w:rsid w:val="00A74236"/>
    <w:rsid w:val="00A742BE"/>
    <w:rsid w:val="00A74BD0"/>
    <w:rsid w:val="00A80C9A"/>
    <w:rsid w:val="00A81A2F"/>
    <w:rsid w:val="00A82337"/>
    <w:rsid w:val="00A839FB"/>
    <w:rsid w:val="00A85C6D"/>
    <w:rsid w:val="00A85EAE"/>
    <w:rsid w:val="00A86376"/>
    <w:rsid w:val="00A86453"/>
    <w:rsid w:val="00A8762F"/>
    <w:rsid w:val="00A90ACC"/>
    <w:rsid w:val="00A9248E"/>
    <w:rsid w:val="00A95DA4"/>
    <w:rsid w:val="00A9772B"/>
    <w:rsid w:val="00AA0DB7"/>
    <w:rsid w:val="00AA2234"/>
    <w:rsid w:val="00AA3AEA"/>
    <w:rsid w:val="00AA4B09"/>
    <w:rsid w:val="00AA6A10"/>
    <w:rsid w:val="00AA6AC9"/>
    <w:rsid w:val="00AB040F"/>
    <w:rsid w:val="00AB1C06"/>
    <w:rsid w:val="00AB25BA"/>
    <w:rsid w:val="00AB3976"/>
    <w:rsid w:val="00AB4831"/>
    <w:rsid w:val="00AB4CE8"/>
    <w:rsid w:val="00AB4F53"/>
    <w:rsid w:val="00AB71F5"/>
    <w:rsid w:val="00AB724E"/>
    <w:rsid w:val="00AB7646"/>
    <w:rsid w:val="00AC15CD"/>
    <w:rsid w:val="00AC1A89"/>
    <w:rsid w:val="00AC37D5"/>
    <w:rsid w:val="00AC474C"/>
    <w:rsid w:val="00AC53E7"/>
    <w:rsid w:val="00AC5560"/>
    <w:rsid w:val="00AC57B6"/>
    <w:rsid w:val="00AC5844"/>
    <w:rsid w:val="00AC632A"/>
    <w:rsid w:val="00AD0589"/>
    <w:rsid w:val="00AD24BC"/>
    <w:rsid w:val="00AD2744"/>
    <w:rsid w:val="00AD595E"/>
    <w:rsid w:val="00AD685F"/>
    <w:rsid w:val="00AD6BEC"/>
    <w:rsid w:val="00AE18AA"/>
    <w:rsid w:val="00AE1F07"/>
    <w:rsid w:val="00AE32A0"/>
    <w:rsid w:val="00AE390E"/>
    <w:rsid w:val="00AE3D7B"/>
    <w:rsid w:val="00AE4FEF"/>
    <w:rsid w:val="00AE657B"/>
    <w:rsid w:val="00AE727D"/>
    <w:rsid w:val="00AF15A1"/>
    <w:rsid w:val="00AF311C"/>
    <w:rsid w:val="00AF3563"/>
    <w:rsid w:val="00AF4C9E"/>
    <w:rsid w:val="00AF67CA"/>
    <w:rsid w:val="00AF6F84"/>
    <w:rsid w:val="00AF7558"/>
    <w:rsid w:val="00AF80B7"/>
    <w:rsid w:val="00B0084C"/>
    <w:rsid w:val="00B00B62"/>
    <w:rsid w:val="00B00E43"/>
    <w:rsid w:val="00B0271B"/>
    <w:rsid w:val="00B04AA3"/>
    <w:rsid w:val="00B04CC6"/>
    <w:rsid w:val="00B07354"/>
    <w:rsid w:val="00B07760"/>
    <w:rsid w:val="00B11949"/>
    <w:rsid w:val="00B1213E"/>
    <w:rsid w:val="00B125B4"/>
    <w:rsid w:val="00B125F9"/>
    <w:rsid w:val="00B126B9"/>
    <w:rsid w:val="00B15979"/>
    <w:rsid w:val="00B16658"/>
    <w:rsid w:val="00B1689A"/>
    <w:rsid w:val="00B16E0A"/>
    <w:rsid w:val="00B17564"/>
    <w:rsid w:val="00B2026A"/>
    <w:rsid w:val="00B2163A"/>
    <w:rsid w:val="00B227A3"/>
    <w:rsid w:val="00B2376C"/>
    <w:rsid w:val="00B24554"/>
    <w:rsid w:val="00B24597"/>
    <w:rsid w:val="00B256A3"/>
    <w:rsid w:val="00B26D3B"/>
    <w:rsid w:val="00B30953"/>
    <w:rsid w:val="00B30EB8"/>
    <w:rsid w:val="00B31BD8"/>
    <w:rsid w:val="00B344AC"/>
    <w:rsid w:val="00B34EB6"/>
    <w:rsid w:val="00B3516A"/>
    <w:rsid w:val="00B358E8"/>
    <w:rsid w:val="00B3691A"/>
    <w:rsid w:val="00B37042"/>
    <w:rsid w:val="00B40234"/>
    <w:rsid w:val="00B41373"/>
    <w:rsid w:val="00B41D08"/>
    <w:rsid w:val="00B4230B"/>
    <w:rsid w:val="00B4327D"/>
    <w:rsid w:val="00B43503"/>
    <w:rsid w:val="00B43E2A"/>
    <w:rsid w:val="00B469CA"/>
    <w:rsid w:val="00B46A8D"/>
    <w:rsid w:val="00B47EF3"/>
    <w:rsid w:val="00B50624"/>
    <w:rsid w:val="00B5217F"/>
    <w:rsid w:val="00B52767"/>
    <w:rsid w:val="00B53783"/>
    <w:rsid w:val="00B5610D"/>
    <w:rsid w:val="00B5667C"/>
    <w:rsid w:val="00B56FD6"/>
    <w:rsid w:val="00B57061"/>
    <w:rsid w:val="00B57B05"/>
    <w:rsid w:val="00B606E9"/>
    <w:rsid w:val="00B60848"/>
    <w:rsid w:val="00B614C5"/>
    <w:rsid w:val="00B62952"/>
    <w:rsid w:val="00B62E34"/>
    <w:rsid w:val="00B6382E"/>
    <w:rsid w:val="00B67224"/>
    <w:rsid w:val="00B67C43"/>
    <w:rsid w:val="00B704D1"/>
    <w:rsid w:val="00B7065A"/>
    <w:rsid w:val="00B7140B"/>
    <w:rsid w:val="00B724B0"/>
    <w:rsid w:val="00B7405B"/>
    <w:rsid w:val="00B74592"/>
    <w:rsid w:val="00B75A0F"/>
    <w:rsid w:val="00B803FB"/>
    <w:rsid w:val="00B80DA8"/>
    <w:rsid w:val="00B81123"/>
    <w:rsid w:val="00B8485C"/>
    <w:rsid w:val="00B87D0E"/>
    <w:rsid w:val="00B87E22"/>
    <w:rsid w:val="00B93903"/>
    <w:rsid w:val="00B94072"/>
    <w:rsid w:val="00B94F63"/>
    <w:rsid w:val="00B9607C"/>
    <w:rsid w:val="00B96476"/>
    <w:rsid w:val="00B9659F"/>
    <w:rsid w:val="00BA0C65"/>
    <w:rsid w:val="00BA19E5"/>
    <w:rsid w:val="00BA2B9E"/>
    <w:rsid w:val="00BA4033"/>
    <w:rsid w:val="00BA5C26"/>
    <w:rsid w:val="00BA60A3"/>
    <w:rsid w:val="00BA7C2B"/>
    <w:rsid w:val="00BB05AD"/>
    <w:rsid w:val="00BB71D5"/>
    <w:rsid w:val="00BB73E2"/>
    <w:rsid w:val="00BB73F9"/>
    <w:rsid w:val="00BB7673"/>
    <w:rsid w:val="00BC10A5"/>
    <w:rsid w:val="00BC22EA"/>
    <w:rsid w:val="00BC319C"/>
    <w:rsid w:val="00BC5C5A"/>
    <w:rsid w:val="00BC7723"/>
    <w:rsid w:val="00BD1D0E"/>
    <w:rsid w:val="00BD21F4"/>
    <w:rsid w:val="00BD3CBB"/>
    <w:rsid w:val="00BD3CD8"/>
    <w:rsid w:val="00BD45A8"/>
    <w:rsid w:val="00BD45CC"/>
    <w:rsid w:val="00BD54FB"/>
    <w:rsid w:val="00BD5D2A"/>
    <w:rsid w:val="00BD5D2F"/>
    <w:rsid w:val="00BE4001"/>
    <w:rsid w:val="00BE60B3"/>
    <w:rsid w:val="00BE7C29"/>
    <w:rsid w:val="00BF0125"/>
    <w:rsid w:val="00BF0D54"/>
    <w:rsid w:val="00BF13B7"/>
    <w:rsid w:val="00BF190F"/>
    <w:rsid w:val="00BF453C"/>
    <w:rsid w:val="00BF55A2"/>
    <w:rsid w:val="00BF58E3"/>
    <w:rsid w:val="00BF62F0"/>
    <w:rsid w:val="00BF70D8"/>
    <w:rsid w:val="00BF7562"/>
    <w:rsid w:val="00BF775D"/>
    <w:rsid w:val="00C01855"/>
    <w:rsid w:val="00C026F1"/>
    <w:rsid w:val="00C07316"/>
    <w:rsid w:val="00C0736A"/>
    <w:rsid w:val="00C0748F"/>
    <w:rsid w:val="00C07B7C"/>
    <w:rsid w:val="00C115E5"/>
    <w:rsid w:val="00C13197"/>
    <w:rsid w:val="00C14645"/>
    <w:rsid w:val="00C15D1D"/>
    <w:rsid w:val="00C1619D"/>
    <w:rsid w:val="00C1691C"/>
    <w:rsid w:val="00C16A16"/>
    <w:rsid w:val="00C20D74"/>
    <w:rsid w:val="00C22824"/>
    <w:rsid w:val="00C2359C"/>
    <w:rsid w:val="00C23B7C"/>
    <w:rsid w:val="00C256A1"/>
    <w:rsid w:val="00C263C0"/>
    <w:rsid w:val="00C3037F"/>
    <w:rsid w:val="00C309CE"/>
    <w:rsid w:val="00C315E9"/>
    <w:rsid w:val="00C34099"/>
    <w:rsid w:val="00C34181"/>
    <w:rsid w:val="00C35041"/>
    <w:rsid w:val="00C37371"/>
    <w:rsid w:val="00C378B4"/>
    <w:rsid w:val="00C401D1"/>
    <w:rsid w:val="00C41B79"/>
    <w:rsid w:val="00C4208F"/>
    <w:rsid w:val="00C42B6C"/>
    <w:rsid w:val="00C42ECF"/>
    <w:rsid w:val="00C46055"/>
    <w:rsid w:val="00C46814"/>
    <w:rsid w:val="00C47C52"/>
    <w:rsid w:val="00C502F1"/>
    <w:rsid w:val="00C523AB"/>
    <w:rsid w:val="00C52A09"/>
    <w:rsid w:val="00C54511"/>
    <w:rsid w:val="00C5708A"/>
    <w:rsid w:val="00C571AE"/>
    <w:rsid w:val="00C5757D"/>
    <w:rsid w:val="00C57AEB"/>
    <w:rsid w:val="00C62F8E"/>
    <w:rsid w:val="00C64BCF"/>
    <w:rsid w:val="00C64D38"/>
    <w:rsid w:val="00C64F78"/>
    <w:rsid w:val="00C6581A"/>
    <w:rsid w:val="00C65A4D"/>
    <w:rsid w:val="00C704DA"/>
    <w:rsid w:val="00C71556"/>
    <w:rsid w:val="00C7182D"/>
    <w:rsid w:val="00C71DA6"/>
    <w:rsid w:val="00C72DF2"/>
    <w:rsid w:val="00C73C65"/>
    <w:rsid w:val="00C773BA"/>
    <w:rsid w:val="00C775FB"/>
    <w:rsid w:val="00C80EA4"/>
    <w:rsid w:val="00C811BD"/>
    <w:rsid w:val="00C816E9"/>
    <w:rsid w:val="00C81F3C"/>
    <w:rsid w:val="00C82378"/>
    <w:rsid w:val="00C83288"/>
    <w:rsid w:val="00C848DA"/>
    <w:rsid w:val="00C85B66"/>
    <w:rsid w:val="00C861C6"/>
    <w:rsid w:val="00C869E0"/>
    <w:rsid w:val="00C87227"/>
    <w:rsid w:val="00C9158F"/>
    <w:rsid w:val="00C91937"/>
    <w:rsid w:val="00C91F95"/>
    <w:rsid w:val="00C92E73"/>
    <w:rsid w:val="00C9386D"/>
    <w:rsid w:val="00C96B69"/>
    <w:rsid w:val="00C96D12"/>
    <w:rsid w:val="00CA18B8"/>
    <w:rsid w:val="00CA2A57"/>
    <w:rsid w:val="00CA331D"/>
    <w:rsid w:val="00CA3386"/>
    <w:rsid w:val="00CA7C34"/>
    <w:rsid w:val="00CA7C69"/>
    <w:rsid w:val="00CB0557"/>
    <w:rsid w:val="00CB07BE"/>
    <w:rsid w:val="00CB566F"/>
    <w:rsid w:val="00CB5D46"/>
    <w:rsid w:val="00CC09FD"/>
    <w:rsid w:val="00CC1CCC"/>
    <w:rsid w:val="00CC2733"/>
    <w:rsid w:val="00CC33E1"/>
    <w:rsid w:val="00CC39B9"/>
    <w:rsid w:val="00CC3BDF"/>
    <w:rsid w:val="00CC7147"/>
    <w:rsid w:val="00CC7EF6"/>
    <w:rsid w:val="00CD049B"/>
    <w:rsid w:val="00CD079E"/>
    <w:rsid w:val="00CD0C5C"/>
    <w:rsid w:val="00CD2645"/>
    <w:rsid w:val="00CD2FFA"/>
    <w:rsid w:val="00CD354A"/>
    <w:rsid w:val="00CD393F"/>
    <w:rsid w:val="00CD52D1"/>
    <w:rsid w:val="00CD6531"/>
    <w:rsid w:val="00CD6AC4"/>
    <w:rsid w:val="00CD7035"/>
    <w:rsid w:val="00CD7AC0"/>
    <w:rsid w:val="00CE0D1A"/>
    <w:rsid w:val="00CE240B"/>
    <w:rsid w:val="00CE2B33"/>
    <w:rsid w:val="00CE313E"/>
    <w:rsid w:val="00CE5A71"/>
    <w:rsid w:val="00CF30B4"/>
    <w:rsid w:val="00CF3224"/>
    <w:rsid w:val="00CF7125"/>
    <w:rsid w:val="00CF755F"/>
    <w:rsid w:val="00D0104F"/>
    <w:rsid w:val="00D0168B"/>
    <w:rsid w:val="00D02BB1"/>
    <w:rsid w:val="00D05F93"/>
    <w:rsid w:val="00D06C57"/>
    <w:rsid w:val="00D074FC"/>
    <w:rsid w:val="00D1002B"/>
    <w:rsid w:val="00D10742"/>
    <w:rsid w:val="00D1248B"/>
    <w:rsid w:val="00D13838"/>
    <w:rsid w:val="00D13F1F"/>
    <w:rsid w:val="00D149B1"/>
    <w:rsid w:val="00D149C5"/>
    <w:rsid w:val="00D1540C"/>
    <w:rsid w:val="00D1624B"/>
    <w:rsid w:val="00D17BF2"/>
    <w:rsid w:val="00D20C11"/>
    <w:rsid w:val="00D22AA7"/>
    <w:rsid w:val="00D2307A"/>
    <w:rsid w:val="00D2329F"/>
    <w:rsid w:val="00D2356F"/>
    <w:rsid w:val="00D23EF4"/>
    <w:rsid w:val="00D24074"/>
    <w:rsid w:val="00D24AF8"/>
    <w:rsid w:val="00D24C0B"/>
    <w:rsid w:val="00D24C90"/>
    <w:rsid w:val="00D25625"/>
    <w:rsid w:val="00D26842"/>
    <w:rsid w:val="00D27357"/>
    <w:rsid w:val="00D27FE5"/>
    <w:rsid w:val="00D31059"/>
    <w:rsid w:val="00D33584"/>
    <w:rsid w:val="00D3398D"/>
    <w:rsid w:val="00D34256"/>
    <w:rsid w:val="00D348A9"/>
    <w:rsid w:val="00D375AD"/>
    <w:rsid w:val="00D43CAE"/>
    <w:rsid w:val="00D44628"/>
    <w:rsid w:val="00D4480E"/>
    <w:rsid w:val="00D51BD3"/>
    <w:rsid w:val="00D54106"/>
    <w:rsid w:val="00D54A1F"/>
    <w:rsid w:val="00D5535E"/>
    <w:rsid w:val="00D55B35"/>
    <w:rsid w:val="00D576FD"/>
    <w:rsid w:val="00D578B0"/>
    <w:rsid w:val="00D617D9"/>
    <w:rsid w:val="00D646E4"/>
    <w:rsid w:val="00D65E1E"/>
    <w:rsid w:val="00D66F9A"/>
    <w:rsid w:val="00D672C8"/>
    <w:rsid w:val="00D713F0"/>
    <w:rsid w:val="00D7237D"/>
    <w:rsid w:val="00D72BFA"/>
    <w:rsid w:val="00D7789E"/>
    <w:rsid w:val="00D80049"/>
    <w:rsid w:val="00D81955"/>
    <w:rsid w:val="00D81EDD"/>
    <w:rsid w:val="00D83285"/>
    <w:rsid w:val="00D83EF5"/>
    <w:rsid w:val="00D84BAD"/>
    <w:rsid w:val="00D84DF9"/>
    <w:rsid w:val="00D84F5A"/>
    <w:rsid w:val="00D86751"/>
    <w:rsid w:val="00D91C17"/>
    <w:rsid w:val="00D92494"/>
    <w:rsid w:val="00D93AA9"/>
    <w:rsid w:val="00D93E87"/>
    <w:rsid w:val="00D946BC"/>
    <w:rsid w:val="00DA1615"/>
    <w:rsid w:val="00DA18A0"/>
    <w:rsid w:val="00DA25E2"/>
    <w:rsid w:val="00DA3266"/>
    <w:rsid w:val="00DA4561"/>
    <w:rsid w:val="00DA771A"/>
    <w:rsid w:val="00DA78AD"/>
    <w:rsid w:val="00DB15A0"/>
    <w:rsid w:val="00DB4C41"/>
    <w:rsid w:val="00DB700E"/>
    <w:rsid w:val="00DB7517"/>
    <w:rsid w:val="00DB7792"/>
    <w:rsid w:val="00DB7C46"/>
    <w:rsid w:val="00DC0577"/>
    <w:rsid w:val="00DC3D42"/>
    <w:rsid w:val="00DC45D6"/>
    <w:rsid w:val="00DC5941"/>
    <w:rsid w:val="00DC7469"/>
    <w:rsid w:val="00DD0E03"/>
    <w:rsid w:val="00DD5B7F"/>
    <w:rsid w:val="00DD63FD"/>
    <w:rsid w:val="00DD7064"/>
    <w:rsid w:val="00DD7DCE"/>
    <w:rsid w:val="00DD7E16"/>
    <w:rsid w:val="00DE0021"/>
    <w:rsid w:val="00DE1CED"/>
    <w:rsid w:val="00DE22A5"/>
    <w:rsid w:val="00DE2323"/>
    <w:rsid w:val="00DE2F8F"/>
    <w:rsid w:val="00DE3444"/>
    <w:rsid w:val="00DE779C"/>
    <w:rsid w:val="00DE7826"/>
    <w:rsid w:val="00DE7B88"/>
    <w:rsid w:val="00DE7D33"/>
    <w:rsid w:val="00DF3235"/>
    <w:rsid w:val="00DF4D5C"/>
    <w:rsid w:val="00DF6852"/>
    <w:rsid w:val="00DF7768"/>
    <w:rsid w:val="00E01462"/>
    <w:rsid w:val="00E03218"/>
    <w:rsid w:val="00E03722"/>
    <w:rsid w:val="00E04083"/>
    <w:rsid w:val="00E0690E"/>
    <w:rsid w:val="00E10667"/>
    <w:rsid w:val="00E12F3D"/>
    <w:rsid w:val="00E14721"/>
    <w:rsid w:val="00E15F14"/>
    <w:rsid w:val="00E16167"/>
    <w:rsid w:val="00E16BF2"/>
    <w:rsid w:val="00E177AB"/>
    <w:rsid w:val="00E21856"/>
    <w:rsid w:val="00E235FA"/>
    <w:rsid w:val="00E304CF"/>
    <w:rsid w:val="00E30DB5"/>
    <w:rsid w:val="00E31806"/>
    <w:rsid w:val="00E32679"/>
    <w:rsid w:val="00E37B5F"/>
    <w:rsid w:val="00E40095"/>
    <w:rsid w:val="00E40151"/>
    <w:rsid w:val="00E435F9"/>
    <w:rsid w:val="00E46A35"/>
    <w:rsid w:val="00E512AC"/>
    <w:rsid w:val="00E51CD8"/>
    <w:rsid w:val="00E5479D"/>
    <w:rsid w:val="00E551DC"/>
    <w:rsid w:val="00E55950"/>
    <w:rsid w:val="00E55E8A"/>
    <w:rsid w:val="00E570CC"/>
    <w:rsid w:val="00E570DB"/>
    <w:rsid w:val="00E60AE4"/>
    <w:rsid w:val="00E632AF"/>
    <w:rsid w:val="00E63FA0"/>
    <w:rsid w:val="00E644D7"/>
    <w:rsid w:val="00E65B1C"/>
    <w:rsid w:val="00E678F5"/>
    <w:rsid w:val="00E70931"/>
    <w:rsid w:val="00E71367"/>
    <w:rsid w:val="00E720D0"/>
    <w:rsid w:val="00E7211A"/>
    <w:rsid w:val="00E7242D"/>
    <w:rsid w:val="00E73324"/>
    <w:rsid w:val="00E7706C"/>
    <w:rsid w:val="00E80FAB"/>
    <w:rsid w:val="00E8225E"/>
    <w:rsid w:val="00E82749"/>
    <w:rsid w:val="00E83958"/>
    <w:rsid w:val="00E83D44"/>
    <w:rsid w:val="00E83DBA"/>
    <w:rsid w:val="00E84D61"/>
    <w:rsid w:val="00E8608B"/>
    <w:rsid w:val="00E91FEB"/>
    <w:rsid w:val="00E95375"/>
    <w:rsid w:val="00E957FA"/>
    <w:rsid w:val="00E95A2A"/>
    <w:rsid w:val="00E96545"/>
    <w:rsid w:val="00EA01E8"/>
    <w:rsid w:val="00EA0D89"/>
    <w:rsid w:val="00EA4E52"/>
    <w:rsid w:val="00EA5E04"/>
    <w:rsid w:val="00EA6A93"/>
    <w:rsid w:val="00EA6F50"/>
    <w:rsid w:val="00EA7F48"/>
    <w:rsid w:val="00EB020D"/>
    <w:rsid w:val="00EB1256"/>
    <w:rsid w:val="00EB1466"/>
    <w:rsid w:val="00EB2BA2"/>
    <w:rsid w:val="00EB2BA8"/>
    <w:rsid w:val="00EB3973"/>
    <w:rsid w:val="00EB4243"/>
    <w:rsid w:val="00EB74A3"/>
    <w:rsid w:val="00EC0777"/>
    <w:rsid w:val="00EC164B"/>
    <w:rsid w:val="00EC1806"/>
    <w:rsid w:val="00EC2265"/>
    <w:rsid w:val="00EC30CE"/>
    <w:rsid w:val="00EC6D76"/>
    <w:rsid w:val="00EC72C8"/>
    <w:rsid w:val="00EC75AB"/>
    <w:rsid w:val="00ED149C"/>
    <w:rsid w:val="00ED1A99"/>
    <w:rsid w:val="00ED2148"/>
    <w:rsid w:val="00ED4117"/>
    <w:rsid w:val="00ED5D21"/>
    <w:rsid w:val="00ED77B9"/>
    <w:rsid w:val="00EE07AD"/>
    <w:rsid w:val="00EE0CD2"/>
    <w:rsid w:val="00EE1CC3"/>
    <w:rsid w:val="00EE4423"/>
    <w:rsid w:val="00EE5B04"/>
    <w:rsid w:val="00EE5B23"/>
    <w:rsid w:val="00EE684A"/>
    <w:rsid w:val="00EE6AC0"/>
    <w:rsid w:val="00EF393A"/>
    <w:rsid w:val="00EF461D"/>
    <w:rsid w:val="00EF4AA5"/>
    <w:rsid w:val="00EF6E73"/>
    <w:rsid w:val="00F01383"/>
    <w:rsid w:val="00F02092"/>
    <w:rsid w:val="00F0232A"/>
    <w:rsid w:val="00F05060"/>
    <w:rsid w:val="00F05313"/>
    <w:rsid w:val="00F05F5B"/>
    <w:rsid w:val="00F0646C"/>
    <w:rsid w:val="00F072A9"/>
    <w:rsid w:val="00F0798C"/>
    <w:rsid w:val="00F083B1"/>
    <w:rsid w:val="00F10945"/>
    <w:rsid w:val="00F10F5D"/>
    <w:rsid w:val="00F11C19"/>
    <w:rsid w:val="00F12593"/>
    <w:rsid w:val="00F1731F"/>
    <w:rsid w:val="00F2030F"/>
    <w:rsid w:val="00F217D1"/>
    <w:rsid w:val="00F22302"/>
    <w:rsid w:val="00F231F1"/>
    <w:rsid w:val="00F242DD"/>
    <w:rsid w:val="00F2489B"/>
    <w:rsid w:val="00F30082"/>
    <w:rsid w:val="00F30146"/>
    <w:rsid w:val="00F314E7"/>
    <w:rsid w:val="00F31B45"/>
    <w:rsid w:val="00F32255"/>
    <w:rsid w:val="00F34EC0"/>
    <w:rsid w:val="00F35FC9"/>
    <w:rsid w:val="00F364BC"/>
    <w:rsid w:val="00F36649"/>
    <w:rsid w:val="00F40572"/>
    <w:rsid w:val="00F41412"/>
    <w:rsid w:val="00F41A9E"/>
    <w:rsid w:val="00F44869"/>
    <w:rsid w:val="00F4687F"/>
    <w:rsid w:val="00F46E2A"/>
    <w:rsid w:val="00F47A79"/>
    <w:rsid w:val="00F47FA8"/>
    <w:rsid w:val="00F5068B"/>
    <w:rsid w:val="00F51888"/>
    <w:rsid w:val="00F525A7"/>
    <w:rsid w:val="00F55724"/>
    <w:rsid w:val="00F56C2E"/>
    <w:rsid w:val="00F60D3D"/>
    <w:rsid w:val="00F62F98"/>
    <w:rsid w:val="00F63485"/>
    <w:rsid w:val="00F63C28"/>
    <w:rsid w:val="00F63FEA"/>
    <w:rsid w:val="00F65BCB"/>
    <w:rsid w:val="00F65D7C"/>
    <w:rsid w:val="00F665A3"/>
    <w:rsid w:val="00F66683"/>
    <w:rsid w:val="00F66BDE"/>
    <w:rsid w:val="00F677D8"/>
    <w:rsid w:val="00F707F8"/>
    <w:rsid w:val="00F72B0C"/>
    <w:rsid w:val="00F75360"/>
    <w:rsid w:val="00F7696E"/>
    <w:rsid w:val="00F76E45"/>
    <w:rsid w:val="00F80941"/>
    <w:rsid w:val="00F8127C"/>
    <w:rsid w:val="00F82313"/>
    <w:rsid w:val="00F8409A"/>
    <w:rsid w:val="00F851F8"/>
    <w:rsid w:val="00F86649"/>
    <w:rsid w:val="00F86CAA"/>
    <w:rsid w:val="00F86D30"/>
    <w:rsid w:val="00F86EE8"/>
    <w:rsid w:val="00F87599"/>
    <w:rsid w:val="00F8D775"/>
    <w:rsid w:val="00F9128B"/>
    <w:rsid w:val="00F922C4"/>
    <w:rsid w:val="00F92949"/>
    <w:rsid w:val="00F92FE7"/>
    <w:rsid w:val="00F94BEA"/>
    <w:rsid w:val="00F950B1"/>
    <w:rsid w:val="00F96060"/>
    <w:rsid w:val="00F97CA9"/>
    <w:rsid w:val="00FA0209"/>
    <w:rsid w:val="00FA135E"/>
    <w:rsid w:val="00FA1E14"/>
    <w:rsid w:val="00FA3E37"/>
    <w:rsid w:val="00FA479A"/>
    <w:rsid w:val="00FB2859"/>
    <w:rsid w:val="00FB2C82"/>
    <w:rsid w:val="00FB3E40"/>
    <w:rsid w:val="00FB5037"/>
    <w:rsid w:val="00FB5372"/>
    <w:rsid w:val="00FB7465"/>
    <w:rsid w:val="00FC1837"/>
    <w:rsid w:val="00FC373A"/>
    <w:rsid w:val="00FC5288"/>
    <w:rsid w:val="00FC52C0"/>
    <w:rsid w:val="00FC7D08"/>
    <w:rsid w:val="00FD1A7F"/>
    <w:rsid w:val="00FD357F"/>
    <w:rsid w:val="00FD437E"/>
    <w:rsid w:val="00FD4777"/>
    <w:rsid w:val="00FD49E5"/>
    <w:rsid w:val="00FD54A3"/>
    <w:rsid w:val="00FD7A1C"/>
    <w:rsid w:val="00FE0F16"/>
    <w:rsid w:val="00FE1EAB"/>
    <w:rsid w:val="00FE222A"/>
    <w:rsid w:val="00FE2AB2"/>
    <w:rsid w:val="00FE5589"/>
    <w:rsid w:val="00FE5815"/>
    <w:rsid w:val="00FE6379"/>
    <w:rsid w:val="00FF0D26"/>
    <w:rsid w:val="00FF0E64"/>
    <w:rsid w:val="00FF1F6D"/>
    <w:rsid w:val="00FF2A87"/>
    <w:rsid w:val="00FF3899"/>
    <w:rsid w:val="00FF461E"/>
    <w:rsid w:val="00FF4F19"/>
    <w:rsid w:val="00FF7AF4"/>
    <w:rsid w:val="010AE857"/>
    <w:rsid w:val="012AF44C"/>
    <w:rsid w:val="01528A30"/>
    <w:rsid w:val="015E3664"/>
    <w:rsid w:val="017F1518"/>
    <w:rsid w:val="01D34BF7"/>
    <w:rsid w:val="01D8A8C6"/>
    <w:rsid w:val="01DB6F9D"/>
    <w:rsid w:val="01F68156"/>
    <w:rsid w:val="01FC8A5E"/>
    <w:rsid w:val="021D1483"/>
    <w:rsid w:val="028346EB"/>
    <w:rsid w:val="02B30321"/>
    <w:rsid w:val="02C52683"/>
    <w:rsid w:val="02D11BEC"/>
    <w:rsid w:val="02E97CBF"/>
    <w:rsid w:val="02F26E3D"/>
    <w:rsid w:val="0306DADA"/>
    <w:rsid w:val="033416CF"/>
    <w:rsid w:val="03574EB8"/>
    <w:rsid w:val="03741026"/>
    <w:rsid w:val="039251B7"/>
    <w:rsid w:val="03A0D1FE"/>
    <w:rsid w:val="03EA32E6"/>
    <w:rsid w:val="0418F992"/>
    <w:rsid w:val="045066AB"/>
    <w:rsid w:val="04510F17"/>
    <w:rsid w:val="046E5FFF"/>
    <w:rsid w:val="0476B83C"/>
    <w:rsid w:val="0478CA9C"/>
    <w:rsid w:val="0488969C"/>
    <w:rsid w:val="04A2AB3B"/>
    <w:rsid w:val="04AB43BD"/>
    <w:rsid w:val="04BFA221"/>
    <w:rsid w:val="04E46F2B"/>
    <w:rsid w:val="050AECB9"/>
    <w:rsid w:val="051998C2"/>
    <w:rsid w:val="051A3B88"/>
    <w:rsid w:val="05213CC5"/>
    <w:rsid w:val="052E2218"/>
    <w:rsid w:val="05335693"/>
    <w:rsid w:val="053F5CEF"/>
    <w:rsid w:val="0545A24E"/>
    <w:rsid w:val="05582F1D"/>
    <w:rsid w:val="0567E5EC"/>
    <w:rsid w:val="05684D9D"/>
    <w:rsid w:val="057B5C20"/>
    <w:rsid w:val="058CFFDA"/>
    <w:rsid w:val="05AF7E32"/>
    <w:rsid w:val="05BD46FB"/>
    <w:rsid w:val="05E8434A"/>
    <w:rsid w:val="05EF9451"/>
    <w:rsid w:val="062A0EFF"/>
    <w:rsid w:val="064EC08C"/>
    <w:rsid w:val="0652ABB4"/>
    <w:rsid w:val="06544E91"/>
    <w:rsid w:val="06564AD8"/>
    <w:rsid w:val="0669B86C"/>
    <w:rsid w:val="068F9251"/>
    <w:rsid w:val="06989689"/>
    <w:rsid w:val="06AF7FCA"/>
    <w:rsid w:val="06B7F426"/>
    <w:rsid w:val="06DC8BA8"/>
    <w:rsid w:val="07162320"/>
    <w:rsid w:val="072CB9F4"/>
    <w:rsid w:val="073FFBDE"/>
    <w:rsid w:val="074D65C1"/>
    <w:rsid w:val="07584351"/>
    <w:rsid w:val="076999AF"/>
    <w:rsid w:val="0787915B"/>
    <w:rsid w:val="07C13036"/>
    <w:rsid w:val="0803795D"/>
    <w:rsid w:val="0876FDB1"/>
    <w:rsid w:val="08A08209"/>
    <w:rsid w:val="08A38929"/>
    <w:rsid w:val="08B1B4CD"/>
    <w:rsid w:val="08B27340"/>
    <w:rsid w:val="08E7C53A"/>
    <w:rsid w:val="08F4D3DF"/>
    <w:rsid w:val="08FA4A2E"/>
    <w:rsid w:val="0900341B"/>
    <w:rsid w:val="09406C66"/>
    <w:rsid w:val="0961AFC1"/>
    <w:rsid w:val="09867E94"/>
    <w:rsid w:val="0A124E08"/>
    <w:rsid w:val="0A80F2FC"/>
    <w:rsid w:val="0AB3C4AE"/>
    <w:rsid w:val="0AE33711"/>
    <w:rsid w:val="0AEAE1BD"/>
    <w:rsid w:val="0B155EC5"/>
    <w:rsid w:val="0B174994"/>
    <w:rsid w:val="0B6AC19C"/>
    <w:rsid w:val="0BAE9E73"/>
    <w:rsid w:val="0BB6014F"/>
    <w:rsid w:val="0C460900"/>
    <w:rsid w:val="0C7333B3"/>
    <w:rsid w:val="0C77FE32"/>
    <w:rsid w:val="0C99D667"/>
    <w:rsid w:val="0CB319F5"/>
    <w:rsid w:val="0CD47ABC"/>
    <w:rsid w:val="0CE6DFC9"/>
    <w:rsid w:val="0D052FF9"/>
    <w:rsid w:val="0D58FD4F"/>
    <w:rsid w:val="0D7CFBFC"/>
    <w:rsid w:val="0D8EAA15"/>
    <w:rsid w:val="0DA8107A"/>
    <w:rsid w:val="0DC702A8"/>
    <w:rsid w:val="0DDBB21E"/>
    <w:rsid w:val="0E0CED43"/>
    <w:rsid w:val="0E462E5B"/>
    <w:rsid w:val="0E5ECDBF"/>
    <w:rsid w:val="0E918A98"/>
    <w:rsid w:val="0EA89DCB"/>
    <w:rsid w:val="0ED5045E"/>
    <w:rsid w:val="0F0998D5"/>
    <w:rsid w:val="0F5268C9"/>
    <w:rsid w:val="0F7BCAF1"/>
    <w:rsid w:val="0FB7C8E8"/>
    <w:rsid w:val="0FFA1339"/>
    <w:rsid w:val="1056EDE1"/>
    <w:rsid w:val="10AD8821"/>
    <w:rsid w:val="10B5508E"/>
    <w:rsid w:val="10C322E0"/>
    <w:rsid w:val="10FF731D"/>
    <w:rsid w:val="1104810C"/>
    <w:rsid w:val="1114FE1B"/>
    <w:rsid w:val="11202C65"/>
    <w:rsid w:val="11AD25D9"/>
    <w:rsid w:val="11C3354C"/>
    <w:rsid w:val="11D4C663"/>
    <w:rsid w:val="11D834EA"/>
    <w:rsid w:val="11ECFE5F"/>
    <w:rsid w:val="120672E7"/>
    <w:rsid w:val="12089B61"/>
    <w:rsid w:val="122BFE38"/>
    <w:rsid w:val="123D28D3"/>
    <w:rsid w:val="1243250E"/>
    <w:rsid w:val="1290D4C5"/>
    <w:rsid w:val="12CF581B"/>
    <w:rsid w:val="12DE9E26"/>
    <w:rsid w:val="12E22682"/>
    <w:rsid w:val="12EA692A"/>
    <w:rsid w:val="12F6DD1A"/>
    <w:rsid w:val="1304B967"/>
    <w:rsid w:val="1310D483"/>
    <w:rsid w:val="1379587D"/>
    <w:rsid w:val="13B6D09A"/>
    <w:rsid w:val="13F2BD6F"/>
    <w:rsid w:val="1433C251"/>
    <w:rsid w:val="143FC901"/>
    <w:rsid w:val="146272E4"/>
    <w:rsid w:val="1471D540"/>
    <w:rsid w:val="1477D9AF"/>
    <w:rsid w:val="1479C968"/>
    <w:rsid w:val="149B266B"/>
    <w:rsid w:val="149D5C60"/>
    <w:rsid w:val="14BC6888"/>
    <w:rsid w:val="14C1ACD4"/>
    <w:rsid w:val="14C2608D"/>
    <w:rsid w:val="152432EE"/>
    <w:rsid w:val="152CA799"/>
    <w:rsid w:val="15334779"/>
    <w:rsid w:val="153AFA95"/>
    <w:rsid w:val="15639EFA"/>
    <w:rsid w:val="15663CC3"/>
    <w:rsid w:val="15B19E6C"/>
    <w:rsid w:val="16161E77"/>
    <w:rsid w:val="1616F2F2"/>
    <w:rsid w:val="16301B4F"/>
    <w:rsid w:val="16356383"/>
    <w:rsid w:val="1636F041"/>
    <w:rsid w:val="164DD0D2"/>
    <w:rsid w:val="165B9611"/>
    <w:rsid w:val="165C8CEC"/>
    <w:rsid w:val="166D54BD"/>
    <w:rsid w:val="1685E86E"/>
    <w:rsid w:val="16A199C0"/>
    <w:rsid w:val="16ABA60D"/>
    <w:rsid w:val="16E0404F"/>
    <w:rsid w:val="16F5B1EA"/>
    <w:rsid w:val="1713407B"/>
    <w:rsid w:val="172A68E5"/>
    <w:rsid w:val="177677D3"/>
    <w:rsid w:val="177B99F5"/>
    <w:rsid w:val="179C6838"/>
    <w:rsid w:val="17B2C353"/>
    <w:rsid w:val="17BAB0D9"/>
    <w:rsid w:val="17C2DACD"/>
    <w:rsid w:val="181F631B"/>
    <w:rsid w:val="18375F76"/>
    <w:rsid w:val="183DD373"/>
    <w:rsid w:val="186AE83B"/>
    <w:rsid w:val="18BAAA9F"/>
    <w:rsid w:val="18C8752D"/>
    <w:rsid w:val="18E23131"/>
    <w:rsid w:val="18E86807"/>
    <w:rsid w:val="19211564"/>
    <w:rsid w:val="19332CDB"/>
    <w:rsid w:val="194E93B4"/>
    <w:rsid w:val="19814EC8"/>
    <w:rsid w:val="198B8662"/>
    <w:rsid w:val="19A31DF5"/>
    <w:rsid w:val="19BE88B0"/>
    <w:rsid w:val="19F5655D"/>
    <w:rsid w:val="1A4256A7"/>
    <w:rsid w:val="1A7B2ECB"/>
    <w:rsid w:val="1A888050"/>
    <w:rsid w:val="1A89FA5F"/>
    <w:rsid w:val="1A973CCD"/>
    <w:rsid w:val="1AA9A494"/>
    <w:rsid w:val="1B0D69DE"/>
    <w:rsid w:val="1B3AE544"/>
    <w:rsid w:val="1B42C19F"/>
    <w:rsid w:val="1B66D5C2"/>
    <w:rsid w:val="1B67F1FA"/>
    <w:rsid w:val="1BA288FD"/>
    <w:rsid w:val="1BC09AF4"/>
    <w:rsid w:val="1C0B9955"/>
    <w:rsid w:val="1C0DE257"/>
    <w:rsid w:val="1C202B76"/>
    <w:rsid w:val="1C6BDF21"/>
    <w:rsid w:val="1C863476"/>
    <w:rsid w:val="1C8BA9A9"/>
    <w:rsid w:val="1CA67CF0"/>
    <w:rsid w:val="1CEB092F"/>
    <w:rsid w:val="1D1AE791"/>
    <w:rsid w:val="1D7E0A58"/>
    <w:rsid w:val="1D93A589"/>
    <w:rsid w:val="1DC384A3"/>
    <w:rsid w:val="1DD3E93D"/>
    <w:rsid w:val="1DFD5BD4"/>
    <w:rsid w:val="1E565142"/>
    <w:rsid w:val="1E5D6108"/>
    <w:rsid w:val="1E8A27B7"/>
    <w:rsid w:val="1E94741A"/>
    <w:rsid w:val="1ED55879"/>
    <w:rsid w:val="1F1DB2B4"/>
    <w:rsid w:val="1F470E29"/>
    <w:rsid w:val="1F5F1F6A"/>
    <w:rsid w:val="1F7B2732"/>
    <w:rsid w:val="1FAA0298"/>
    <w:rsid w:val="1FBDD538"/>
    <w:rsid w:val="20153687"/>
    <w:rsid w:val="202541AC"/>
    <w:rsid w:val="20AD1D9E"/>
    <w:rsid w:val="2113A446"/>
    <w:rsid w:val="2115771F"/>
    <w:rsid w:val="213C24AF"/>
    <w:rsid w:val="2207048A"/>
    <w:rsid w:val="2216B3A7"/>
    <w:rsid w:val="2218EE55"/>
    <w:rsid w:val="222E0056"/>
    <w:rsid w:val="223AEA9D"/>
    <w:rsid w:val="22C8B388"/>
    <w:rsid w:val="22DB7345"/>
    <w:rsid w:val="2320777A"/>
    <w:rsid w:val="233FDE69"/>
    <w:rsid w:val="234FA9DF"/>
    <w:rsid w:val="23A0CCB7"/>
    <w:rsid w:val="23B56BFD"/>
    <w:rsid w:val="23B8A7B0"/>
    <w:rsid w:val="23CCD345"/>
    <w:rsid w:val="240F38F0"/>
    <w:rsid w:val="242E2C4D"/>
    <w:rsid w:val="243F226C"/>
    <w:rsid w:val="244563B5"/>
    <w:rsid w:val="244C38A5"/>
    <w:rsid w:val="244C8795"/>
    <w:rsid w:val="245D9F56"/>
    <w:rsid w:val="247952CE"/>
    <w:rsid w:val="2481FEFA"/>
    <w:rsid w:val="24B272A8"/>
    <w:rsid w:val="257CC463"/>
    <w:rsid w:val="25A7CD5B"/>
    <w:rsid w:val="25C6AF81"/>
    <w:rsid w:val="25DC7691"/>
    <w:rsid w:val="25E847C3"/>
    <w:rsid w:val="25FF3536"/>
    <w:rsid w:val="262BAB1B"/>
    <w:rsid w:val="26AB33F2"/>
    <w:rsid w:val="2700391B"/>
    <w:rsid w:val="2704584E"/>
    <w:rsid w:val="27098494"/>
    <w:rsid w:val="270A5F7A"/>
    <w:rsid w:val="2739C5E3"/>
    <w:rsid w:val="27501862"/>
    <w:rsid w:val="27D4F872"/>
    <w:rsid w:val="27E35DD3"/>
    <w:rsid w:val="27EE4DB3"/>
    <w:rsid w:val="2810CDFC"/>
    <w:rsid w:val="28275128"/>
    <w:rsid w:val="283E029F"/>
    <w:rsid w:val="285AE43A"/>
    <w:rsid w:val="287DF70D"/>
    <w:rsid w:val="287F0E7D"/>
    <w:rsid w:val="2880AD11"/>
    <w:rsid w:val="28B9510C"/>
    <w:rsid w:val="28E2EBA4"/>
    <w:rsid w:val="28F79EC4"/>
    <w:rsid w:val="290E1AAB"/>
    <w:rsid w:val="292712E6"/>
    <w:rsid w:val="2938CD3F"/>
    <w:rsid w:val="29398853"/>
    <w:rsid w:val="2939AD1F"/>
    <w:rsid w:val="294E0F70"/>
    <w:rsid w:val="29567AEA"/>
    <w:rsid w:val="2961CAE4"/>
    <w:rsid w:val="296C2837"/>
    <w:rsid w:val="296CA504"/>
    <w:rsid w:val="2A2C43B7"/>
    <w:rsid w:val="2A305F08"/>
    <w:rsid w:val="2A3856CD"/>
    <w:rsid w:val="2A65E49F"/>
    <w:rsid w:val="2A9C2300"/>
    <w:rsid w:val="2AB8A17C"/>
    <w:rsid w:val="2ABE33A2"/>
    <w:rsid w:val="2AE70AE8"/>
    <w:rsid w:val="2AFD0F78"/>
    <w:rsid w:val="2B0C7DAC"/>
    <w:rsid w:val="2B342CAA"/>
    <w:rsid w:val="2B953AFA"/>
    <w:rsid w:val="2BC09CE8"/>
    <w:rsid w:val="2BD1D524"/>
    <w:rsid w:val="2BDDF1DA"/>
    <w:rsid w:val="2BE87196"/>
    <w:rsid w:val="2BF6E371"/>
    <w:rsid w:val="2C4F83E6"/>
    <w:rsid w:val="2C5AE1FC"/>
    <w:rsid w:val="2C6A45EA"/>
    <w:rsid w:val="2C7DBD9B"/>
    <w:rsid w:val="2CA6CAE4"/>
    <w:rsid w:val="2CC42A06"/>
    <w:rsid w:val="2CE26EE8"/>
    <w:rsid w:val="2D41E609"/>
    <w:rsid w:val="2D4354B7"/>
    <w:rsid w:val="2D76D4EF"/>
    <w:rsid w:val="2E137F4D"/>
    <w:rsid w:val="2E3721A7"/>
    <w:rsid w:val="2E3BC9DF"/>
    <w:rsid w:val="2E605B4F"/>
    <w:rsid w:val="2E60B766"/>
    <w:rsid w:val="2EBA126E"/>
    <w:rsid w:val="2ECCDBBC"/>
    <w:rsid w:val="2F0F6A33"/>
    <w:rsid w:val="2F1AB0BD"/>
    <w:rsid w:val="2F22DAB1"/>
    <w:rsid w:val="2F5E34EA"/>
    <w:rsid w:val="2FAB86ED"/>
    <w:rsid w:val="2FBBAE90"/>
    <w:rsid w:val="2FBBC2E4"/>
    <w:rsid w:val="2FF15D35"/>
    <w:rsid w:val="3000BCC9"/>
    <w:rsid w:val="304E3997"/>
    <w:rsid w:val="304FD81E"/>
    <w:rsid w:val="30721CA6"/>
    <w:rsid w:val="30A328A3"/>
    <w:rsid w:val="30AC7F0A"/>
    <w:rsid w:val="30C8E338"/>
    <w:rsid w:val="30E5E7CA"/>
    <w:rsid w:val="30E84ACC"/>
    <w:rsid w:val="3126CE62"/>
    <w:rsid w:val="314523EA"/>
    <w:rsid w:val="314564E3"/>
    <w:rsid w:val="31499D31"/>
    <w:rsid w:val="3160B82A"/>
    <w:rsid w:val="3180A41E"/>
    <w:rsid w:val="319AC30E"/>
    <w:rsid w:val="324116A8"/>
    <w:rsid w:val="3250E25A"/>
    <w:rsid w:val="325DC584"/>
    <w:rsid w:val="32957F95"/>
    <w:rsid w:val="3295F815"/>
    <w:rsid w:val="32A683B2"/>
    <w:rsid w:val="32AF577D"/>
    <w:rsid w:val="32CB3E6C"/>
    <w:rsid w:val="32CDE0C0"/>
    <w:rsid w:val="3313874A"/>
    <w:rsid w:val="333FBA40"/>
    <w:rsid w:val="33518F23"/>
    <w:rsid w:val="33756BC4"/>
    <w:rsid w:val="338850B8"/>
    <w:rsid w:val="339016ED"/>
    <w:rsid w:val="33B0ECDC"/>
    <w:rsid w:val="33F89E01"/>
    <w:rsid w:val="33FF5CB7"/>
    <w:rsid w:val="34012A96"/>
    <w:rsid w:val="3425835D"/>
    <w:rsid w:val="3426E5E4"/>
    <w:rsid w:val="342BCE54"/>
    <w:rsid w:val="342EF0FB"/>
    <w:rsid w:val="3448D0BF"/>
    <w:rsid w:val="345A9298"/>
    <w:rsid w:val="3490BA78"/>
    <w:rsid w:val="3499EC8C"/>
    <w:rsid w:val="34B8386E"/>
    <w:rsid w:val="34CF1AA5"/>
    <w:rsid w:val="3506CFD0"/>
    <w:rsid w:val="3569C7C9"/>
    <w:rsid w:val="35894F6F"/>
    <w:rsid w:val="35C2BE7C"/>
    <w:rsid w:val="360D031E"/>
    <w:rsid w:val="36219AD8"/>
    <w:rsid w:val="3642D59C"/>
    <w:rsid w:val="36599581"/>
    <w:rsid w:val="3661A5A4"/>
    <w:rsid w:val="367E4992"/>
    <w:rsid w:val="36819D34"/>
    <w:rsid w:val="36893D7B"/>
    <w:rsid w:val="369797A7"/>
    <w:rsid w:val="36A991DF"/>
    <w:rsid w:val="36ACCB2A"/>
    <w:rsid w:val="36B88FF2"/>
    <w:rsid w:val="3720142E"/>
    <w:rsid w:val="37638773"/>
    <w:rsid w:val="37DF3826"/>
    <w:rsid w:val="37DF431B"/>
    <w:rsid w:val="37E6F86D"/>
    <w:rsid w:val="37FA20A7"/>
    <w:rsid w:val="3813B402"/>
    <w:rsid w:val="38193186"/>
    <w:rsid w:val="38706F81"/>
    <w:rsid w:val="388BB98D"/>
    <w:rsid w:val="38C131E6"/>
    <w:rsid w:val="38C9E5CD"/>
    <w:rsid w:val="38CF4FCB"/>
    <w:rsid w:val="38F2CEBF"/>
    <w:rsid w:val="3935C4F4"/>
    <w:rsid w:val="394FD90F"/>
    <w:rsid w:val="39940C98"/>
    <w:rsid w:val="39BAC999"/>
    <w:rsid w:val="39CB5ECB"/>
    <w:rsid w:val="3A4DF6CF"/>
    <w:rsid w:val="3AD3D321"/>
    <w:rsid w:val="3AEAD281"/>
    <w:rsid w:val="3B037550"/>
    <w:rsid w:val="3B1C41E6"/>
    <w:rsid w:val="3B2D8817"/>
    <w:rsid w:val="3B8556A5"/>
    <w:rsid w:val="3BA3635A"/>
    <w:rsid w:val="3BF933C5"/>
    <w:rsid w:val="3C34DFBB"/>
    <w:rsid w:val="3C362577"/>
    <w:rsid w:val="3C47135E"/>
    <w:rsid w:val="3C4CD9E9"/>
    <w:rsid w:val="3CC781D2"/>
    <w:rsid w:val="3CCF4AC6"/>
    <w:rsid w:val="3CE8495D"/>
    <w:rsid w:val="3D6DC4AC"/>
    <w:rsid w:val="3DC6F3D5"/>
    <w:rsid w:val="3DCB5841"/>
    <w:rsid w:val="3E778C42"/>
    <w:rsid w:val="3EA1246E"/>
    <w:rsid w:val="3EC44255"/>
    <w:rsid w:val="3ECA836F"/>
    <w:rsid w:val="3ECFA938"/>
    <w:rsid w:val="3F91EFB9"/>
    <w:rsid w:val="3FBD9A1C"/>
    <w:rsid w:val="3FC8CB33"/>
    <w:rsid w:val="3FE1CE9F"/>
    <w:rsid w:val="4023FA49"/>
    <w:rsid w:val="403ED26A"/>
    <w:rsid w:val="405810A5"/>
    <w:rsid w:val="40C2CF87"/>
    <w:rsid w:val="40C80D44"/>
    <w:rsid w:val="411D8673"/>
    <w:rsid w:val="4135FD87"/>
    <w:rsid w:val="41615803"/>
    <w:rsid w:val="41AA9F31"/>
    <w:rsid w:val="41ACB222"/>
    <w:rsid w:val="41C864C7"/>
    <w:rsid w:val="41FDABF9"/>
    <w:rsid w:val="420BBCAA"/>
    <w:rsid w:val="4222F12F"/>
    <w:rsid w:val="423F93B4"/>
    <w:rsid w:val="428991AE"/>
    <w:rsid w:val="42A12F08"/>
    <w:rsid w:val="42A73B5C"/>
    <w:rsid w:val="42ABB186"/>
    <w:rsid w:val="42B5F5C5"/>
    <w:rsid w:val="42CCB5C4"/>
    <w:rsid w:val="42E6358E"/>
    <w:rsid w:val="4325D7B3"/>
    <w:rsid w:val="43421F81"/>
    <w:rsid w:val="434DE540"/>
    <w:rsid w:val="435E2A77"/>
    <w:rsid w:val="435E3037"/>
    <w:rsid w:val="437E199E"/>
    <w:rsid w:val="438DE4B4"/>
    <w:rsid w:val="43A908BE"/>
    <w:rsid w:val="43AB8295"/>
    <w:rsid w:val="43D56B27"/>
    <w:rsid w:val="4400A7F3"/>
    <w:rsid w:val="44150351"/>
    <w:rsid w:val="442608C6"/>
    <w:rsid w:val="4445D798"/>
    <w:rsid w:val="4473304E"/>
    <w:rsid w:val="44790605"/>
    <w:rsid w:val="4491160C"/>
    <w:rsid w:val="44DDC897"/>
    <w:rsid w:val="44E6CDC6"/>
    <w:rsid w:val="453BDA17"/>
    <w:rsid w:val="45A330D6"/>
    <w:rsid w:val="45AE0325"/>
    <w:rsid w:val="46504292"/>
    <w:rsid w:val="465244CC"/>
    <w:rsid w:val="466F6A17"/>
    <w:rsid w:val="4683CA35"/>
    <w:rsid w:val="46A26F94"/>
    <w:rsid w:val="46B85D15"/>
    <w:rsid w:val="46C54F28"/>
    <w:rsid w:val="46D3A405"/>
    <w:rsid w:val="4710F62E"/>
    <w:rsid w:val="471DAE4F"/>
    <w:rsid w:val="473E07B1"/>
    <w:rsid w:val="4745673A"/>
    <w:rsid w:val="479A6DC9"/>
    <w:rsid w:val="479DF20A"/>
    <w:rsid w:val="47A89BCB"/>
    <w:rsid w:val="48205095"/>
    <w:rsid w:val="485528D4"/>
    <w:rsid w:val="4863E178"/>
    <w:rsid w:val="4875350B"/>
    <w:rsid w:val="489E3B44"/>
    <w:rsid w:val="48B8D853"/>
    <w:rsid w:val="48D67B60"/>
    <w:rsid w:val="48D7DA5A"/>
    <w:rsid w:val="48E85642"/>
    <w:rsid w:val="49192911"/>
    <w:rsid w:val="492D8A5A"/>
    <w:rsid w:val="4938871A"/>
    <w:rsid w:val="49664DD1"/>
    <w:rsid w:val="49688601"/>
    <w:rsid w:val="498CF975"/>
    <w:rsid w:val="49AB5AF3"/>
    <w:rsid w:val="49BBE6CF"/>
    <w:rsid w:val="49F4DBCE"/>
    <w:rsid w:val="49FA85B4"/>
    <w:rsid w:val="4A3C8A3E"/>
    <w:rsid w:val="4A5180BF"/>
    <w:rsid w:val="4A57D9F5"/>
    <w:rsid w:val="4A624C57"/>
    <w:rsid w:val="4AC8C290"/>
    <w:rsid w:val="4ACF500F"/>
    <w:rsid w:val="4AD6FA40"/>
    <w:rsid w:val="4AD8607A"/>
    <w:rsid w:val="4AEAAA36"/>
    <w:rsid w:val="4AFCD0BD"/>
    <w:rsid w:val="4B095973"/>
    <w:rsid w:val="4B7D34ED"/>
    <w:rsid w:val="4B94E049"/>
    <w:rsid w:val="4B9B2113"/>
    <w:rsid w:val="4BA11163"/>
    <w:rsid w:val="4BB543F4"/>
    <w:rsid w:val="4C648CF3"/>
    <w:rsid w:val="4CCEFA61"/>
    <w:rsid w:val="4CDABD42"/>
    <w:rsid w:val="4D56B641"/>
    <w:rsid w:val="4D56E58C"/>
    <w:rsid w:val="4D772C5B"/>
    <w:rsid w:val="4D778554"/>
    <w:rsid w:val="4DBC144B"/>
    <w:rsid w:val="4DF4F135"/>
    <w:rsid w:val="4DFCAA98"/>
    <w:rsid w:val="4E040301"/>
    <w:rsid w:val="4E0D25B5"/>
    <w:rsid w:val="4E5971CB"/>
    <w:rsid w:val="4E5D6A28"/>
    <w:rsid w:val="4E7263BE"/>
    <w:rsid w:val="4EAB73AC"/>
    <w:rsid w:val="4ECCB170"/>
    <w:rsid w:val="4EFEBB8F"/>
    <w:rsid w:val="4F18F6DF"/>
    <w:rsid w:val="4F2E081D"/>
    <w:rsid w:val="4F32697D"/>
    <w:rsid w:val="4F5DD8F9"/>
    <w:rsid w:val="4F6B6501"/>
    <w:rsid w:val="4F6F15EB"/>
    <w:rsid w:val="4F949176"/>
    <w:rsid w:val="4FBE1932"/>
    <w:rsid w:val="503F62D7"/>
    <w:rsid w:val="5056B1B0"/>
    <w:rsid w:val="50A7B848"/>
    <w:rsid w:val="50FBF10F"/>
    <w:rsid w:val="51680A7F"/>
    <w:rsid w:val="51CED570"/>
    <w:rsid w:val="51EA3654"/>
    <w:rsid w:val="52053B6A"/>
    <w:rsid w:val="52296969"/>
    <w:rsid w:val="523B98A1"/>
    <w:rsid w:val="52427A39"/>
    <w:rsid w:val="527E9913"/>
    <w:rsid w:val="529BE9E5"/>
    <w:rsid w:val="52B30983"/>
    <w:rsid w:val="52E6B0FA"/>
    <w:rsid w:val="530A9C88"/>
    <w:rsid w:val="5332DEFE"/>
    <w:rsid w:val="5396DCD6"/>
    <w:rsid w:val="53A8EC73"/>
    <w:rsid w:val="53B72E7B"/>
    <w:rsid w:val="53E84A95"/>
    <w:rsid w:val="541EB8C8"/>
    <w:rsid w:val="541F4D57"/>
    <w:rsid w:val="5431CB70"/>
    <w:rsid w:val="5443DB8E"/>
    <w:rsid w:val="5445DCAB"/>
    <w:rsid w:val="544E0B39"/>
    <w:rsid w:val="547AB7FC"/>
    <w:rsid w:val="54CE4625"/>
    <w:rsid w:val="554FB2A1"/>
    <w:rsid w:val="559CE563"/>
    <w:rsid w:val="55B639D5"/>
    <w:rsid w:val="55C1B060"/>
    <w:rsid w:val="55CFABF8"/>
    <w:rsid w:val="56108950"/>
    <w:rsid w:val="562B0E74"/>
    <w:rsid w:val="563A3E1C"/>
    <w:rsid w:val="5644977D"/>
    <w:rsid w:val="566D2330"/>
    <w:rsid w:val="567F9994"/>
    <w:rsid w:val="569A687B"/>
    <w:rsid w:val="56A73953"/>
    <w:rsid w:val="56ABA0D0"/>
    <w:rsid w:val="56BB4CE1"/>
    <w:rsid w:val="56E000D6"/>
    <w:rsid w:val="56F414D9"/>
    <w:rsid w:val="5706D07E"/>
    <w:rsid w:val="573EC2A7"/>
    <w:rsid w:val="574FED5D"/>
    <w:rsid w:val="5797D968"/>
    <w:rsid w:val="57A43FAA"/>
    <w:rsid w:val="57CB3453"/>
    <w:rsid w:val="57CD94F4"/>
    <w:rsid w:val="57E6BD51"/>
    <w:rsid w:val="58222F5B"/>
    <w:rsid w:val="58294BC8"/>
    <w:rsid w:val="5850CCB8"/>
    <w:rsid w:val="58AA8613"/>
    <w:rsid w:val="58ABC724"/>
    <w:rsid w:val="58B83C6C"/>
    <w:rsid w:val="58BBC841"/>
    <w:rsid w:val="58C6BEED"/>
    <w:rsid w:val="58E2BBAD"/>
    <w:rsid w:val="58EDDA97"/>
    <w:rsid w:val="5928CDB8"/>
    <w:rsid w:val="5942F1BF"/>
    <w:rsid w:val="599C3D3C"/>
    <w:rsid w:val="59AA1A4F"/>
    <w:rsid w:val="59B6D670"/>
    <w:rsid w:val="59C51C29"/>
    <w:rsid w:val="59DFF8FF"/>
    <w:rsid w:val="59EFCFA3"/>
    <w:rsid w:val="5A009EB3"/>
    <w:rsid w:val="5A21BC3D"/>
    <w:rsid w:val="5A6375A3"/>
    <w:rsid w:val="5A809A15"/>
    <w:rsid w:val="5AA7D54C"/>
    <w:rsid w:val="5ABD6BFE"/>
    <w:rsid w:val="5AC0BF44"/>
    <w:rsid w:val="5AE0EA54"/>
    <w:rsid w:val="5B35076F"/>
    <w:rsid w:val="5B419817"/>
    <w:rsid w:val="5B510845"/>
    <w:rsid w:val="5BC1AC07"/>
    <w:rsid w:val="5BCCC6EA"/>
    <w:rsid w:val="5C46ED17"/>
    <w:rsid w:val="5C496177"/>
    <w:rsid w:val="5C57ED31"/>
    <w:rsid w:val="5C67753F"/>
    <w:rsid w:val="5CA96D7C"/>
    <w:rsid w:val="5CA98FC4"/>
    <w:rsid w:val="5CEAD21B"/>
    <w:rsid w:val="5CEEDB18"/>
    <w:rsid w:val="5CF6C89E"/>
    <w:rsid w:val="5CFA1E43"/>
    <w:rsid w:val="5D48302C"/>
    <w:rsid w:val="5D553415"/>
    <w:rsid w:val="5DADEE35"/>
    <w:rsid w:val="5DC07696"/>
    <w:rsid w:val="5E31AA39"/>
    <w:rsid w:val="5E448F6F"/>
    <w:rsid w:val="5E44B199"/>
    <w:rsid w:val="5E6F5BA0"/>
    <w:rsid w:val="5E72A7A6"/>
    <w:rsid w:val="5E743030"/>
    <w:rsid w:val="5E988D4C"/>
    <w:rsid w:val="5EA29E33"/>
    <w:rsid w:val="5ED85BF3"/>
    <w:rsid w:val="5EE12CD6"/>
    <w:rsid w:val="5EF74E90"/>
    <w:rsid w:val="5F0DF2CC"/>
    <w:rsid w:val="5F388B73"/>
    <w:rsid w:val="5F61637E"/>
    <w:rsid w:val="5F71423D"/>
    <w:rsid w:val="5FA1260E"/>
    <w:rsid w:val="5FF3198E"/>
    <w:rsid w:val="601C363F"/>
    <w:rsid w:val="6032B9CE"/>
    <w:rsid w:val="603CB94F"/>
    <w:rsid w:val="6047CE2B"/>
    <w:rsid w:val="604EBEBC"/>
    <w:rsid w:val="6072BD01"/>
    <w:rsid w:val="607B1BFC"/>
    <w:rsid w:val="6092B967"/>
    <w:rsid w:val="60A774E9"/>
    <w:rsid w:val="60BA52C6"/>
    <w:rsid w:val="60D187B0"/>
    <w:rsid w:val="60E49D21"/>
    <w:rsid w:val="61124CCE"/>
    <w:rsid w:val="6137CFE5"/>
    <w:rsid w:val="618A87F3"/>
    <w:rsid w:val="61D38712"/>
    <w:rsid w:val="621A30DC"/>
    <w:rsid w:val="624566BB"/>
    <w:rsid w:val="6245F655"/>
    <w:rsid w:val="624EF0EE"/>
    <w:rsid w:val="624F11D0"/>
    <w:rsid w:val="6261C8EE"/>
    <w:rsid w:val="6271B876"/>
    <w:rsid w:val="6279CB9A"/>
    <w:rsid w:val="628879F3"/>
    <w:rsid w:val="62B2D2C0"/>
    <w:rsid w:val="6329A32C"/>
    <w:rsid w:val="634CE1C5"/>
    <w:rsid w:val="63660A22"/>
    <w:rsid w:val="6397F9C3"/>
    <w:rsid w:val="63A916D7"/>
    <w:rsid w:val="63C17348"/>
    <w:rsid w:val="63D4A70F"/>
    <w:rsid w:val="63FC68AE"/>
    <w:rsid w:val="6423CE56"/>
    <w:rsid w:val="64302F98"/>
    <w:rsid w:val="6457D5B0"/>
    <w:rsid w:val="64804235"/>
    <w:rsid w:val="64F91759"/>
    <w:rsid w:val="64F9ECFD"/>
    <w:rsid w:val="6508078F"/>
    <w:rsid w:val="6513EB33"/>
    <w:rsid w:val="65299CDD"/>
    <w:rsid w:val="6533456E"/>
    <w:rsid w:val="654B6BE8"/>
    <w:rsid w:val="6595D5C5"/>
    <w:rsid w:val="65971CF2"/>
    <w:rsid w:val="664EBA0C"/>
    <w:rsid w:val="669DAAE4"/>
    <w:rsid w:val="66DFAD44"/>
    <w:rsid w:val="67034E59"/>
    <w:rsid w:val="672282F3"/>
    <w:rsid w:val="67339582"/>
    <w:rsid w:val="67F2F4A1"/>
    <w:rsid w:val="68397B45"/>
    <w:rsid w:val="68AEDA0A"/>
    <w:rsid w:val="68B813C6"/>
    <w:rsid w:val="68EC7987"/>
    <w:rsid w:val="691199D7"/>
    <w:rsid w:val="69185D8C"/>
    <w:rsid w:val="69201EF3"/>
    <w:rsid w:val="69359ECE"/>
    <w:rsid w:val="699D872E"/>
    <w:rsid w:val="69D911DB"/>
    <w:rsid w:val="6A0F2DBA"/>
    <w:rsid w:val="6A573F5C"/>
    <w:rsid w:val="6A5A23B5"/>
    <w:rsid w:val="6A67BDC6"/>
    <w:rsid w:val="6A78FAA1"/>
    <w:rsid w:val="6ABB1B95"/>
    <w:rsid w:val="6ACAA89E"/>
    <w:rsid w:val="6ACE0089"/>
    <w:rsid w:val="6B0E9E67"/>
    <w:rsid w:val="6B11D591"/>
    <w:rsid w:val="6B4CDC50"/>
    <w:rsid w:val="6B803A44"/>
    <w:rsid w:val="6B8256DE"/>
    <w:rsid w:val="6B96F2FD"/>
    <w:rsid w:val="6B9BB3B9"/>
    <w:rsid w:val="6BAD385B"/>
    <w:rsid w:val="6BBCC6EB"/>
    <w:rsid w:val="6BD586F5"/>
    <w:rsid w:val="6BE66BE6"/>
    <w:rsid w:val="6BF5F416"/>
    <w:rsid w:val="6C48E41E"/>
    <w:rsid w:val="6C932A95"/>
    <w:rsid w:val="6CB49857"/>
    <w:rsid w:val="6CF07326"/>
    <w:rsid w:val="6CFD67ED"/>
    <w:rsid w:val="6D112A18"/>
    <w:rsid w:val="6D66707E"/>
    <w:rsid w:val="6D6B944E"/>
    <w:rsid w:val="6DDB9DD3"/>
    <w:rsid w:val="6E076BB8"/>
    <w:rsid w:val="6E390C84"/>
    <w:rsid w:val="6E824C1F"/>
    <w:rsid w:val="6EA8BCC9"/>
    <w:rsid w:val="6EC853AF"/>
    <w:rsid w:val="6ECF840D"/>
    <w:rsid w:val="6F1A029C"/>
    <w:rsid w:val="6F1B1155"/>
    <w:rsid w:val="6F248FB3"/>
    <w:rsid w:val="6F2B0C34"/>
    <w:rsid w:val="6F7007C6"/>
    <w:rsid w:val="6F851010"/>
    <w:rsid w:val="6F894BAC"/>
    <w:rsid w:val="6F8C3FBD"/>
    <w:rsid w:val="6F9AEC94"/>
    <w:rsid w:val="6FE8B6C0"/>
    <w:rsid w:val="70289A12"/>
    <w:rsid w:val="703DABB7"/>
    <w:rsid w:val="708FCB49"/>
    <w:rsid w:val="70ADA9BD"/>
    <w:rsid w:val="7116C95E"/>
    <w:rsid w:val="71173A3A"/>
    <w:rsid w:val="7142EDAA"/>
    <w:rsid w:val="71CE6818"/>
    <w:rsid w:val="71FC0384"/>
    <w:rsid w:val="7207A8A0"/>
    <w:rsid w:val="7248065B"/>
    <w:rsid w:val="7263BF0A"/>
    <w:rsid w:val="7265359A"/>
    <w:rsid w:val="726B0165"/>
    <w:rsid w:val="729B9E57"/>
    <w:rsid w:val="72A601D0"/>
    <w:rsid w:val="72B70C51"/>
    <w:rsid w:val="72F5DDDC"/>
    <w:rsid w:val="731F75E2"/>
    <w:rsid w:val="7328DF5A"/>
    <w:rsid w:val="733B39F8"/>
    <w:rsid w:val="734B6683"/>
    <w:rsid w:val="7352384C"/>
    <w:rsid w:val="7375FC74"/>
    <w:rsid w:val="73794808"/>
    <w:rsid w:val="737D3F3B"/>
    <w:rsid w:val="73C5F63F"/>
    <w:rsid w:val="73C86F13"/>
    <w:rsid w:val="73E4B7CF"/>
    <w:rsid w:val="741A2E58"/>
    <w:rsid w:val="744EDAFC"/>
    <w:rsid w:val="7482A55F"/>
    <w:rsid w:val="748F2CB1"/>
    <w:rsid w:val="74916FF3"/>
    <w:rsid w:val="7492EE01"/>
    <w:rsid w:val="74BFE1EE"/>
    <w:rsid w:val="74E34480"/>
    <w:rsid w:val="7516A007"/>
    <w:rsid w:val="7517FE4D"/>
    <w:rsid w:val="75684E5A"/>
    <w:rsid w:val="7574F1A7"/>
    <w:rsid w:val="758200B2"/>
    <w:rsid w:val="759C2233"/>
    <w:rsid w:val="759CD65C"/>
    <w:rsid w:val="75A4C3E2"/>
    <w:rsid w:val="75B71164"/>
    <w:rsid w:val="75B993EB"/>
    <w:rsid w:val="75E47964"/>
    <w:rsid w:val="75F45D16"/>
    <w:rsid w:val="75F48C81"/>
    <w:rsid w:val="76185E90"/>
    <w:rsid w:val="761B2893"/>
    <w:rsid w:val="7648CA6E"/>
    <w:rsid w:val="7651B6C0"/>
    <w:rsid w:val="76B3CEAE"/>
    <w:rsid w:val="76D42A0D"/>
    <w:rsid w:val="76FDDF37"/>
    <w:rsid w:val="771564FF"/>
    <w:rsid w:val="774F5783"/>
    <w:rsid w:val="77719F23"/>
    <w:rsid w:val="77B1C957"/>
    <w:rsid w:val="77D4010C"/>
    <w:rsid w:val="78003B40"/>
    <w:rsid w:val="7838364F"/>
    <w:rsid w:val="7847B189"/>
    <w:rsid w:val="7858EC60"/>
    <w:rsid w:val="78655050"/>
    <w:rsid w:val="78777D1A"/>
    <w:rsid w:val="78B169BF"/>
    <w:rsid w:val="78C3C84E"/>
    <w:rsid w:val="7971B7A9"/>
    <w:rsid w:val="79AE9B0B"/>
    <w:rsid w:val="79CF2EA2"/>
    <w:rsid w:val="79EA4E8B"/>
    <w:rsid w:val="7A41FBCC"/>
    <w:rsid w:val="7A70477F"/>
    <w:rsid w:val="7A784B42"/>
    <w:rsid w:val="7AB3E877"/>
    <w:rsid w:val="7ACE8DC0"/>
    <w:rsid w:val="7B047B29"/>
    <w:rsid w:val="7B242BD5"/>
    <w:rsid w:val="7B3AF190"/>
    <w:rsid w:val="7B747F0F"/>
    <w:rsid w:val="7BBAAB3A"/>
    <w:rsid w:val="7C2C17D1"/>
    <w:rsid w:val="7C4C438B"/>
    <w:rsid w:val="7CC189AA"/>
    <w:rsid w:val="7CC5ACE2"/>
    <w:rsid w:val="7CCBD9E4"/>
    <w:rsid w:val="7D6DC312"/>
    <w:rsid w:val="7D9320E3"/>
    <w:rsid w:val="7DB7A14C"/>
    <w:rsid w:val="7DCC77B6"/>
    <w:rsid w:val="7DCE59C1"/>
    <w:rsid w:val="7DCEB450"/>
    <w:rsid w:val="7DD00E65"/>
    <w:rsid w:val="7DD34794"/>
    <w:rsid w:val="7DECA9A2"/>
    <w:rsid w:val="7E1DB3ED"/>
    <w:rsid w:val="7E4DF1A1"/>
    <w:rsid w:val="7E6AC559"/>
    <w:rsid w:val="7EA95DC9"/>
    <w:rsid w:val="7EC8DF7A"/>
    <w:rsid w:val="7F14C5BB"/>
    <w:rsid w:val="7F67B4B8"/>
    <w:rsid w:val="7F918DA3"/>
    <w:rsid w:val="7FB67F24"/>
    <w:rsid w:val="7FE91554"/>
    <w:rsid w:val="7FEBE6DA"/>
    <w:rsid w:val="7FF411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F6E64"/>
  <w14:defaultImageDpi w14:val="32767"/>
  <w15:chartTrackingRefBased/>
  <w15:docId w15:val="{C2277971-A066-43DB-A23E-BDBC9E65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E240B"/>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240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240B"/>
    <w:rPr>
      <w:rFonts w:ascii="Times New Roman" w:hAnsi="Times New Roman" w:cs="Times New Roman"/>
      <w:sz w:val="18"/>
      <w:szCs w:val="18"/>
    </w:rPr>
  </w:style>
  <w:style w:type="character" w:styleId="CommentReference">
    <w:name w:val="annotation reference"/>
    <w:uiPriority w:val="99"/>
    <w:unhideWhenUsed/>
    <w:rsid w:val="00CE240B"/>
    <w:rPr>
      <w:sz w:val="16"/>
      <w:szCs w:val="16"/>
    </w:rPr>
  </w:style>
  <w:style w:type="paragraph" w:styleId="CommentText">
    <w:name w:val="annotation text"/>
    <w:basedOn w:val="Normal"/>
    <w:link w:val="CommentTextChar"/>
    <w:uiPriority w:val="99"/>
    <w:unhideWhenUsed/>
    <w:rsid w:val="00CE240B"/>
  </w:style>
  <w:style w:type="character" w:customStyle="1" w:styleId="CommentTextChar">
    <w:name w:val="Comment Text Char"/>
    <w:basedOn w:val="DefaultParagraphFont"/>
    <w:link w:val="CommentText"/>
    <w:uiPriority w:val="99"/>
    <w:rsid w:val="00CE240B"/>
    <w:rPr>
      <w:rFonts w:ascii="Calibri" w:eastAsia="Calibri" w:hAnsi="Calibri" w:cs="Arial"/>
      <w:sz w:val="20"/>
      <w:szCs w:val="20"/>
      <w:lang w:eastAsia="en-GB"/>
    </w:rPr>
  </w:style>
  <w:style w:type="character" w:styleId="LineNumber">
    <w:name w:val="line number"/>
    <w:basedOn w:val="DefaultParagraphFont"/>
    <w:uiPriority w:val="99"/>
    <w:semiHidden/>
    <w:unhideWhenUsed/>
    <w:rsid w:val="00796350"/>
  </w:style>
  <w:style w:type="paragraph" w:styleId="Footer">
    <w:name w:val="footer"/>
    <w:basedOn w:val="Normal"/>
    <w:link w:val="FooterChar"/>
    <w:uiPriority w:val="99"/>
    <w:unhideWhenUsed/>
    <w:rsid w:val="00796350"/>
    <w:pPr>
      <w:tabs>
        <w:tab w:val="center" w:pos="4680"/>
        <w:tab w:val="right" w:pos="9360"/>
      </w:tabs>
    </w:pPr>
  </w:style>
  <w:style w:type="character" w:customStyle="1" w:styleId="FooterChar">
    <w:name w:val="Footer Char"/>
    <w:basedOn w:val="DefaultParagraphFont"/>
    <w:link w:val="Footer"/>
    <w:uiPriority w:val="99"/>
    <w:rsid w:val="00796350"/>
    <w:rPr>
      <w:rFonts w:ascii="Calibri" w:eastAsia="Calibri" w:hAnsi="Calibri" w:cs="Arial"/>
      <w:sz w:val="20"/>
      <w:szCs w:val="20"/>
      <w:lang w:eastAsia="en-GB"/>
    </w:rPr>
  </w:style>
  <w:style w:type="character" w:styleId="PageNumber">
    <w:name w:val="page number"/>
    <w:basedOn w:val="DefaultParagraphFont"/>
    <w:uiPriority w:val="99"/>
    <w:semiHidden/>
    <w:unhideWhenUsed/>
    <w:rsid w:val="00796350"/>
  </w:style>
  <w:style w:type="character" w:styleId="Hyperlink">
    <w:name w:val="Hyperlink"/>
    <w:basedOn w:val="DefaultParagraphFont"/>
    <w:unhideWhenUsed/>
    <w:rsid w:val="004B2F1D"/>
    <w:rPr>
      <w:color w:val="0563C1" w:themeColor="hyperlink"/>
      <w:u w:val="single"/>
    </w:rPr>
  </w:style>
  <w:style w:type="character" w:styleId="UnresolvedMention">
    <w:name w:val="Unresolved Mention"/>
    <w:basedOn w:val="DefaultParagraphFont"/>
    <w:uiPriority w:val="99"/>
    <w:rsid w:val="004B2F1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553F5"/>
    <w:rPr>
      <w:b/>
      <w:bCs/>
    </w:rPr>
  </w:style>
  <w:style w:type="character" w:customStyle="1" w:styleId="CommentSubjectChar">
    <w:name w:val="Comment Subject Char"/>
    <w:basedOn w:val="CommentTextChar"/>
    <w:link w:val="CommentSubject"/>
    <w:uiPriority w:val="99"/>
    <w:semiHidden/>
    <w:rsid w:val="000553F5"/>
    <w:rPr>
      <w:rFonts w:ascii="Calibri" w:eastAsia="Calibri" w:hAnsi="Calibri" w:cs="Arial"/>
      <w:b/>
      <w:bCs/>
      <w:sz w:val="20"/>
      <w:szCs w:val="20"/>
      <w:lang w:eastAsia="en-GB"/>
    </w:rPr>
  </w:style>
  <w:style w:type="character" w:customStyle="1" w:styleId="id-label">
    <w:name w:val="id-label"/>
    <w:basedOn w:val="DefaultParagraphFont"/>
    <w:rsid w:val="00AB4831"/>
  </w:style>
  <w:style w:type="character" w:customStyle="1" w:styleId="apple-converted-space">
    <w:name w:val="apple-converted-space"/>
    <w:basedOn w:val="DefaultParagraphFont"/>
    <w:rsid w:val="00AB4831"/>
  </w:style>
  <w:style w:type="character" w:styleId="Strong">
    <w:name w:val="Strong"/>
    <w:basedOn w:val="DefaultParagraphFont"/>
    <w:uiPriority w:val="22"/>
    <w:qFormat/>
    <w:rsid w:val="00AB4831"/>
    <w:rPr>
      <w:b/>
      <w:bCs/>
    </w:rPr>
  </w:style>
  <w:style w:type="character" w:styleId="FollowedHyperlink">
    <w:name w:val="FollowedHyperlink"/>
    <w:basedOn w:val="DefaultParagraphFont"/>
    <w:uiPriority w:val="99"/>
    <w:semiHidden/>
    <w:unhideWhenUsed/>
    <w:rsid w:val="00AF311C"/>
    <w:rPr>
      <w:color w:val="954F72" w:themeColor="followedHyperlink"/>
      <w:u w:val="single"/>
    </w:rPr>
  </w:style>
  <w:style w:type="paragraph" w:styleId="Revision">
    <w:name w:val="Revision"/>
    <w:hidden/>
    <w:uiPriority w:val="99"/>
    <w:semiHidden/>
    <w:rsid w:val="00AF15A1"/>
    <w:rPr>
      <w:rFonts w:ascii="Calibri" w:eastAsia="Calibri" w:hAnsi="Calibri" w:cs="Arial"/>
      <w:sz w:val="20"/>
      <w:szCs w:val="20"/>
      <w:lang w:eastAsia="en-GB"/>
    </w:rPr>
  </w:style>
  <w:style w:type="paragraph" w:customStyle="1" w:styleId="Default">
    <w:name w:val="Default"/>
    <w:rsid w:val="00452F22"/>
    <w:pPr>
      <w:autoSpaceDE w:val="0"/>
      <w:autoSpaceDN w:val="0"/>
      <w:adjustRightInd w:val="0"/>
    </w:pPr>
    <w:rPr>
      <w:rFonts w:ascii="Helvetica" w:hAnsi="Helvetica" w:cs="Helvetic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1833">
      <w:bodyDiv w:val="1"/>
      <w:marLeft w:val="0"/>
      <w:marRight w:val="0"/>
      <w:marTop w:val="0"/>
      <w:marBottom w:val="0"/>
      <w:divBdr>
        <w:top w:val="none" w:sz="0" w:space="0" w:color="auto"/>
        <w:left w:val="none" w:sz="0" w:space="0" w:color="auto"/>
        <w:bottom w:val="none" w:sz="0" w:space="0" w:color="auto"/>
        <w:right w:val="none" w:sz="0" w:space="0" w:color="auto"/>
      </w:divBdr>
    </w:div>
    <w:div w:id="201210620">
      <w:bodyDiv w:val="1"/>
      <w:marLeft w:val="0"/>
      <w:marRight w:val="0"/>
      <w:marTop w:val="0"/>
      <w:marBottom w:val="0"/>
      <w:divBdr>
        <w:top w:val="none" w:sz="0" w:space="0" w:color="auto"/>
        <w:left w:val="none" w:sz="0" w:space="0" w:color="auto"/>
        <w:bottom w:val="none" w:sz="0" w:space="0" w:color="auto"/>
        <w:right w:val="none" w:sz="0" w:space="0" w:color="auto"/>
      </w:divBdr>
    </w:div>
    <w:div w:id="295842398">
      <w:bodyDiv w:val="1"/>
      <w:marLeft w:val="0"/>
      <w:marRight w:val="0"/>
      <w:marTop w:val="0"/>
      <w:marBottom w:val="0"/>
      <w:divBdr>
        <w:top w:val="none" w:sz="0" w:space="0" w:color="auto"/>
        <w:left w:val="none" w:sz="0" w:space="0" w:color="auto"/>
        <w:bottom w:val="none" w:sz="0" w:space="0" w:color="auto"/>
        <w:right w:val="none" w:sz="0" w:space="0" w:color="auto"/>
      </w:divBdr>
    </w:div>
    <w:div w:id="309335415">
      <w:bodyDiv w:val="1"/>
      <w:marLeft w:val="0"/>
      <w:marRight w:val="0"/>
      <w:marTop w:val="0"/>
      <w:marBottom w:val="0"/>
      <w:divBdr>
        <w:top w:val="none" w:sz="0" w:space="0" w:color="auto"/>
        <w:left w:val="none" w:sz="0" w:space="0" w:color="auto"/>
        <w:bottom w:val="none" w:sz="0" w:space="0" w:color="auto"/>
        <w:right w:val="none" w:sz="0" w:space="0" w:color="auto"/>
      </w:divBdr>
    </w:div>
    <w:div w:id="355427638">
      <w:bodyDiv w:val="1"/>
      <w:marLeft w:val="0"/>
      <w:marRight w:val="0"/>
      <w:marTop w:val="0"/>
      <w:marBottom w:val="0"/>
      <w:divBdr>
        <w:top w:val="none" w:sz="0" w:space="0" w:color="auto"/>
        <w:left w:val="none" w:sz="0" w:space="0" w:color="auto"/>
        <w:bottom w:val="none" w:sz="0" w:space="0" w:color="auto"/>
        <w:right w:val="none" w:sz="0" w:space="0" w:color="auto"/>
      </w:divBdr>
    </w:div>
    <w:div w:id="486940167">
      <w:bodyDiv w:val="1"/>
      <w:marLeft w:val="0"/>
      <w:marRight w:val="0"/>
      <w:marTop w:val="0"/>
      <w:marBottom w:val="0"/>
      <w:divBdr>
        <w:top w:val="none" w:sz="0" w:space="0" w:color="auto"/>
        <w:left w:val="none" w:sz="0" w:space="0" w:color="auto"/>
        <w:bottom w:val="none" w:sz="0" w:space="0" w:color="auto"/>
        <w:right w:val="none" w:sz="0" w:space="0" w:color="auto"/>
      </w:divBdr>
    </w:div>
    <w:div w:id="718431205">
      <w:bodyDiv w:val="1"/>
      <w:marLeft w:val="0"/>
      <w:marRight w:val="0"/>
      <w:marTop w:val="0"/>
      <w:marBottom w:val="0"/>
      <w:divBdr>
        <w:top w:val="none" w:sz="0" w:space="0" w:color="auto"/>
        <w:left w:val="none" w:sz="0" w:space="0" w:color="auto"/>
        <w:bottom w:val="none" w:sz="0" w:space="0" w:color="auto"/>
        <w:right w:val="none" w:sz="0" w:space="0" w:color="auto"/>
      </w:divBdr>
    </w:div>
    <w:div w:id="910309115">
      <w:bodyDiv w:val="1"/>
      <w:marLeft w:val="0"/>
      <w:marRight w:val="0"/>
      <w:marTop w:val="0"/>
      <w:marBottom w:val="0"/>
      <w:divBdr>
        <w:top w:val="none" w:sz="0" w:space="0" w:color="auto"/>
        <w:left w:val="none" w:sz="0" w:space="0" w:color="auto"/>
        <w:bottom w:val="none" w:sz="0" w:space="0" w:color="auto"/>
        <w:right w:val="none" w:sz="0" w:space="0" w:color="auto"/>
      </w:divBdr>
    </w:div>
    <w:div w:id="1002702119">
      <w:bodyDiv w:val="1"/>
      <w:marLeft w:val="0"/>
      <w:marRight w:val="0"/>
      <w:marTop w:val="0"/>
      <w:marBottom w:val="0"/>
      <w:divBdr>
        <w:top w:val="none" w:sz="0" w:space="0" w:color="auto"/>
        <w:left w:val="none" w:sz="0" w:space="0" w:color="auto"/>
        <w:bottom w:val="none" w:sz="0" w:space="0" w:color="auto"/>
        <w:right w:val="none" w:sz="0" w:space="0" w:color="auto"/>
      </w:divBdr>
    </w:div>
    <w:div w:id="1039746577">
      <w:bodyDiv w:val="1"/>
      <w:marLeft w:val="0"/>
      <w:marRight w:val="0"/>
      <w:marTop w:val="0"/>
      <w:marBottom w:val="0"/>
      <w:divBdr>
        <w:top w:val="none" w:sz="0" w:space="0" w:color="auto"/>
        <w:left w:val="none" w:sz="0" w:space="0" w:color="auto"/>
        <w:bottom w:val="none" w:sz="0" w:space="0" w:color="auto"/>
        <w:right w:val="none" w:sz="0" w:space="0" w:color="auto"/>
      </w:divBdr>
    </w:div>
    <w:div w:id="1064988202">
      <w:bodyDiv w:val="1"/>
      <w:marLeft w:val="0"/>
      <w:marRight w:val="0"/>
      <w:marTop w:val="0"/>
      <w:marBottom w:val="0"/>
      <w:divBdr>
        <w:top w:val="none" w:sz="0" w:space="0" w:color="auto"/>
        <w:left w:val="none" w:sz="0" w:space="0" w:color="auto"/>
        <w:bottom w:val="none" w:sz="0" w:space="0" w:color="auto"/>
        <w:right w:val="none" w:sz="0" w:space="0" w:color="auto"/>
      </w:divBdr>
    </w:div>
    <w:div w:id="1113476653">
      <w:bodyDiv w:val="1"/>
      <w:marLeft w:val="0"/>
      <w:marRight w:val="0"/>
      <w:marTop w:val="0"/>
      <w:marBottom w:val="0"/>
      <w:divBdr>
        <w:top w:val="none" w:sz="0" w:space="0" w:color="auto"/>
        <w:left w:val="none" w:sz="0" w:space="0" w:color="auto"/>
        <w:bottom w:val="none" w:sz="0" w:space="0" w:color="auto"/>
        <w:right w:val="none" w:sz="0" w:space="0" w:color="auto"/>
      </w:divBdr>
    </w:div>
    <w:div w:id="1206983455">
      <w:bodyDiv w:val="1"/>
      <w:marLeft w:val="0"/>
      <w:marRight w:val="0"/>
      <w:marTop w:val="0"/>
      <w:marBottom w:val="0"/>
      <w:divBdr>
        <w:top w:val="none" w:sz="0" w:space="0" w:color="auto"/>
        <w:left w:val="none" w:sz="0" w:space="0" w:color="auto"/>
        <w:bottom w:val="none" w:sz="0" w:space="0" w:color="auto"/>
        <w:right w:val="none" w:sz="0" w:space="0" w:color="auto"/>
      </w:divBdr>
    </w:div>
    <w:div w:id="1263102161">
      <w:bodyDiv w:val="1"/>
      <w:marLeft w:val="0"/>
      <w:marRight w:val="0"/>
      <w:marTop w:val="0"/>
      <w:marBottom w:val="0"/>
      <w:divBdr>
        <w:top w:val="none" w:sz="0" w:space="0" w:color="auto"/>
        <w:left w:val="none" w:sz="0" w:space="0" w:color="auto"/>
        <w:bottom w:val="none" w:sz="0" w:space="0" w:color="auto"/>
        <w:right w:val="none" w:sz="0" w:space="0" w:color="auto"/>
      </w:divBdr>
    </w:div>
    <w:div w:id="1527207269">
      <w:bodyDiv w:val="1"/>
      <w:marLeft w:val="0"/>
      <w:marRight w:val="0"/>
      <w:marTop w:val="0"/>
      <w:marBottom w:val="0"/>
      <w:divBdr>
        <w:top w:val="none" w:sz="0" w:space="0" w:color="auto"/>
        <w:left w:val="none" w:sz="0" w:space="0" w:color="auto"/>
        <w:bottom w:val="none" w:sz="0" w:space="0" w:color="auto"/>
        <w:right w:val="none" w:sz="0" w:space="0" w:color="auto"/>
      </w:divBdr>
    </w:div>
    <w:div w:id="1598562998">
      <w:bodyDiv w:val="1"/>
      <w:marLeft w:val="0"/>
      <w:marRight w:val="0"/>
      <w:marTop w:val="0"/>
      <w:marBottom w:val="0"/>
      <w:divBdr>
        <w:top w:val="none" w:sz="0" w:space="0" w:color="auto"/>
        <w:left w:val="none" w:sz="0" w:space="0" w:color="auto"/>
        <w:bottom w:val="none" w:sz="0" w:space="0" w:color="auto"/>
        <w:right w:val="none" w:sz="0" w:space="0" w:color="auto"/>
      </w:divBdr>
    </w:div>
    <w:div w:id="1608923313">
      <w:bodyDiv w:val="1"/>
      <w:marLeft w:val="0"/>
      <w:marRight w:val="0"/>
      <w:marTop w:val="0"/>
      <w:marBottom w:val="0"/>
      <w:divBdr>
        <w:top w:val="none" w:sz="0" w:space="0" w:color="auto"/>
        <w:left w:val="none" w:sz="0" w:space="0" w:color="auto"/>
        <w:bottom w:val="none" w:sz="0" w:space="0" w:color="auto"/>
        <w:right w:val="none" w:sz="0" w:space="0" w:color="auto"/>
      </w:divBdr>
    </w:div>
    <w:div w:id="1629581213">
      <w:bodyDiv w:val="1"/>
      <w:marLeft w:val="0"/>
      <w:marRight w:val="0"/>
      <w:marTop w:val="0"/>
      <w:marBottom w:val="0"/>
      <w:divBdr>
        <w:top w:val="none" w:sz="0" w:space="0" w:color="auto"/>
        <w:left w:val="none" w:sz="0" w:space="0" w:color="auto"/>
        <w:bottom w:val="none" w:sz="0" w:space="0" w:color="auto"/>
        <w:right w:val="none" w:sz="0" w:space="0" w:color="auto"/>
      </w:divBdr>
    </w:div>
    <w:div w:id="1666784736">
      <w:bodyDiv w:val="1"/>
      <w:marLeft w:val="0"/>
      <w:marRight w:val="0"/>
      <w:marTop w:val="0"/>
      <w:marBottom w:val="0"/>
      <w:divBdr>
        <w:top w:val="none" w:sz="0" w:space="0" w:color="auto"/>
        <w:left w:val="none" w:sz="0" w:space="0" w:color="auto"/>
        <w:bottom w:val="none" w:sz="0" w:space="0" w:color="auto"/>
        <w:right w:val="none" w:sz="0" w:space="0" w:color="auto"/>
      </w:divBdr>
    </w:div>
    <w:div w:id="1674145692">
      <w:bodyDiv w:val="1"/>
      <w:marLeft w:val="0"/>
      <w:marRight w:val="0"/>
      <w:marTop w:val="0"/>
      <w:marBottom w:val="0"/>
      <w:divBdr>
        <w:top w:val="none" w:sz="0" w:space="0" w:color="auto"/>
        <w:left w:val="none" w:sz="0" w:space="0" w:color="auto"/>
        <w:bottom w:val="none" w:sz="0" w:space="0" w:color="auto"/>
        <w:right w:val="none" w:sz="0" w:space="0" w:color="auto"/>
      </w:divBdr>
    </w:div>
    <w:div w:id="1675105411">
      <w:bodyDiv w:val="1"/>
      <w:marLeft w:val="0"/>
      <w:marRight w:val="0"/>
      <w:marTop w:val="0"/>
      <w:marBottom w:val="0"/>
      <w:divBdr>
        <w:top w:val="none" w:sz="0" w:space="0" w:color="auto"/>
        <w:left w:val="none" w:sz="0" w:space="0" w:color="auto"/>
        <w:bottom w:val="none" w:sz="0" w:space="0" w:color="auto"/>
        <w:right w:val="none" w:sz="0" w:space="0" w:color="auto"/>
      </w:divBdr>
    </w:div>
    <w:div w:id="1752114614">
      <w:bodyDiv w:val="1"/>
      <w:marLeft w:val="0"/>
      <w:marRight w:val="0"/>
      <w:marTop w:val="0"/>
      <w:marBottom w:val="0"/>
      <w:divBdr>
        <w:top w:val="none" w:sz="0" w:space="0" w:color="auto"/>
        <w:left w:val="none" w:sz="0" w:space="0" w:color="auto"/>
        <w:bottom w:val="none" w:sz="0" w:space="0" w:color="auto"/>
        <w:right w:val="none" w:sz="0" w:space="0" w:color="auto"/>
      </w:divBdr>
    </w:div>
    <w:div w:id="1765148629">
      <w:bodyDiv w:val="1"/>
      <w:marLeft w:val="0"/>
      <w:marRight w:val="0"/>
      <w:marTop w:val="0"/>
      <w:marBottom w:val="0"/>
      <w:divBdr>
        <w:top w:val="none" w:sz="0" w:space="0" w:color="auto"/>
        <w:left w:val="none" w:sz="0" w:space="0" w:color="auto"/>
        <w:bottom w:val="none" w:sz="0" w:space="0" w:color="auto"/>
        <w:right w:val="none" w:sz="0" w:space="0" w:color="auto"/>
      </w:divBdr>
    </w:div>
    <w:div w:id="1788965209">
      <w:bodyDiv w:val="1"/>
      <w:marLeft w:val="0"/>
      <w:marRight w:val="0"/>
      <w:marTop w:val="0"/>
      <w:marBottom w:val="0"/>
      <w:divBdr>
        <w:top w:val="none" w:sz="0" w:space="0" w:color="auto"/>
        <w:left w:val="none" w:sz="0" w:space="0" w:color="auto"/>
        <w:bottom w:val="none" w:sz="0" w:space="0" w:color="auto"/>
        <w:right w:val="none" w:sz="0" w:space="0" w:color="auto"/>
      </w:divBdr>
    </w:div>
    <w:div w:id="1824200304">
      <w:bodyDiv w:val="1"/>
      <w:marLeft w:val="0"/>
      <w:marRight w:val="0"/>
      <w:marTop w:val="0"/>
      <w:marBottom w:val="0"/>
      <w:divBdr>
        <w:top w:val="none" w:sz="0" w:space="0" w:color="auto"/>
        <w:left w:val="none" w:sz="0" w:space="0" w:color="auto"/>
        <w:bottom w:val="none" w:sz="0" w:space="0" w:color="auto"/>
        <w:right w:val="none" w:sz="0" w:space="0" w:color="auto"/>
      </w:divBdr>
    </w:div>
    <w:div w:id="1884361144">
      <w:bodyDiv w:val="1"/>
      <w:marLeft w:val="0"/>
      <w:marRight w:val="0"/>
      <w:marTop w:val="0"/>
      <w:marBottom w:val="0"/>
      <w:divBdr>
        <w:top w:val="none" w:sz="0" w:space="0" w:color="auto"/>
        <w:left w:val="none" w:sz="0" w:space="0" w:color="auto"/>
        <w:bottom w:val="none" w:sz="0" w:space="0" w:color="auto"/>
        <w:right w:val="none" w:sz="0" w:space="0" w:color="auto"/>
      </w:divBdr>
    </w:div>
    <w:div w:id="1989282518">
      <w:bodyDiv w:val="1"/>
      <w:marLeft w:val="0"/>
      <w:marRight w:val="0"/>
      <w:marTop w:val="0"/>
      <w:marBottom w:val="0"/>
      <w:divBdr>
        <w:top w:val="none" w:sz="0" w:space="0" w:color="auto"/>
        <w:left w:val="none" w:sz="0" w:space="0" w:color="auto"/>
        <w:bottom w:val="none" w:sz="0" w:space="0" w:color="auto"/>
        <w:right w:val="none" w:sz="0" w:space="0" w:color="auto"/>
      </w:divBdr>
    </w:div>
    <w:div w:id="2030911147">
      <w:bodyDiv w:val="1"/>
      <w:marLeft w:val="0"/>
      <w:marRight w:val="0"/>
      <w:marTop w:val="0"/>
      <w:marBottom w:val="0"/>
      <w:divBdr>
        <w:top w:val="none" w:sz="0" w:space="0" w:color="auto"/>
        <w:left w:val="none" w:sz="0" w:space="0" w:color="auto"/>
        <w:bottom w:val="none" w:sz="0" w:space="0" w:color="auto"/>
        <w:right w:val="none" w:sz="0" w:space="0" w:color="auto"/>
      </w:divBdr>
    </w:div>
    <w:div w:id="2045907635">
      <w:bodyDiv w:val="1"/>
      <w:marLeft w:val="0"/>
      <w:marRight w:val="0"/>
      <w:marTop w:val="0"/>
      <w:marBottom w:val="0"/>
      <w:divBdr>
        <w:top w:val="none" w:sz="0" w:space="0" w:color="auto"/>
        <w:left w:val="none" w:sz="0" w:space="0" w:color="auto"/>
        <w:bottom w:val="none" w:sz="0" w:space="0" w:color="auto"/>
        <w:right w:val="none" w:sz="0" w:space="0" w:color="auto"/>
      </w:divBdr>
    </w:div>
    <w:div w:id="2059933109">
      <w:bodyDiv w:val="1"/>
      <w:marLeft w:val="0"/>
      <w:marRight w:val="0"/>
      <w:marTop w:val="0"/>
      <w:marBottom w:val="0"/>
      <w:divBdr>
        <w:top w:val="none" w:sz="0" w:space="0" w:color="auto"/>
        <w:left w:val="none" w:sz="0" w:space="0" w:color="auto"/>
        <w:bottom w:val="none" w:sz="0" w:space="0" w:color="auto"/>
        <w:right w:val="none" w:sz="0" w:space="0" w:color="auto"/>
      </w:divBdr>
    </w:div>
    <w:div w:id="211119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bi.nlm.nih.gov/genome/browse/#!/prokaryotes/186/"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cbi.nlm.nih.gov/pubmed/3034539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illerb@cardiff.ac.uk" TargetMode="External"/><Relationship Id="rId5" Type="http://schemas.openxmlformats.org/officeDocument/2006/relationships/numbering" Target="numbering.xml"/><Relationship Id="rId15" Type="http://schemas.openxmlformats.org/officeDocument/2006/relationships/hyperlink" Target="https://pubmlst.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tol.embl.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E8D973804D1749840B13A726D0E365" ma:contentTypeVersion="13" ma:contentTypeDescription="Create a new document." ma:contentTypeScope="" ma:versionID="511822f2801db2b49f415396bdaa25f2">
  <xsd:schema xmlns:xsd="http://www.w3.org/2001/XMLSchema" xmlns:xs="http://www.w3.org/2001/XMLSchema" xmlns:p="http://schemas.microsoft.com/office/2006/metadata/properties" xmlns:ns3="4bd67ce9-853b-449b-8bc9-554bb45b9d73" xmlns:ns4="ede26b12-b971-4494-996f-4a954e28d29c" targetNamespace="http://schemas.microsoft.com/office/2006/metadata/properties" ma:root="true" ma:fieldsID="18937eb906197e6350191c906287339c" ns3:_="" ns4:_="">
    <xsd:import namespace="4bd67ce9-853b-449b-8bc9-554bb45b9d73"/>
    <xsd:import namespace="ede26b12-b971-4494-996f-4a954e28d29c"/>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67ce9-853b-449b-8bc9-554bb45b9d7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e26b12-b971-4494-996f-4a954e28d29c"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F141DA-399A-414A-A438-65EEC07BFD92}">
  <ds:schemaRefs>
    <ds:schemaRef ds:uri="http://schemas.microsoft.com/sharepoint/v3/contenttype/forms"/>
  </ds:schemaRefs>
</ds:datastoreItem>
</file>

<file path=customXml/itemProps2.xml><?xml version="1.0" encoding="utf-8"?>
<ds:datastoreItem xmlns:ds="http://schemas.openxmlformats.org/officeDocument/2006/customXml" ds:itemID="{CD68A84E-298C-4058-BA5A-F2F9075EF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67ce9-853b-449b-8bc9-554bb45b9d73"/>
    <ds:schemaRef ds:uri="ede26b12-b971-4494-996f-4a954e28d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94B3D-A53C-7744-ACE2-59B1559B05C1}">
  <ds:schemaRefs>
    <ds:schemaRef ds:uri="http://schemas.openxmlformats.org/officeDocument/2006/bibliography"/>
  </ds:schemaRefs>
</ds:datastoreItem>
</file>

<file path=customXml/itemProps4.xml><?xml version="1.0" encoding="utf-8"?>
<ds:datastoreItem xmlns:ds="http://schemas.openxmlformats.org/officeDocument/2006/customXml" ds:itemID="{15034439-D458-4EB5-BE8C-A5BEACF59B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45530</Words>
  <Characters>259525</Characters>
  <Application>Microsoft Office Word</Application>
  <DocSecurity>0</DocSecurity>
  <Lines>2162</Lines>
  <Paragraphs>608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Jauneikaite, Elita</dc:creator>
  <cp:keywords/>
  <dc:description/>
  <cp:lastModifiedBy>Jauneikaite, Elita</cp:lastModifiedBy>
  <cp:revision>3</cp:revision>
  <dcterms:created xsi:type="dcterms:W3CDTF">2022-01-14T16:40:00Z</dcterms:created>
  <dcterms:modified xsi:type="dcterms:W3CDTF">2022-01-14T16:41:00Z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http://www.zotero.org/styles/clinical-infectious-diseases</vt:lpwstr>
  </property>
  <property fmtid="{D5CDD505-2E9C-101B-9397-08002B2CF9AE}" pid="9" name="Mendeley Recent Style Name 3_1">
    <vt:lpwstr>Clinical Infectious Diseases</vt:lpwstr>
  </property>
  <property fmtid="{D5CDD505-2E9C-101B-9397-08002B2CF9AE}" pid="10" name="Mendeley Recent Style Id 4_1">
    <vt:lpwstr>http://www.zotero.org/styles/clinical-microbiology-and-infection</vt:lpwstr>
  </property>
  <property fmtid="{D5CDD505-2E9C-101B-9397-08002B2CF9AE}" pid="11" name="Mendeley Recent Style Name 4_1">
    <vt:lpwstr>Clinical Microbiology and Infection</vt:lpwstr>
  </property>
  <property fmtid="{D5CDD505-2E9C-101B-9397-08002B2CF9AE}" pid="12" name="Mendeley Recent Style Id 5_1">
    <vt:lpwstr>http://www.zotero.org/styles/elsevier-vancouver</vt:lpwstr>
  </property>
  <property fmtid="{D5CDD505-2E9C-101B-9397-08002B2CF9AE}" pid="13" name="Mendeley Recent Style Name 5_1">
    <vt:lpwstr>Elsevier - Vancouver</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http://www.zotero.org/styles/journal-of-antimicrobial-chemotherapy</vt:lpwstr>
  </property>
  <property fmtid="{D5CDD505-2E9C-101B-9397-08002B2CF9AE}" pid="17" name="Mendeley Recent Style Name 7_1">
    <vt:lpwstr>Journal of Antimicrobial Chemotherapy</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c9f63621-6be2-3049-929e-c71bdb9a9f5d</vt:lpwstr>
  </property>
  <property fmtid="{D5CDD505-2E9C-101B-9397-08002B2CF9AE}" pid="24" name="Mendeley Citation Style_1">
    <vt:lpwstr>http://www.zotero.org/styles/elsevier-vancouver</vt:lpwstr>
  </property>
  <property fmtid="{D5CDD505-2E9C-101B-9397-08002B2CF9AE}" pid="25" name="ContentTypeId">
    <vt:lpwstr>0x01010024E8D973804D1749840B13A726D0E365</vt:lpwstr>
  </property>
</Properties>
</file>