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0C" w:rsidRPr="004B7840" w:rsidRDefault="004B7840" w:rsidP="004B7840">
      <w:pPr>
        <w:jc w:val="center"/>
        <w:rPr>
          <w:b/>
          <w:u w:val="single"/>
        </w:rPr>
      </w:pPr>
      <w:bookmarkStart w:id="0" w:name="_GoBack"/>
      <w:bookmarkEnd w:id="0"/>
      <w:proofErr w:type="spellStart"/>
      <w:r w:rsidRPr="004B7840">
        <w:rPr>
          <w:b/>
          <w:u w:val="single"/>
        </w:rPr>
        <w:t>Pharmacogenetic</w:t>
      </w:r>
      <w:proofErr w:type="spellEnd"/>
      <w:r w:rsidRPr="004B7840">
        <w:rPr>
          <w:b/>
          <w:u w:val="single"/>
        </w:rPr>
        <w:t xml:space="preserve"> </w:t>
      </w:r>
      <w:r w:rsidR="00C663BE">
        <w:rPr>
          <w:b/>
          <w:u w:val="single"/>
        </w:rPr>
        <w:t xml:space="preserve">GWAS </w:t>
      </w:r>
      <w:r w:rsidRPr="004B7840">
        <w:rPr>
          <w:b/>
          <w:u w:val="single"/>
        </w:rPr>
        <w:t xml:space="preserve">Meta-Analysis of </w:t>
      </w:r>
      <w:r w:rsidR="00EC19A0">
        <w:rPr>
          <w:b/>
          <w:u w:val="single"/>
        </w:rPr>
        <w:t>Response to Antih</w:t>
      </w:r>
      <w:r w:rsidR="00125EB3">
        <w:rPr>
          <w:b/>
          <w:u w:val="single"/>
        </w:rPr>
        <w:t>ypertensive Drugs</w:t>
      </w:r>
    </w:p>
    <w:p w:rsidR="004B7840" w:rsidRPr="009351DF" w:rsidRDefault="004B7840">
      <w:pPr>
        <w:rPr>
          <w:vertAlign w:val="superscript"/>
        </w:rPr>
      </w:pPr>
      <w:r w:rsidRPr="004B7840">
        <w:rPr>
          <w:u w:val="single"/>
        </w:rPr>
        <w:t>Helen Warren</w:t>
      </w:r>
      <w:r w:rsidR="009351DF">
        <w:rPr>
          <w:u w:val="single"/>
          <w:vertAlign w:val="superscript"/>
        </w:rPr>
        <w:t>1</w:t>
      </w:r>
      <w:proofErr w:type="gramStart"/>
      <w:r w:rsidR="009351DF">
        <w:rPr>
          <w:u w:val="single"/>
          <w:vertAlign w:val="superscript"/>
        </w:rPr>
        <w:t>,2</w:t>
      </w:r>
      <w:proofErr w:type="gramEnd"/>
      <w:r>
        <w:t>, Peter Sever</w:t>
      </w:r>
      <w:r w:rsidR="005A6482">
        <w:rPr>
          <w:vertAlign w:val="superscript"/>
        </w:rPr>
        <w:t>3</w:t>
      </w:r>
      <w:r>
        <w:t>, Neil Poulter</w:t>
      </w:r>
      <w:r w:rsidR="005A6482">
        <w:rPr>
          <w:vertAlign w:val="superscript"/>
        </w:rPr>
        <w:t>3</w:t>
      </w:r>
      <w:r>
        <w:t>, Alice Stanton</w:t>
      </w:r>
      <w:r w:rsidR="005A6482">
        <w:rPr>
          <w:vertAlign w:val="superscript"/>
        </w:rPr>
        <w:t>4</w:t>
      </w:r>
      <w:r>
        <w:t>, Mark Caulfield</w:t>
      </w:r>
      <w:r w:rsidR="009351DF">
        <w:rPr>
          <w:vertAlign w:val="superscript"/>
        </w:rPr>
        <w:t>1,2</w:t>
      </w:r>
      <w:r>
        <w:t>, Patricia Munroe</w:t>
      </w:r>
      <w:r w:rsidR="009351DF">
        <w:rPr>
          <w:vertAlign w:val="superscript"/>
        </w:rPr>
        <w:t>1,2</w:t>
      </w:r>
    </w:p>
    <w:p w:rsidR="009351DF" w:rsidRPr="005A6482" w:rsidRDefault="009351DF">
      <w:pPr>
        <w:rPr>
          <w:i/>
          <w:noProof/>
        </w:rPr>
      </w:pPr>
      <w:r w:rsidRPr="005A6482">
        <w:rPr>
          <w:i/>
          <w:noProof/>
          <w:vertAlign w:val="superscript"/>
        </w:rPr>
        <w:t>1</w:t>
      </w:r>
      <w:r w:rsidRPr="005A6482">
        <w:rPr>
          <w:i/>
          <w:noProof/>
        </w:rPr>
        <w:t>Department of Clinical Pharmacology, William Harvey Research Institute, Barts and The London School of Medicine and Dentistry, Queen Mary University of London, UK</w:t>
      </w:r>
    </w:p>
    <w:p w:rsidR="009351DF" w:rsidRPr="005A6482" w:rsidRDefault="009351DF">
      <w:pPr>
        <w:rPr>
          <w:i/>
          <w:noProof/>
        </w:rPr>
      </w:pPr>
      <w:r w:rsidRPr="005A6482">
        <w:rPr>
          <w:i/>
          <w:noProof/>
          <w:vertAlign w:val="superscript"/>
        </w:rPr>
        <w:t>2</w:t>
      </w:r>
      <w:r w:rsidRPr="005A6482">
        <w:rPr>
          <w:i/>
          <w:noProof/>
        </w:rPr>
        <w:t>NIHR Barts Cardiovascular Biomedical Research Unit, Queen Mary University of London, London, UK</w:t>
      </w:r>
    </w:p>
    <w:p w:rsidR="005A6482" w:rsidRPr="005A6482" w:rsidRDefault="005A6482" w:rsidP="005A6482">
      <w:pPr>
        <w:pStyle w:val="Bibliography"/>
        <w:rPr>
          <w:i/>
          <w:noProof/>
        </w:rPr>
      </w:pPr>
      <w:r w:rsidRPr="005A6482">
        <w:rPr>
          <w:i/>
          <w:noProof/>
          <w:vertAlign w:val="superscript"/>
        </w:rPr>
        <w:t>3</w:t>
      </w:r>
      <w:r w:rsidRPr="005A6482">
        <w:rPr>
          <w:i/>
          <w:noProof/>
        </w:rPr>
        <w:t>International Centre for Circulatory Health, Imperial College, London UK</w:t>
      </w:r>
    </w:p>
    <w:p w:rsidR="005A6482" w:rsidRPr="005A6482" w:rsidRDefault="005A6482" w:rsidP="005A6482">
      <w:pPr>
        <w:pStyle w:val="Bibliography"/>
        <w:spacing w:after="0"/>
        <w:rPr>
          <w:i/>
          <w:noProof/>
        </w:rPr>
      </w:pPr>
      <w:r w:rsidRPr="005A6482">
        <w:rPr>
          <w:i/>
          <w:noProof/>
          <w:vertAlign w:val="superscript"/>
        </w:rPr>
        <w:t>4</w:t>
      </w:r>
      <w:r w:rsidRPr="005A6482">
        <w:rPr>
          <w:i/>
          <w:noProof/>
        </w:rPr>
        <w:t>Molecular and Cellular Therapeutics, Royal College of Surgeons in Ireland, Dublin, Ireland</w:t>
      </w:r>
    </w:p>
    <w:p w:rsidR="009351DF" w:rsidRDefault="009351DF">
      <w:pPr>
        <w:rPr>
          <w:noProof/>
        </w:rPr>
      </w:pPr>
    </w:p>
    <w:p w:rsidR="00CC57DB" w:rsidRDefault="00CC57DB" w:rsidP="00CC57DB">
      <w:r>
        <w:rPr>
          <w:u w:val="single"/>
        </w:rPr>
        <w:t>Background:</w:t>
      </w:r>
      <w:r>
        <w:t xml:space="preserve"> Antihypertensive drugs are widely prescribed to lower blood pressure (BP), however there is significant inter-individual variation in treatment response, which may be due to genetic variation.  By identifying genetic variants associated with a differential treatment response, it is hoped that </w:t>
      </w:r>
      <w:proofErr w:type="spellStart"/>
      <w:r>
        <w:t>pharmacogenetics</w:t>
      </w:r>
      <w:proofErr w:type="spellEnd"/>
      <w:r>
        <w:t xml:space="preserve"> may aid in the selection of optimal treatments.  So far, only three genetic loci have been validated from </w:t>
      </w:r>
      <w:proofErr w:type="spellStart"/>
      <w:r>
        <w:t>pharmacogenetic</w:t>
      </w:r>
      <w:proofErr w:type="spellEnd"/>
      <w:r>
        <w:t xml:space="preserve"> genome-wide association studies (GWAS), only for BP response to diuretics.  It has been hypothesised that the loci associated with BP would also modify the effects of response to </w:t>
      </w:r>
      <w:proofErr w:type="spellStart"/>
      <w:r>
        <w:t>antihypertensives</w:t>
      </w:r>
      <w:proofErr w:type="spellEnd"/>
      <w:r>
        <w:t xml:space="preserve">, however no significant </w:t>
      </w:r>
      <w:proofErr w:type="spellStart"/>
      <w:r>
        <w:t>pharmacogenetic</w:t>
      </w:r>
      <w:proofErr w:type="spellEnd"/>
      <w:r>
        <w:t xml:space="preserve"> associations have been found.</w:t>
      </w:r>
    </w:p>
    <w:p w:rsidR="00CC57DB" w:rsidRDefault="00CC57DB" w:rsidP="00CC57DB">
      <w:r>
        <w:rPr>
          <w:u w:val="single"/>
        </w:rPr>
        <w:t>Methods:</w:t>
      </w:r>
      <w:r>
        <w:t xml:space="preserve"> We have derived novel methods to take advantage of data from the Anglo-Scandinavian C</w:t>
      </w:r>
      <w:r w:rsidRPr="005C24E3">
        <w:t>ardiac Outcomes Trial (ASCOT)</w:t>
      </w:r>
      <w:r>
        <w:t xml:space="preserve">, where </w:t>
      </w:r>
      <w:r w:rsidRPr="004D6D88">
        <w:t xml:space="preserve">hypertensive patients were randomized to </w:t>
      </w:r>
      <w:r>
        <w:t xml:space="preserve">either a beta-blocker (BB) or a calcium-channel-blocker (CCB).  A </w:t>
      </w:r>
      <w:proofErr w:type="spellStart"/>
      <w:r>
        <w:t>pharmacogenetic</w:t>
      </w:r>
      <w:proofErr w:type="spellEnd"/>
      <w:r>
        <w:t xml:space="preserve"> GWAS has been performed using genetic data for 3,804 Europeans from UK/Ireland and 2,468 from Scandinavia, followed by a combined meta-analysis. Subjects were restricted to those on monotherapy treatment, comparing BB vs CCB patients within a linear regression drug-gene interaction analysis for three BP-related phenotypes: systolic BP (SBP), diastolic BP (DBP) and heart rate (HR).  The response was defined as the mean phenotype measure over all longitudinal visits whilst on monotherapy, and adjusted for several covariates, including baseline BP, to eliminate any confounding effects.  Any subjects taking BB (or CCB) drugs at baseline were excluded, resulting in a total sample size of up to 1,659 UK and 961 Scandinavian subjects.</w:t>
      </w:r>
    </w:p>
    <w:p w:rsidR="00CC57DB" w:rsidRDefault="00CC57DB" w:rsidP="00CC57DB">
      <w:r>
        <w:rPr>
          <w:u w:val="single"/>
        </w:rPr>
        <w:t>Results:</w:t>
      </w:r>
      <w:r>
        <w:t xml:space="preserve"> We have identified one novel genetic locus on chromosome 11, reaching genome-wide significance for HR response.  Furthermore we performed an updated look-up for 79 SNPs published for BP and identified two variants with significant </w:t>
      </w:r>
      <w:proofErr w:type="spellStart"/>
      <w:r>
        <w:t>pharmacogenetic</w:t>
      </w:r>
      <w:proofErr w:type="spellEnd"/>
      <w:r>
        <w:t xml:space="preserve"> association after </w:t>
      </w:r>
      <w:proofErr w:type="spellStart"/>
      <w:r>
        <w:t>Bonferroni</w:t>
      </w:r>
      <w:proofErr w:type="spellEnd"/>
      <w:r>
        <w:t xml:space="preserve"> correction: another for HR response on chromosome 11, and one for SBP response on chromosome 4, each of which has potential relevance and functional support.  </w:t>
      </w:r>
    </w:p>
    <w:p w:rsidR="00090F8F" w:rsidRDefault="00CC57DB" w:rsidP="00CC57DB">
      <w:r>
        <w:t xml:space="preserve">This data is now contributing to a large scale GWAS meta-analysis for antihypertensive response, which we are leading within an international </w:t>
      </w:r>
      <w:proofErr w:type="spellStart"/>
      <w:r>
        <w:t>pharmacogenetics</w:t>
      </w:r>
      <w:proofErr w:type="spellEnd"/>
      <w:r>
        <w:t xml:space="preserve"> consortium, adapted to combine data from clinical trials and observational studies.</w:t>
      </w:r>
    </w:p>
    <w:p w:rsidR="003B089E" w:rsidRDefault="003B089E" w:rsidP="00CC57DB"/>
    <w:tbl>
      <w:tblPr>
        <w:tblpPr w:leftFromText="45" w:rightFromText="45" w:vertAnchor="text"/>
        <w:tblW w:w="0" w:type="auto"/>
        <w:tblCellSpacing w:w="30" w:type="dxa"/>
        <w:tblCellMar>
          <w:top w:w="60" w:type="dxa"/>
          <w:left w:w="60" w:type="dxa"/>
          <w:bottom w:w="60" w:type="dxa"/>
          <w:right w:w="60" w:type="dxa"/>
        </w:tblCellMar>
        <w:tblLook w:val="04A0" w:firstRow="1" w:lastRow="0" w:firstColumn="1" w:lastColumn="0" w:noHBand="0" w:noVBand="1"/>
      </w:tblPr>
      <w:tblGrid>
        <w:gridCol w:w="2244"/>
        <w:gridCol w:w="5386"/>
      </w:tblGrid>
      <w:tr w:rsidR="009A340A" w:rsidRPr="009A340A" w:rsidTr="009A340A">
        <w:trPr>
          <w:tblCellSpacing w:w="30" w:type="dxa"/>
        </w:trPr>
        <w:tc>
          <w:tcPr>
            <w:tcW w:w="0" w:type="auto"/>
            <w:hideMark/>
          </w:tcPr>
          <w:p w:rsidR="009A340A" w:rsidRDefault="009A340A" w:rsidP="009A340A">
            <w:pPr>
              <w:spacing w:after="0" w:line="240" w:lineRule="auto"/>
              <w:rPr>
                <w:rFonts w:ascii="Times New Roman" w:eastAsia="Times New Roman" w:hAnsi="Times New Roman" w:cs="Times New Roman"/>
                <w:b/>
                <w:bCs/>
                <w:sz w:val="24"/>
                <w:szCs w:val="24"/>
                <w:lang w:eastAsia="en-GB"/>
              </w:rPr>
            </w:pPr>
            <w:r w:rsidRPr="009A340A">
              <w:rPr>
                <w:rFonts w:ascii="Times New Roman" w:eastAsia="Times New Roman" w:hAnsi="Times New Roman" w:cs="Times New Roman"/>
                <w:b/>
                <w:bCs/>
                <w:sz w:val="24"/>
                <w:szCs w:val="24"/>
                <w:lang w:eastAsia="en-GB"/>
              </w:rPr>
              <w:t>Author information</w:t>
            </w:r>
          </w:p>
          <w:p w:rsidR="009A340A" w:rsidRPr="009A340A" w:rsidRDefault="009A340A" w:rsidP="009A340A">
            <w:pPr>
              <w:spacing w:after="0" w:line="240" w:lineRule="auto"/>
              <w:rPr>
                <w:rFonts w:ascii="Times New Roman" w:eastAsia="Times New Roman" w:hAnsi="Times New Roman" w:cs="Times New Roman"/>
                <w:sz w:val="24"/>
                <w:szCs w:val="24"/>
                <w:lang w:eastAsia="en-GB"/>
              </w:rPr>
            </w:pPr>
          </w:p>
        </w:tc>
        <w:tc>
          <w:tcPr>
            <w:tcW w:w="0" w:type="auto"/>
            <w:hideMark/>
          </w:tcPr>
          <w:tbl>
            <w:tblPr>
              <w:tblW w:w="0" w:type="auto"/>
              <w:tblCellSpacing w:w="0" w:type="dxa"/>
              <w:tblBorders>
                <w:top w:val="single" w:sz="6" w:space="0" w:color="C0C0C0"/>
                <w:left w:val="single" w:sz="6" w:space="0" w:color="C0C0C0"/>
              </w:tblBorders>
              <w:tblCellMar>
                <w:top w:w="45" w:type="dxa"/>
                <w:left w:w="45" w:type="dxa"/>
                <w:bottom w:w="45" w:type="dxa"/>
                <w:right w:w="45" w:type="dxa"/>
              </w:tblCellMar>
              <w:tblLook w:val="04A0" w:firstRow="1" w:lastRow="0" w:firstColumn="1" w:lastColumn="0" w:noHBand="0" w:noVBand="1"/>
            </w:tblPr>
            <w:tblGrid>
              <w:gridCol w:w="982"/>
              <w:gridCol w:w="2666"/>
              <w:gridCol w:w="1512"/>
            </w:tblGrid>
            <w:tr w:rsidR="009A340A" w:rsidRPr="009A340A">
              <w:trPr>
                <w:tblHeader/>
                <w:tblCellSpacing w:w="0" w:type="dxa"/>
              </w:trPr>
              <w:tc>
                <w:tcPr>
                  <w:tcW w:w="0" w:type="auto"/>
                  <w:tcBorders>
                    <w:bottom w:val="single" w:sz="12"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w:t>
                  </w:r>
                </w:p>
              </w:tc>
              <w:tc>
                <w:tcPr>
                  <w:tcW w:w="0" w:type="auto"/>
                  <w:tcBorders>
                    <w:bottom w:val="single" w:sz="12"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Email address</w:t>
                  </w:r>
                </w:p>
              </w:tc>
              <w:tc>
                <w:tcPr>
                  <w:tcW w:w="0" w:type="auto"/>
                  <w:tcBorders>
                    <w:bottom w:val="single" w:sz="12"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Phone number</w:t>
                  </w:r>
                </w:p>
              </w:tc>
            </w:tr>
            <w:tr w:rsidR="009A340A" w:rsidRPr="009A340A">
              <w:trPr>
                <w:tblCellSpacing w:w="0" w:type="dxa"/>
              </w:trPr>
              <w:tc>
                <w:tcPr>
                  <w:tcW w:w="0" w:type="auto"/>
                  <w:tcBorders>
                    <w:bottom w:val="single" w:sz="6"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Author 1</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h.r.warren@qmul.ac.uk  </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02078822120  </w:t>
                  </w:r>
                </w:p>
              </w:tc>
            </w:tr>
            <w:tr w:rsidR="009A340A" w:rsidRPr="009A340A">
              <w:trPr>
                <w:tblCellSpacing w:w="0" w:type="dxa"/>
              </w:trPr>
              <w:tc>
                <w:tcPr>
                  <w:tcW w:w="0" w:type="auto"/>
                  <w:tcBorders>
                    <w:bottom w:val="single" w:sz="6"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Author 2</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p.sever@imperial.ac.uk  </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02075941100  </w:t>
                  </w:r>
                </w:p>
              </w:tc>
            </w:tr>
            <w:tr w:rsidR="009A340A" w:rsidRPr="009A340A">
              <w:trPr>
                <w:tblCellSpacing w:w="0" w:type="dxa"/>
              </w:trPr>
              <w:tc>
                <w:tcPr>
                  <w:tcW w:w="0" w:type="auto"/>
                  <w:tcBorders>
                    <w:bottom w:val="single" w:sz="6"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lastRenderedPageBreak/>
                    <w:t>Author 3</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n.poulter@imperial.ac.uk  </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02075943446  </w:t>
                  </w:r>
                </w:p>
              </w:tc>
            </w:tr>
            <w:tr w:rsidR="009A340A" w:rsidRPr="009A340A">
              <w:trPr>
                <w:tblCellSpacing w:w="0" w:type="dxa"/>
              </w:trPr>
              <w:tc>
                <w:tcPr>
                  <w:tcW w:w="0" w:type="auto"/>
                  <w:tcBorders>
                    <w:bottom w:val="single" w:sz="6"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Author 4</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astanton@rcsi.ie  </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  </w:t>
                  </w:r>
                </w:p>
              </w:tc>
            </w:tr>
            <w:tr w:rsidR="009A340A" w:rsidRPr="009A340A">
              <w:trPr>
                <w:tblCellSpacing w:w="0" w:type="dxa"/>
              </w:trPr>
              <w:tc>
                <w:tcPr>
                  <w:tcW w:w="0" w:type="auto"/>
                  <w:tcBorders>
                    <w:bottom w:val="single" w:sz="6"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Author 5</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m.j.caulfield@qmul.ac.uk  </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02078823403  </w:t>
                  </w:r>
                </w:p>
              </w:tc>
            </w:tr>
            <w:tr w:rsidR="009A340A" w:rsidRPr="009A340A">
              <w:trPr>
                <w:tblCellSpacing w:w="0" w:type="dxa"/>
              </w:trPr>
              <w:tc>
                <w:tcPr>
                  <w:tcW w:w="0" w:type="auto"/>
                  <w:tcBorders>
                    <w:bottom w:val="single" w:sz="6" w:space="0" w:color="C0C0C0"/>
                    <w:right w:val="single" w:sz="12"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i/>
                      <w:iCs/>
                      <w:sz w:val="24"/>
                      <w:szCs w:val="24"/>
                      <w:lang w:eastAsia="en-GB"/>
                    </w:rPr>
                  </w:pPr>
                  <w:r w:rsidRPr="009A340A">
                    <w:rPr>
                      <w:rFonts w:ascii="Times New Roman" w:eastAsia="Times New Roman" w:hAnsi="Times New Roman" w:cs="Times New Roman"/>
                      <w:i/>
                      <w:iCs/>
                      <w:sz w:val="24"/>
                      <w:szCs w:val="24"/>
                      <w:lang w:eastAsia="en-GB"/>
                    </w:rPr>
                    <w:t>Author 6</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p.b.munroe@qmul.ac.uk  </w:t>
                  </w:r>
                </w:p>
              </w:tc>
              <w:tc>
                <w:tcPr>
                  <w:tcW w:w="0" w:type="auto"/>
                  <w:tcBorders>
                    <w:bottom w:val="single" w:sz="6" w:space="0" w:color="C0C0C0"/>
                    <w:right w:val="single" w:sz="6" w:space="0" w:color="C0C0C0"/>
                  </w:tcBorders>
                  <w:vAlign w:val="center"/>
                  <w:hideMark/>
                </w:tcPr>
                <w:p w:rsidR="009A340A" w:rsidRPr="009A340A" w:rsidRDefault="009A340A" w:rsidP="009617FE">
                  <w:pPr>
                    <w:framePr w:hSpace="45" w:wrap="around" w:vAnchor="text" w:hAnchor="text"/>
                    <w:spacing w:after="0" w:line="240" w:lineRule="auto"/>
                    <w:rPr>
                      <w:rFonts w:ascii="Times New Roman" w:eastAsia="Times New Roman" w:hAnsi="Times New Roman" w:cs="Times New Roman"/>
                      <w:sz w:val="24"/>
                      <w:szCs w:val="24"/>
                      <w:lang w:eastAsia="en-GB"/>
                    </w:rPr>
                  </w:pPr>
                  <w:r w:rsidRPr="009A340A">
                    <w:rPr>
                      <w:rFonts w:ascii="Times New Roman" w:eastAsia="Times New Roman" w:hAnsi="Times New Roman" w:cs="Times New Roman"/>
                      <w:sz w:val="24"/>
                      <w:szCs w:val="24"/>
                      <w:lang w:eastAsia="en-GB"/>
                    </w:rPr>
                    <w:t xml:space="preserve">02078908500  </w:t>
                  </w:r>
                </w:p>
              </w:tc>
            </w:tr>
          </w:tbl>
          <w:p w:rsidR="009A340A" w:rsidRPr="009A340A" w:rsidRDefault="009A340A" w:rsidP="009A340A">
            <w:pPr>
              <w:spacing w:after="0" w:line="240" w:lineRule="auto"/>
              <w:rPr>
                <w:rFonts w:ascii="Times New Roman" w:eastAsia="Times New Roman" w:hAnsi="Times New Roman" w:cs="Times New Roman"/>
                <w:sz w:val="24"/>
                <w:szCs w:val="24"/>
                <w:lang w:eastAsia="en-GB"/>
              </w:rPr>
            </w:pPr>
          </w:p>
        </w:tc>
      </w:tr>
    </w:tbl>
    <w:p w:rsidR="003B089E" w:rsidRDefault="003B089E" w:rsidP="00CC57DB"/>
    <w:sectPr w:rsidR="003B08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840"/>
    <w:rsid w:val="0001108E"/>
    <w:rsid w:val="00046ADF"/>
    <w:rsid w:val="00055527"/>
    <w:rsid w:val="00073C94"/>
    <w:rsid w:val="00090F8F"/>
    <w:rsid w:val="000E78A6"/>
    <w:rsid w:val="00106889"/>
    <w:rsid w:val="00106AA9"/>
    <w:rsid w:val="00125EB3"/>
    <w:rsid w:val="001326C0"/>
    <w:rsid w:val="00156024"/>
    <w:rsid w:val="001625C9"/>
    <w:rsid w:val="0017309D"/>
    <w:rsid w:val="00176C0F"/>
    <w:rsid w:val="001941F6"/>
    <w:rsid w:val="001B473F"/>
    <w:rsid w:val="001D06B9"/>
    <w:rsid w:val="00204333"/>
    <w:rsid w:val="00232932"/>
    <w:rsid w:val="00233947"/>
    <w:rsid w:val="00250005"/>
    <w:rsid w:val="002528D5"/>
    <w:rsid w:val="00290809"/>
    <w:rsid w:val="002D244D"/>
    <w:rsid w:val="00301312"/>
    <w:rsid w:val="003038D4"/>
    <w:rsid w:val="003209AB"/>
    <w:rsid w:val="00332C4F"/>
    <w:rsid w:val="003424F1"/>
    <w:rsid w:val="00364D15"/>
    <w:rsid w:val="00376782"/>
    <w:rsid w:val="00387743"/>
    <w:rsid w:val="003B089E"/>
    <w:rsid w:val="003B6BA9"/>
    <w:rsid w:val="004054E6"/>
    <w:rsid w:val="00435348"/>
    <w:rsid w:val="004355AE"/>
    <w:rsid w:val="0046702D"/>
    <w:rsid w:val="00496C5F"/>
    <w:rsid w:val="004B3EEC"/>
    <w:rsid w:val="004B7840"/>
    <w:rsid w:val="004C2795"/>
    <w:rsid w:val="004C5267"/>
    <w:rsid w:val="004D3E0B"/>
    <w:rsid w:val="004D48A3"/>
    <w:rsid w:val="0054429C"/>
    <w:rsid w:val="00547B94"/>
    <w:rsid w:val="0055023E"/>
    <w:rsid w:val="00550FCF"/>
    <w:rsid w:val="005704BB"/>
    <w:rsid w:val="00581795"/>
    <w:rsid w:val="005A6482"/>
    <w:rsid w:val="005C24E3"/>
    <w:rsid w:val="005C32F9"/>
    <w:rsid w:val="00620BC0"/>
    <w:rsid w:val="00626318"/>
    <w:rsid w:val="00627059"/>
    <w:rsid w:val="0063538C"/>
    <w:rsid w:val="00647805"/>
    <w:rsid w:val="006757B7"/>
    <w:rsid w:val="006942AA"/>
    <w:rsid w:val="006A12A3"/>
    <w:rsid w:val="006A39FC"/>
    <w:rsid w:val="006B4A0C"/>
    <w:rsid w:val="006B5BD0"/>
    <w:rsid w:val="006C625E"/>
    <w:rsid w:val="006F0961"/>
    <w:rsid w:val="00705E39"/>
    <w:rsid w:val="007079D1"/>
    <w:rsid w:val="0073383F"/>
    <w:rsid w:val="00777468"/>
    <w:rsid w:val="0078483B"/>
    <w:rsid w:val="0078518E"/>
    <w:rsid w:val="007D3B51"/>
    <w:rsid w:val="007F77B7"/>
    <w:rsid w:val="00810908"/>
    <w:rsid w:val="008418B4"/>
    <w:rsid w:val="0085056B"/>
    <w:rsid w:val="00856000"/>
    <w:rsid w:val="00892527"/>
    <w:rsid w:val="008A0D7C"/>
    <w:rsid w:val="008A53C2"/>
    <w:rsid w:val="008B5B0B"/>
    <w:rsid w:val="00906DC9"/>
    <w:rsid w:val="009078DF"/>
    <w:rsid w:val="00912536"/>
    <w:rsid w:val="00930B5C"/>
    <w:rsid w:val="00930EA1"/>
    <w:rsid w:val="009351DF"/>
    <w:rsid w:val="0095124B"/>
    <w:rsid w:val="0096062E"/>
    <w:rsid w:val="009617FE"/>
    <w:rsid w:val="00971A89"/>
    <w:rsid w:val="009804A3"/>
    <w:rsid w:val="00982353"/>
    <w:rsid w:val="009A340A"/>
    <w:rsid w:val="009C0AC8"/>
    <w:rsid w:val="009C30C0"/>
    <w:rsid w:val="009C66E9"/>
    <w:rsid w:val="009D651B"/>
    <w:rsid w:val="009E05F6"/>
    <w:rsid w:val="009F5CCD"/>
    <w:rsid w:val="009F67B5"/>
    <w:rsid w:val="00A4324A"/>
    <w:rsid w:val="00A565F2"/>
    <w:rsid w:val="00AB28D1"/>
    <w:rsid w:val="00AB3005"/>
    <w:rsid w:val="00B164D3"/>
    <w:rsid w:val="00B56BE8"/>
    <w:rsid w:val="00B6021D"/>
    <w:rsid w:val="00B768D1"/>
    <w:rsid w:val="00B82E3E"/>
    <w:rsid w:val="00B842BE"/>
    <w:rsid w:val="00BA7A95"/>
    <w:rsid w:val="00BB7C51"/>
    <w:rsid w:val="00BE0513"/>
    <w:rsid w:val="00BE5A46"/>
    <w:rsid w:val="00BF095C"/>
    <w:rsid w:val="00C15306"/>
    <w:rsid w:val="00C15EA9"/>
    <w:rsid w:val="00C23346"/>
    <w:rsid w:val="00C23802"/>
    <w:rsid w:val="00C25E90"/>
    <w:rsid w:val="00C26DBF"/>
    <w:rsid w:val="00C30FC7"/>
    <w:rsid w:val="00C5011B"/>
    <w:rsid w:val="00C504F2"/>
    <w:rsid w:val="00C56D54"/>
    <w:rsid w:val="00C663BE"/>
    <w:rsid w:val="00C677B6"/>
    <w:rsid w:val="00C8308E"/>
    <w:rsid w:val="00CC450B"/>
    <w:rsid w:val="00CC57DB"/>
    <w:rsid w:val="00CD0E68"/>
    <w:rsid w:val="00CD1D93"/>
    <w:rsid w:val="00CE2506"/>
    <w:rsid w:val="00D3661A"/>
    <w:rsid w:val="00D522AD"/>
    <w:rsid w:val="00D64FFA"/>
    <w:rsid w:val="00D73CC4"/>
    <w:rsid w:val="00DA2715"/>
    <w:rsid w:val="00DB385A"/>
    <w:rsid w:val="00DB4AA2"/>
    <w:rsid w:val="00DB5082"/>
    <w:rsid w:val="00DC1B60"/>
    <w:rsid w:val="00E00CDC"/>
    <w:rsid w:val="00E046A1"/>
    <w:rsid w:val="00E059FC"/>
    <w:rsid w:val="00E30748"/>
    <w:rsid w:val="00E330FB"/>
    <w:rsid w:val="00E51724"/>
    <w:rsid w:val="00E6133E"/>
    <w:rsid w:val="00E62E11"/>
    <w:rsid w:val="00E63305"/>
    <w:rsid w:val="00E81A6B"/>
    <w:rsid w:val="00E846F5"/>
    <w:rsid w:val="00EB3D2A"/>
    <w:rsid w:val="00EC19A0"/>
    <w:rsid w:val="00EC494C"/>
    <w:rsid w:val="00EC7505"/>
    <w:rsid w:val="00EE038F"/>
    <w:rsid w:val="00EE12C0"/>
    <w:rsid w:val="00EE50E3"/>
    <w:rsid w:val="00F07F8E"/>
    <w:rsid w:val="00F232DE"/>
    <w:rsid w:val="00FB429C"/>
    <w:rsid w:val="00FD4799"/>
    <w:rsid w:val="00FD6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5A6482"/>
  </w:style>
  <w:style w:type="character" w:styleId="Strong">
    <w:name w:val="Strong"/>
    <w:basedOn w:val="DefaultParagraphFont"/>
    <w:uiPriority w:val="22"/>
    <w:qFormat/>
    <w:rsid w:val="009A340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5A6482"/>
  </w:style>
  <w:style w:type="character" w:styleId="Strong">
    <w:name w:val="Strong"/>
    <w:basedOn w:val="DefaultParagraphFont"/>
    <w:uiPriority w:val="22"/>
    <w:qFormat/>
    <w:rsid w:val="009A34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48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2830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hwarren</dc:creator>
  <cp:lastModifiedBy>Green, Yvonne M</cp:lastModifiedBy>
  <cp:revision>2</cp:revision>
  <dcterms:created xsi:type="dcterms:W3CDTF">2016-03-01T15:42:00Z</dcterms:created>
  <dcterms:modified xsi:type="dcterms:W3CDTF">2016-03-01T15:42:00Z</dcterms:modified>
</cp:coreProperties>
</file>