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0DF4A3" w14:textId="29BE8817" w:rsidR="00A07C0B" w:rsidRPr="000E5036" w:rsidRDefault="009039F3" w:rsidP="00B73EE1">
      <w:pPr>
        <w:jc w:val="center"/>
        <w:rPr>
          <w:b/>
          <w:sz w:val="28"/>
          <w:szCs w:val="28"/>
        </w:rPr>
      </w:pPr>
      <w:r>
        <w:rPr>
          <w:b/>
          <w:sz w:val="28"/>
          <w:szCs w:val="28"/>
        </w:rPr>
        <w:t xml:space="preserve">Living with </w:t>
      </w:r>
      <w:r w:rsidR="00C43F64" w:rsidRPr="000E5036">
        <w:rPr>
          <w:b/>
          <w:sz w:val="28"/>
          <w:szCs w:val="28"/>
        </w:rPr>
        <w:t>COVID</w:t>
      </w:r>
      <w:r w:rsidR="00E45C28">
        <w:rPr>
          <w:b/>
          <w:sz w:val="28"/>
          <w:szCs w:val="28"/>
        </w:rPr>
        <w:t>-</w:t>
      </w:r>
      <w:r w:rsidR="00C43F64" w:rsidRPr="000E5036">
        <w:rPr>
          <w:b/>
          <w:sz w:val="28"/>
          <w:szCs w:val="28"/>
        </w:rPr>
        <w:t>19</w:t>
      </w:r>
      <w:r w:rsidR="006A1716">
        <w:rPr>
          <w:b/>
          <w:bCs/>
        </w:rPr>
        <w:t xml:space="preserve">: </w:t>
      </w:r>
      <w:r w:rsidR="006A1716" w:rsidRPr="0092335F">
        <w:rPr>
          <w:b/>
          <w:bCs/>
          <w:sz w:val="28"/>
          <w:szCs w:val="28"/>
        </w:rPr>
        <w:t>balancing costs against benefits in the face of the virus</w:t>
      </w:r>
    </w:p>
    <w:p w14:paraId="4056B1AB" w14:textId="1B788DFF" w:rsidR="003C5BD2" w:rsidRDefault="003C5BD2" w:rsidP="00DB3811">
      <w:pPr>
        <w:spacing w:line="240" w:lineRule="auto"/>
        <w:ind w:firstLine="720"/>
        <w:jc w:val="center"/>
        <w:rPr>
          <w:b/>
        </w:rPr>
      </w:pPr>
      <w:r>
        <w:rPr>
          <w:b/>
        </w:rPr>
        <w:t>David Miles</w:t>
      </w:r>
      <w:r w:rsidR="00042F2E">
        <w:rPr>
          <w:rStyle w:val="FootnoteReference"/>
          <w:b/>
        </w:rPr>
        <w:footnoteReference w:id="1"/>
      </w:r>
      <w:r>
        <w:rPr>
          <w:b/>
        </w:rPr>
        <w:tab/>
        <w:t xml:space="preserve"> </w:t>
      </w:r>
      <w:r>
        <w:rPr>
          <w:b/>
        </w:rPr>
        <w:tab/>
      </w:r>
      <w:r>
        <w:rPr>
          <w:b/>
        </w:rPr>
        <w:tab/>
        <w:t>Mike Stedman</w:t>
      </w:r>
      <w:r w:rsidR="00042F2E">
        <w:rPr>
          <w:rStyle w:val="FootnoteReference"/>
          <w:b/>
        </w:rPr>
        <w:footnoteReference w:id="2"/>
      </w:r>
      <w:r w:rsidR="00460593">
        <w:rPr>
          <w:b/>
        </w:rPr>
        <w:tab/>
      </w:r>
      <w:r>
        <w:rPr>
          <w:b/>
        </w:rPr>
        <w:tab/>
      </w:r>
      <w:proofErr w:type="gramStart"/>
      <w:r>
        <w:rPr>
          <w:b/>
        </w:rPr>
        <w:tab/>
      </w:r>
      <w:r w:rsidR="000E5036">
        <w:rPr>
          <w:b/>
        </w:rPr>
        <w:t xml:space="preserve">  </w:t>
      </w:r>
      <w:r>
        <w:rPr>
          <w:b/>
        </w:rPr>
        <w:t>Adrian</w:t>
      </w:r>
      <w:proofErr w:type="gramEnd"/>
      <w:r>
        <w:rPr>
          <w:b/>
        </w:rPr>
        <w:t xml:space="preserve"> Heald</w:t>
      </w:r>
      <w:r w:rsidR="00042F2E">
        <w:rPr>
          <w:rStyle w:val="FootnoteReference"/>
          <w:b/>
        </w:rPr>
        <w:footnoteReference w:id="3"/>
      </w:r>
      <w:r>
        <w:rPr>
          <w:b/>
        </w:rPr>
        <w:tab/>
      </w:r>
      <w:r>
        <w:rPr>
          <w:b/>
        </w:rPr>
        <w:tab/>
      </w:r>
    </w:p>
    <w:p w14:paraId="4AF4B016" w14:textId="164B5F68" w:rsidR="003C5BD2" w:rsidRDefault="003C5BD2" w:rsidP="00DB3811">
      <w:pPr>
        <w:spacing w:line="240" w:lineRule="auto"/>
        <w:ind w:firstLine="720"/>
        <w:rPr>
          <w:b/>
        </w:rPr>
      </w:pPr>
      <w:r>
        <w:rPr>
          <w:b/>
        </w:rPr>
        <w:t>Imperial College</w:t>
      </w:r>
      <w:r w:rsidR="00AA1E11">
        <w:rPr>
          <w:b/>
        </w:rPr>
        <w:t xml:space="preserve"> London</w:t>
      </w:r>
      <w:proofErr w:type="gramStart"/>
      <w:r>
        <w:rPr>
          <w:b/>
        </w:rPr>
        <w:tab/>
      </w:r>
      <w:r w:rsidR="00C62604">
        <w:rPr>
          <w:b/>
        </w:rPr>
        <w:t xml:space="preserve">  </w:t>
      </w:r>
      <w:r>
        <w:rPr>
          <w:b/>
        </w:rPr>
        <w:t>RES</w:t>
      </w:r>
      <w:proofErr w:type="gramEnd"/>
      <w:r>
        <w:rPr>
          <w:b/>
        </w:rPr>
        <w:t xml:space="preserve"> Consortium</w:t>
      </w:r>
      <w:r>
        <w:rPr>
          <w:b/>
        </w:rPr>
        <w:tab/>
      </w:r>
      <w:r>
        <w:rPr>
          <w:b/>
        </w:rPr>
        <w:tab/>
        <w:t>University of Manchester</w:t>
      </w:r>
      <w:r>
        <w:rPr>
          <w:b/>
        </w:rPr>
        <w:tab/>
      </w:r>
      <w:r>
        <w:rPr>
          <w:b/>
        </w:rPr>
        <w:tab/>
      </w:r>
      <w:r>
        <w:rPr>
          <w:b/>
        </w:rPr>
        <w:tab/>
      </w:r>
      <w:r>
        <w:rPr>
          <w:b/>
        </w:rPr>
        <w:tab/>
      </w:r>
      <w:r>
        <w:rPr>
          <w:b/>
        </w:rPr>
        <w:tab/>
      </w:r>
      <w:r>
        <w:rPr>
          <w:b/>
        </w:rPr>
        <w:tab/>
      </w:r>
      <w:r>
        <w:rPr>
          <w:b/>
        </w:rPr>
        <w:tab/>
      </w:r>
      <w:r>
        <w:rPr>
          <w:b/>
        </w:rPr>
        <w:tab/>
      </w:r>
      <w:r>
        <w:rPr>
          <w:b/>
        </w:rPr>
        <w:tab/>
      </w:r>
    </w:p>
    <w:p w14:paraId="276F0AC0" w14:textId="7E3AFB88" w:rsidR="00C43F64" w:rsidRDefault="00A57C8B" w:rsidP="00E5245B">
      <w:pPr>
        <w:jc w:val="center"/>
        <w:rPr>
          <w:b/>
        </w:rPr>
      </w:pPr>
      <w:r>
        <w:rPr>
          <w:b/>
        </w:rPr>
        <w:t xml:space="preserve">This version: </w:t>
      </w:r>
      <w:r w:rsidR="00E5245B" w:rsidRPr="00E5245B">
        <w:rPr>
          <w:b/>
        </w:rPr>
        <w:t>Ju</w:t>
      </w:r>
      <w:r w:rsidR="007F264A">
        <w:rPr>
          <w:b/>
        </w:rPr>
        <w:t xml:space="preserve">ly </w:t>
      </w:r>
      <w:proofErr w:type="gramStart"/>
      <w:r w:rsidR="007F264A">
        <w:rPr>
          <w:b/>
        </w:rPr>
        <w:t>2</w:t>
      </w:r>
      <w:proofErr w:type="gramEnd"/>
      <w:r w:rsidR="00E57E29">
        <w:rPr>
          <w:b/>
        </w:rPr>
        <w:t xml:space="preserve"> </w:t>
      </w:r>
      <w:r w:rsidR="003C5BD2">
        <w:rPr>
          <w:b/>
        </w:rPr>
        <w:t>2020</w:t>
      </w:r>
    </w:p>
    <w:p w14:paraId="126FA98C" w14:textId="69103F66" w:rsidR="00021AE2" w:rsidRDefault="00021AE2" w:rsidP="00E5245B">
      <w:pPr>
        <w:jc w:val="center"/>
        <w:rPr>
          <w:b/>
        </w:rPr>
      </w:pPr>
    </w:p>
    <w:p w14:paraId="2F5D29A3" w14:textId="77777777" w:rsidR="009828D1" w:rsidRDefault="009828D1" w:rsidP="00E5245B">
      <w:pPr>
        <w:jc w:val="center"/>
        <w:rPr>
          <w:b/>
        </w:rPr>
      </w:pPr>
    </w:p>
    <w:p w14:paraId="78218A53" w14:textId="6093AB11" w:rsidR="00021AE2" w:rsidRDefault="00021AE2" w:rsidP="00021AE2">
      <w:pPr>
        <w:rPr>
          <w:b/>
        </w:rPr>
      </w:pPr>
      <w:r>
        <w:rPr>
          <w:b/>
        </w:rPr>
        <w:t>Keywords:</w:t>
      </w:r>
      <w:r w:rsidR="006B6AF4">
        <w:rPr>
          <w:b/>
        </w:rPr>
        <w:t xml:space="preserve"> </w:t>
      </w:r>
      <w:r w:rsidR="00796E35">
        <w:rPr>
          <w:b/>
        </w:rPr>
        <w:t>value of lives saved; cost benefit analysis; COVID-19</w:t>
      </w:r>
    </w:p>
    <w:p w14:paraId="78915992" w14:textId="1B5C55DF" w:rsidR="00021AE2" w:rsidRDefault="00021AE2" w:rsidP="00021AE2">
      <w:pPr>
        <w:rPr>
          <w:b/>
        </w:rPr>
      </w:pPr>
      <w:r>
        <w:rPr>
          <w:b/>
        </w:rPr>
        <w:t xml:space="preserve">JEL codes: </w:t>
      </w:r>
      <w:r w:rsidR="00796E35">
        <w:rPr>
          <w:b/>
        </w:rPr>
        <w:t>I18, D61, E65</w:t>
      </w:r>
    </w:p>
    <w:p w14:paraId="39768CAB" w14:textId="77777777" w:rsidR="009828D1" w:rsidRDefault="009828D1" w:rsidP="00DB3811">
      <w:pPr>
        <w:spacing w:line="240" w:lineRule="auto"/>
        <w:rPr>
          <w:i/>
        </w:rPr>
      </w:pPr>
    </w:p>
    <w:p w14:paraId="2DE750EE" w14:textId="2C89B1CB" w:rsidR="009039F3" w:rsidRPr="00077FD7" w:rsidRDefault="00460593" w:rsidP="00DB3811">
      <w:pPr>
        <w:spacing w:line="240" w:lineRule="auto"/>
        <w:rPr>
          <w:i/>
        </w:rPr>
      </w:pPr>
      <w:r>
        <w:rPr>
          <w:i/>
        </w:rPr>
        <w:t xml:space="preserve">Abstract: </w:t>
      </w:r>
      <w:r w:rsidR="009039F3" w:rsidRPr="00077FD7">
        <w:rPr>
          <w:i/>
        </w:rPr>
        <w:t>This paper analyses the costs and benefits of lockdown policies in the face of COVID</w:t>
      </w:r>
      <w:r w:rsidR="00E45C28">
        <w:rPr>
          <w:i/>
        </w:rPr>
        <w:t>-</w:t>
      </w:r>
      <w:r w:rsidR="009039F3" w:rsidRPr="00077FD7">
        <w:rPr>
          <w:i/>
        </w:rPr>
        <w:t xml:space="preserve">19. It looks at evidence on the effectiveness of past severe restrictions applied in European countries, focusing on the evidence from the UK. It considers policy options for the degree to which restrictions are eased. </w:t>
      </w:r>
      <w:r w:rsidR="00077FD7" w:rsidRPr="00077FD7">
        <w:rPr>
          <w:i/>
        </w:rPr>
        <w:t>There is a need to normalise how we view COVID because its costs and risks are comparable to other health problems (such as cancer, heart problems, diabetes) where governments have made resource decisions for decades. The lockdown is a public health policy and we have valued its impact using the tools that guide health care decision</w:t>
      </w:r>
      <w:r w:rsidR="00FB356F">
        <w:rPr>
          <w:i/>
        </w:rPr>
        <w:t>s</w:t>
      </w:r>
      <w:r w:rsidR="00077FD7" w:rsidRPr="00077FD7">
        <w:rPr>
          <w:i/>
        </w:rPr>
        <w:t xml:space="preserve"> in the UK public health system. </w:t>
      </w:r>
      <w:r w:rsidR="009039F3" w:rsidRPr="00077FD7">
        <w:rPr>
          <w:i/>
        </w:rPr>
        <w:t xml:space="preserve">The evidence suggests that the costs of continuing severe restrictions </w:t>
      </w:r>
      <w:r w:rsidR="00150417">
        <w:rPr>
          <w:i/>
        </w:rPr>
        <w:t xml:space="preserve">in the UK </w:t>
      </w:r>
      <w:r w:rsidR="009039F3" w:rsidRPr="00077FD7">
        <w:rPr>
          <w:i/>
        </w:rPr>
        <w:t xml:space="preserve">are </w:t>
      </w:r>
      <w:r w:rsidR="007F264A">
        <w:rPr>
          <w:i/>
        </w:rPr>
        <w:t xml:space="preserve">large </w:t>
      </w:r>
      <w:r w:rsidR="009039F3" w:rsidRPr="00077FD7">
        <w:rPr>
          <w:i/>
        </w:rPr>
        <w:t xml:space="preserve">relative to likely benefits </w:t>
      </w:r>
      <w:r w:rsidR="007F264A">
        <w:rPr>
          <w:i/>
        </w:rPr>
        <w:t xml:space="preserve">so </w:t>
      </w:r>
      <w:r w:rsidR="009039F3" w:rsidRPr="00077FD7">
        <w:rPr>
          <w:i/>
        </w:rPr>
        <w:t>that a substantial easing in</w:t>
      </w:r>
      <w:r w:rsidR="007F264A">
        <w:rPr>
          <w:i/>
        </w:rPr>
        <w:t xml:space="preserve"> general</w:t>
      </w:r>
      <w:r w:rsidR="009039F3" w:rsidRPr="00077FD7">
        <w:rPr>
          <w:i/>
        </w:rPr>
        <w:t xml:space="preserve"> restrictions </w:t>
      </w:r>
      <w:r w:rsidR="007F264A">
        <w:rPr>
          <w:i/>
        </w:rPr>
        <w:t xml:space="preserve">in favour of more targeted measures </w:t>
      </w:r>
      <w:r w:rsidR="009039F3" w:rsidRPr="00077FD7">
        <w:rPr>
          <w:i/>
        </w:rPr>
        <w:t>is warranted.</w:t>
      </w:r>
    </w:p>
    <w:p w14:paraId="681703C8" w14:textId="4F83ABA1" w:rsidR="009828D1" w:rsidRDefault="009828D1">
      <w:pPr>
        <w:rPr>
          <w:b/>
        </w:rPr>
      </w:pPr>
    </w:p>
    <w:p w14:paraId="095C2CBD" w14:textId="77777777" w:rsidR="00B835A6" w:rsidRDefault="00B835A6">
      <w:pPr>
        <w:rPr>
          <w:b/>
        </w:rPr>
      </w:pPr>
    </w:p>
    <w:p w14:paraId="2C3AC188" w14:textId="30632F36" w:rsidR="002E2FBE" w:rsidRPr="002E2FBE" w:rsidRDefault="002E2FBE">
      <w:pPr>
        <w:rPr>
          <w:b/>
        </w:rPr>
      </w:pPr>
      <w:r w:rsidRPr="002E2FBE">
        <w:rPr>
          <w:b/>
        </w:rPr>
        <w:t>Introduction</w:t>
      </w:r>
    </w:p>
    <w:p w14:paraId="246EC2A2" w14:textId="250E0AE1" w:rsidR="0067743C" w:rsidRDefault="00E5245B">
      <w:r>
        <w:t>In</w:t>
      </w:r>
      <w:r w:rsidR="00A60688">
        <w:t xml:space="preserve"> early March</w:t>
      </w:r>
      <w:r w:rsidR="00557559">
        <w:t>2020</w:t>
      </w:r>
      <w:r w:rsidR="00A60688">
        <w:t xml:space="preserve"> </w:t>
      </w:r>
      <w:r w:rsidR="006E405C">
        <w:t xml:space="preserve">it seemed </w:t>
      </w:r>
      <w:r w:rsidR="00AD506E">
        <w:t>that</w:t>
      </w:r>
      <w:r w:rsidR="006E405C">
        <w:t xml:space="preserve"> </w:t>
      </w:r>
      <w:r w:rsidR="0067743C">
        <w:t xml:space="preserve">the </w:t>
      </w:r>
      <w:r>
        <w:t>COVID</w:t>
      </w:r>
      <w:r w:rsidR="00460593">
        <w:t>-</w:t>
      </w:r>
      <w:r>
        <w:t xml:space="preserve">19 </w:t>
      </w:r>
      <w:r w:rsidR="0067743C">
        <w:t xml:space="preserve">virus </w:t>
      </w:r>
      <w:r w:rsidR="006E405C">
        <w:t>in the U</w:t>
      </w:r>
      <w:r w:rsidR="00557559">
        <w:t xml:space="preserve">nited Kingdom </w:t>
      </w:r>
      <w:r w:rsidR="0067743C">
        <w:t>was spreading exponentially</w:t>
      </w:r>
      <w:r w:rsidR="006E405C">
        <w:t xml:space="preserve"> with no clear sign of </w:t>
      </w:r>
      <w:r w:rsidR="00557559">
        <w:t xml:space="preserve">imminent </w:t>
      </w:r>
      <w:r w:rsidR="006E405C">
        <w:t>slowing;</w:t>
      </w:r>
      <w:r w:rsidR="0067743C">
        <w:t xml:space="preserve"> the fatality rate was unknown and the ability of the </w:t>
      </w:r>
      <w:r w:rsidR="00322724">
        <w:t xml:space="preserve">National Health Service (NHS) </w:t>
      </w:r>
      <w:r w:rsidR="0067743C">
        <w:t>to deal with rapidly rising numbers of seriously ill people was unclear</w:t>
      </w:r>
      <w:r w:rsidR="006E405C">
        <w:t xml:space="preserve">. </w:t>
      </w:r>
      <w:r w:rsidR="00DC52C8">
        <w:t xml:space="preserve">Estimates made at that time </w:t>
      </w:r>
      <w:r w:rsidR="00460593">
        <w:t>p</w:t>
      </w:r>
      <w:r w:rsidR="006B1EFF">
        <w:t xml:space="preserve">ut the likely level of </w:t>
      </w:r>
      <w:r w:rsidR="00460593">
        <w:t xml:space="preserve">UK </w:t>
      </w:r>
      <w:r w:rsidR="006B1EFF">
        <w:t>deaths if there was no change in behaviour at 500,000</w:t>
      </w:r>
      <w:r>
        <w:t xml:space="preserve"> (Ferguson et al (2020))</w:t>
      </w:r>
      <w:r w:rsidR="006B1EFF">
        <w:t>. Based on that</w:t>
      </w:r>
      <w:r w:rsidR="00AD506E">
        <w:t xml:space="preserve"> and other</w:t>
      </w:r>
      <w:r w:rsidR="006B1EFF">
        <w:t xml:space="preserve"> assessment</w:t>
      </w:r>
      <w:r w:rsidR="00AD506E">
        <w:t>s</w:t>
      </w:r>
      <w:r w:rsidR="009E2563">
        <w:t>,</w:t>
      </w:r>
      <w:r w:rsidR="006B1EFF">
        <w:t xml:space="preserve"> </w:t>
      </w:r>
      <w:r>
        <w:t>the UK government followed the example of several other European countries in introducing s</w:t>
      </w:r>
      <w:r w:rsidR="000A79BF">
        <w:t>e</w:t>
      </w:r>
      <w:r>
        <w:t>vere restrictions on individual movement</w:t>
      </w:r>
      <w:r w:rsidR="009C7DC1">
        <w:t xml:space="preserve">. The key message was to stay at home; this was a </w:t>
      </w:r>
      <w:r w:rsidR="0067743C">
        <w:t>lockdown. Th</w:t>
      </w:r>
      <w:r w:rsidR="000E7B50">
        <w:t>is</w:t>
      </w:r>
      <w:r w:rsidR="0067743C">
        <w:t xml:space="preserve"> served </w:t>
      </w:r>
      <w:r w:rsidR="004B33AB">
        <w:t xml:space="preserve">to </w:t>
      </w:r>
      <w:r w:rsidR="002A39E7">
        <w:t xml:space="preserve">both </w:t>
      </w:r>
      <w:r w:rsidR="0067743C">
        <w:t>slow the spread of the virus and to signal in a very clear way that people needed to quickly change behaviours</w:t>
      </w:r>
      <w:r w:rsidR="00322724">
        <w:t>; b</w:t>
      </w:r>
      <w:r>
        <w:t xml:space="preserve">ut it also generated great costs. </w:t>
      </w:r>
      <w:r w:rsidR="00AD506E">
        <w:t>T</w:t>
      </w:r>
      <w:r>
        <w:t xml:space="preserve">he extent to which the lockdown contributed to a subsequent slowing in the rate of new infections and deaths is </w:t>
      </w:r>
      <w:r w:rsidR="00A57C8B">
        <w:t xml:space="preserve">not easy to estimate precisely, but that it did bring it down significantly seems clear. But whether keeping such tight restrictions in place for three months (until restrictions began to be eased substantially at the end of June) was warranted, given the large costs, is very far from clear. </w:t>
      </w:r>
      <w:r w:rsidR="000A79BF">
        <w:t xml:space="preserve">This paper </w:t>
      </w:r>
      <w:r w:rsidR="00AD506E">
        <w:t xml:space="preserve">summarises </w:t>
      </w:r>
      <w:r w:rsidR="000A79BF">
        <w:t xml:space="preserve">the </w:t>
      </w:r>
      <w:r w:rsidR="000A79BF">
        <w:lastRenderedPageBreak/>
        <w:t xml:space="preserve">evidence on </w:t>
      </w:r>
      <w:r w:rsidR="00AD506E">
        <w:t>this</w:t>
      </w:r>
      <w:r w:rsidR="00A57C8B">
        <w:t xml:space="preserve"> in an </w:t>
      </w:r>
      <w:r w:rsidR="00AD506E">
        <w:t xml:space="preserve">assessment of </w:t>
      </w:r>
      <w:r w:rsidR="000A79BF">
        <w:t>costs and benefits of severe restrictions – “lockdowns”</w:t>
      </w:r>
      <w:r w:rsidR="00460593">
        <w:t xml:space="preserve">. We do so </w:t>
      </w:r>
      <w:r w:rsidR="000A79BF">
        <w:t xml:space="preserve">to inform the decisions on how restrictions </w:t>
      </w:r>
      <w:r w:rsidR="007D4C7A">
        <w:t xml:space="preserve">in the UK </w:t>
      </w:r>
      <w:r w:rsidR="000A79BF">
        <w:t xml:space="preserve">should be lifted. </w:t>
      </w:r>
    </w:p>
    <w:p w14:paraId="5DF0AAC7" w14:textId="5A4ECBDA" w:rsidR="00100A08" w:rsidRDefault="00100A08">
      <w:r>
        <w:t>What we mean by a lockdown is</w:t>
      </w:r>
      <w:r w:rsidR="00BC2669">
        <w:t xml:space="preserve"> wide ranging government restrictions on activity that dramatically reduce mobility and the ability of people to work. A lockdown obviously goes beyond guidance and it also </w:t>
      </w:r>
      <w:r w:rsidR="000E7B50">
        <w:t xml:space="preserve">goes further than </w:t>
      </w:r>
      <w:r w:rsidR="00BC2669">
        <w:t xml:space="preserve">closing just schools, bars, sports venues and restaurants. It includes general restrictions on movement and involves rules that people should stay at home except in exceptional circumstances. Such a lockdown was introduced in the UK in the second half of March 2020 and only began to be eased some three months later. </w:t>
      </w:r>
    </w:p>
    <w:p w14:paraId="192953DA" w14:textId="17CDF8D3" w:rsidR="006E405C" w:rsidRDefault="000A79BF">
      <w:r>
        <w:t xml:space="preserve">While </w:t>
      </w:r>
      <w:proofErr w:type="gramStart"/>
      <w:r>
        <w:t>it is clear that the</w:t>
      </w:r>
      <w:proofErr w:type="gramEnd"/>
      <w:r>
        <w:t xml:space="preserve"> </w:t>
      </w:r>
      <w:r w:rsidR="0067743C">
        <w:t xml:space="preserve">cost of the lockdown </w:t>
      </w:r>
      <w:r w:rsidR="00A57C8B">
        <w:t xml:space="preserve">in the UK </w:t>
      </w:r>
      <w:r w:rsidR="0067743C">
        <w:t xml:space="preserve">has been </w:t>
      </w:r>
      <w:r>
        <w:t>large</w:t>
      </w:r>
      <w:r w:rsidR="0067743C">
        <w:t>, just how great it is will not be known for many years. Th</w:t>
      </w:r>
      <w:r w:rsidR="006E405C">
        <w:t>is</w:t>
      </w:r>
      <w:r w:rsidR="0067743C">
        <w:t xml:space="preserve"> cost </w:t>
      </w:r>
      <w:r>
        <w:t xml:space="preserve">– as well as the benefits of </w:t>
      </w:r>
      <w:r w:rsidR="00A57C8B">
        <w:t>the three</w:t>
      </w:r>
      <w:r w:rsidR="00BC2669">
        <w:t>-</w:t>
      </w:r>
      <w:r w:rsidR="00A57C8B">
        <w:t xml:space="preserve">month </w:t>
      </w:r>
      <w:r>
        <w:t xml:space="preserve">lockdown - </w:t>
      </w:r>
      <w:r w:rsidR="0067743C">
        <w:t>should be measured in terms of human welfare</w:t>
      </w:r>
      <w:r>
        <w:t xml:space="preserve"> in the form of </w:t>
      </w:r>
      <w:r w:rsidR="000E7B50">
        <w:t xml:space="preserve">impacts upon the </w:t>
      </w:r>
      <w:r w:rsidR="00322724">
        <w:t>length and quality of lives</w:t>
      </w:r>
      <w:r w:rsidR="009607E9">
        <w:t>. Such measurement is profoundly difficult</w:t>
      </w:r>
      <w:r w:rsidR="006B1EFF">
        <w:t xml:space="preserve">. </w:t>
      </w:r>
      <w:r w:rsidR="00322724">
        <w:t>Yet</w:t>
      </w:r>
      <w:r w:rsidR="006B1EFF">
        <w:t xml:space="preserve"> measurement of the costs of restrictions</w:t>
      </w:r>
      <w:r w:rsidR="00572343">
        <w:t xml:space="preserve"> needs </w:t>
      </w:r>
      <w:r w:rsidR="009C7DC1">
        <w:t xml:space="preserve">to be </w:t>
      </w:r>
      <w:r w:rsidR="006B1EFF">
        <w:t xml:space="preserve">weighed against benefits of different levels of restrictions to assess what is the best policy now. </w:t>
      </w:r>
      <w:r w:rsidR="006E405C">
        <w:t>Th</w:t>
      </w:r>
      <w:r w:rsidR="006B1EFF">
        <w:t>e</w:t>
      </w:r>
      <w:r w:rsidR="006E405C">
        <w:t xml:space="preserve"> </w:t>
      </w:r>
      <w:r w:rsidR="0067743C">
        <w:t xml:space="preserve">cost </w:t>
      </w:r>
      <w:r w:rsidR="006B1EFF">
        <w:t xml:space="preserve">of severe restrictions </w:t>
      </w:r>
      <w:r w:rsidR="0067743C">
        <w:t>plausibly rises more than in proportion to the length of a lockdown</w:t>
      </w:r>
      <w:r w:rsidR="009C7DC1">
        <w:t>. T</w:t>
      </w:r>
      <w:r w:rsidR="006E405C">
        <w:t xml:space="preserve">wo months of missed treatments for cancer, of company closures, of </w:t>
      </w:r>
      <w:r w:rsidR="006F0560">
        <w:t xml:space="preserve">postponed </w:t>
      </w:r>
      <w:r w:rsidR="006E405C">
        <w:t>screening for serious health conditions</w:t>
      </w:r>
      <w:r w:rsidR="006F0560">
        <w:t xml:space="preserve">, </w:t>
      </w:r>
      <w:r w:rsidR="00AD506E">
        <w:t xml:space="preserve">of lessons missed at schools and universities, </w:t>
      </w:r>
      <w:r w:rsidR="006F0560">
        <w:t xml:space="preserve">of many people living in very stressful situations </w:t>
      </w:r>
      <w:r w:rsidR="006E405C">
        <w:t>is likely more than twice as bad as one month</w:t>
      </w:r>
      <w:r w:rsidR="0067743C">
        <w:t xml:space="preserve">. In contrast the benefits of maintaining a </w:t>
      </w:r>
      <w:r w:rsidR="00761093">
        <w:t>s</w:t>
      </w:r>
      <w:r w:rsidR="0067743C">
        <w:t xml:space="preserve">evere set of restrictions – the lockdown – </w:t>
      </w:r>
      <w:r>
        <w:t xml:space="preserve">may be </w:t>
      </w:r>
      <w:r w:rsidR="0067743C">
        <w:t>diminishing</w:t>
      </w:r>
      <w:r>
        <w:t xml:space="preserve"> </w:t>
      </w:r>
      <w:r w:rsidR="005B5994">
        <w:t>(see</w:t>
      </w:r>
      <w:r w:rsidR="006E405C">
        <w:t xml:space="preserve"> for example</w:t>
      </w:r>
      <w:r w:rsidR="005B5994">
        <w:t xml:space="preserve"> </w:t>
      </w:r>
      <w:proofErr w:type="spellStart"/>
      <w:r w:rsidR="005B5994">
        <w:t>Bongaerts</w:t>
      </w:r>
      <w:proofErr w:type="spellEnd"/>
      <w:r>
        <w:t xml:space="preserve"> et al (2020))</w:t>
      </w:r>
      <w:r w:rsidR="009607E9">
        <w:t>.</w:t>
      </w:r>
      <w:r w:rsidR="006E405C">
        <w:t xml:space="preserve"> </w:t>
      </w:r>
      <w:r>
        <w:t xml:space="preserve">Decisions on how to ease restrictions are therefore of immediate significance.  </w:t>
      </w:r>
    </w:p>
    <w:p w14:paraId="60463A8E" w14:textId="59513EB2" w:rsidR="006B1EFF" w:rsidRDefault="006B1EFF">
      <w:r>
        <w:t xml:space="preserve">In this article we </w:t>
      </w:r>
      <w:r w:rsidR="00322724">
        <w:t>aim</w:t>
      </w:r>
      <w:r>
        <w:t xml:space="preserve"> to </w:t>
      </w:r>
      <w:r w:rsidR="00DA4909">
        <w:t xml:space="preserve">calibrate </w:t>
      </w:r>
      <w:r>
        <w:t xml:space="preserve">what the costs and benefits of </w:t>
      </w:r>
      <w:r w:rsidR="00A57C8B">
        <w:t xml:space="preserve">sustained </w:t>
      </w:r>
      <w:r>
        <w:t xml:space="preserve">severe restrictions might be and what that implies about the policy that should now be followed. We look at evidence from many countries, </w:t>
      </w:r>
      <w:r w:rsidR="007C41AE">
        <w:t xml:space="preserve">focusing particularly on European countries with similar levels of income and of healthcare resources. We </w:t>
      </w:r>
      <w:r>
        <w:t xml:space="preserve">then draw out what this implies for policy in the UK. </w:t>
      </w:r>
      <w:r w:rsidR="00EA1D25">
        <w:t xml:space="preserve">We find that the costs of </w:t>
      </w:r>
      <w:r w:rsidR="00704B6B">
        <w:t>a three</w:t>
      </w:r>
      <w:r w:rsidR="000E7B50">
        <w:t>-</w:t>
      </w:r>
      <w:r w:rsidR="00704B6B">
        <w:t xml:space="preserve">month </w:t>
      </w:r>
      <w:r w:rsidR="00EA1D25">
        <w:t xml:space="preserve">lockdown are </w:t>
      </w:r>
      <w:r w:rsidR="007D4C7A">
        <w:t xml:space="preserve">likely to </w:t>
      </w:r>
      <w:r w:rsidR="00FF5977">
        <w:t xml:space="preserve">have </w:t>
      </w:r>
      <w:r w:rsidR="007D4C7A">
        <w:t>be</w:t>
      </w:r>
      <w:r w:rsidR="000E7B50">
        <w:t xml:space="preserve">come </w:t>
      </w:r>
      <w:r w:rsidR="00EA1D25">
        <w:t xml:space="preserve">high relative to benefits </w:t>
      </w:r>
      <w:r w:rsidR="007D4C7A">
        <w:t xml:space="preserve">so </w:t>
      </w:r>
      <w:r w:rsidR="00EA1D25">
        <w:t xml:space="preserve">that a continuation of severe restrictions is unlikely to be </w:t>
      </w:r>
      <w:r w:rsidR="00572F40">
        <w:t>warranted.</w:t>
      </w:r>
    </w:p>
    <w:p w14:paraId="6C36B130" w14:textId="2C8F6500" w:rsidR="00291717" w:rsidRDefault="00291717" w:rsidP="00291717">
      <w:r>
        <w:t xml:space="preserve">Section 1 summarises evidence on recorded cases of the virus, deaths, and excess deaths – all in the context of restrictions adopted. Section 2 turns to issues of interpretation </w:t>
      </w:r>
      <w:r w:rsidR="00A15F91">
        <w:t xml:space="preserve">focusing on </w:t>
      </w:r>
      <w:r>
        <w:t>how much of the slowdown in the spread of the virus</w:t>
      </w:r>
      <w:r w:rsidR="0078306D">
        <w:t>,</w:t>
      </w:r>
      <w:r>
        <w:t xml:space="preserve"> and of deaths attributed to it</w:t>
      </w:r>
      <w:r w:rsidR="0078306D">
        <w:t>,</w:t>
      </w:r>
      <w:r>
        <w:t xml:space="preserve"> </w:t>
      </w:r>
      <w:r w:rsidR="00F255DB">
        <w:t>may have been</w:t>
      </w:r>
      <w:r>
        <w:t xml:space="preserve"> due to lockdowns and how much to the curve</w:t>
      </w:r>
      <w:r w:rsidR="00F255DB">
        <w:t>s</w:t>
      </w:r>
      <w:r>
        <w:t xml:space="preserve"> turning down independently of </w:t>
      </w:r>
      <w:r w:rsidR="00460593">
        <w:t xml:space="preserve">severe </w:t>
      </w:r>
      <w:r>
        <w:t>restrictions. Section 3 summarises evidence from countries with different policies and draws some conclusions on the scale of benefits of the lockdown. Section 4 focuses o</w:t>
      </w:r>
      <w:r w:rsidR="005E22BD">
        <w:t>n</w:t>
      </w:r>
      <w:r>
        <w:t xml:space="preserve"> the costs of restrictive policies to slow the spread of the infections; section </w:t>
      </w:r>
      <w:r w:rsidR="00AD506E">
        <w:t>5</w:t>
      </w:r>
      <w:r>
        <w:t xml:space="preserve"> brings costs and benefits together and </w:t>
      </w:r>
      <w:r w:rsidR="00DA4909">
        <w:t xml:space="preserve">section 6 considers policy options for coming out of lockdown. </w:t>
      </w:r>
      <w:r w:rsidR="00426F1D">
        <w:t xml:space="preserve">Conclusions are drawn in </w:t>
      </w:r>
      <w:r w:rsidR="00460593">
        <w:t xml:space="preserve">a final </w:t>
      </w:r>
      <w:r w:rsidR="00426F1D">
        <w:t>section.</w:t>
      </w:r>
    </w:p>
    <w:p w14:paraId="142276FC" w14:textId="359D27E5" w:rsidR="009828D1" w:rsidRDefault="009828D1" w:rsidP="00291717"/>
    <w:p w14:paraId="69792889" w14:textId="0E165F70" w:rsidR="00460593" w:rsidRDefault="00470674" w:rsidP="00291717">
      <w:r>
        <w:rPr>
          <w:noProof/>
        </w:rPr>
        <w:lastRenderedPageBreak/>
        <w:drawing>
          <wp:inline distT="0" distB="0" distL="0" distR="0" wp14:anchorId="2B8BDC13" wp14:editId="0B14DDCA">
            <wp:extent cx="5730803" cy="316992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4888" cy="3172180"/>
                    </a:xfrm>
                    <a:prstGeom prst="rect">
                      <a:avLst/>
                    </a:prstGeom>
                    <a:noFill/>
                    <a:ln>
                      <a:noFill/>
                    </a:ln>
                  </pic:spPr>
                </pic:pic>
              </a:graphicData>
            </a:graphic>
          </wp:inline>
        </w:drawing>
      </w:r>
    </w:p>
    <w:p w14:paraId="4D2760C9" w14:textId="01D38010" w:rsidR="00F501CD" w:rsidRDefault="00F501CD" w:rsidP="00522521">
      <w:pPr>
        <w:jc w:val="center"/>
      </w:pPr>
    </w:p>
    <w:p w14:paraId="523821ED" w14:textId="141E6E1C" w:rsidR="00AF7AE3" w:rsidRPr="00AF7AE3" w:rsidRDefault="00AF7AE3" w:rsidP="00AF7AE3">
      <w:pPr>
        <w:rPr>
          <w:sz w:val="20"/>
          <w:szCs w:val="20"/>
        </w:rPr>
      </w:pPr>
      <w:r w:rsidRPr="00F7254D">
        <w:rPr>
          <w:b/>
          <w:sz w:val="20"/>
          <w:szCs w:val="20"/>
        </w:rPr>
        <w:t>Figure1</w:t>
      </w:r>
      <w:r w:rsidRPr="00AF7AE3">
        <w:rPr>
          <w:sz w:val="20"/>
          <w:szCs w:val="20"/>
        </w:rPr>
        <w:t xml:space="preserve">: Number of Reported Cases </w:t>
      </w:r>
      <w:r w:rsidR="00460593">
        <w:rPr>
          <w:sz w:val="20"/>
          <w:szCs w:val="20"/>
        </w:rPr>
        <w:t>(</w:t>
      </w:r>
      <w:r w:rsidR="00460593" w:rsidRPr="00AF7AE3">
        <w:rPr>
          <w:sz w:val="20"/>
          <w:szCs w:val="20"/>
        </w:rPr>
        <w:t>7 day rolling average</w:t>
      </w:r>
      <w:r w:rsidR="00460593">
        <w:rPr>
          <w:sz w:val="20"/>
          <w:szCs w:val="20"/>
        </w:rPr>
        <w:t xml:space="preserve">) </w:t>
      </w:r>
      <w:r w:rsidRPr="00AF7AE3">
        <w:rPr>
          <w:sz w:val="20"/>
          <w:szCs w:val="20"/>
        </w:rPr>
        <w:t xml:space="preserve">as ratio to the national population x 1 million </w:t>
      </w:r>
    </w:p>
    <w:p w14:paraId="4E7A6E45" w14:textId="44E70DBE" w:rsidR="00AF7AE3" w:rsidRPr="00AF7AE3" w:rsidRDefault="00F7254D" w:rsidP="00265921">
      <w:pPr>
        <w:spacing w:line="240" w:lineRule="auto"/>
        <w:rPr>
          <w:sz w:val="20"/>
          <w:szCs w:val="20"/>
        </w:rPr>
      </w:pPr>
      <w:r>
        <w:rPr>
          <w:sz w:val="20"/>
          <w:szCs w:val="20"/>
        </w:rPr>
        <w:t>Source</w:t>
      </w:r>
      <w:r w:rsidR="00AF7AE3" w:rsidRPr="00AF7AE3">
        <w:rPr>
          <w:sz w:val="20"/>
          <w:szCs w:val="20"/>
        </w:rPr>
        <w:t>: Our World in Data COVID-19 Dataset. Our World in Data is collaborative efforts between researchers at the University of Oxford, who are the scientific editors of the website content</w:t>
      </w:r>
      <w:r w:rsidR="00460593">
        <w:rPr>
          <w:sz w:val="20"/>
          <w:szCs w:val="20"/>
        </w:rPr>
        <w:t>,</w:t>
      </w:r>
      <w:r w:rsidR="00AF7AE3" w:rsidRPr="00AF7AE3">
        <w:rPr>
          <w:sz w:val="20"/>
          <w:szCs w:val="20"/>
        </w:rPr>
        <w:t xml:space="preserve"> and the non-profit organization Global Change Data Lab, who publishes and maintains the website and the data tools </w:t>
      </w:r>
      <w:hyperlink r:id="rId12" w:history="1">
        <w:r w:rsidR="00AF7AE3" w:rsidRPr="009C46D8">
          <w:rPr>
            <w:color w:val="0563C1" w:themeColor="hyperlink"/>
            <w:sz w:val="20"/>
            <w:szCs w:val="20"/>
            <w:u w:val="single"/>
          </w:rPr>
          <w:t>https://ourworldindata.org/coronavirus</w:t>
        </w:r>
      </w:hyperlink>
      <w:r w:rsidR="00AF7AE3" w:rsidRPr="00AF7AE3">
        <w:rPr>
          <w:sz w:val="20"/>
          <w:szCs w:val="20"/>
        </w:rPr>
        <w:t xml:space="preserve">   Downloaded 10/6/2020</w:t>
      </w:r>
    </w:p>
    <w:p w14:paraId="542B825A" w14:textId="77777777" w:rsidR="00265921" w:rsidRDefault="00265921" w:rsidP="00AF7AE3">
      <w:pPr>
        <w:rPr>
          <w:b/>
        </w:rPr>
      </w:pPr>
    </w:p>
    <w:p w14:paraId="4582E15D" w14:textId="3E5B6B2D" w:rsidR="00AF7AE3" w:rsidRPr="001635B3" w:rsidRDefault="00AF7AE3" w:rsidP="00AF7AE3">
      <w:pPr>
        <w:rPr>
          <w:b/>
        </w:rPr>
      </w:pPr>
      <w:r w:rsidRPr="001635B3">
        <w:rPr>
          <w:b/>
        </w:rPr>
        <w:t xml:space="preserve">Section 1: </w:t>
      </w:r>
      <w:r w:rsidR="002E2FBE">
        <w:rPr>
          <w:b/>
        </w:rPr>
        <w:t>R</w:t>
      </w:r>
      <w:r>
        <w:rPr>
          <w:b/>
        </w:rPr>
        <w:t xml:space="preserve">ecorded cases, deaths and </w:t>
      </w:r>
      <w:r w:rsidRPr="001635B3">
        <w:rPr>
          <w:b/>
        </w:rPr>
        <w:t>excess deaths</w:t>
      </w:r>
    </w:p>
    <w:p w14:paraId="490C746B" w14:textId="2208A55C" w:rsidR="00AF7AE3" w:rsidRDefault="00AF7AE3" w:rsidP="00AF7AE3">
      <w:r>
        <w:t xml:space="preserve">Figure 1 shows the number of new positive cases tested for in several European countries between early 2020 and </w:t>
      </w:r>
      <w:r w:rsidR="00773699">
        <w:t xml:space="preserve">the end of </w:t>
      </w:r>
      <w:r>
        <w:t>June. Figure 2 shows cumulative deaths where there is evidence that the deceased had the COVID</w:t>
      </w:r>
      <w:r w:rsidR="00460593">
        <w:t>-</w:t>
      </w:r>
      <w:r>
        <w:t xml:space="preserve">19 infection. Figure 3 shows a measure of excess deaths – that is total deaths </w:t>
      </w:r>
      <w:proofErr w:type="gramStart"/>
      <w:r>
        <w:t>in excess of</w:t>
      </w:r>
      <w:proofErr w:type="gramEnd"/>
      <w:r>
        <w:t xml:space="preserve"> the average of such deaths over the comparable months in previous years. Figure 4 shows a measure of the stringency of government restrictions introduced in European countries to counter the spread of the virus.</w:t>
      </w:r>
    </w:p>
    <w:p w14:paraId="7DDAF938" w14:textId="60EDC614" w:rsidR="00AF7AE3" w:rsidRDefault="00AF7AE3" w:rsidP="00AF7AE3">
      <w:r>
        <w:t xml:space="preserve">Several measurement issues make it difficult to draw conclusions from these data with high confidence. The number of tests undertaken (relative to population) varies within countries over time </w:t>
      </w:r>
      <w:proofErr w:type="gramStart"/>
      <w:r>
        <w:t>and also</w:t>
      </w:r>
      <w:proofErr w:type="gramEnd"/>
      <w:r>
        <w:t xml:space="preserve"> between countries and this will clearly affect the numbers who tested positive for the virus and the prevalence of untested cases. While data on the numbers of deaths is reliable, ascribing death to the virus is not – even if one could accurately measure the numbers who have died </w:t>
      </w:r>
      <w:r w:rsidRPr="00F501CD">
        <w:rPr>
          <w:i/>
        </w:rPr>
        <w:t xml:space="preserve">with </w:t>
      </w:r>
      <w:r>
        <w:t xml:space="preserve">the virus the prevalence of co-morbidities means </w:t>
      </w:r>
      <w:r w:rsidR="00265921">
        <w:t xml:space="preserve">that </w:t>
      </w:r>
      <w:r>
        <w:t xml:space="preserve">drawing conclusions about the scale of deaths </w:t>
      </w:r>
      <w:r w:rsidRPr="00AD506E">
        <w:rPr>
          <w:i/>
        </w:rPr>
        <w:t>caused</w:t>
      </w:r>
      <w:r>
        <w:t xml:space="preserve"> by the virus is </w:t>
      </w:r>
      <w:r w:rsidR="00FF5977">
        <w:t xml:space="preserve">more </w:t>
      </w:r>
      <w:r>
        <w:t>problematic. Focusing on “excess deaths” is a different way of assessing the impact of the virus but since some deaths will be a result of restrictions, rather than infections, it is also an imperfect measure.</w:t>
      </w:r>
    </w:p>
    <w:p w14:paraId="1CD4DDCF" w14:textId="77777777" w:rsidR="009828D1" w:rsidRDefault="009828D1" w:rsidP="00AF7AE3"/>
    <w:p w14:paraId="0146255B" w14:textId="6DBA8A98" w:rsidR="00935E21" w:rsidRDefault="00470674" w:rsidP="00AF7AE3">
      <w:r>
        <w:rPr>
          <w:noProof/>
        </w:rPr>
        <w:lastRenderedPageBreak/>
        <w:drawing>
          <wp:inline distT="0" distB="0" distL="0" distR="0" wp14:anchorId="422EF7D8" wp14:editId="1B32C6C1">
            <wp:extent cx="5731075" cy="318516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2310" cy="3185846"/>
                    </a:xfrm>
                    <a:prstGeom prst="rect">
                      <a:avLst/>
                    </a:prstGeom>
                    <a:noFill/>
                    <a:ln>
                      <a:noFill/>
                    </a:ln>
                  </pic:spPr>
                </pic:pic>
              </a:graphicData>
            </a:graphic>
          </wp:inline>
        </w:drawing>
      </w:r>
    </w:p>
    <w:p w14:paraId="2DD90C64" w14:textId="11B9F65C" w:rsidR="00AF7AE3" w:rsidRDefault="00AF7AE3" w:rsidP="00522521">
      <w:pPr>
        <w:jc w:val="center"/>
      </w:pPr>
    </w:p>
    <w:p w14:paraId="159F92DF" w14:textId="26C42737" w:rsidR="00AF7AE3" w:rsidRPr="00AF7AE3" w:rsidRDefault="00AF7AE3" w:rsidP="00BF63A2">
      <w:pPr>
        <w:spacing w:line="240" w:lineRule="auto"/>
        <w:rPr>
          <w:sz w:val="20"/>
          <w:szCs w:val="20"/>
        </w:rPr>
      </w:pPr>
      <w:r w:rsidRPr="00F7254D">
        <w:rPr>
          <w:b/>
          <w:sz w:val="20"/>
          <w:szCs w:val="20"/>
        </w:rPr>
        <w:t>Figure 2</w:t>
      </w:r>
      <w:r w:rsidRPr="00AF7AE3">
        <w:rPr>
          <w:sz w:val="20"/>
          <w:szCs w:val="20"/>
        </w:rPr>
        <w:t xml:space="preserve"> Number of Deaths Reported associated with COVID-19 </w:t>
      </w:r>
      <w:r w:rsidR="00460593">
        <w:rPr>
          <w:sz w:val="20"/>
          <w:szCs w:val="20"/>
        </w:rPr>
        <w:t>(</w:t>
      </w:r>
      <w:r w:rsidR="00460593" w:rsidRPr="00AF7AE3">
        <w:rPr>
          <w:sz w:val="20"/>
          <w:szCs w:val="20"/>
        </w:rPr>
        <w:t>7 day rolling average</w:t>
      </w:r>
      <w:r w:rsidR="00460593">
        <w:rPr>
          <w:sz w:val="20"/>
          <w:szCs w:val="20"/>
        </w:rPr>
        <w:t>)</w:t>
      </w:r>
      <w:r w:rsidR="00A21567">
        <w:rPr>
          <w:sz w:val="20"/>
          <w:szCs w:val="20"/>
        </w:rPr>
        <w:t xml:space="preserve"> </w:t>
      </w:r>
      <w:r w:rsidRPr="00AF7AE3">
        <w:rPr>
          <w:sz w:val="20"/>
          <w:szCs w:val="20"/>
        </w:rPr>
        <w:t>as ratio to the national population x 1 million</w:t>
      </w:r>
      <w:r w:rsidR="00BF63A2">
        <w:rPr>
          <w:sz w:val="20"/>
          <w:szCs w:val="20"/>
        </w:rPr>
        <w:t>.</w:t>
      </w:r>
      <w:r w:rsidRPr="00AF7AE3">
        <w:rPr>
          <w:sz w:val="20"/>
          <w:szCs w:val="20"/>
        </w:rPr>
        <w:t xml:space="preserve"> </w:t>
      </w:r>
    </w:p>
    <w:p w14:paraId="25D24543" w14:textId="3538DA03" w:rsidR="00AF7AE3" w:rsidRDefault="00F7254D" w:rsidP="00BF63A2">
      <w:pPr>
        <w:spacing w:line="240" w:lineRule="auto"/>
        <w:rPr>
          <w:sz w:val="20"/>
          <w:szCs w:val="20"/>
        </w:rPr>
      </w:pPr>
      <w:r>
        <w:rPr>
          <w:sz w:val="20"/>
          <w:szCs w:val="20"/>
        </w:rPr>
        <w:t xml:space="preserve">Source: </w:t>
      </w:r>
      <w:r w:rsidR="00AF7AE3" w:rsidRPr="00AF7AE3">
        <w:rPr>
          <w:sz w:val="20"/>
          <w:szCs w:val="20"/>
        </w:rPr>
        <w:t>Our World in Data COVID-19 Dataset. Downloaded 10/6/2020</w:t>
      </w:r>
    </w:p>
    <w:p w14:paraId="611072A4" w14:textId="77777777" w:rsidR="00761093" w:rsidRDefault="00761093" w:rsidP="00BF63A2">
      <w:pPr>
        <w:spacing w:line="240" w:lineRule="auto"/>
        <w:rPr>
          <w:sz w:val="20"/>
          <w:szCs w:val="20"/>
        </w:rPr>
      </w:pPr>
    </w:p>
    <w:p w14:paraId="22F8B8D1" w14:textId="03EC82F3" w:rsidR="00291717" w:rsidRDefault="00F501CD" w:rsidP="00291717">
      <w:r>
        <w:t>Despite measurement issue</w:t>
      </w:r>
      <w:r w:rsidR="00265921">
        <w:t>s</w:t>
      </w:r>
      <w:r>
        <w:t xml:space="preserve"> certain conclusions </w:t>
      </w:r>
      <w:r w:rsidR="00335226">
        <w:t xml:space="preserve">from the data in figures 1-4 </w:t>
      </w:r>
      <w:r>
        <w:t>seem robust.</w:t>
      </w:r>
    </w:p>
    <w:p w14:paraId="3C4919A1" w14:textId="6ACF9B82" w:rsidR="00050E9B" w:rsidRDefault="00F501CD" w:rsidP="002C4903">
      <w:pPr>
        <w:pStyle w:val="ListParagraph"/>
        <w:numPr>
          <w:ilvl w:val="0"/>
          <w:numId w:val="3"/>
        </w:numPr>
        <w:ind w:left="720"/>
      </w:pPr>
      <w:r>
        <w:t xml:space="preserve">The spread of the infection after the first few recorded cases </w:t>
      </w:r>
      <w:r w:rsidR="00050E9B">
        <w:t xml:space="preserve">within European countries </w:t>
      </w:r>
      <w:r>
        <w:t>was extremely rapid and consistent with initial rep</w:t>
      </w:r>
      <w:r w:rsidR="00050E9B">
        <w:t>r</w:t>
      </w:r>
      <w:r>
        <w:t>od</w:t>
      </w:r>
      <w:r w:rsidR="00050E9B">
        <w:t>u</w:t>
      </w:r>
      <w:r>
        <w:t xml:space="preserve">ction numbers far </w:t>
      </w:r>
      <w:proofErr w:type="gramStart"/>
      <w:r>
        <w:t>in excess of</w:t>
      </w:r>
      <w:proofErr w:type="gramEnd"/>
      <w:r>
        <w:t xml:space="preserve"> 1 and </w:t>
      </w:r>
      <w:r w:rsidR="00050E9B">
        <w:t>quite likely close to 3.</w:t>
      </w:r>
    </w:p>
    <w:p w14:paraId="38B99443" w14:textId="3881116F" w:rsidR="00050E9B" w:rsidRDefault="00050E9B" w:rsidP="002C4903">
      <w:pPr>
        <w:pStyle w:val="ListParagraph"/>
        <w:numPr>
          <w:ilvl w:val="0"/>
          <w:numId w:val="3"/>
        </w:numPr>
        <w:ind w:left="720"/>
      </w:pPr>
      <w:r>
        <w:t xml:space="preserve">In </w:t>
      </w:r>
      <w:r w:rsidR="00335226">
        <w:t xml:space="preserve">late February or </w:t>
      </w:r>
      <w:r>
        <w:t xml:space="preserve">early March </w:t>
      </w:r>
      <w:r w:rsidR="00265921">
        <w:t xml:space="preserve">2020 </w:t>
      </w:r>
      <w:r>
        <w:t>m</w:t>
      </w:r>
      <w:r w:rsidR="00335226">
        <w:t>any European</w:t>
      </w:r>
      <w:r>
        <w:t xml:space="preserve"> countries brought in severe restrictions on movement meaning that </w:t>
      </w:r>
      <w:proofErr w:type="gramStart"/>
      <w:r>
        <w:t>the majority of</w:t>
      </w:r>
      <w:proofErr w:type="gramEnd"/>
      <w:r>
        <w:t xml:space="preserve"> populations stayed home and numbers able to work fell dramatically. Such restrictions came in earlier in countries where the numbers recorded with the infection had risen sharply earliest – most notably Italy. There were also </w:t>
      </w:r>
      <w:r w:rsidR="00335226">
        <w:t>places</w:t>
      </w:r>
      <w:r>
        <w:t xml:space="preserve"> w</w:t>
      </w:r>
      <w:r w:rsidR="00335226">
        <w:t>h</w:t>
      </w:r>
      <w:r>
        <w:t>ere restrictions were much less severe than in most countries – most notably in Sweden.</w:t>
      </w:r>
    </w:p>
    <w:p w14:paraId="4D7DF1E3" w14:textId="58ED4C7B" w:rsidR="00050E9B" w:rsidRDefault="00050E9B" w:rsidP="002C4903">
      <w:pPr>
        <w:pStyle w:val="ListParagraph"/>
        <w:numPr>
          <w:ilvl w:val="0"/>
          <w:numId w:val="3"/>
        </w:numPr>
        <w:ind w:left="720"/>
      </w:pPr>
      <w:r>
        <w:t xml:space="preserve">New measured cases of the infection and of deaths ascribed to the virus were </w:t>
      </w:r>
      <w:r w:rsidR="00335226">
        <w:t xml:space="preserve">significantly </w:t>
      </w:r>
      <w:r>
        <w:t xml:space="preserve">lower within a few weeks of restrictions being introduced. </w:t>
      </w:r>
      <w:r w:rsidR="00265921">
        <w:t>T</w:t>
      </w:r>
      <w:r w:rsidR="000838D6">
        <w:t xml:space="preserve">here is </w:t>
      </w:r>
      <w:r>
        <w:t>some evidence of a flattening in new cases ahead of s</w:t>
      </w:r>
      <w:r w:rsidR="00957254">
        <w:t>e</w:t>
      </w:r>
      <w:r>
        <w:t>vere re</w:t>
      </w:r>
      <w:r w:rsidR="00957254">
        <w:t>s</w:t>
      </w:r>
      <w:r>
        <w:t>trictions being introduced.</w:t>
      </w:r>
    </w:p>
    <w:p w14:paraId="44E71FD9" w14:textId="28DFC14E" w:rsidR="001635B3" w:rsidRDefault="00050E9B" w:rsidP="002C4903">
      <w:pPr>
        <w:pStyle w:val="ListParagraph"/>
        <w:numPr>
          <w:ilvl w:val="0"/>
          <w:numId w:val="3"/>
        </w:numPr>
        <w:ind w:left="720"/>
      </w:pPr>
      <w:r>
        <w:t xml:space="preserve">The slowing in new infections and in deaths has been marked in </w:t>
      </w:r>
      <w:r w:rsidR="00957254">
        <w:t xml:space="preserve">all countries during late March and into April </w:t>
      </w:r>
      <w:r w:rsidR="00265921">
        <w:t>2020</w:t>
      </w:r>
      <w:r w:rsidR="00556DD4">
        <w:t>,</w:t>
      </w:r>
      <w:r w:rsidR="00265921">
        <w:t xml:space="preserve"> </w:t>
      </w:r>
      <w:r w:rsidR="00957254">
        <w:t xml:space="preserve">though the severity of restrictions and the timing of those restrictions differs. </w:t>
      </w:r>
    </w:p>
    <w:p w14:paraId="2B079D5C" w14:textId="77777777" w:rsidR="008904E8" w:rsidRDefault="008904E8" w:rsidP="008904E8">
      <w:pPr>
        <w:pStyle w:val="ListParagraph"/>
      </w:pPr>
    </w:p>
    <w:p w14:paraId="2237DE84" w14:textId="6D1E8AC7" w:rsidR="00AA1E11" w:rsidRDefault="00470674" w:rsidP="00AA1E11">
      <w:pPr>
        <w:pStyle w:val="ListParagraph"/>
      </w:pPr>
      <w:r>
        <w:rPr>
          <w:noProof/>
        </w:rPr>
        <w:lastRenderedPageBreak/>
        <w:drawing>
          <wp:inline distT="0" distB="0" distL="0" distR="0" wp14:anchorId="0E2A0DD5" wp14:editId="7BD9D089">
            <wp:extent cx="5812023" cy="313118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50038" cy="3151665"/>
                    </a:xfrm>
                    <a:prstGeom prst="rect">
                      <a:avLst/>
                    </a:prstGeom>
                    <a:noFill/>
                    <a:ln>
                      <a:noFill/>
                    </a:ln>
                  </pic:spPr>
                </pic:pic>
              </a:graphicData>
            </a:graphic>
          </wp:inline>
        </w:drawing>
      </w:r>
    </w:p>
    <w:p w14:paraId="4E79B59B" w14:textId="37C80CF3" w:rsidR="00AF7AE3" w:rsidRDefault="00AF7AE3" w:rsidP="00522521">
      <w:pPr>
        <w:jc w:val="center"/>
      </w:pPr>
    </w:p>
    <w:p w14:paraId="2AD14C8A" w14:textId="77777777" w:rsidR="00F7254D" w:rsidRDefault="00AF7AE3" w:rsidP="00AF7AE3">
      <w:pPr>
        <w:rPr>
          <w:sz w:val="20"/>
          <w:szCs w:val="20"/>
        </w:rPr>
      </w:pPr>
      <w:r w:rsidRPr="00F7254D">
        <w:rPr>
          <w:b/>
          <w:sz w:val="20"/>
          <w:szCs w:val="20"/>
        </w:rPr>
        <w:t>Figure 3:</w:t>
      </w:r>
      <w:r w:rsidRPr="00AF7AE3">
        <w:rPr>
          <w:sz w:val="20"/>
          <w:szCs w:val="20"/>
        </w:rPr>
        <w:t xml:space="preserve"> Excess Deaths in weeks 8 -21 2020; </w:t>
      </w:r>
    </w:p>
    <w:p w14:paraId="50EF53B8" w14:textId="4F9AD531" w:rsidR="00AF7AE3" w:rsidRDefault="00AF7AE3" w:rsidP="00265921">
      <w:pPr>
        <w:spacing w:line="240" w:lineRule="auto"/>
        <w:rPr>
          <w:sz w:val="20"/>
          <w:szCs w:val="20"/>
        </w:rPr>
      </w:pPr>
      <w:r w:rsidRPr="00AF7AE3">
        <w:rPr>
          <w:sz w:val="20"/>
          <w:szCs w:val="20"/>
        </w:rPr>
        <w:t xml:space="preserve">Difference to average in same week in previous 3 years (2017/2018/2019) and shown as % of average. </w:t>
      </w:r>
      <w:r w:rsidR="00F7254D">
        <w:rPr>
          <w:sz w:val="20"/>
          <w:szCs w:val="20"/>
        </w:rPr>
        <w:t xml:space="preserve">Source: </w:t>
      </w:r>
      <w:r w:rsidRPr="00AF7AE3">
        <w:rPr>
          <w:sz w:val="20"/>
          <w:szCs w:val="20"/>
        </w:rPr>
        <w:t xml:space="preserve">The Human Mortality Database Department of Demography at the University of California, Max Planck Institute for Demographic Research, </w:t>
      </w:r>
      <w:proofErr w:type="spellStart"/>
      <w:r w:rsidRPr="00AF7AE3">
        <w:rPr>
          <w:sz w:val="20"/>
          <w:szCs w:val="20"/>
        </w:rPr>
        <w:t>Center</w:t>
      </w:r>
      <w:proofErr w:type="spellEnd"/>
      <w:r w:rsidRPr="00AF7AE3">
        <w:rPr>
          <w:sz w:val="20"/>
          <w:szCs w:val="20"/>
        </w:rPr>
        <w:t xml:space="preserve"> on the Economics and Development of Aging (CEDA) </w:t>
      </w:r>
      <w:hyperlink r:id="rId15" w:history="1">
        <w:r w:rsidRPr="00AF7AE3">
          <w:rPr>
            <w:color w:val="0563C1" w:themeColor="hyperlink"/>
            <w:sz w:val="20"/>
            <w:szCs w:val="20"/>
            <w:u w:val="single"/>
          </w:rPr>
          <w:t>www.mortality.org</w:t>
        </w:r>
      </w:hyperlink>
      <w:r w:rsidRPr="00AF7AE3">
        <w:rPr>
          <w:sz w:val="20"/>
          <w:szCs w:val="20"/>
        </w:rPr>
        <w:t>. Downloaded 9/6/2020</w:t>
      </w:r>
    </w:p>
    <w:p w14:paraId="667B7ED6" w14:textId="16FA7BC0" w:rsidR="00AF7AE3" w:rsidRDefault="002B1E8F" w:rsidP="00522521">
      <w:pPr>
        <w:jc w:val="center"/>
      </w:pPr>
      <w:r>
        <w:rPr>
          <w:noProof/>
        </w:rPr>
        <w:drawing>
          <wp:inline distT="0" distB="0" distL="0" distR="0" wp14:anchorId="4E40DF14" wp14:editId="5332C3B0">
            <wp:extent cx="5730893" cy="3276600"/>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82" cy="3276994"/>
                    </a:xfrm>
                    <a:prstGeom prst="rect">
                      <a:avLst/>
                    </a:prstGeom>
                    <a:noFill/>
                    <a:ln>
                      <a:noFill/>
                    </a:ln>
                  </pic:spPr>
                </pic:pic>
              </a:graphicData>
            </a:graphic>
          </wp:inline>
        </w:drawing>
      </w:r>
    </w:p>
    <w:p w14:paraId="6E5AD58E" w14:textId="77777777" w:rsidR="00F7254D" w:rsidRDefault="00AF7AE3" w:rsidP="00AF7AE3">
      <w:pPr>
        <w:rPr>
          <w:sz w:val="20"/>
          <w:szCs w:val="20"/>
        </w:rPr>
      </w:pPr>
      <w:r w:rsidRPr="00F7254D">
        <w:rPr>
          <w:b/>
          <w:sz w:val="20"/>
          <w:szCs w:val="20"/>
        </w:rPr>
        <w:t>Figure 4</w:t>
      </w:r>
      <w:r w:rsidRPr="00AF7AE3">
        <w:rPr>
          <w:sz w:val="20"/>
          <w:szCs w:val="20"/>
        </w:rPr>
        <w:t>: Date of Implementation and Relaxation of National responses in selected countries</w:t>
      </w:r>
    </w:p>
    <w:p w14:paraId="63E63402" w14:textId="7641D8B9" w:rsidR="00AF7AE3" w:rsidRPr="00AF7AE3" w:rsidRDefault="00F7254D" w:rsidP="00DD6C04">
      <w:pPr>
        <w:spacing w:line="240" w:lineRule="auto"/>
        <w:rPr>
          <w:b/>
          <w:sz w:val="20"/>
          <w:szCs w:val="20"/>
        </w:rPr>
      </w:pPr>
      <w:r>
        <w:rPr>
          <w:sz w:val="20"/>
          <w:szCs w:val="20"/>
        </w:rPr>
        <w:t xml:space="preserve">The series is the </w:t>
      </w:r>
      <w:r w:rsidR="00AF7AE3" w:rsidRPr="00AF7AE3">
        <w:rPr>
          <w:sz w:val="20"/>
          <w:szCs w:val="20"/>
        </w:rPr>
        <w:t>COVID-19 Government Response Stringency Index which is a composite measure based on nine response indicators including school closures, workplace closures, and travel bans, rescaled to a value from 0 to 100 (100 = strictest response)</w:t>
      </w:r>
      <w:r w:rsidR="00AA1E11">
        <w:rPr>
          <w:sz w:val="20"/>
          <w:szCs w:val="20"/>
        </w:rPr>
        <w:t xml:space="preserve">. </w:t>
      </w:r>
      <w:r>
        <w:rPr>
          <w:sz w:val="20"/>
          <w:szCs w:val="20"/>
        </w:rPr>
        <w:t xml:space="preserve">Source: </w:t>
      </w:r>
      <w:proofErr w:type="spellStart"/>
      <w:r w:rsidR="00AF7AE3" w:rsidRPr="00AF7AE3">
        <w:rPr>
          <w:sz w:val="20"/>
          <w:szCs w:val="20"/>
        </w:rPr>
        <w:t>Blavatnik</w:t>
      </w:r>
      <w:proofErr w:type="spellEnd"/>
      <w:r w:rsidR="00AF7AE3" w:rsidRPr="00AF7AE3">
        <w:rPr>
          <w:sz w:val="20"/>
          <w:szCs w:val="20"/>
        </w:rPr>
        <w:t xml:space="preserve"> School of Government, University of Oxford, </w:t>
      </w:r>
      <w:hyperlink r:id="rId17" w:history="1">
        <w:r w:rsidR="00AF7AE3" w:rsidRPr="00AF7AE3">
          <w:rPr>
            <w:color w:val="0563C1" w:themeColor="hyperlink"/>
            <w:sz w:val="20"/>
            <w:szCs w:val="20"/>
            <w:u w:val="single"/>
          </w:rPr>
          <w:t>https://www.bsg.ox.ac.uk/research/research-projects/coronavirus-government-response-tracker</w:t>
        </w:r>
      </w:hyperlink>
    </w:p>
    <w:p w14:paraId="6DF415AB" w14:textId="77777777" w:rsidR="00761093" w:rsidRDefault="00761093" w:rsidP="005871AF">
      <w:pPr>
        <w:rPr>
          <w:b/>
        </w:rPr>
      </w:pPr>
    </w:p>
    <w:p w14:paraId="0F0F626B" w14:textId="4F0AD757" w:rsidR="00E41756" w:rsidRPr="005871AF" w:rsidRDefault="001635B3" w:rsidP="005871AF">
      <w:pPr>
        <w:rPr>
          <w:b/>
        </w:rPr>
      </w:pPr>
      <w:r w:rsidRPr="005871AF">
        <w:rPr>
          <w:b/>
        </w:rPr>
        <w:t>Section 2: H</w:t>
      </w:r>
      <w:r w:rsidR="00E41756" w:rsidRPr="005871AF">
        <w:rPr>
          <w:b/>
        </w:rPr>
        <w:t>ow much was due to lockdowns</w:t>
      </w:r>
      <w:r w:rsidRPr="005871AF">
        <w:rPr>
          <w:b/>
        </w:rPr>
        <w:t>?</w:t>
      </w:r>
    </w:p>
    <w:p w14:paraId="29631D6F" w14:textId="2F4C3BCA" w:rsidR="00622405" w:rsidRDefault="001635B3" w:rsidP="001635B3">
      <w:r>
        <w:t xml:space="preserve">What is </w:t>
      </w:r>
      <w:r w:rsidR="0031243F">
        <w:t xml:space="preserve">not </w:t>
      </w:r>
      <w:r>
        <w:t xml:space="preserve">clear from data on measured deaths of people who are recorded as having the virus, on </w:t>
      </w:r>
      <w:r w:rsidR="000838D6">
        <w:t xml:space="preserve">tested </w:t>
      </w:r>
      <w:r>
        <w:t xml:space="preserve">new cases of the infection and on excess deaths is the </w:t>
      </w:r>
      <w:r w:rsidR="00573E9B">
        <w:t xml:space="preserve">precise </w:t>
      </w:r>
      <w:r>
        <w:t>extent to which they have fallen because of (in many cases severe) restrictions</w:t>
      </w:r>
      <w:r w:rsidR="00511291">
        <w:t xml:space="preserve"> on the population</w:t>
      </w:r>
      <w:r>
        <w:t>. There are at least three reasons why new infections and deaths could have fallen</w:t>
      </w:r>
      <w:r w:rsidR="0031243F">
        <w:t xml:space="preserve">, perhaps </w:t>
      </w:r>
      <w:r>
        <w:t>sharply</w:t>
      </w:r>
      <w:r w:rsidR="0031243F">
        <w:t>,</w:t>
      </w:r>
      <w:r>
        <w:t xml:space="preserve"> even with</w:t>
      </w:r>
      <w:r w:rsidR="00DA4909">
        <w:t xml:space="preserve"> much more </w:t>
      </w:r>
      <w:r>
        <w:t>limited government restrictions</w:t>
      </w:r>
      <w:r w:rsidR="00F255DB">
        <w:t xml:space="preserve"> short of a lockdown</w:t>
      </w:r>
      <w:r>
        <w:t xml:space="preserve">: </w:t>
      </w:r>
      <w:r w:rsidR="00622405">
        <w:t xml:space="preserve">i. individuals would have altered their </w:t>
      </w:r>
      <w:r>
        <w:t>behaviour</w:t>
      </w:r>
      <w:r w:rsidR="00622405">
        <w:t xml:space="preserve"> (washing hands more frequently, avoiding crowded spaces</w:t>
      </w:r>
      <w:r w:rsidR="00DB2C02">
        <w:t>, staying home if you have symptoms</w:t>
      </w:r>
      <w:r w:rsidR="00622405">
        <w:t>) with no legal restrictions on ability to leave the home and with much more limited disruption to life</w:t>
      </w:r>
      <w:r w:rsidR="000838D6">
        <w:t>;</w:t>
      </w:r>
      <w:r w:rsidR="00622405">
        <w:t xml:space="preserve"> </w:t>
      </w:r>
      <w:r w:rsidR="000838D6">
        <w:t>i</w:t>
      </w:r>
      <w:r w:rsidR="00622405">
        <w:t xml:space="preserve">i. a degree of immunity may have built up by the time severe restrictions were introduced because the infection may have spread </w:t>
      </w:r>
      <w:r w:rsidR="000838D6">
        <w:t xml:space="preserve">quite </w:t>
      </w:r>
      <w:r w:rsidR="00622405">
        <w:t xml:space="preserve">widely and largely unnoticed </w:t>
      </w:r>
      <w:r w:rsidR="0031243F">
        <w:t xml:space="preserve">with the </w:t>
      </w:r>
      <w:r w:rsidR="00622405">
        <w:t xml:space="preserve">asymptomatic a large fraction of the infected. iii. </w:t>
      </w:r>
      <w:r w:rsidR="0031243F">
        <w:t>a</w:t>
      </w:r>
      <w:r w:rsidR="00622405">
        <w:t xml:space="preserve"> s</w:t>
      </w:r>
      <w:r w:rsidR="000855AB">
        <w:t>ignificant</w:t>
      </w:r>
      <w:r w:rsidR="00622405">
        <w:t xml:space="preserve"> proportion of the population </w:t>
      </w:r>
      <w:r w:rsidR="00EE0F46">
        <w:t xml:space="preserve">may have been </w:t>
      </w:r>
      <w:r w:rsidR="00622405">
        <w:t xml:space="preserve">effectively immune from the virus when lockdowns started </w:t>
      </w:r>
      <w:r w:rsidR="0031243F">
        <w:t xml:space="preserve">not just </w:t>
      </w:r>
      <w:r w:rsidR="00622405">
        <w:t xml:space="preserve">because of </w:t>
      </w:r>
      <w:r w:rsidR="00EE0F46">
        <w:t xml:space="preserve">recovery from </w:t>
      </w:r>
      <w:r w:rsidR="00622405">
        <w:t xml:space="preserve">past infections </w:t>
      </w:r>
      <w:r w:rsidR="00511291">
        <w:t xml:space="preserve">that conferred a degree of immunity </w:t>
      </w:r>
      <w:r w:rsidR="00622405">
        <w:t>but also because s</w:t>
      </w:r>
      <w:r w:rsidR="00A21567">
        <w:t xml:space="preserve">ome </w:t>
      </w:r>
      <w:r w:rsidR="00622405">
        <w:t xml:space="preserve">proportion of the population was never susceptible. All three factors may have played </w:t>
      </w:r>
      <w:r w:rsidR="000855AB">
        <w:t>some</w:t>
      </w:r>
      <w:r w:rsidR="00622405">
        <w:t xml:space="preserve"> </w:t>
      </w:r>
      <w:r w:rsidR="00BC6360">
        <w:t>role,</w:t>
      </w:r>
      <w:r w:rsidR="00622405">
        <w:t xml:space="preserve"> and all would mean that deaths and new infections would have slowed</w:t>
      </w:r>
      <w:r w:rsidR="00761093">
        <w:t>, at least to some extent,</w:t>
      </w:r>
      <w:r w:rsidR="00622405">
        <w:t xml:space="preserve"> in the absence of </w:t>
      </w:r>
      <w:r w:rsidR="00761093">
        <w:t xml:space="preserve">the sort of </w:t>
      </w:r>
      <w:r w:rsidR="00AA1E11">
        <w:t xml:space="preserve">severe government </w:t>
      </w:r>
      <w:r w:rsidR="00622405">
        <w:t>restrictions</w:t>
      </w:r>
      <w:r w:rsidR="00761093">
        <w:t xml:space="preserve"> introduced in the UK where people were told to stay at home except in exceptional ci</w:t>
      </w:r>
      <w:r w:rsidR="004C30FE">
        <w:t>r</w:t>
      </w:r>
      <w:r w:rsidR="00761093">
        <w:t>cumstances</w:t>
      </w:r>
      <w:r w:rsidR="00622405">
        <w:t>.</w:t>
      </w:r>
    </w:p>
    <w:p w14:paraId="687603C3" w14:textId="20A2DC68" w:rsidR="00622405" w:rsidRDefault="00622405" w:rsidP="00622405">
      <w:r>
        <w:t>These three factors are not mutually exclusive</w:t>
      </w:r>
      <w:r w:rsidR="000838D6">
        <w:t xml:space="preserve"> and there </w:t>
      </w:r>
      <w:r>
        <w:t xml:space="preserve">is some </w:t>
      </w:r>
      <w:r w:rsidR="000838D6">
        <w:t xml:space="preserve">(less than conclusive and </w:t>
      </w:r>
      <w:r w:rsidR="00BF3743">
        <w:t>often d</w:t>
      </w:r>
      <w:r w:rsidR="000838D6">
        <w:t xml:space="preserve">isputed) </w:t>
      </w:r>
      <w:r>
        <w:t xml:space="preserve">evidence </w:t>
      </w:r>
      <w:r w:rsidR="003920C9">
        <w:t xml:space="preserve">that </w:t>
      </w:r>
      <w:r>
        <w:t>each of the</w:t>
      </w:r>
      <w:r w:rsidR="003920C9">
        <w:t xml:space="preserve">m may have </w:t>
      </w:r>
      <w:r>
        <w:t>play</w:t>
      </w:r>
      <w:r w:rsidR="003920C9">
        <w:t xml:space="preserve">ed </w:t>
      </w:r>
      <w:r w:rsidR="00190E18">
        <w:t>some</w:t>
      </w:r>
      <w:r>
        <w:t xml:space="preserve"> role. </w:t>
      </w:r>
    </w:p>
    <w:p w14:paraId="4627FBE1" w14:textId="56D1406A" w:rsidR="00174C70" w:rsidRDefault="00511291" w:rsidP="001635B3">
      <w:r>
        <w:t xml:space="preserve">An </w:t>
      </w:r>
      <w:r w:rsidR="008E3180">
        <w:t xml:space="preserve">Oxford </w:t>
      </w:r>
      <w:r>
        <w:t xml:space="preserve">University </w:t>
      </w:r>
      <w:r w:rsidR="008E3180">
        <w:t>research team used death data to estimate the proportion of</w:t>
      </w:r>
      <w:r w:rsidR="00174C70">
        <w:t xml:space="preserve"> </w:t>
      </w:r>
      <w:r w:rsidR="008E3180">
        <w:t>the population who might have built up some form of immunity before the UK lockdown was introduced in mid</w:t>
      </w:r>
      <w:r w:rsidR="003920C9">
        <w:t>-</w:t>
      </w:r>
      <w:r w:rsidR="008E3180">
        <w:t>March. They put that fraction at around 60% (</w:t>
      </w:r>
      <w:proofErr w:type="spellStart"/>
      <w:r w:rsidR="008E3180" w:rsidRPr="008E3180">
        <w:rPr>
          <w:rFonts w:cstheme="minorHAnsi"/>
          <w:sz w:val="20"/>
          <w:szCs w:val="20"/>
        </w:rPr>
        <w:t>Lourenço</w:t>
      </w:r>
      <w:proofErr w:type="spellEnd"/>
      <w:r w:rsidR="008E3180">
        <w:t xml:space="preserve"> et al (2020)). </w:t>
      </w:r>
      <w:r w:rsidR="00407F0E">
        <w:t xml:space="preserve">Stedman et al </w:t>
      </w:r>
      <w:r w:rsidR="008E3180">
        <w:t>(2020) used data on differences in the spread of the infection across English regions to assess how many might have been infected and put that fraction at similarly high levels. Dimdore</w:t>
      </w:r>
      <w:r w:rsidR="000838D6">
        <w:t>-</w:t>
      </w:r>
      <w:r w:rsidR="008E3180">
        <w:t xml:space="preserve">Miles and Miles (2020) fitted a SIR </w:t>
      </w:r>
      <w:r>
        <w:t xml:space="preserve">(Susceptible-Infected-Recovered) </w:t>
      </w:r>
      <w:r w:rsidR="008E3180">
        <w:t>model to data on new cases of infections across several countries and estimated that the numbers who might have been infected with no (or few) symptoms was</w:t>
      </w:r>
      <w:r w:rsidR="00174C70">
        <w:t xml:space="preserve"> </w:t>
      </w:r>
      <w:r w:rsidR="008E3180">
        <w:t>likely to be</w:t>
      </w:r>
      <w:r w:rsidR="00190E18">
        <w:t xml:space="preserve"> </w:t>
      </w:r>
      <w:r w:rsidR="00174C70">
        <w:t>10 times</w:t>
      </w:r>
      <w:r w:rsidR="00190E18">
        <w:t xml:space="preserve"> or more </w:t>
      </w:r>
      <w:r w:rsidR="00174C70">
        <w:t xml:space="preserve">as large as those who had symptoms and were more likely to have been tested up to </w:t>
      </w:r>
      <w:r>
        <w:t xml:space="preserve">late </w:t>
      </w:r>
      <w:r w:rsidR="00174C70">
        <w:t xml:space="preserve">April 2020. </w:t>
      </w:r>
    </w:p>
    <w:p w14:paraId="1593CDC6" w14:textId="6163968E" w:rsidR="005871AF" w:rsidRDefault="005871AF" w:rsidP="001635B3">
      <w:r>
        <w:t>Wieland</w:t>
      </w:r>
      <w:r w:rsidR="00407F0E">
        <w:t xml:space="preserve"> (</w:t>
      </w:r>
      <w:r w:rsidR="00B26DB5">
        <w:t>2020)</w:t>
      </w:r>
      <w:r w:rsidR="00407F0E">
        <w:t xml:space="preserve"> modelled the spread of the infection across Germany and concluded that </w:t>
      </w:r>
      <w:r w:rsidR="00E37144">
        <w:t>infections were past their peak and starting to decline ahead of the introduction of government restrictions</w:t>
      </w:r>
      <w:r w:rsidR="000838D6">
        <w:t xml:space="preserve"> there</w:t>
      </w:r>
      <w:r w:rsidR="00E37144">
        <w:t xml:space="preserve">. </w:t>
      </w:r>
      <w:r w:rsidR="00511291">
        <w:t xml:space="preserve">The </w:t>
      </w:r>
      <w:r w:rsidR="00B26DB5">
        <w:t xml:space="preserve">results </w:t>
      </w:r>
      <w:r w:rsidR="00511291">
        <w:t xml:space="preserve">were summarised </w:t>
      </w:r>
      <w:r w:rsidR="00B26DB5">
        <w:t xml:space="preserve">thus: </w:t>
      </w:r>
      <w:proofErr w:type="gramStart"/>
      <w:r w:rsidR="00B26DB5" w:rsidRPr="00B26DB5">
        <w:rPr>
          <w:rFonts w:cstheme="minorHAnsi"/>
        </w:rPr>
        <w:t>“</w:t>
      </w:r>
      <w:r w:rsidR="00B26DB5" w:rsidRPr="00B26DB5">
        <w:rPr>
          <w:rFonts w:cstheme="minorHAnsi"/>
          <w:color w:val="191919"/>
          <w:shd w:val="clear" w:color="auto" w:fill="FFFFFF"/>
        </w:rPr>
        <w:t> In</w:t>
      </w:r>
      <w:proofErr w:type="gramEnd"/>
      <w:r w:rsidR="00B26DB5" w:rsidRPr="00B26DB5">
        <w:rPr>
          <w:rFonts w:cstheme="minorHAnsi"/>
          <w:color w:val="191919"/>
          <w:shd w:val="clear" w:color="auto" w:fill="FFFFFF"/>
        </w:rPr>
        <w:t xml:space="preserve"> a large majority of German counties, the epidemic curve has flattened before the social ban was established (March 23). In a minority of counties, the peak was already exceeded before school closures.”</w:t>
      </w:r>
    </w:p>
    <w:p w14:paraId="678470E9" w14:textId="1D25F126" w:rsidR="005871AF" w:rsidRDefault="00E37144" w:rsidP="00E37144">
      <w:r>
        <w:t>Professors K</w:t>
      </w:r>
      <w:r w:rsidR="005871AF">
        <w:t xml:space="preserve">arl </w:t>
      </w:r>
      <w:proofErr w:type="spellStart"/>
      <w:r w:rsidR="005871AF">
        <w:t>Friston</w:t>
      </w:r>
      <w:proofErr w:type="spellEnd"/>
      <w:r w:rsidR="003920C9">
        <w:t xml:space="preserve"> (of University College London)</w:t>
      </w:r>
      <w:r w:rsidR="00761093">
        <w:t xml:space="preserve">, an </w:t>
      </w:r>
      <w:r>
        <w:t>expert in the application of statistical models to biological phenomena</w:t>
      </w:r>
      <w:r w:rsidR="00761093">
        <w:t xml:space="preserve">, has </w:t>
      </w:r>
      <w:r w:rsidR="00511291">
        <w:t>concluded</w:t>
      </w:r>
      <w:r>
        <w:t xml:space="preserve"> that the numbers of people </w:t>
      </w:r>
      <w:r w:rsidR="00375EBD">
        <w:t xml:space="preserve">not </w:t>
      </w:r>
      <w:r>
        <w:t>susceptible to the COVID</w:t>
      </w:r>
      <w:r w:rsidR="00BF63A2">
        <w:t>-</w:t>
      </w:r>
      <w:r>
        <w:t xml:space="preserve">19 virus were substantial before lockdowns were introduced and that the virus </w:t>
      </w:r>
      <w:r w:rsidR="00F255DB">
        <w:t xml:space="preserve">may have been </w:t>
      </w:r>
      <w:r>
        <w:t xml:space="preserve"> burning itself out</w:t>
      </w:r>
      <w:r w:rsidR="00EB4E00">
        <w:t xml:space="preserve"> (</w:t>
      </w:r>
      <w:proofErr w:type="spellStart"/>
      <w:r w:rsidR="00EB4E00">
        <w:t>Friston</w:t>
      </w:r>
      <w:proofErr w:type="spellEnd"/>
      <w:r w:rsidR="00EB4E00">
        <w:t xml:space="preserve"> et al (2020). </w:t>
      </w:r>
    </w:p>
    <w:p w14:paraId="4D3C5A77" w14:textId="4B5E5635" w:rsidR="00E37144" w:rsidRDefault="00F255DB" w:rsidP="00E37144">
      <w:r>
        <w:t>Despite these pieces of evidence, d</w:t>
      </w:r>
      <w:r w:rsidR="00E37144">
        <w:t xml:space="preserve">irect measures of how many people </w:t>
      </w:r>
      <w:r w:rsidR="003E4883">
        <w:t xml:space="preserve">in the wider population </w:t>
      </w:r>
      <w:r w:rsidR="00E37144">
        <w:t>have been infected by COVID</w:t>
      </w:r>
      <w:r w:rsidR="00BF63A2">
        <w:t>-</w:t>
      </w:r>
      <w:r w:rsidR="00E37144">
        <w:t>19</w:t>
      </w:r>
      <w:r w:rsidR="000838D6">
        <w:t>,</w:t>
      </w:r>
      <w:r w:rsidR="00E37144">
        <w:t xml:space="preserve"> and the extent to which immunity from the virus has been built up by that route</w:t>
      </w:r>
      <w:r w:rsidR="000838D6">
        <w:t>,</w:t>
      </w:r>
      <w:r w:rsidR="00E37144">
        <w:t xml:space="preserve"> are not high</w:t>
      </w:r>
      <w:r w:rsidR="0095233D">
        <w:t xml:space="preserve">.  </w:t>
      </w:r>
      <w:r w:rsidR="00E37144">
        <w:t xml:space="preserve">Most estimates </w:t>
      </w:r>
      <w:r w:rsidR="003920C9">
        <w:t xml:space="preserve">based on limited testing of a random sample of the population for antibodies </w:t>
      </w:r>
      <w:r w:rsidR="00E37144">
        <w:t xml:space="preserve">put the level of </w:t>
      </w:r>
      <w:r w:rsidR="00E23ED6">
        <w:t xml:space="preserve">those who have had the infection in European countries </w:t>
      </w:r>
      <w:r w:rsidR="00E23ED6">
        <w:lastRenderedPageBreak/>
        <w:t xml:space="preserve">where the virus has spread most rapidly </w:t>
      </w:r>
      <w:r w:rsidR="00E37144">
        <w:t xml:space="preserve">at 5-10%, </w:t>
      </w:r>
      <w:r w:rsidR="00E23ED6">
        <w:t xml:space="preserve">though </w:t>
      </w:r>
      <w:r w:rsidR="00E37144">
        <w:t xml:space="preserve">in some areas </w:t>
      </w:r>
      <w:r w:rsidR="00E23ED6">
        <w:t xml:space="preserve">within countries </w:t>
      </w:r>
      <w:r w:rsidR="00E37144">
        <w:t>it is still high enough to have had a significant impact on R</w:t>
      </w:r>
      <w:r w:rsidR="000855AB">
        <w:rPr>
          <w:rStyle w:val="FootnoteReference"/>
        </w:rPr>
        <w:footnoteReference w:id="4"/>
      </w:r>
      <w:r w:rsidR="00E23ED6">
        <w:t xml:space="preserve">. </w:t>
      </w:r>
    </w:p>
    <w:p w14:paraId="3B2D33A4" w14:textId="4C050B34" w:rsidR="00BF63A2" w:rsidRDefault="00FF5977" w:rsidP="00E37144">
      <w:r>
        <w:t xml:space="preserve">While there </w:t>
      </w:r>
      <w:r w:rsidR="00355CD2">
        <w:t xml:space="preserve">are reasons to believe that the spread of the infection may have slowed short of a lockdown which kept most people at home, it remains highly likely that this level of restriction did bring the spread down faster than it otherwise would. </w:t>
      </w:r>
    </w:p>
    <w:p w14:paraId="2962A2E6" w14:textId="77777777" w:rsidR="00355CD2" w:rsidRDefault="00355CD2" w:rsidP="00E37144"/>
    <w:p w14:paraId="501A83FF" w14:textId="062385DB" w:rsidR="00E41756" w:rsidRPr="005871AF" w:rsidRDefault="00C757CF" w:rsidP="005871AF">
      <w:pPr>
        <w:rPr>
          <w:b/>
        </w:rPr>
      </w:pPr>
      <w:r>
        <w:rPr>
          <w:b/>
        </w:rPr>
        <w:t xml:space="preserve">Section 3 </w:t>
      </w:r>
      <w:r w:rsidR="00E41756" w:rsidRPr="005871AF">
        <w:rPr>
          <w:b/>
        </w:rPr>
        <w:t>The evidence from countries with different policies: Sweden vs UK</w:t>
      </w:r>
    </w:p>
    <w:p w14:paraId="782FA812" w14:textId="44605153" w:rsidR="005668FB" w:rsidRDefault="00C2088D" w:rsidP="00C2088D">
      <w:r>
        <w:t xml:space="preserve">In contrast </w:t>
      </w:r>
      <w:r w:rsidR="003F17FE">
        <w:t xml:space="preserve">to many other European countries </w:t>
      </w:r>
      <w:r>
        <w:t xml:space="preserve">the Swedish strategy has been one of adopting </w:t>
      </w:r>
      <w:r w:rsidR="003920C9">
        <w:t xml:space="preserve">much </w:t>
      </w:r>
      <w:r>
        <w:t xml:space="preserve">less restrictive measures that </w:t>
      </w:r>
      <w:r w:rsidR="000855AB">
        <w:t>are</w:t>
      </w:r>
      <w:r>
        <w:t xml:space="preserve"> far short of a lockdown</w:t>
      </w:r>
      <w:r w:rsidR="003E4883">
        <w:t xml:space="preserve"> (see figure 4)</w:t>
      </w:r>
      <w:r>
        <w:t xml:space="preserve">. In terms of the health impacts </w:t>
      </w:r>
      <w:r w:rsidR="000838D6">
        <w:t xml:space="preserve">there is </w:t>
      </w:r>
      <w:r w:rsidR="0095233D">
        <w:t xml:space="preserve">mixed </w:t>
      </w:r>
      <w:r w:rsidR="000838D6">
        <w:t xml:space="preserve">evidence </w:t>
      </w:r>
      <w:r w:rsidR="0095233D">
        <w:t xml:space="preserve">over how </w:t>
      </w:r>
      <w:r>
        <w:t xml:space="preserve">different </w:t>
      </w:r>
      <w:r w:rsidR="0095233D">
        <w:t xml:space="preserve">they are compared to those </w:t>
      </w:r>
      <w:r>
        <w:t xml:space="preserve">in countries that adopted lockdown policies. </w:t>
      </w:r>
      <w:r w:rsidR="005668FB">
        <w:t xml:space="preserve">Cases of the infection – relative to population - have been higher than in most other European countries (figure 1); deaths have not been higher (figure 2). Excess deaths in Sweden up to end June have been one third the levels seen in Italy, Spain and Great Britain. </w:t>
      </w:r>
    </w:p>
    <w:p w14:paraId="1363D089" w14:textId="2CD118CD" w:rsidR="00C2088D" w:rsidRDefault="005668FB" w:rsidP="009F6C0A">
      <w:r>
        <w:t xml:space="preserve">Interpretation of the raw numbers is </w:t>
      </w:r>
      <w:r w:rsidR="00EF0723">
        <w:t xml:space="preserve">therefore </w:t>
      </w:r>
      <w:r>
        <w:t xml:space="preserve">not straightforward. </w:t>
      </w:r>
      <w:r w:rsidR="00C2088D">
        <w:t>The study by Born et al (2020) estimates how the infection might have spread if Sweden had imposed a lockdown like many other European countries. They find essentially no difference in the likely path of infections</w:t>
      </w:r>
    </w:p>
    <w:p w14:paraId="0EF1661E" w14:textId="45E5AC0A" w:rsidR="00A61899" w:rsidRDefault="00A61899" w:rsidP="00935B69">
      <w:r>
        <w:t xml:space="preserve">But the study by </w:t>
      </w:r>
      <w:proofErr w:type="spellStart"/>
      <w:r>
        <w:t>Conyon</w:t>
      </w:r>
      <w:proofErr w:type="spellEnd"/>
      <w:r>
        <w:t xml:space="preserve"> et al (2020), which compares deaths in Sweden with those in Norway and Denmark, finds strong evidence that the looser restrictions in Sweden compared with its close neighbours led to significantly more people dying. </w:t>
      </w:r>
      <w:r w:rsidR="00761093">
        <w:t xml:space="preserve">The comparison with immediate neighbours is telling because they are more similar in terms of climate, health care systems and density of population than most other countries. </w:t>
      </w:r>
    </w:p>
    <w:p w14:paraId="0AB5F58E" w14:textId="6CB14165" w:rsidR="00B8013F" w:rsidRDefault="00A61899" w:rsidP="00935B69">
      <w:r>
        <w:t xml:space="preserve">Despite this the </w:t>
      </w:r>
      <w:r w:rsidR="00E36EB4">
        <w:t xml:space="preserve">UK data </w:t>
      </w:r>
      <w:r w:rsidR="00511291">
        <w:t xml:space="preserve">show a significantly higher </w:t>
      </w:r>
      <w:r w:rsidR="00F355A5">
        <w:t xml:space="preserve">cumulative death rate than </w:t>
      </w:r>
      <w:r w:rsidR="00E36EB4">
        <w:t>Sweden</w:t>
      </w:r>
      <w:r w:rsidR="00F355A5">
        <w:t xml:space="preserve"> (figure 2 above)</w:t>
      </w:r>
      <w:r w:rsidR="00E36EB4">
        <w:t>; Financial Times estimates</w:t>
      </w:r>
      <w:r w:rsidR="00F355A5">
        <w:rPr>
          <w:rStyle w:val="FootnoteReference"/>
        </w:rPr>
        <w:footnoteReference w:id="5"/>
      </w:r>
      <w:r w:rsidR="003E4883">
        <w:t xml:space="preserve">, as well as those shown in figure 3 above, </w:t>
      </w:r>
      <w:r w:rsidR="00E36EB4">
        <w:t xml:space="preserve">put excess deaths relative to population in the UK at </w:t>
      </w:r>
      <w:r w:rsidR="003E4883">
        <w:t xml:space="preserve">more than </w:t>
      </w:r>
      <w:r w:rsidR="00CB2698">
        <w:t xml:space="preserve">three times </w:t>
      </w:r>
      <w:r w:rsidR="00E36EB4">
        <w:t>the Swedish level by e</w:t>
      </w:r>
      <w:r w:rsidR="00CB2698">
        <w:t>nd</w:t>
      </w:r>
      <w:r w:rsidR="00E36EB4">
        <w:t xml:space="preserve"> June</w:t>
      </w:r>
      <w:r w:rsidR="00F355A5">
        <w:t xml:space="preserve"> 2020</w:t>
      </w:r>
      <w:r w:rsidR="00E36EB4">
        <w:t xml:space="preserve">. On this measure </w:t>
      </w:r>
      <w:r w:rsidR="003E4883">
        <w:t xml:space="preserve">figure 3 shows that </w:t>
      </w:r>
      <w:r w:rsidR="00E36EB4">
        <w:t xml:space="preserve">Sweden sits near the middle of the pack for European countries.  While </w:t>
      </w:r>
      <w:r w:rsidR="006E74BD">
        <w:t xml:space="preserve">cumulative </w:t>
      </w:r>
      <w:r w:rsidR="00E36EB4">
        <w:t>death rates for Sweden remain markedly higher than in its immediate neighbour</w:t>
      </w:r>
      <w:r w:rsidR="003E4883">
        <w:t>s</w:t>
      </w:r>
      <w:r w:rsidR="00BF63A2">
        <w:t>,</w:t>
      </w:r>
      <w:r w:rsidR="00E36EB4">
        <w:t xml:space="preserve"> they are not very different from European averages.</w:t>
      </w:r>
      <w:r w:rsidR="00B8013F">
        <w:t xml:space="preserve"> </w:t>
      </w:r>
      <w:r w:rsidR="00B52055">
        <w:t>C</w:t>
      </w:r>
      <w:r w:rsidR="00B8013F">
        <w:t xml:space="preserve">ases of new infections </w:t>
      </w:r>
      <w:r w:rsidR="00F64300">
        <w:t xml:space="preserve">in </w:t>
      </w:r>
      <w:r w:rsidR="00BF63A2">
        <w:t xml:space="preserve">Sweden </w:t>
      </w:r>
      <w:r w:rsidR="00CB2698">
        <w:t xml:space="preserve">during </w:t>
      </w:r>
      <w:r w:rsidR="00F64300">
        <w:t xml:space="preserve">June </w:t>
      </w:r>
      <w:r w:rsidR="00BF63A2">
        <w:t xml:space="preserve">2020 </w:t>
      </w:r>
      <w:r w:rsidR="00F64300">
        <w:t>did</w:t>
      </w:r>
      <w:r w:rsidR="00B52055">
        <w:t>, however,</w:t>
      </w:r>
      <w:r w:rsidR="00F64300">
        <w:t xml:space="preserve"> move higher </w:t>
      </w:r>
      <w:r w:rsidR="00B8013F">
        <w:t xml:space="preserve">unlike in most other European countries where they </w:t>
      </w:r>
      <w:r w:rsidR="00B52055">
        <w:t>c</w:t>
      </w:r>
      <w:r w:rsidR="00B8013F">
        <w:t>ontinued to decline even as lockdowns have begun to be eased.</w:t>
      </w:r>
    </w:p>
    <w:p w14:paraId="544BC69B" w14:textId="7442137B" w:rsidR="00761093" w:rsidRDefault="009F6C0A" w:rsidP="00935B69">
      <w:r>
        <w:t xml:space="preserve">There is some, limited, evidence that looser restrictions in Sweden have meant a lower hit to economic activity.  </w:t>
      </w:r>
      <w:r w:rsidR="00761093">
        <w:t xml:space="preserve">A recent study by J P Morgan </w:t>
      </w:r>
      <w:r w:rsidR="00E71001">
        <w:t>(</w:t>
      </w:r>
      <w:r w:rsidR="00EA3AB4">
        <w:t xml:space="preserve">J P Morgan </w:t>
      </w:r>
      <w:r w:rsidR="00E71001">
        <w:t xml:space="preserve">2020) notes the stark contrast between the relative health experience of Sweden </w:t>
      </w:r>
      <w:r w:rsidR="00EA3AB4">
        <w:t xml:space="preserve">with </w:t>
      </w:r>
      <w:r w:rsidR="00E71001">
        <w:t xml:space="preserve">its immediate neighbours in Denmark and Norway (much worse) and with the UK (significantly better). That report also estimates that the economic performance has up to June 2020 been somewhat better than Denmark and Norway and markedly better than the UK. They estimate that the Swedish economy has benefitted by around 6.7% of GDP relative to following the UK profile and by 2% and 1.4% relative to the Danish and Norwegian profiles respectively. </w:t>
      </w:r>
    </w:p>
    <w:p w14:paraId="5D5CD135" w14:textId="77777777" w:rsidR="009F6C0A" w:rsidRDefault="009F6C0A" w:rsidP="009F6C0A">
      <w:r>
        <w:lastRenderedPageBreak/>
        <w:t xml:space="preserve">Krueger, Uhlig and </w:t>
      </w:r>
      <w:proofErr w:type="spellStart"/>
      <w:r>
        <w:t>Xie</w:t>
      </w:r>
      <w:proofErr w:type="spellEnd"/>
      <w:r>
        <w:t xml:space="preserve"> (2020) assess how economies might have evolved during the pandemic with few government restrictions. They conclude:</w:t>
      </w:r>
    </w:p>
    <w:p w14:paraId="4CD2C3B5" w14:textId="77777777" w:rsidR="009F6C0A" w:rsidRDefault="009F6C0A" w:rsidP="009F6C0A">
      <w:r>
        <w:t>“One may view our results as the “Swedish” outcome: Sweden has largely avoided government restrictions on economic activity, allowing people to make their own choices. These private incentives and well-functioning labour-and social-insurance markets, we submit, may solve the COVID19-spread on their own, mitigating the decline in economic activity.”</w:t>
      </w:r>
    </w:p>
    <w:p w14:paraId="3B6A23FD" w14:textId="77777777" w:rsidR="00BF63A2" w:rsidRDefault="00BF63A2" w:rsidP="00935B69">
      <w:pPr>
        <w:rPr>
          <w:i/>
        </w:rPr>
      </w:pPr>
    </w:p>
    <w:p w14:paraId="0E2DC38B" w14:textId="0B1BECBC" w:rsidR="00B8013F" w:rsidRPr="00B8013F" w:rsidRDefault="00B8013F" w:rsidP="00935B69">
      <w:pPr>
        <w:rPr>
          <w:i/>
        </w:rPr>
      </w:pPr>
      <w:r w:rsidRPr="00B8013F">
        <w:rPr>
          <w:i/>
        </w:rPr>
        <w:t>How effective was the lockdown</w:t>
      </w:r>
      <w:r w:rsidR="00EF0723">
        <w:rPr>
          <w:i/>
        </w:rPr>
        <w:t xml:space="preserve"> in the UK</w:t>
      </w:r>
      <w:r w:rsidRPr="00B8013F">
        <w:rPr>
          <w:i/>
        </w:rPr>
        <w:t>?</w:t>
      </w:r>
    </w:p>
    <w:p w14:paraId="0B17F095" w14:textId="2554F5E8" w:rsidR="00AA1E11" w:rsidRDefault="00C667CF" w:rsidP="005871AF">
      <w:r>
        <w:t xml:space="preserve">There </w:t>
      </w:r>
      <w:r w:rsidR="00FB35FE">
        <w:t xml:space="preserve">is contradictory evidence on the effectiveness of the </w:t>
      </w:r>
      <w:r w:rsidR="00B36396">
        <w:t>three</w:t>
      </w:r>
      <w:r w:rsidR="00355CD2">
        <w:t>-</w:t>
      </w:r>
      <w:r w:rsidR="00B36396">
        <w:t xml:space="preserve">month </w:t>
      </w:r>
      <w:r w:rsidR="00FB35FE">
        <w:t>lockdown strategy</w:t>
      </w:r>
      <w:r w:rsidR="00B36396">
        <w:t xml:space="preserve"> in the UK</w:t>
      </w:r>
      <w:r w:rsidR="00FB35FE">
        <w:t>. I</w:t>
      </w:r>
      <w:r w:rsidR="00B36396">
        <w:t>t</w:t>
      </w:r>
      <w:r w:rsidR="00FB35FE">
        <w:t xml:space="preserve"> is </w:t>
      </w:r>
      <w:r w:rsidR="00E41756">
        <w:t xml:space="preserve">hard to be sure of the </w:t>
      </w:r>
      <w:r w:rsidR="00B36396">
        <w:t xml:space="preserve">precise </w:t>
      </w:r>
      <w:r w:rsidR="00E41756">
        <w:t xml:space="preserve">scale of </w:t>
      </w:r>
      <w:r w:rsidR="00B36396">
        <w:t xml:space="preserve">the health </w:t>
      </w:r>
      <w:r w:rsidR="00E41756">
        <w:t xml:space="preserve">benefits: they range from </w:t>
      </w:r>
      <w:r w:rsidR="00B8013F">
        <w:t xml:space="preserve">very few </w:t>
      </w:r>
      <w:r w:rsidR="00E41756">
        <w:t>lives saved to a high of perhaps 450,000</w:t>
      </w:r>
      <w:r w:rsidR="00FB35FE">
        <w:t xml:space="preserve"> </w:t>
      </w:r>
      <w:r w:rsidR="009413BB">
        <w:t xml:space="preserve">lives saved </w:t>
      </w:r>
      <w:r w:rsidR="00FB35FE">
        <w:t>(that is the dif</w:t>
      </w:r>
      <w:r w:rsidR="009413BB">
        <w:t>f</w:t>
      </w:r>
      <w:r w:rsidR="00FB35FE">
        <w:t>erence between the 500,000 or so deaths projected by Ferguson et al (2020) on the bas</w:t>
      </w:r>
      <w:r w:rsidR="009413BB">
        <w:t>is</w:t>
      </w:r>
      <w:r w:rsidR="00FB35FE">
        <w:t xml:space="preserve"> of no change in behaviour and the 50,000 or so deaths that might have resulted in the UK by </w:t>
      </w:r>
      <w:r w:rsidR="00611E55">
        <w:t xml:space="preserve">early </w:t>
      </w:r>
      <w:r w:rsidR="00FB35FE">
        <w:t>June 2020)</w:t>
      </w:r>
      <w:r w:rsidR="00E41756">
        <w:t xml:space="preserve">. </w:t>
      </w:r>
      <w:r w:rsidR="0095233D">
        <w:t xml:space="preserve">Figures for lives saved in the UK at </w:t>
      </w:r>
      <w:r w:rsidR="00B36396">
        <w:t>the extreme ends of</w:t>
      </w:r>
      <w:r w:rsidR="0095233D">
        <w:t xml:space="preserve"> that spectrum (near zero or as high as 450,000) seem implausible.</w:t>
      </w:r>
    </w:p>
    <w:p w14:paraId="5AD57A14" w14:textId="5F93D005" w:rsidR="00DB2C02" w:rsidRDefault="00DB2C02" w:rsidP="00DB2C02">
      <w:r>
        <w:t>T</w:t>
      </w:r>
      <w:r w:rsidRPr="00556DD4">
        <w:t xml:space="preserve">he fall in deaths soon after lockdowns is </w:t>
      </w:r>
      <w:r>
        <w:t xml:space="preserve">so </w:t>
      </w:r>
      <w:r w:rsidRPr="00556DD4">
        <w:t xml:space="preserve">clear across many countries that </w:t>
      </w:r>
      <w:r>
        <w:t xml:space="preserve">it is very </w:t>
      </w:r>
      <w:r w:rsidRPr="00556DD4">
        <w:t xml:space="preserve">unlikely that those severe restrictions had no significant impact at all on lives lost. </w:t>
      </w:r>
      <w:r>
        <w:t>Deb et al (2020, b) find significant impacts of severe restrictions on new cases of the infection. The chances that such a sharp slowing in new infections should consistently have happened across countries some weeks after the most severe restrictions was introduced, yet not be partly a result of them, seems negligible.</w:t>
      </w:r>
    </w:p>
    <w:p w14:paraId="54462109" w14:textId="5CFE39C2" w:rsidR="00B8013F" w:rsidRDefault="00DB2C02" w:rsidP="005871AF">
      <w:r>
        <w:t>But t</w:t>
      </w:r>
      <w:r w:rsidR="00B8013F">
        <w:t xml:space="preserve">here are </w:t>
      </w:r>
      <w:r>
        <w:t xml:space="preserve">also </w:t>
      </w:r>
      <w:r w:rsidR="00B8013F">
        <w:t>reasons to be s</w:t>
      </w:r>
      <w:r w:rsidR="00E41756">
        <w:t>ceptical of figures at the high end of that scale</w:t>
      </w:r>
      <w:r w:rsidR="00B8013F">
        <w:t xml:space="preserve"> which puts the saving of lives from the lockdown </w:t>
      </w:r>
      <w:r>
        <w:t xml:space="preserve">in the UK </w:t>
      </w:r>
      <w:r w:rsidR="00B8013F">
        <w:t xml:space="preserve">at several </w:t>
      </w:r>
      <w:r w:rsidR="00E41756">
        <w:t>hundreds of thousands</w:t>
      </w:r>
      <w:r w:rsidR="00B8013F">
        <w:t>:</w:t>
      </w:r>
    </w:p>
    <w:p w14:paraId="4D11B2F8" w14:textId="4ECED46D" w:rsidR="00B8013F" w:rsidRDefault="00593068" w:rsidP="00B8013F">
      <w:pPr>
        <w:pStyle w:val="ListParagraph"/>
        <w:numPr>
          <w:ilvl w:val="0"/>
          <w:numId w:val="5"/>
        </w:numPr>
      </w:pPr>
      <w:r>
        <w:t>the</w:t>
      </w:r>
      <w:r w:rsidR="00E41756">
        <w:t xml:space="preserve"> low cost </w:t>
      </w:r>
      <w:r w:rsidR="00AA1E11">
        <w:t xml:space="preserve">of </w:t>
      </w:r>
      <w:r>
        <w:t xml:space="preserve">effective forms of </w:t>
      </w:r>
      <w:r w:rsidR="00E41756">
        <w:t xml:space="preserve">behavioural change </w:t>
      </w:r>
      <w:r w:rsidR="00611E55">
        <w:t>(washing hands, avoiding crowds</w:t>
      </w:r>
      <w:r w:rsidR="00B36396">
        <w:t>, staying home if you have symptoms</w:t>
      </w:r>
      <w:r w:rsidR="00611E55">
        <w:t xml:space="preserve">) </w:t>
      </w:r>
      <w:r w:rsidR="009413BB">
        <w:t xml:space="preserve">adopted by individuals </w:t>
      </w:r>
      <w:r w:rsidR="00B8013F">
        <w:t xml:space="preserve">makes it </w:t>
      </w:r>
      <w:r w:rsidR="00355BB9">
        <w:t xml:space="preserve">rather </w:t>
      </w:r>
      <w:r w:rsidR="00E41756">
        <w:t xml:space="preserve">unlikely </w:t>
      </w:r>
      <w:r w:rsidR="00B8013F">
        <w:t>th</w:t>
      </w:r>
      <w:r w:rsidR="00611E55">
        <w:t xml:space="preserve">at in </w:t>
      </w:r>
      <w:r w:rsidR="00B8013F">
        <w:t xml:space="preserve">the UK </w:t>
      </w:r>
      <w:r w:rsidR="00611E55">
        <w:t xml:space="preserve">there would </w:t>
      </w:r>
      <w:r w:rsidR="00F12629">
        <w:t>have s</w:t>
      </w:r>
      <w:r w:rsidR="00B8013F">
        <w:t xml:space="preserve">een </w:t>
      </w:r>
      <w:r w:rsidR="009413BB">
        <w:t xml:space="preserve">500,000 deaths even </w:t>
      </w:r>
      <w:r w:rsidR="00E41756">
        <w:t xml:space="preserve">with no </w:t>
      </w:r>
      <w:r w:rsidR="009413BB">
        <w:t xml:space="preserve">government </w:t>
      </w:r>
      <w:r w:rsidR="00E41756">
        <w:t xml:space="preserve">restrictions; </w:t>
      </w:r>
      <w:r w:rsidR="00F12629">
        <w:t xml:space="preserve">the 500,000 </w:t>
      </w:r>
      <w:proofErr w:type="gramStart"/>
      <w:r w:rsidR="00F12629">
        <w:t>figure</w:t>
      </w:r>
      <w:proofErr w:type="gramEnd"/>
      <w:r w:rsidR="00F12629">
        <w:t xml:space="preserve"> from Ferguson et al (2020) was based on an assumption of no change </w:t>
      </w:r>
      <w:r w:rsidR="00DB2C02">
        <w:t xml:space="preserve">at all </w:t>
      </w:r>
      <w:r w:rsidR="00F12629">
        <w:t xml:space="preserve">in individual behaviour </w:t>
      </w:r>
    </w:p>
    <w:p w14:paraId="2C36F08E" w14:textId="7B94895A" w:rsidR="00B8013F" w:rsidRDefault="00E41756" w:rsidP="00B8013F">
      <w:pPr>
        <w:pStyle w:val="ListParagraph"/>
        <w:numPr>
          <w:ilvl w:val="0"/>
          <w:numId w:val="5"/>
        </w:numPr>
      </w:pPr>
      <w:r>
        <w:t xml:space="preserve">the evidence of a turn in the curve </w:t>
      </w:r>
      <w:r w:rsidR="00E36EB4">
        <w:t xml:space="preserve">before lockdowns are likely to have </w:t>
      </w:r>
      <w:r w:rsidR="00D15BC9">
        <w:t xml:space="preserve">had </w:t>
      </w:r>
      <w:r w:rsidR="00E36EB4">
        <w:t xml:space="preserve">much effect </w:t>
      </w:r>
      <w:r>
        <w:t xml:space="preserve">is </w:t>
      </w:r>
      <w:r w:rsidR="00B36396">
        <w:t xml:space="preserve">much </w:t>
      </w:r>
      <w:r w:rsidR="00355BB9">
        <w:t xml:space="preserve">disputed but </w:t>
      </w:r>
      <w:r>
        <w:t xml:space="preserve">not easily dismissed; </w:t>
      </w:r>
    </w:p>
    <w:p w14:paraId="67BF5838" w14:textId="6A8965D1" w:rsidR="00B8013F" w:rsidRDefault="00E41756" w:rsidP="00B8013F">
      <w:pPr>
        <w:pStyle w:val="ListParagraph"/>
        <w:numPr>
          <w:ilvl w:val="0"/>
          <w:numId w:val="5"/>
        </w:numPr>
      </w:pPr>
      <w:r>
        <w:t xml:space="preserve">even if lockdowns stopped such huge numbers </w:t>
      </w:r>
      <w:r w:rsidR="009413BB">
        <w:t xml:space="preserve">of deaths </w:t>
      </w:r>
      <w:r>
        <w:t xml:space="preserve">over the period March-June </w:t>
      </w:r>
      <w:r w:rsidR="00F12629">
        <w:t xml:space="preserve">2020 </w:t>
      </w:r>
      <w:r>
        <w:t xml:space="preserve">they </w:t>
      </w:r>
      <w:r w:rsidR="00355BB9">
        <w:t xml:space="preserve">may </w:t>
      </w:r>
      <w:r>
        <w:t xml:space="preserve">not </w:t>
      </w:r>
      <w:r w:rsidR="00355BB9">
        <w:t xml:space="preserve">have </w:t>
      </w:r>
      <w:r w:rsidR="009413BB">
        <w:t xml:space="preserve">permanently </w:t>
      </w:r>
      <w:r>
        <w:t xml:space="preserve">stopped them happening </w:t>
      </w:r>
      <w:r w:rsidR="009413BB" w:rsidRPr="00B8013F">
        <w:rPr>
          <w:i/>
        </w:rPr>
        <w:t>if</w:t>
      </w:r>
      <w:r w:rsidR="009413BB" w:rsidRPr="009413BB">
        <w:t xml:space="preserve"> </w:t>
      </w:r>
      <w:r>
        <w:t xml:space="preserve">wider immunity has not significantly risen </w:t>
      </w:r>
      <w:r w:rsidR="009413BB">
        <w:t xml:space="preserve">so that </w:t>
      </w:r>
      <w:r>
        <w:t xml:space="preserve">any </w:t>
      </w:r>
      <w:r w:rsidR="009413BB">
        <w:t>s</w:t>
      </w:r>
      <w:r w:rsidR="00611E55">
        <w:t xml:space="preserve">ubstantial </w:t>
      </w:r>
      <w:r>
        <w:t>easing of restrictions will just bring them back</w:t>
      </w:r>
    </w:p>
    <w:p w14:paraId="088B3F45" w14:textId="0B771BD0" w:rsidR="00D15BC9" w:rsidRDefault="00B8013F" w:rsidP="00C757CF">
      <w:pPr>
        <w:pStyle w:val="ListParagraph"/>
        <w:numPr>
          <w:ilvl w:val="0"/>
          <w:numId w:val="5"/>
        </w:numPr>
      </w:pPr>
      <w:r>
        <w:t>in</w:t>
      </w:r>
      <w:r w:rsidR="005871AF">
        <w:t xml:space="preserve"> </w:t>
      </w:r>
      <w:r w:rsidR="0095233D">
        <w:t xml:space="preserve">the UK  </w:t>
      </w:r>
      <w:r w:rsidR="005871AF">
        <w:t xml:space="preserve">deaths were concentrated in care homes </w:t>
      </w:r>
      <w:r w:rsidR="00B52055">
        <w:t xml:space="preserve">for the elderly </w:t>
      </w:r>
      <w:r w:rsidR="005871AF">
        <w:t>and have been disproportionately among</w:t>
      </w:r>
      <w:r w:rsidR="00B52055">
        <w:t xml:space="preserve"> older people </w:t>
      </w:r>
      <w:r>
        <w:t xml:space="preserve">so </w:t>
      </w:r>
      <w:r w:rsidR="005871AF">
        <w:t xml:space="preserve">a blanket lockdown (“don’t leave home”) may have been inefficient – it generated </w:t>
      </w:r>
      <w:r w:rsidR="00355BB9">
        <w:t xml:space="preserve">substantial </w:t>
      </w:r>
      <w:r w:rsidR="005871AF">
        <w:t xml:space="preserve">costs (see below) and </w:t>
      </w:r>
      <w:r>
        <w:t xml:space="preserve">may have </w:t>
      </w:r>
      <w:r w:rsidR="005871AF">
        <w:t>yielded limited health benefits over and above what might have been achieved with measures which focused on groups most at risk</w:t>
      </w:r>
      <w:r w:rsidR="009413BB">
        <w:t>.</w:t>
      </w:r>
    </w:p>
    <w:p w14:paraId="7372C051" w14:textId="77777777" w:rsidR="00D02B5A" w:rsidRPr="00556DD4" w:rsidRDefault="00D02B5A" w:rsidP="00D02B5A">
      <w:pPr>
        <w:pStyle w:val="ListParagraph"/>
        <w:ind w:left="360"/>
      </w:pPr>
    </w:p>
    <w:p w14:paraId="5B182695" w14:textId="7566EC7C" w:rsidR="00C757CF" w:rsidRDefault="00C757CF" w:rsidP="00C757CF">
      <w:r w:rsidRPr="00C757CF">
        <w:rPr>
          <w:b/>
        </w:rPr>
        <w:t xml:space="preserve">Section </w:t>
      </w:r>
      <w:r w:rsidR="00FB35FE">
        <w:rPr>
          <w:b/>
        </w:rPr>
        <w:t>4</w:t>
      </w:r>
      <w:r w:rsidRPr="00C757CF">
        <w:rPr>
          <w:b/>
        </w:rPr>
        <w:t xml:space="preserve">: </w:t>
      </w:r>
      <w:r w:rsidR="009413BB">
        <w:rPr>
          <w:b/>
        </w:rPr>
        <w:t>The costs of lockdowns</w:t>
      </w:r>
      <w:r w:rsidR="00E41756">
        <w:t xml:space="preserve"> </w:t>
      </w:r>
    </w:p>
    <w:p w14:paraId="4A260298" w14:textId="25D7483A" w:rsidR="00560952" w:rsidRDefault="00430AFE" w:rsidP="00C2088D">
      <w:r>
        <w:t>Measurement issues for the costs of lockdowns are different f</w:t>
      </w:r>
      <w:r w:rsidR="002C04DF">
        <w:t>r</w:t>
      </w:r>
      <w:r>
        <w:t xml:space="preserve">om those that </w:t>
      </w:r>
      <w:r w:rsidR="002C04DF">
        <w:t xml:space="preserve">make the assessment of the benefits difficult, but they are also significant. While </w:t>
      </w:r>
      <w:r w:rsidR="00C2088D">
        <w:t xml:space="preserve">some of the costs are </w:t>
      </w:r>
      <w:r w:rsidR="00355BB9">
        <w:t xml:space="preserve">fairly </w:t>
      </w:r>
      <w:r w:rsidR="00C2088D">
        <w:t>clear and immediate (GDP</w:t>
      </w:r>
      <w:r w:rsidR="002C04DF">
        <w:t xml:space="preserve"> is lower</w:t>
      </w:r>
      <w:r w:rsidR="00C2088D">
        <w:t xml:space="preserve">, </w:t>
      </w:r>
      <w:r w:rsidR="002C04DF">
        <w:t xml:space="preserve">the </w:t>
      </w:r>
      <w:r w:rsidR="00C2088D">
        <w:t>fiscal deficit</w:t>
      </w:r>
      <w:r w:rsidR="002C04DF">
        <w:t xml:space="preserve"> is higher</w:t>
      </w:r>
      <w:r w:rsidR="00C2088D">
        <w:t>, unemployment</w:t>
      </w:r>
      <w:r w:rsidR="002C04DF">
        <w:t xml:space="preserve"> has risen a great deal</w:t>
      </w:r>
      <w:r w:rsidR="00C2088D">
        <w:t xml:space="preserve">) even </w:t>
      </w:r>
      <w:r w:rsidR="00136210">
        <w:t>here it is not straightforward</w:t>
      </w:r>
      <w:r w:rsidR="00C2088D">
        <w:t xml:space="preserve"> to judge </w:t>
      </w:r>
      <w:r w:rsidR="002C04DF">
        <w:t xml:space="preserve">their true scale </w:t>
      </w:r>
      <w:r w:rsidR="00B66D4C">
        <w:t xml:space="preserve">of cost </w:t>
      </w:r>
      <w:r w:rsidR="00C2088D">
        <w:t xml:space="preserve">because of two </w:t>
      </w:r>
      <w:r w:rsidR="002C04DF">
        <w:t>issues</w:t>
      </w:r>
      <w:r w:rsidR="00C2088D">
        <w:t>: a. how permanent will the losses be? b. how great would such problems have been even with no lockdown</w:t>
      </w:r>
      <w:r w:rsidR="00B66D4C">
        <w:t>?</w:t>
      </w:r>
      <w:r w:rsidR="00C2088D">
        <w:t xml:space="preserve"> </w:t>
      </w:r>
      <w:r w:rsidR="00A94E35">
        <w:t xml:space="preserve">Costs </w:t>
      </w:r>
      <w:r w:rsidR="00A94E35">
        <w:lastRenderedPageBreak/>
        <w:t xml:space="preserve">which will come further down the road because of disruption to healthcare and to education are harder again to measure relative to the more immediate effects on economic production and employment. </w:t>
      </w:r>
    </w:p>
    <w:p w14:paraId="2FAD2334" w14:textId="32D292D4" w:rsidR="00611E55" w:rsidRDefault="008F2B31" w:rsidP="00611E55">
      <w:r>
        <w:t xml:space="preserve">A great deal of </w:t>
      </w:r>
      <w:r w:rsidR="00A94E35">
        <w:t xml:space="preserve">evidence is already emerging on the (narrow) economic impacts of restrictions. </w:t>
      </w:r>
      <w:r w:rsidR="00C2088D">
        <w:t>Estimates made by Deb et al (2020</w:t>
      </w:r>
      <w:r w:rsidR="007F3405">
        <w:t>, a</w:t>
      </w:r>
      <w:r w:rsidR="00C2088D">
        <w:t xml:space="preserve">) to identify the </w:t>
      </w:r>
      <w:proofErr w:type="gramStart"/>
      <w:r w:rsidR="00C2088D">
        <w:t>particular effect</w:t>
      </w:r>
      <w:proofErr w:type="gramEnd"/>
      <w:r w:rsidR="00C2088D">
        <w:t xml:space="preserve"> of restrictive policies (lockdown) suggest that they reduced economic activity by 15% in the 30 days after they were adopted.  They find that stay-at-home requirements and workplace closures are the costliest in economic terms. </w:t>
      </w:r>
      <w:r w:rsidR="00407CBA">
        <w:t xml:space="preserve">Preliminary estimates from the UK Office for National Statistics showed a slightly more than 20% fall in GDP in April 2020, the first full month after the lockdown. </w:t>
      </w:r>
      <w:proofErr w:type="spellStart"/>
      <w:r w:rsidR="00611E55">
        <w:t>Bonadio</w:t>
      </w:r>
      <w:proofErr w:type="spellEnd"/>
      <w:r w:rsidR="00611E55">
        <w:t xml:space="preserve"> et al (2020) put the impact on output and incomes (i.e. GDP) of policies to counter the spread of the infection on GDP averaged across 64 countries even higher, at around 30%. </w:t>
      </w:r>
    </w:p>
    <w:p w14:paraId="3D7DC0BF" w14:textId="0151E078" w:rsidR="00C2088D" w:rsidRDefault="002C04DF" w:rsidP="00C2088D">
      <w:proofErr w:type="spellStart"/>
      <w:r>
        <w:t>Aum</w:t>
      </w:r>
      <w:proofErr w:type="spellEnd"/>
      <w:r>
        <w:t xml:space="preserve"> et al (2020) estimate that around one half of all job losses in the UK and US can be attributed to lockdowns. </w:t>
      </w:r>
      <w:proofErr w:type="spellStart"/>
      <w:r w:rsidR="00C2088D">
        <w:t>Coibion</w:t>
      </w:r>
      <w:proofErr w:type="spellEnd"/>
      <w:r w:rsidR="00C2088D">
        <w:t xml:space="preserve"> et al (2020, a) estimate that there were 20 million lost jobs in the US by April 8</w:t>
      </w:r>
      <w:r w:rsidR="00C2088D" w:rsidRPr="00C2088D">
        <w:rPr>
          <w:vertAlign w:val="superscript"/>
        </w:rPr>
        <w:t>th</w:t>
      </w:r>
      <w:r w:rsidR="00C2088D">
        <w:t xml:space="preserve"> triggered overwhelmingly by government restrictions, far more than jobs lost over the entire Great Recession. </w:t>
      </w:r>
      <w:r w:rsidR="00136210">
        <w:t>Furthermore</w:t>
      </w:r>
      <w:r w:rsidR="00C2088D">
        <w:t xml:space="preserve">, many of those losing jobs </w:t>
      </w:r>
      <w:r w:rsidR="00136210">
        <w:t xml:space="preserve">were </w:t>
      </w:r>
      <w:r w:rsidR="00C2088D">
        <w:t>not actively looking to find new ones.</w:t>
      </w:r>
      <w:r w:rsidR="00C2088D" w:rsidRPr="00742C3F">
        <w:t xml:space="preserve"> </w:t>
      </w:r>
      <w:r w:rsidR="00136210">
        <w:t>P</w:t>
      </w:r>
      <w:r w:rsidR="00C2088D">
        <w:t xml:space="preserve">articipation in the labour force declined by 7 percentage points, an unparalleled fall that dwarfs the </w:t>
      </w:r>
      <w:proofErr w:type="gramStart"/>
      <w:r w:rsidR="00C2088D">
        <w:t>three</w:t>
      </w:r>
      <w:r w:rsidR="00A94E35">
        <w:t xml:space="preserve"> </w:t>
      </w:r>
      <w:r w:rsidR="008F2B31">
        <w:t>p</w:t>
      </w:r>
      <w:r w:rsidR="00C2088D">
        <w:t>ercentage</w:t>
      </w:r>
      <w:proofErr w:type="gramEnd"/>
      <w:r w:rsidR="00C2088D">
        <w:t xml:space="preserve"> point cumulative decline that occurred from 2008 to 2016</w:t>
      </w:r>
      <w:r w:rsidR="00B52055">
        <w:t xml:space="preserve"> after the financial crisis</w:t>
      </w:r>
      <w:r w:rsidR="00C2088D">
        <w:t>. In a related paper the same authors undertake surveys of behaviour and economic outcomes across US regions with different degrees of restrictions. They conclude:</w:t>
      </w:r>
    </w:p>
    <w:p w14:paraId="01334541" w14:textId="77777777" w:rsidR="00C2088D" w:rsidRDefault="00C2088D" w:rsidP="00825CC8">
      <w:pPr>
        <w:pStyle w:val="ListParagraph"/>
        <w:ind w:left="0"/>
      </w:pPr>
      <w:r w:rsidRPr="00825CC8">
        <w:rPr>
          <w:i/>
          <w:iCs/>
        </w:rPr>
        <w:t>“We observe a dramatic decline in employment and consumer spending as well as a bleak outlook for the next few years. Our estimates suggest that this economic catastrophe can be largely accounted by lockdowns.”</w:t>
      </w:r>
      <w:r>
        <w:t xml:space="preserve"> (</w:t>
      </w:r>
      <w:proofErr w:type="spellStart"/>
      <w:r>
        <w:t>Coibion</w:t>
      </w:r>
      <w:proofErr w:type="spellEnd"/>
      <w:r>
        <w:t>, 2020 b)</w:t>
      </w:r>
    </w:p>
    <w:p w14:paraId="2E011A4C" w14:textId="3F389D0D" w:rsidR="005F0502" w:rsidRDefault="005F0502" w:rsidP="005F0502">
      <w:r>
        <w:t xml:space="preserve">Around 9 million people (one quarter of the workforce) have been furloughed in the UK and paid largely by the government. The OBR reported in May that UK net government debt rose by </w:t>
      </w:r>
      <w:r w:rsidR="00626913">
        <w:t xml:space="preserve">over </w:t>
      </w:r>
      <w:r>
        <w:t xml:space="preserve">17 per cent of GDP on a year earlier to </w:t>
      </w:r>
      <w:r w:rsidR="00981BC9">
        <w:t xml:space="preserve">around 100% </w:t>
      </w:r>
      <w:r>
        <w:t>per cent in April. Extra debt issuance is likely to be a</w:t>
      </w:r>
      <w:r w:rsidR="00050840">
        <w:t xml:space="preserve">t least </w:t>
      </w:r>
      <w:r>
        <w:t>10% of GDP in 2020</w:t>
      </w:r>
      <w:r w:rsidR="00981BC9">
        <w:t>;</w:t>
      </w:r>
      <w:r>
        <w:t xml:space="preserve"> the stock of debt </w:t>
      </w:r>
      <w:r w:rsidR="00981BC9">
        <w:t xml:space="preserve">will be well above </w:t>
      </w:r>
      <w:r>
        <w:t xml:space="preserve">100% of GDP </w:t>
      </w:r>
      <w:r w:rsidR="00981BC9">
        <w:t xml:space="preserve">by the end of 2020 </w:t>
      </w:r>
      <w:r>
        <w:t xml:space="preserve">and likely to go higher in 2021. </w:t>
      </w:r>
    </w:p>
    <w:p w14:paraId="76E6E11D" w14:textId="09FF3070" w:rsidR="00851D30" w:rsidRDefault="00851D30" w:rsidP="00851D30">
      <w:r>
        <w:t>For UK the Office for Budget Responsibility (OBR) and the Bank of England estimate that GDP is likely to have fallen by between 25% and 35% in Q2 2020 and by 10-15% in 2020 relative to 2019; unemployment may rise to around 10%. The OBR central estimate, and the illustrative scenario for the Bank of England made in May</w:t>
      </w:r>
      <w:r w:rsidR="00B52055">
        <w:t xml:space="preserve"> 2020</w:t>
      </w:r>
      <w:r>
        <w:t xml:space="preserve">, is that in 2020 UK GDP will be around </w:t>
      </w:r>
      <w:r w:rsidR="00B32CD1">
        <w:t>13-</w:t>
      </w:r>
      <w:r>
        <w:t>14% lower than in 2019. The June O</w:t>
      </w:r>
      <w:r w:rsidR="00B52055">
        <w:t xml:space="preserve">rganisation for Economic Cooperation and Development </w:t>
      </w:r>
      <w:r>
        <w:t>forecast is for a 11.5% decline in UK output in 2020 and for output to remain lower in 2021 than it was in 2019.</w:t>
      </w:r>
    </w:p>
    <w:p w14:paraId="29DE7AD9" w14:textId="111C5D38" w:rsidR="00851D30" w:rsidRDefault="00851D30" w:rsidP="00851D30">
      <w:r>
        <w:t xml:space="preserve">The estimates from the Bank of England and the OBR assume that restrictions are eased after June and that effectively the lockdown is then </w:t>
      </w:r>
      <w:r w:rsidR="00D15BC9">
        <w:t xml:space="preserve">soon </w:t>
      </w:r>
      <w:r>
        <w:t>over; it seems plausible that their estimates of economic cost are therefore estimates of the impact of the lockdown that has been in place in the UK from March to June and not of a continuation of the lockdown into the second half of 2020 and beyond.  The OBR is explicit about this; in describing their forecasts they note: “</w:t>
      </w:r>
      <w:r w:rsidRPr="00F11428">
        <w:rPr>
          <w:rFonts w:ascii="Calibri" w:hAnsi="Calibri" w:cs="Calibri"/>
          <w:color w:val="333333"/>
          <w:shd w:val="clear" w:color="auto" w:fill="FFFFFF"/>
        </w:rPr>
        <w:t>The table below summarises the results of our three-month lockdown scenario where economic activity would gradually return to normal over the subsequent three months.</w:t>
      </w:r>
      <w:r>
        <w:rPr>
          <w:rFonts w:ascii="Arial" w:hAnsi="Arial" w:cs="Arial"/>
          <w:color w:val="333333"/>
          <w:sz w:val="27"/>
          <w:szCs w:val="27"/>
          <w:shd w:val="clear" w:color="auto" w:fill="FFFFFF"/>
        </w:rPr>
        <w:t>” </w:t>
      </w:r>
      <w:r w:rsidRPr="00D01541">
        <w:rPr>
          <w:rFonts w:ascii="Calibri" w:hAnsi="Calibri" w:cs="Calibri"/>
          <w:color w:val="333333"/>
          <w:shd w:val="clear" w:color="auto" w:fill="FFFFFF"/>
        </w:rPr>
        <w:t>The Bank of England in its May economic assessment takes a similar line:</w:t>
      </w:r>
      <w:r>
        <w:rPr>
          <w:rFonts w:ascii="Arial" w:hAnsi="Arial" w:cs="Arial"/>
          <w:color w:val="333333"/>
          <w:sz w:val="27"/>
          <w:szCs w:val="27"/>
          <w:shd w:val="clear" w:color="auto" w:fill="FFFFFF"/>
        </w:rPr>
        <w:t xml:space="preserve"> “</w:t>
      </w:r>
      <w:r>
        <w:t>Underlying the illustrative scenario for both the UK and the rest of the world is an assumption that enforced social distancing measures remain in place until early June and that they are then lifted gradually over the following four months, until the end of Q3”. In th</w:t>
      </w:r>
      <w:r w:rsidR="00D15BC9">
        <w:t>at</w:t>
      </w:r>
      <w:r>
        <w:t xml:space="preserve"> illustrative scenario GDP in 2020 is 14% below the 2019 level (Table 1A, </w:t>
      </w:r>
      <w:r w:rsidR="00D15BC9">
        <w:t xml:space="preserve">Bank of England </w:t>
      </w:r>
      <w:r>
        <w:lastRenderedPageBreak/>
        <w:t>May Monetary Policy Report).</w:t>
      </w:r>
      <w:r w:rsidR="00355BB9">
        <w:t xml:space="preserve"> But it is hard to be sure how these assessments would have been different with much less restrictive policies; economic activity would almost certainly have been lower, at least to some extent.  </w:t>
      </w:r>
    </w:p>
    <w:p w14:paraId="06D24BF0" w14:textId="49C29728" w:rsidR="00C45C9C" w:rsidRPr="00DC7A9D" w:rsidRDefault="00C45C9C" w:rsidP="00C45C9C">
      <w:pPr>
        <w:rPr>
          <w:rFonts w:eastAsia="Times New Roman"/>
        </w:rPr>
      </w:pPr>
      <w:r>
        <w:t xml:space="preserve">Many elements of the cost of the lockdown in the UK are not reflected at all in current incomes, employment and GDP. Health costs – including mental health – are not yet showing up in a measurable </w:t>
      </w:r>
      <w:r w:rsidRPr="00DC7A9D">
        <w:t xml:space="preserve">way. </w:t>
      </w:r>
      <w:r w:rsidR="00DC7A9D" w:rsidRPr="00DC7A9D">
        <w:t xml:space="preserve">They </w:t>
      </w:r>
      <w:r w:rsidRPr="00DC7A9D">
        <w:t>are likely to be large and long lasting</w:t>
      </w:r>
      <w:r w:rsidR="00DC7A9D" w:rsidRPr="00DC7A9D">
        <w:t>. R</w:t>
      </w:r>
      <w:r w:rsidRPr="00DC7A9D">
        <w:t>eferrals for cancer investigations were 70% down in April 2020</w:t>
      </w:r>
      <w:r w:rsidR="00DC7A9D" w:rsidRPr="00DC7A9D">
        <w:rPr>
          <w:rStyle w:val="FootnoteReference"/>
        </w:rPr>
        <w:footnoteReference w:id="6"/>
      </w:r>
      <w:r w:rsidR="00DC7A9D" w:rsidRPr="00DC7A9D">
        <w:t>;</w:t>
      </w:r>
      <w:r w:rsidRPr="00DC7A9D">
        <w:t xml:space="preserve"> there were hardly any follow-up routine appointments for long term conditions in UK Primary Care between mid-March 2020 and the beginning of June 2020</w:t>
      </w:r>
      <w:r w:rsidR="00DC7A9D" w:rsidRPr="00DC7A9D">
        <w:t>;</w:t>
      </w:r>
      <w:r w:rsidRPr="00DC7A9D">
        <w:t xml:space="preserve"> </w:t>
      </w:r>
      <w:r w:rsidR="000364FB">
        <w:t>outpatient seen were 64% down and elective admissions were 75% down</w:t>
      </w:r>
      <w:r w:rsidR="000364FB">
        <w:rPr>
          <w:rStyle w:val="FootnoteReference"/>
        </w:rPr>
        <w:footnoteReference w:id="7"/>
      </w:r>
      <w:r w:rsidR="000364FB">
        <w:t>; attended appointments in General Practice were down 35%</w:t>
      </w:r>
      <w:r w:rsidR="000364FB">
        <w:rPr>
          <w:rStyle w:val="FootnoteReference"/>
        </w:rPr>
        <w:footnoteReference w:id="8"/>
      </w:r>
      <w:r w:rsidR="000364FB">
        <w:t>. T</w:t>
      </w:r>
      <w:r w:rsidRPr="00DC7A9D">
        <w:t xml:space="preserve">he impact of the stress of the ‘Lockdown’ on anyone with a pre-existing mental health condition, let alone the </w:t>
      </w:r>
      <w:proofErr w:type="gramStart"/>
      <w:r w:rsidRPr="00DC7A9D">
        <w:t>population as a whole</w:t>
      </w:r>
      <w:r w:rsidR="00DC7A9D" w:rsidRPr="00DC7A9D">
        <w:t>,</w:t>
      </w:r>
      <w:r w:rsidRPr="00DC7A9D">
        <w:t xml:space="preserve"> is</w:t>
      </w:r>
      <w:proofErr w:type="gramEnd"/>
      <w:r w:rsidRPr="00DC7A9D">
        <w:t xml:space="preserve"> yet to be determined. </w:t>
      </w:r>
    </w:p>
    <w:p w14:paraId="4CB7F5A7" w14:textId="492DC14F" w:rsidR="00C45C9C" w:rsidRDefault="00C3518F" w:rsidP="00C45C9C">
      <w:r>
        <w:t xml:space="preserve">The </w:t>
      </w:r>
      <w:r w:rsidR="00C45C9C" w:rsidRPr="00DC7A9D">
        <w:t>cost from disrupted education of children and students will be felt over a horizon of many years, even decades.</w:t>
      </w:r>
    </w:p>
    <w:p w14:paraId="6BA12972" w14:textId="77777777" w:rsidR="00E1243A" w:rsidRDefault="00E1243A" w:rsidP="00C757CF">
      <w:pPr>
        <w:rPr>
          <w:b/>
        </w:rPr>
      </w:pPr>
    </w:p>
    <w:p w14:paraId="5FF28B4D" w14:textId="3FB3B12F" w:rsidR="00C757CF" w:rsidRPr="00C757CF" w:rsidRDefault="00C757CF" w:rsidP="00C757CF">
      <w:pPr>
        <w:rPr>
          <w:b/>
        </w:rPr>
      </w:pPr>
      <w:r w:rsidRPr="00C757CF">
        <w:rPr>
          <w:b/>
        </w:rPr>
        <w:t xml:space="preserve">Section </w:t>
      </w:r>
      <w:r w:rsidR="00A94E35">
        <w:rPr>
          <w:b/>
        </w:rPr>
        <w:t>5</w:t>
      </w:r>
      <w:r w:rsidRPr="00C757CF">
        <w:rPr>
          <w:b/>
        </w:rPr>
        <w:t xml:space="preserve"> – Bringing costs and benefits together:</w:t>
      </w:r>
    </w:p>
    <w:p w14:paraId="5E6217FB" w14:textId="1CC2794F" w:rsidR="00B370A4" w:rsidRDefault="00E91B11" w:rsidP="00C2088D">
      <w:r>
        <w:t>Bringing together costs and benefits</w:t>
      </w:r>
      <w:r w:rsidR="006F0560">
        <w:t xml:space="preserve"> is necessary </w:t>
      </w:r>
      <w:r w:rsidR="00B370A4">
        <w:t>if good policy</w:t>
      </w:r>
      <w:r w:rsidR="006F0560">
        <w:t xml:space="preserve"> decision</w:t>
      </w:r>
      <w:r w:rsidR="00B370A4">
        <w:t xml:space="preserve"> are to be made</w:t>
      </w:r>
      <w:r w:rsidR="006F0560">
        <w:t xml:space="preserve">. There is no simple way to do this that is clearly ethically </w:t>
      </w:r>
      <w:r w:rsidR="00903009">
        <w:t>justifiable</w:t>
      </w:r>
      <w:r w:rsidR="006F0560">
        <w:t xml:space="preserve">, empirically reliable and widely accepted. But to make no assessment is just to make policy in a vacuum. One approach is to focus on </w:t>
      </w:r>
      <w:r w:rsidR="00B370A4">
        <w:t xml:space="preserve">quality adjusted life years (QALYs) that may have been saved </w:t>
      </w:r>
      <w:proofErr w:type="gramStart"/>
      <w:r w:rsidR="00B370A4">
        <w:t>as a result of</w:t>
      </w:r>
      <w:proofErr w:type="gramEnd"/>
      <w:r w:rsidR="00B370A4">
        <w:t xml:space="preserve"> restrictions </w:t>
      </w:r>
      <w:r w:rsidR="00A94E35">
        <w:t xml:space="preserve">that have been in place in the UK up to </w:t>
      </w:r>
      <w:r w:rsidR="00157DA8">
        <w:t xml:space="preserve">the </w:t>
      </w:r>
      <w:r w:rsidR="00050840">
        <w:t>end of</w:t>
      </w:r>
      <w:r w:rsidR="00157DA8">
        <w:t xml:space="preserve"> </w:t>
      </w:r>
      <w:r w:rsidR="00A94E35">
        <w:t xml:space="preserve">June </w:t>
      </w:r>
      <w:r w:rsidR="00B370A4">
        <w:t xml:space="preserve">and </w:t>
      </w:r>
      <w:r w:rsidR="00903009">
        <w:t>to</w:t>
      </w:r>
      <w:r w:rsidR="00B370A4">
        <w:t xml:space="preserve"> convert that to a metric that can be compared with estimates of the cost </w:t>
      </w:r>
      <w:r w:rsidR="00EE4675">
        <w:t xml:space="preserve">of the </w:t>
      </w:r>
      <w:r w:rsidR="00B370A4">
        <w:t>restrictions. That is the strategy we follow.</w:t>
      </w:r>
      <w:r w:rsidR="00A94E35">
        <w:t xml:space="preserve"> We then go on to make estimates of costs and benefits of alternative ways forward with restrictions eased to different extents. </w:t>
      </w:r>
      <w:r w:rsidR="00B370A4">
        <w:t xml:space="preserve"> </w:t>
      </w:r>
    </w:p>
    <w:p w14:paraId="07F8A885" w14:textId="7EAC120F" w:rsidR="00A81242" w:rsidRDefault="00753B22" w:rsidP="00C2088D">
      <w:r>
        <w:t xml:space="preserve">We make use of the guidelines established </w:t>
      </w:r>
      <w:r w:rsidR="00B14D97">
        <w:t xml:space="preserve">in the UK </w:t>
      </w:r>
      <w:r>
        <w:t>by the</w:t>
      </w:r>
      <w:r w:rsidR="00C4533E">
        <w:t xml:space="preserve"> </w:t>
      </w:r>
      <w:r>
        <w:t xml:space="preserve">National Institute for Health and Care Excellence (NICE) for the use of resources in </w:t>
      </w:r>
      <w:r w:rsidR="00EE4675">
        <w:t xml:space="preserve">the </w:t>
      </w:r>
      <w:r>
        <w:t xml:space="preserve">UK health system (see NICE (2013)). </w:t>
      </w:r>
      <w:r w:rsidR="005F1247">
        <w:t>The</w:t>
      </w:r>
      <w:r>
        <w:t>s</w:t>
      </w:r>
      <w:r w:rsidR="005F1247">
        <w:t>e are guidelines ap</w:t>
      </w:r>
      <w:r w:rsidR="00A81242">
        <w:t>pl</w:t>
      </w:r>
      <w:r w:rsidR="005F1247">
        <w:t>ied to resource dec</w:t>
      </w:r>
      <w:r w:rsidR="00A81242">
        <w:t>i</w:t>
      </w:r>
      <w:r w:rsidR="005F1247">
        <w:t xml:space="preserve">sions that </w:t>
      </w:r>
      <w:r w:rsidR="00A81242">
        <w:t xml:space="preserve">have a direct impact on lives saved. It is hard to see how you could run a </w:t>
      </w:r>
      <w:r w:rsidR="00EE4675">
        <w:t xml:space="preserve">public </w:t>
      </w:r>
      <w:r w:rsidR="00A81242">
        <w:t xml:space="preserve">health care system without such rules. The guidelines in the UK set out by NICE are that treatments that are expected to increase life expectancy for a patient by one year (in quality of life adjusted </w:t>
      </w:r>
      <w:r w:rsidR="000E3E89">
        <w:t xml:space="preserve">years, </w:t>
      </w:r>
      <w:r w:rsidR="000262C0">
        <w:t>QALYs</w:t>
      </w:r>
      <w:r w:rsidR="00A81242">
        <w:t xml:space="preserve">) should cost no more than £30,000. </w:t>
      </w:r>
      <w:r w:rsidR="00B370A4">
        <w:t xml:space="preserve">We apply that figure to possible total numbers of QALYs saved by restrictions to estimate their benefit.  </w:t>
      </w:r>
      <w:r w:rsidR="00157DA8">
        <w:t xml:space="preserve">We also assess the sensitivity of results to using much higher figures for the value of potential extra years of life. </w:t>
      </w:r>
    </w:p>
    <w:p w14:paraId="1F7A4FD2" w14:textId="2EA63374" w:rsidR="008F4CC0" w:rsidRDefault="00593068" w:rsidP="00C2088D">
      <w:r>
        <w:t xml:space="preserve">To implement </w:t>
      </w:r>
      <w:proofErr w:type="gramStart"/>
      <w:r>
        <w:t>this</w:t>
      </w:r>
      <w:proofErr w:type="gramEnd"/>
      <w:r>
        <w:t xml:space="preserve"> we need to assess how many likely extra years of good life might be enjoyed by the people who would have died but for </w:t>
      </w:r>
      <w:r w:rsidR="00B14D97">
        <w:t>a</w:t>
      </w:r>
      <w:r>
        <w:t xml:space="preserve"> lockdown. We assume that the age and health of those who would have died is </w:t>
      </w:r>
      <w:proofErr w:type="gramStart"/>
      <w:r>
        <w:t>similar to</w:t>
      </w:r>
      <w:proofErr w:type="gramEnd"/>
      <w:r>
        <w:t xml:space="preserve"> that of those who have died with the virus. </w:t>
      </w:r>
    </w:p>
    <w:p w14:paraId="651B192D" w14:textId="1051678B" w:rsidR="00593068" w:rsidRPr="00593068" w:rsidRDefault="00593068" w:rsidP="00593068">
      <w:r w:rsidRPr="00593068">
        <w:t>The Office for National Statistics (ONS) have been publishing each week the number of deaths where COVID</w:t>
      </w:r>
      <w:r w:rsidR="000262C0">
        <w:t>-</w:t>
      </w:r>
      <w:r w:rsidRPr="00593068">
        <w:t>19 has been recorded as a possible cause by quinary age and gender. In total up to week ending 22 May this was 43,694 in England and Wales</w:t>
      </w:r>
      <w:r w:rsidR="002608AC">
        <w:t>. (</w:t>
      </w:r>
      <w:r w:rsidRPr="00593068">
        <w:t xml:space="preserve">This total is 21% below the excess all causes </w:t>
      </w:r>
      <w:r w:rsidRPr="00593068">
        <w:lastRenderedPageBreak/>
        <w:t>deaths figure of 55,504 up</w:t>
      </w:r>
      <w:r w:rsidR="00593681">
        <w:t xml:space="preserve"> </w:t>
      </w:r>
      <w:r w:rsidRPr="00593068">
        <w:t>to w/e 24</w:t>
      </w:r>
      <w:r w:rsidRPr="00593068">
        <w:rPr>
          <w:vertAlign w:val="superscript"/>
        </w:rPr>
        <w:t>th</w:t>
      </w:r>
      <w:r w:rsidRPr="00593068">
        <w:t xml:space="preserve"> May (Week 21) calculated by comparing the actual recorded number in 2020 to the average deaths over previous 3 years in the same period</w:t>
      </w:r>
      <w:r w:rsidR="002608AC">
        <w:t>)</w:t>
      </w:r>
      <w:r w:rsidRPr="00593068">
        <w:t>.</w:t>
      </w:r>
    </w:p>
    <w:p w14:paraId="64895B97" w14:textId="2C09A1DB" w:rsidR="00593068" w:rsidRDefault="00593068" w:rsidP="00593068">
      <w:r w:rsidRPr="00593068">
        <w:t>By applying the average life expectancy</w:t>
      </w:r>
      <w:r w:rsidR="002608AC">
        <w:rPr>
          <w:rStyle w:val="FootnoteReference"/>
        </w:rPr>
        <w:footnoteReference w:id="9"/>
      </w:r>
      <w:r w:rsidRPr="00593068">
        <w:t xml:space="preserve"> to the actual recorded COVID-19 deaths by age and gender </w:t>
      </w:r>
      <w:proofErr w:type="gramStart"/>
      <w:r w:rsidRPr="00593068">
        <w:t>a total life expectancy years</w:t>
      </w:r>
      <w:proofErr w:type="gramEnd"/>
      <w:r w:rsidRPr="00593068">
        <w:t xml:space="preserve"> los</w:t>
      </w:r>
      <w:r w:rsidR="005F0502">
        <w:t>t</w:t>
      </w:r>
      <w:r w:rsidRPr="00593068">
        <w:t xml:space="preserve"> can calculated</w:t>
      </w:r>
      <w:r w:rsidR="002608AC">
        <w:t xml:space="preserve">. The </w:t>
      </w:r>
      <w:r w:rsidR="00B14D97">
        <w:t>table below shows the calculation. A</w:t>
      </w:r>
      <w:r w:rsidRPr="00593068">
        <w:t xml:space="preserve">verage </w:t>
      </w:r>
      <w:r w:rsidR="002608AC">
        <w:t xml:space="preserve">life expectancy loss </w:t>
      </w:r>
      <w:r w:rsidRPr="00593068">
        <w:t>comes out a</w:t>
      </w:r>
      <w:r w:rsidR="002608AC">
        <w:t>t</w:t>
      </w:r>
      <w:r w:rsidRPr="00593068">
        <w:t xml:space="preserve"> 10.</w:t>
      </w:r>
      <w:r w:rsidR="00FF5F4E">
        <w:t>1</w:t>
      </w:r>
      <w:r w:rsidRPr="00593068">
        <w:t xml:space="preserve"> years </w:t>
      </w:r>
      <w:r w:rsidR="002608AC">
        <w:t xml:space="preserve">per </w:t>
      </w:r>
      <w:r w:rsidRPr="00593068">
        <w:t>COVID</w:t>
      </w:r>
      <w:r w:rsidR="0068072C">
        <w:t>-</w:t>
      </w:r>
      <w:r w:rsidRPr="00593068">
        <w:t xml:space="preserve">19 death. </w:t>
      </w:r>
      <w:r w:rsidR="002608AC">
        <w:t xml:space="preserve">(The </w:t>
      </w:r>
      <w:r w:rsidRPr="00593068">
        <w:t xml:space="preserve">average </w:t>
      </w:r>
      <w:r w:rsidR="002608AC">
        <w:t>l</w:t>
      </w:r>
      <w:r w:rsidRPr="00593068">
        <w:t xml:space="preserve">ife </w:t>
      </w:r>
      <w:r w:rsidR="002608AC">
        <w:t>e</w:t>
      </w:r>
      <w:r w:rsidRPr="00593068">
        <w:t xml:space="preserve">xpectancy </w:t>
      </w:r>
      <w:r w:rsidR="002608AC">
        <w:t>y</w:t>
      </w:r>
      <w:r w:rsidRPr="00593068">
        <w:t>ears lost for a non COVID death is only slightly higher at 11.4 confirming that the age profile for COVID mortality matches natural mortality</w:t>
      </w:r>
      <w:r w:rsidR="002608AC">
        <w:t>)</w:t>
      </w:r>
      <w:r w:rsidRPr="00593068">
        <w:t>. The median COVID</w:t>
      </w:r>
      <w:r w:rsidR="0068072C">
        <w:t>-</w:t>
      </w:r>
      <w:r w:rsidRPr="00593068">
        <w:t xml:space="preserve">19 age at death is around 80 and the </w:t>
      </w:r>
      <w:r w:rsidR="00897494">
        <w:t xml:space="preserve">average </w:t>
      </w:r>
      <w:r w:rsidRPr="00593068">
        <w:t>life years lost for the older 50% is 5 years and the for younger 50% is 15 years</w:t>
      </w:r>
      <w:r w:rsidR="000262C0">
        <w:t>.</w:t>
      </w:r>
    </w:p>
    <w:p w14:paraId="08932002" w14:textId="77777777" w:rsidR="00F94DFC" w:rsidRDefault="00F94DFC" w:rsidP="00593068"/>
    <w:p w14:paraId="52E0C7E6" w14:textId="77777777" w:rsidR="00F94DFC" w:rsidRPr="00593068" w:rsidRDefault="00F94DFC" w:rsidP="00F94DFC">
      <w:pPr>
        <w:keepNext/>
      </w:pPr>
      <w:r>
        <w:t>Table 1: Life Years Lost to Deaths in Non COVID and COVID-19 in 2020 up to week ending 26</w:t>
      </w:r>
      <w:r w:rsidRPr="00825CC8">
        <w:rPr>
          <w:vertAlign w:val="superscript"/>
        </w:rPr>
        <w:t>th</w:t>
      </w:r>
      <w:r>
        <w:t xml:space="preserve"> May</w:t>
      </w:r>
    </w:p>
    <w:tbl>
      <w:tblPr>
        <w:tblStyle w:val="ListTable3-Accent51"/>
        <w:tblW w:w="8633" w:type="dxa"/>
        <w:tblInd w:w="0" w:type="dxa"/>
        <w:tblLook w:val="04A0" w:firstRow="1" w:lastRow="0" w:firstColumn="1" w:lastColumn="0" w:noHBand="0" w:noVBand="1"/>
      </w:tblPr>
      <w:tblGrid>
        <w:gridCol w:w="1271"/>
        <w:gridCol w:w="953"/>
        <w:gridCol w:w="875"/>
        <w:gridCol w:w="769"/>
        <w:gridCol w:w="773"/>
        <w:gridCol w:w="972"/>
        <w:gridCol w:w="941"/>
        <w:gridCol w:w="183"/>
        <w:gridCol w:w="993"/>
        <w:gridCol w:w="992"/>
      </w:tblGrid>
      <w:tr w:rsidR="00F94DFC" w:rsidRPr="0012478F" w14:paraId="723A9BF9" w14:textId="77777777" w:rsidTr="004C30FE">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1271" w:type="dxa"/>
            <w:tcBorders>
              <w:top w:val="single" w:sz="4" w:space="0" w:color="5B9BD5" w:themeColor="accent5"/>
              <w:left w:val="single" w:sz="4" w:space="0" w:color="5B9BD5" w:themeColor="accent5"/>
            </w:tcBorders>
            <w:noWrap/>
            <w:hideMark/>
          </w:tcPr>
          <w:p w14:paraId="14619C06" w14:textId="77777777" w:rsidR="00F94DFC" w:rsidRPr="0012478F" w:rsidRDefault="00F94DFC" w:rsidP="004C30FE">
            <w:pPr>
              <w:keepNext/>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Up to 24</w:t>
            </w:r>
            <w:r w:rsidRPr="0012478F">
              <w:rPr>
                <w:rFonts w:ascii="Calibri" w:eastAsia="Times New Roman" w:hAnsi="Calibri" w:cs="Calibri"/>
                <w:color w:val="000000"/>
                <w:sz w:val="18"/>
                <w:szCs w:val="18"/>
                <w:vertAlign w:val="superscript"/>
                <w:lang w:eastAsia="en-GB"/>
              </w:rPr>
              <w:t>th</w:t>
            </w:r>
            <w:r w:rsidRPr="0012478F">
              <w:rPr>
                <w:rFonts w:ascii="Calibri" w:eastAsia="Times New Roman" w:hAnsi="Calibri" w:cs="Calibri"/>
                <w:color w:val="000000"/>
                <w:sz w:val="18"/>
                <w:szCs w:val="18"/>
                <w:lang w:eastAsia="en-GB"/>
              </w:rPr>
              <w:t xml:space="preserve"> May 2020</w:t>
            </w:r>
          </w:p>
        </w:tc>
        <w:tc>
          <w:tcPr>
            <w:tcW w:w="1762" w:type="dxa"/>
            <w:gridSpan w:val="2"/>
            <w:tcBorders>
              <w:top w:val="single" w:sz="4" w:space="0" w:color="5B9BD5" w:themeColor="accent5"/>
              <w:left w:val="nil"/>
              <w:bottom w:val="nil"/>
              <w:right w:val="nil"/>
            </w:tcBorders>
            <w:noWrap/>
            <w:hideMark/>
          </w:tcPr>
          <w:p w14:paraId="7FAB4102" w14:textId="77777777" w:rsidR="00F94DFC" w:rsidRPr="0012478F" w:rsidRDefault="00F94DFC" w:rsidP="004C30FE">
            <w:pPr>
              <w:keepNext/>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Total Deaths</w:t>
            </w:r>
          </w:p>
        </w:tc>
        <w:tc>
          <w:tcPr>
            <w:tcW w:w="1519" w:type="dxa"/>
            <w:gridSpan w:val="2"/>
            <w:tcBorders>
              <w:top w:val="single" w:sz="4" w:space="0" w:color="5B9BD5" w:themeColor="accent5"/>
              <w:left w:val="nil"/>
              <w:bottom w:val="nil"/>
              <w:right w:val="nil"/>
            </w:tcBorders>
            <w:noWrap/>
            <w:hideMark/>
          </w:tcPr>
          <w:p w14:paraId="67E9D7B8" w14:textId="77777777" w:rsidR="00F94DFC" w:rsidRPr="0012478F" w:rsidRDefault="00F94DFC" w:rsidP="004C30FE">
            <w:pPr>
              <w:keepNext/>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COVID-19 Total Deaths</w:t>
            </w:r>
          </w:p>
        </w:tc>
        <w:tc>
          <w:tcPr>
            <w:tcW w:w="1913" w:type="dxa"/>
            <w:gridSpan w:val="2"/>
            <w:tcBorders>
              <w:top w:val="single" w:sz="4" w:space="0" w:color="5B9BD5" w:themeColor="accent5"/>
              <w:left w:val="nil"/>
              <w:bottom w:val="nil"/>
              <w:right w:val="nil"/>
            </w:tcBorders>
            <w:noWrap/>
            <w:hideMark/>
          </w:tcPr>
          <w:p w14:paraId="1105A090" w14:textId="77777777" w:rsidR="00F94DFC" w:rsidRPr="0012478F" w:rsidRDefault="00F94DFC" w:rsidP="004C30FE">
            <w:pPr>
              <w:keepNext/>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 xml:space="preserve">Life </w:t>
            </w:r>
            <w:proofErr w:type="gramStart"/>
            <w:r w:rsidRPr="0012478F">
              <w:rPr>
                <w:rFonts w:ascii="Calibri" w:eastAsia="Times New Roman" w:hAnsi="Calibri" w:cs="Calibri"/>
                <w:color w:val="000000"/>
                <w:sz w:val="18"/>
                <w:szCs w:val="18"/>
                <w:lang w:eastAsia="en-GB"/>
              </w:rPr>
              <w:t>Expectancy  each</w:t>
            </w:r>
            <w:proofErr w:type="gramEnd"/>
            <w:r w:rsidRPr="0012478F">
              <w:rPr>
                <w:rFonts w:ascii="Calibri" w:eastAsia="Times New Roman" w:hAnsi="Calibri" w:cs="Calibri"/>
                <w:color w:val="000000"/>
                <w:sz w:val="18"/>
                <w:szCs w:val="18"/>
                <w:lang w:eastAsia="en-GB"/>
              </w:rPr>
              <w:t xml:space="preserve"> (Years)</w:t>
            </w:r>
          </w:p>
        </w:tc>
        <w:tc>
          <w:tcPr>
            <w:tcW w:w="2168" w:type="dxa"/>
            <w:gridSpan w:val="3"/>
            <w:tcBorders>
              <w:top w:val="single" w:sz="4" w:space="0" w:color="5B9BD5" w:themeColor="accent5"/>
              <w:left w:val="nil"/>
              <w:bottom w:val="nil"/>
              <w:right w:val="nil"/>
            </w:tcBorders>
            <w:noWrap/>
            <w:hideMark/>
          </w:tcPr>
          <w:p w14:paraId="1FED6B50" w14:textId="77777777" w:rsidR="00F94DFC" w:rsidRPr="0012478F" w:rsidRDefault="00F94DFC" w:rsidP="004C30FE">
            <w:pPr>
              <w:keepNext/>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Total Expected Life</w:t>
            </w:r>
            <w:r w:rsidRPr="0012478F">
              <w:rPr>
                <w:rFonts w:ascii="Calibri" w:eastAsia="Times New Roman" w:hAnsi="Calibri" w:cs="Calibri"/>
                <w:color w:val="000000"/>
                <w:sz w:val="18"/>
                <w:szCs w:val="18"/>
                <w:lang w:eastAsia="en-GB"/>
              </w:rPr>
              <w:br/>
              <w:t>Years Lost</w:t>
            </w:r>
          </w:p>
        </w:tc>
      </w:tr>
      <w:tr w:rsidR="00F94DFC" w:rsidRPr="0012478F" w14:paraId="1823DF76" w14:textId="77777777" w:rsidTr="004C30F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71" w:type="dxa"/>
            <w:tcBorders>
              <w:left w:val="single" w:sz="4" w:space="0" w:color="5B9BD5" w:themeColor="accent5"/>
            </w:tcBorders>
            <w:noWrap/>
            <w:hideMark/>
          </w:tcPr>
          <w:p w14:paraId="4D7E9D56" w14:textId="77777777" w:rsidR="00F94DFC" w:rsidRPr="0012478F" w:rsidRDefault="00F94DFC" w:rsidP="004C30FE">
            <w:pPr>
              <w:keepNext/>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Age Group</w:t>
            </w:r>
          </w:p>
        </w:tc>
        <w:tc>
          <w:tcPr>
            <w:tcW w:w="953" w:type="dxa"/>
            <w:tcBorders>
              <w:left w:val="nil"/>
              <w:right w:val="nil"/>
            </w:tcBorders>
            <w:noWrap/>
            <w:hideMark/>
          </w:tcPr>
          <w:p w14:paraId="0D66CC14"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Male</w:t>
            </w:r>
          </w:p>
        </w:tc>
        <w:tc>
          <w:tcPr>
            <w:tcW w:w="809" w:type="dxa"/>
            <w:tcBorders>
              <w:left w:val="nil"/>
              <w:right w:val="nil"/>
            </w:tcBorders>
            <w:noWrap/>
            <w:hideMark/>
          </w:tcPr>
          <w:p w14:paraId="3BAFDAF5"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Female</w:t>
            </w:r>
          </w:p>
        </w:tc>
        <w:tc>
          <w:tcPr>
            <w:tcW w:w="769" w:type="dxa"/>
            <w:tcBorders>
              <w:left w:val="nil"/>
              <w:right w:val="nil"/>
            </w:tcBorders>
            <w:noWrap/>
            <w:hideMark/>
          </w:tcPr>
          <w:p w14:paraId="646FAB9D"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Male</w:t>
            </w:r>
          </w:p>
        </w:tc>
        <w:tc>
          <w:tcPr>
            <w:tcW w:w="750" w:type="dxa"/>
            <w:tcBorders>
              <w:left w:val="nil"/>
              <w:right w:val="nil"/>
            </w:tcBorders>
            <w:noWrap/>
            <w:hideMark/>
          </w:tcPr>
          <w:p w14:paraId="2B17923C"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Female</w:t>
            </w:r>
          </w:p>
        </w:tc>
        <w:tc>
          <w:tcPr>
            <w:tcW w:w="972" w:type="dxa"/>
            <w:tcBorders>
              <w:left w:val="nil"/>
              <w:right w:val="nil"/>
            </w:tcBorders>
            <w:noWrap/>
            <w:hideMark/>
          </w:tcPr>
          <w:p w14:paraId="4251C65D"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Male</w:t>
            </w:r>
          </w:p>
        </w:tc>
        <w:tc>
          <w:tcPr>
            <w:tcW w:w="941" w:type="dxa"/>
            <w:tcBorders>
              <w:left w:val="nil"/>
              <w:right w:val="nil"/>
            </w:tcBorders>
            <w:noWrap/>
            <w:hideMark/>
          </w:tcPr>
          <w:p w14:paraId="5633AAF6"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Female</w:t>
            </w:r>
          </w:p>
        </w:tc>
        <w:tc>
          <w:tcPr>
            <w:tcW w:w="1176" w:type="dxa"/>
            <w:gridSpan w:val="2"/>
            <w:tcBorders>
              <w:left w:val="nil"/>
              <w:right w:val="nil"/>
            </w:tcBorders>
            <w:noWrap/>
            <w:hideMark/>
          </w:tcPr>
          <w:p w14:paraId="17327CA8"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Non COVID</w:t>
            </w:r>
          </w:p>
        </w:tc>
        <w:tc>
          <w:tcPr>
            <w:tcW w:w="992" w:type="dxa"/>
            <w:tcBorders>
              <w:left w:val="nil"/>
              <w:right w:val="nil"/>
            </w:tcBorders>
            <w:noWrap/>
            <w:hideMark/>
          </w:tcPr>
          <w:p w14:paraId="06E4F1FB"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COVID-19</w:t>
            </w:r>
          </w:p>
        </w:tc>
      </w:tr>
      <w:tr w:rsidR="00F94DFC" w:rsidRPr="0012478F" w14:paraId="66E8F84C" w14:textId="77777777" w:rsidTr="004C30FE">
        <w:trPr>
          <w:trHeight w:val="20"/>
        </w:trPr>
        <w:tc>
          <w:tcPr>
            <w:cnfStyle w:val="001000000000" w:firstRow="0" w:lastRow="0" w:firstColumn="1" w:lastColumn="0" w:oddVBand="0" w:evenVBand="0" w:oddHBand="0" w:evenHBand="0" w:firstRowFirstColumn="0" w:firstRowLastColumn="0" w:lastRowFirstColumn="0" w:lastRowLastColumn="0"/>
            <w:tcW w:w="1271" w:type="dxa"/>
            <w:tcBorders>
              <w:top w:val="nil"/>
              <w:left w:val="single" w:sz="4" w:space="0" w:color="5B9BD5" w:themeColor="accent5"/>
              <w:bottom w:val="nil"/>
            </w:tcBorders>
            <w:noWrap/>
            <w:hideMark/>
          </w:tcPr>
          <w:p w14:paraId="33406AF7" w14:textId="77777777" w:rsidR="00F94DFC" w:rsidRPr="0012478F" w:rsidRDefault="00F94DFC" w:rsidP="004C30FE">
            <w:pPr>
              <w:keepNext/>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&lt;1</w:t>
            </w:r>
          </w:p>
        </w:tc>
        <w:tc>
          <w:tcPr>
            <w:tcW w:w="953" w:type="dxa"/>
            <w:tcBorders>
              <w:top w:val="nil"/>
              <w:left w:val="nil"/>
              <w:bottom w:val="nil"/>
              <w:right w:val="nil"/>
            </w:tcBorders>
            <w:noWrap/>
            <w:hideMark/>
          </w:tcPr>
          <w:p w14:paraId="495448F1"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576</w:t>
            </w:r>
          </w:p>
        </w:tc>
        <w:tc>
          <w:tcPr>
            <w:tcW w:w="809" w:type="dxa"/>
            <w:tcBorders>
              <w:top w:val="nil"/>
              <w:left w:val="nil"/>
              <w:bottom w:val="nil"/>
              <w:right w:val="nil"/>
            </w:tcBorders>
            <w:noWrap/>
            <w:hideMark/>
          </w:tcPr>
          <w:p w14:paraId="417F1CC4"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446</w:t>
            </w:r>
          </w:p>
        </w:tc>
        <w:tc>
          <w:tcPr>
            <w:tcW w:w="769" w:type="dxa"/>
            <w:tcBorders>
              <w:top w:val="nil"/>
              <w:left w:val="nil"/>
              <w:bottom w:val="nil"/>
              <w:right w:val="nil"/>
            </w:tcBorders>
            <w:noWrap/>
            <w:hideMark/>
          </w:tcPr>
          <w:p w14:paraId="447F7587"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2</w:t>
            </w:r>
          </w:p>
        </w:tc>
        <w:tc>
          <w:tcPr>
            <w:tcW w:w="750" w:type="dxa"/>
            <w:tcBorders>
              <w:top w:val="nil"/>
              <w:left w:val="nil"/>
              <w:bottom w:val="nil"/>
              <w:right w:val="nil"/>
            </w:tcBorders>
            <w:noWrap/>
            <w:hideMark/>
          </w:tcPr>
          <w:p w14:paraId="68CC8C37"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0</w:t>
            </w:r>
          </w:p>
        </w:tc>
        <w:tc>
          <w:tcPr>
            <w:tcW w:w="972" w:type="dxa"/>
            <w:tcBorders>
              <w:top w:val="nil"/>
              <w:left w:val="nil"/>
              <w:bottom w:val="nil"/>
              <w:right w:val="nil"/>
            </w:tcBorders>
            <w:noWrap/>
            <w:hideMark/>
          </w:tcPr>
          <w:p w14:paraId="0A2C0176"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79.3</w:t>
            </w:r>
          </w:p>
        </w:tc>
        <w:tc>
          <w:tcPr>
            <w:tcW w:w="941" w:type="dxa"/>
            <w:tcBorders>
              <w:top w:val="nil"/>
              <w:left w:val="nil"/>
              <w:bottom w:val="nil"/>
              <w:right w:val="nil"/>
            </w:tcBorders>
            <w:noWrap/>
            <w:hideMark/>
          </w:tcPr>
          <w:p w14:paraId="5540B96C"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82.9</w:t>
            </w:r>
          </w:p>
        </w:tc>
        <w:tc>
          <w:tcPr>
            <w:tcW w:w="1176" w:type="dxa"/>
            <w:gridSpan w:val="2"/>
            <w:tcBorders>
              <w:top w:val="nil"/>
              <w:left w:val="nil"/>
              <w:bottom w:val="nil"/>
              <w:right w:val="nil"/>
            </w:tcBorders>
            <w:noWrap/>
            <w:hideMark/>
          </w:tcPr>
          <w:p w14:paraId="2F164EDC"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82,476</w:t>
            </w:r>
          </w:p>
        </w:tc>
        <w:tc>
          <w:tcPr>
            <w:tcW w:w="992" w:type="dxa"/>
            <w:tcBorders>
              <w:top w:val="nil"/>
              <w:left w:val="nil"/>
              <w:bottom w:val="nil"/>
              <w:right w:val="nil"/>
            </w:tcBorders>
            <w:noWrap/>
            <w:hideMark/>
          </w:tcPr>
          <w:p w14:paraId="05DC139C"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159</w:t>
            </w:r>
          </w:p>
        </w:tc>
      </w:tr>
      <w:tr w:rsidR="00F94DFC" w:rsidRPr="0012478F" w14:paraId="32FAA17D" w14:textId="77777777" w:rsidTr="004C30F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71" w:type="dxa"/>
            <w:tcBorders>
              <w:left w:val="single" w:sz="4" w:space="0" w:color="5B9BD5" w:themeColor="accent5"/>
            </w:tcBorders>
            <w:noWrap/>
            <w:hideMark/>
          </w:tcPr>
          <w:p w14:paraId="128A7765" w14:textId="77777777" w:rsidR="00F94DFC" w:rsidRPr="0012478F" w:rsidRDefault="00F94DFC" w:rsidP="004C30FE">
            <w:pPr>
              <w:keepNext/>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1-4</w:t>
            </w:r>
          </w:p>
        </w:tc>
        <w:tc>
          <w:tcPr>
            <w:tcW w:w="953" w:type="dxa"/>
            <w:tcBorders>
              <w:left w:val="nil"/>
              <w:right w:val="nil"/>
            </w:tcBorders>
            <w:noWrap/>
            <w:hideMark/>
          </w:tcPr>
          <w:p w14:paraId="651313DD"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89</w:t>
            </w:r>
          </w:p>
        </w:tc>
        <w:tc>
          <w:tcPr>
            <w:tcW w:w="809" w:type="dxa"/>
            <w:tcBorders>
              <w:left w:val="nil"/>
              <w:right w:val="nil"/>
            </w:tcBorders>
            <w:noWrap/>
            <w:hideMark/>
          </w:tcPr>
          <w:p w14:paraId="27EDEBA4"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64</w:t>
            </w:r>
          </w:p>
        </w:tc>
        <w:tc>
          <w:tcPr>
            <w:tcW w:w="769" w:type="dxa"/>
            <w:tcBorders>
              <w:left w:val="nil"/>
              <w:right w:val="nil"/>
            </w:tcBorders>
            <w:noWrap/>
            <w:hideMark/>
          </w:tcPr>
          <w:p w14:paraId="6D75AAB2"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0</w:t>
            </w:r>
          </w:p>
        </w:tc>
        <w:tc>
          <w:tcPr>
            <w:tcW w:w="750" w:type="dxa"/>
            <w:tcBorders>
              <w:left w:val="nil"/>
              <w:right w:val="nil"/>
            </w:tcBorders>
            <w:noWrap/>
            <w:hideMark/>
          </w:tcPr>
          <w:p w14:paraId="562270BD"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1</w:t>
            </w:r>
          </w:p>
        </w:tc>
        <w:tc>
          <w:tcPr>
            <w:tcW w:w="972" w:type="dxa"/>
            <w:tcBorders>
              <w:left w:val="nil"/>
              <w:right w:val="nil"/>
            </w:tcBorders>
            <w:noWrap/>
            <w:hideMark/>
          </w:tcPr>
          <w:p w14:paraId="024BE917"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77.1</w:t>
            </w:r>
          </w:p>
        </w:tc>
        <w:tc>
          <w:tcPr>
            <w:tcW w:w="941" w:type="dxa"/>
            <w:tcBorders>
              <w:left w:val="nil"/>
              <w:right w:val="nil"/>
            </w:tcBorders>
            <w:noWrap/>
            <w:hideMark/>
          </w:tcPr>
          <w:p w14:paraId="3539D672"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80.7</w:t>
            </w:r>
          </w:p>
        </w:tc>
        <w:tc>
          <w:tcPr>
            <w:tcW w:w="1176" w:type="dxa"/>
            <w:gridSpan w:val="2"/>
            <w:tcBorders>
              <w:left w:val="nil"/>
              <w:right w:val="nil"/>
            </w:tcBorders>
            <w:noWrap/>
            <w:hideMark/>
          </w:tcPr>
          <w:p w14:paraId="06E4AB03"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11,949</w:t>
            </w:r>
          </w:p>
        </w:tc>
        <w:tc>
          <w:tcPr>
            <w:tcW w:w="992" w:type="dxa"/>
            <w:tcBorders>
              <w:left w:val="nil"/>
              <w:right w:val="nil"/>
            </w:tcBorders>
            <w:noWrap/>
            <w:hideMark/>
          </w:tcPr>
          <w:p w14:paraId="0D81432C"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81</w:t>
            </w:r>
          </w:p>
        </w:tc>
      </w:tr>
      <w:tr w:rsidR="00F94DFC" w:rsidRPr="0012478F" w14:paraId="6E60D431" w14:textId="77777777" w:rsidTr="004C30FE">
        <w:trPr>
          <w:trHeight w:val="20"/>
        </w:trPr>
        <w:tc>
          <w:tcPr>
            <w:cnfStyle w:val="001000000000" w:firstRow="0" w:lastRow="0" w:firstColumn="1" w:lastColumn="0" w:oddVBand="0" w:evenVBand="0" w:oddHBand="0" w:evenHBand="0" w:firstRowFirstColumn="0" w:firstRowLastColumn="0" w:lastRowFirstColumn="0" w:lastRowLastColumn="0"/>
            <w:tcW w:w="1271" w:type="dxa"/>
            <w:tcBorders>
              <w:top w:val="nil"/>
              <w:left w:val="single" w:sz="4" w:space="0" w:color="5B9BD5" w:themeColor="accent5"/>
              <w:bottom w:val="nil"/>
            </w:tcBorders>
            <w:noWrap/>
            <w:hideMark/>
          </w:tcPr>
          <w:p w14:paraId="5411FC38" w14:textId="77777777" w:rsidR="00F94DFC" w:rsidRPr="0012478F" w:rsidRDefault="00F94DFC" w:rsidP="004C30FE">
            <w:pPr>
              <w:keepNext/>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5-9</w:t>
            </w:r>
          </w:p>
        </w:tc>
        <w:tc>
          <w:tcPr>
            <w:tcW w:w="953" w:type="dxa"/>
            <w:tcBorders>
              <w:top w:val="nil"/>
              <w:left w:val="nil"/>
              <w:bottom w:val="nil"/>
              <w:right w:val="nil"/>
            </w:tcBorders>
            <w:noWrap/>
            <w:hideMark/>
          </w:tcPr>
          <w:p w14:paraId="5105D8F1"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56</w:t>
            </w:r>
          </w:p>
        </w:tc>
        <w:tc>
          <w:tcPr>
            <w:tcW w:w="809" w:type="dxa"/>
            <w:tcBorders>
              <w:top w:val="nil"/>
              <w:left w:val="nil"/>
              <w:bottom w:val="nil"/>
              <w:right w:val="nil"/>
            </w:tcBorders>
            <w:noWrap/>
            <w:hideMark/>
          </w:tcPr>
          <w:p w14:paraId="68608544"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31</w:t>
            </w:r>
          </w:p>
        </w:tc>
        <w:tc>
          <w:tcPr>
            <w:tcW w:w="769" w:type="dxa"/>
            <w:tcBorders>
              <w:top w:val="nil"/>
              <w:left w:val="nil"/>
              <w:bottom w:val="nil"/>
              <w:right w:val="nil"/>
            </w:tcBorders>
            <w:noWrap/>
            <w:hideMark/>
          </w:tcPr>
          <w:p w14:paraId="59E57B3C"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0</w:t>
            </w:r>
          </w:p>
        </w:tc>
        <w:tc>
          <w:tcPr>
            <w:tcW w:w="750" w:type="dxa"/>
            <w:tcBorders>
              <w:top w:val="nil"/>
              <w:left w:val="nil"/>
              <w:bottom w:val="nil"/>
              <w:right w:val="nil"/>
            </w:tcBorders>
            <w:noWrap/>
            <w:hideMark/>
          </w:tcPr>
          <w:p w14:paraId="53B59E76"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0</w:t>
            </w:r>
          </w:p>
        </w:tc>
        <w:tc>
          <w:tcPr>
            <w:tcW w:w="972" w:type="dxa"/>
            <w:tcBorders>
              <w:top w:val="nil"/>
              <w:left w:val="nil"/>
              <w:bottom w:val="nil"/>
              <w:right w:val="nil"/>
            </w:tcBorders>
            <w:noWrap/>
            <w:hideMark/>
          </w:tcPr>
          <w:p w14:paraId="798D03C2"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72.6</w:t>
            </w:r>
          </w:p>
        </w:tc>
        <w:tc>
          <w:tcPr>
            <w:tcW w:w="941" w:type="dxa"/>
            <w:tcBorders>
              <w:top w:val="nil"/>
              <w:left w:val="nil"/>
              <w:bottom w:val="nil"/>
              <w:right w:val="nil"/>
            </w:tcBorders>
            <w:noWrap/>
            <w:hideMark/>
          </w:tcPr>
          <w:p w14:paraId="31D62316"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76.3</w:t>
            </w:r>
          </w:p>
        </w:tc>
        <w:tc>
          <w:tcPr>
            <w:tcW w:w="1176" w:type="dxa"/>
            <w:gridSpan w:val="2"/>
            <w:tcBorders>
              <w:top w:val="nil"/>
              <w:left w:val="nil"/>
              <w:bottom w:val="nil"/>
              <w:right w:val="nil"/>
            </w:tcBorders>
            <w:noWrap/>
            <w:hideMark/>
          </w:tcPr>
          <w:p w14:paraId="7F0CD556"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6,432</w:t>
            </w:r>
          </w:p>
        </w:tc>
        <w:tc>
          <w:tcPr>
            <w:tcW w:w="992" w:type="dxa"/>
            <w:tcBorders>
              <w:top w:val="nil"/>
              <w:left w:val="nil"/>
              <w:bottom w:val="nil"/>
              <w:right w:val="nil"/>
            </w:tcBorders>
            <w:noWrap/>
            <w:hideMark/>
          </w:tcPr>
          <w:p w14:paraId="2A6135FC"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0</w:t>
            </w:r>
          </w:p>
        </w:tc>
      </w:tr>
      <w:tr w:rsidR="00F94DFC" w:rsidRPr="0012478F" w14:paraId="42B0FD34" w14:textId="77777777" w:rsidTr="004C30F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71" w:type="dxa"/>
            <w:tcBorders>
              <w:left w:val="single" w:sz="4" w:space="0" w:color="5B9BD5" w:themeColor="accent5"/>
            </w:tcBorders>
            <w:noWrap/>
            <w:hideMark/>
          </w:tcPr>
          <w:p w14:paraId="13B95F3A" w14:textId="77777777" w:rsidR="00F94DFC" w:rsidRPr="0012478F" w:rsidRDefault="00F94DFC" w:rsidP="004C30FE">
            <w:pPr>
              <w:keepNext/>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10-14</w:t>
            </w:r>
          </w:p>
        </w:tc>
        <w:tc>
          <w:tcPr>
            <w:tcW w:w="953" w:type="dxa"/>
            <w:tcBorders>
              <w:left w:val="nil"/>
              <w:right w:val="nil"/>
            </w:tcBorders>
            <w:noWrap/>
            <w:hideMark/>
          </w:tcPr>
          <w:p w14:paraId="4986FEA0"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61</w:t>
            </w:r>
          </w:p>
        </w:tc>
        <w:tc>
          <w:tcPr>
            <w:tcW w:w="809" w:type="dxa"/>
            <w:tcBorders>
              <w:left w:val="nil"/>
              <w:right w:val="nil"/>
            </w:tcBorders>
            <w:noWrap/>
            <w:hideMark/>
          </w:tcPr>
          <w:p w14:paraId="5AE30FB3"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54</w:t>
            </w:r>
          </w:p>
        </w:tc>
        <w:tc>
          <w:tcPr>
            <w:tcW w:w="769" w:type="dxa"/>
            <w:tcBorders>
              <w:left w:val="nil"/>
              <w:right w:val="nil"/>
            </w:tcBorders>
            <w:noWrap/>
            <w:hideMark/>
          </w:tcPr>
          <w:p w14:paraId="53DE1C1E"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0</w:t>
            </w:r>
          </w:p>
        </w:tc>
        <w:tc>
          <w:tcPr>
            <w:tcW w:w="750" w:type="dxa"/>
            <w:tcBorders>
              <w:left w:val="nil"/>
              <w:right w:val="nil"/>
            </w:tcBorders>
            <w:noWrap/>
            <w:hideMark/>
          </w:tcPr>
          <w:p w14:paraId="0AE99FCA"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1</w:t>
            </w:r>
          </w:p>
        </w:tc>
        <w:tc>
          <w:tcPr>
            <w:tcW w:w="972" w:type="dxa"/>
            <w:tcBorders>
              <w:left w:val="nil"/>
              <w:right w:val="nil"/>
            </w:tcBorders>
            <w:noWrap/>
            <w:hideMark/>
          </w:tcPr>
          <w:p w14:paraId="3FA3C9A5"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67.7</w:t>
            </w:r>
          </w:p>
        </w:tc>
        <w:tc>
          <w:tcPr>
            <w:tcW w:w="941" w:type="dxa"/>
            <w:tcBorders>
              <w:left w:val="nil"/>
              <w:right w:val="nil"/>
            </w:tcBorders>
            <w:noWrap/>
            <w:hideMark/>
          </w:tcPr>
          <w:p w14:paraId="097BA0CD"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71.3</w:t>
            </w:r>
          </w:p>
        </w:tc>
        <w:tc>
          <w:tcPr>
            <w:tcW w:w="1176" w:type="dxa"/>
            <w:gridSpan w:val="2"/>
            <w:tcBorders>
              <w:left w:val="nil"/>
              <w:right w:val="nil"/>
            </w:tcBorders>
            <w:noWrap/>
            <w:hideMark/>
          </w:tcPr>
          <w:p w14:paraId="66D4947D"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7,907</w:t>
            </w:r>
          </w:p>
        </w:tc>
        <w:tc>
          <w:tcPr>
            <w:tcW w:w="992" w:type="dxa"/>
            <w:tcBorders>
              <w:left w:val="nil"/>
              <w:right w:val="nil"/>
            </w:tcBorders>
            <w:noWrap/>
            <w:hideMark/>
          </w:tcPr>
          <w:p w14:paraId="04516C36"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71</w:t>
            </w:r>
          </w:p>
        </w:tc>
      </w:tr>
      <w:tr w:rsidR="00F94DFC" w:rsidRPr="0012478F" w14:paraId="68C116DE" w14:textId="77777777" w:rsidTr="004C30FE">
        <w:trPr>
          <w:trHeight w:val="20"/>
        </w:trPr>
        <w:tc>
          <w:tcPr>
            <w:cnfStyle w:val="001000000000" w:firstRow="0" w:lastRow="0" w:firstColumn="1" w:lastColumn="0" w:oddVBand="0" w:evenVBand="0" w:oddHBand="0" w:evenHBand="0" w:firstRowFirstColumn="0" w:firstRowLastColumn="0" w:lastRowFirstColumn="0" w:lastRowLastColumn="0"/>
            <w:tcW w:w="1271" w:type="dxa"/>
            <w:tcBorders>
              <w:top w:val="nil"/>
              <w:left w:val="single" w:sz="4" w:space="0" w:color="5B9BD5" w:themeColor="accent5"/>
              <w:bottom w:val="nil"/>
            </w:tcBorders>
            <w:noWrap/>
            <w:hideMark/>
          </w:tcPr>
          <w:p w14:paraId="1AEE8677" w14:textId="77777777" w:rsidR="00F94DFC" w:rsidRPr="0012478F" w:rsidRDefault="00F94DFC" w:rsidP="004C30FE">
            <w:pPr>
              <w:keepNext/>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15-19</w:t>
            </w:r>
          </w:p>
        </w:tc>
        <w:tc>
          <w:tcPr>
            <w:tcW w:w="953" w:type="dxa"/>
            <w:tcBorders>
              <w:top w:val="nil"/>
              <w:left w:val="nil"/>
              <w:bottom w:val="nil"/>
              <w:right w:val="nil"/>
            </w:tcBorders>
            <w:noWrap/>
            <w:hideMark/>
          </w:tcPr>
          <w:p w14:paraId="4BA93D26"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203</w:t>
            </w:r>
          </w:p>
        </w:tc>
        <w:tc>
          <w:tcPr>
            <w:tcW w:w="809" w:type="dxa"/>
            <w:tcBorders>
              <w:top w:val="nil"/>
              <w:left w:val="nil"/>
              <w:bottom w:val="nil"/>
              <w:right w:val="nil"/>
            </w:tcBorders>
            <w:noWrap/>
            <w:hideMark/>
          </w:tcPr>
          <w:p w14:paraId="369BC44E"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100</w:t>
            </w:r>
          </w:p>
        </w:tc>
        <w:tc>
          <w:tcPr>
            <w:tcW w:w="769" w:type="dxa"/>
            <w:tcBorders>
              <w:top w:val="nil"/>
              <w:left w:val="nil"/>
              <w:bottom w:val="nil"/>
              <w:right w:val="nil"/>
            </w:tcBorders>
            <w:noWrap/>
            <w:hideMark/>
          </w:tcPr>
          <w:p w14:paraId="10C6B496"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5</w:t>
            </w:r>
          </w:p>
        </w:tc>
        <w:tc>
          <w:tcPr>
            <w:tcW w:w="750" w:type="dxa"/>
            <w:tcBorders>
              <w:top w:val="nil"/>
              <w:left w:val="nil"/>
              <w:bottom w:val="nil"/>
              <w:right w:val="nil"/>
            </w:tcBorders>
            <w:noWrap/>
            <w:hideMark/>
          </w:tcPr>
          <w:p w14:paraId="320AA693"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4</w:t>
            </w:r>
          </w:p>
        </w:tc>
        <w:tc>
          <w:tcPr>
            <w:tcW w:w="972" w:type="dxa"/>
            <w:tcBorders>
              <w:top w:val="nil"/>
              <w:left w:val="nil"/>
              <w:bottom w:val="nil"/>
              <w:right w:val="nil"/>
            </w:tcBorders>
            <w:noWrap/>
            <w:hideMark/>
          </w:tcPr>
          <w:p w14:paraId="5DA52533"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62.7</w:t>
            </w:r>
          </w:p>
        </w:tc>
        <w:tc>
          <w:tcPr>
            <w:tcW w:w="941" w:type="dxa"/>
            <w:tcBorders>
              <w:top w:val="nil"/>
              <w:left w:val="nil"/>
              <w:bottom w:val="nil"/>
              <w:right w:val="nil"/>
            </w:tcBorders>
            <w:noWrap/>
            <w:hideMark/>
          </w:tcPr>
          <w:p w14:paraId="23910087"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66.3</w:t>
            </w:r>
          </w:p>
        </w:tc>
        <w:tc>
          <w:tcPr>
            <w:tcW w:w="1176" w:type="dxa"/>
            <w:gridSpan w:val="2"/>
            <w:tcBorders>
              <w:top w:val="nil"/>
              <w:left w:val="nil"/>
              <w:bottom w:val="nil"/>
              <w:right w:val="nil"/>
            </w:tcBorders>
            <w:noWrap/>
            <w:hideMark/>
          </w:tcPr>
          <w:p w14:paraId="0CCDFD35"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18,787</w:t>
            </w:r>
          </w:p>
        </w:tc>
        <w:tc>
          <w:tcPr>
            <w:tcW w:w="992" w:type="dxa"/>
            <w:tcBorders>
              <w:top w:val="nil"/>
              <w:left w:val="nil"/>
              <w:bottom w:val="nil"/>
              <w:right w:val="nil"/>
            </w:tcBorders>
            <w:noWrap/>
            <w:hideMark/>
          </w:tcPr>
          <w:p w14:paraId="55779CA4"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579</w:t>
            </w:r>
          </w:p>
        </w:tc>
      </w:tr>
      <w:tr w:rsidR="00F94DFC" w:rsidRPr="0012478F" w14:paraId="7040309B" w14:textId="77777777" w:rsidTr="004C30F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71" w:type="dxa"/>
            <w:tcBorders>
              <w:left w:val="single" w:sz="4" w:space="0" w:color="5B9BD5" w:themeColor="accent5"/>
            </w:tcBorders>
            <w:noWrap/>
            <w:hideMark/>
          </w:tcPr>
          <w:p w14:paraId="529733F0" w14:textId="77777777" w:rsidR="00F94DFC" w:rsidRPr="0012478F" w:rsidRDefault="00F94DFC" w:rsidP="004C30FE">
            <w:pPr>
              <w:keepNext/>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20-24</w:t>
            </w:r>
          </w:p>
        </w:tc>
        <w:tc>
          <w:tcPr>
            <w:tcW w:w="953" w:type="dxa"/>
            <w:tcBorders>
              <w:left w:val="nil"/>
              <w:right w:val="nil"/>
            </w:tcBorders>
            <w:noWrap/>
            <w:hideMark/>
          </w:tcPr>
          <w:p w14:paraId="0DB0709B"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325</w:t>
            </w:r>
          </w:p>
        </w:tc>
        <w:tc>
          <w:tcPr>
            <w:tcW w:w="809" w:type="dxa"/>
            <w:tcBorders>
              <w:left w:val="nil"/>
              <w:right w:val="nil"/>
            </w:tcBorders>
            <w:noWrap/>
            <w:hideMark/>
          </w:tcPr>
          <w:p w14:paraId="44DCABCC"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142</w:t>
            </w:r>
          </w:p>
        </w:tc>
        <w:tc>
          <w:tcPr>
            <w:tcW w:w="769" w:type="dxa"/>
            <w:tcBorders>
              <w:left w:val="nil"/>
              <w:right w:val="nil"/>
            </w:tcBorders>
            <w:noWrap/>
            <w:hideMark/>
          </w:tcPr>
          <w:p w14:paraId="60B78181"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13</w:t>
            </w:r>
          </w:p>
        </w:tc>
        <w:tc>
          <w:tcPr>
            <w:tcW w:w="750" w:type="dxa"/>
            <w:tcBorders>
              <w:left w:val="nil"/>
              <w:right w:val="nil"/>
            </w:tcBorders>
            <w:noWrap/>
            <w:hideMark/>
          </w:tcPr>
          <w:p w14:paraId="7AF02E3E"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9</w:t>
            </w:r>
          </w:p>
        </w:tc>
        <w:tc>
          <w:tcPr>
            <w:tcW w:w="972" w:type="dxa"/>
            <w:tcBorders>
              <w:left w:val="nil"/>
              <w:right w:val="nil"/>
            </w:tcBorders>
            <w:noWrap/>
            <w:hideMark/>
          </w:tcPr>
          <w:p w14:paraId="6B2AEE71"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57.8</w:t>
            </w:r>
          </w:p>
        </w:tc>
        <w:tc>
          <w:tcPr>
            <w:tcW w:w="941" w:type="dxa"/>
            <w:tcBorders>
              <w:left w:val="nil"/>
              <w:right w:val="nil"/>
            </w:tcBorders>
            <w:noWrap/>
            <w:hideMark/>
          </w:tcPr>
          <w:p w14:paraId="690A50DF"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61.4</w:t>
            </w:r>
          </w:p>
        </w:tc>
        <w:tc>
          <w:tcPr>
            <w:tcW w:w="1176" w:type="dxa"/>
            <w:gridSpan w:val="2"/>
            <w:tcBorders>
              <w:left w:val="nil"/>
              <w:right w:val="nil"/>
            </w:tcBorders>
            <w:noWrap/>
            <w:hideMark/>
          </w:tcPr>
          <w:p w14:paraId="4BCD6389"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26,214</w:t>
            </w:r>
          </w:p>
        </w:tc>
        <w:tc>
          <w:tcPr>
            <w:tcW w:w="992" w:type="dxa"/>
            <w:tcBorders>
              <w:left w:val="nil"/>
              <w:right w:val="nil"/>
            </w:tcBorders>
            <w:noWrap/>
            <w:hideMark/>
          </w:tcPr>
          <w:p w14:paraId="21706785"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1,305</w:t>
            </w:r>
          </w:p>
        </w:tc>
      </w:tr>
      <w:tr w:rsidR="00F94DFC" w:rsidRPr="0012478F" w14:paraId="1A756C09" w14:textId="77777777" w:rsidTr="004C30FE">
        <w:trPr>
          <w:trHeight w:val="20"/>
        </w:trPr>
        <w:tc>
          <w:tcPr>
            <w:cnfStyle w:val="001000000000" w:firstRow="0" w:lastRow="0" w:firstColumn="1" w:lastColumn="0" w:oddVBand="0" w:evenVBand="0" w:oddHBand="0" w:evenHBand="0" w:firstRowFirstColumn="0" w:firstRowLastColumn="0" w:lastRowFirstColumn="0" w:lastRowLastColumn="0"/>
            <w:tcW w:w="1271" w:type="dxa"/>
            <w:tcBorders>
              <w:top w:val="nil"/>
              <w:left w:val="single" w:sz="4" w:space="0" w:color="5B9BD5" w:themeColor="accent5"/>
              <w:bottom w:val="nil"/>
            </w:tcBorders>
            <w:noWrap/>
            <w:hideMark/>
          </w:tcPr>
          <w:p w14:paraId="69959B99" w14:textId="77777777" w:rsidR="00F94DFC" w:rsidRPr="0012478F" w:rsidRDefault="00F94DFC" w:rsidP="004C30FE">
            <w:pPr>
              <w:keepNext/>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25-29</w:t>
            </w:r>
          </w:p>
        </w:tc>
        <w:tc>
          <w:tcPr>
            <w:tcW w:w="953" w:type="dxa"/>
            <w:tcBorders>
              <w:top w:val="nil"/>
              <w:left w:val="nil"/>
              <w:bottom w:val="nil"/>
              <w:right w:val="nil"/>
            </w:tcBorders>
            <w:noWrap/>
            <w:hideMark/>
          </w:tcPr>
          <w:p w14:paraId="2B7F2F00"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465</w:t>
            </w:r>
          </w:p>
        </w:tc>
        <w:tc>
          <w:tcPr>
            <w:tcW w:w="809" w:type="dxa"/>
            <w:tcBorders>
              <w:top w:val="nil"/>
              <w:left w:val="nil"/>
              <w:bottom w:val="nil"/>
              <w:right w:val="nil"/>
            </w:tcBorders>
            <w:noWrap/>
            <w:hideMark/>
          </w:tcPr>
          <w:p w14:paraId="493AD47D"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208</w:t>
            </w:r>
          </w:p>
        </w:tc>
        <w:tc>
          <w:tcPr>
            <w:tcW w:w="769" w:type="dxa"/>
            <w:tcBorders>
              <w:top w:val="nil"/>
              <w:left w:val="nil"/>
              <w:bottom w:val="nil"/>
              <w:right w:val="nil"/>
            </w:tcBorders>
            <w:noWrap/>
            <w:hideMark/>
          </w:tcPr>
          <w:p w14:paraId="70F68FCE"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29</w:t>
            </w:r>
          </w:p>
        </w:tc>
        <w:tc>
          <w:tcPr>
            <w:tcW w:w="750" w:type="dxa"/>
            <w:tcBorders>
              <w:top w:val="nil"/>
              <w:left w:val="nil"/>
              <w:bottom w:val="nil"/>
              <w:right w:val="nil"/>
            </w:tcBorders>
            <w:noWrap/>
            <w:hideMark/>
          </w:tcPr>
          <w:p w14:paraId="3DF7CE38"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16</w:t>
            </w:r>
          </w:p>
        </w:tc>
        <w:tc>
          <w:tcPr>
            <w:tcW w:w="972" w:type="dxa"/>
            <w:tcBorders>
              <w:top w:val="nil"/>
              <w:left w:val="nil"/>
              <w:bottom w:val="nil"/>
              <w:right w:val="nil"/>
            </w:tcBorders>
            <w:noWrap/>
            <w:hideMark/>
          </w:tcPr>
          <w:p w14:paraId="66AF01E6"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53.0</w:t>
            </w:r>
          </w:p>
        </w:tc>
        <w:tc>
          <w:tcPr>
            <w:tcW w:w="941" w:type="dxa"/>
            <w:tcBorders>
              <w:top w:val="nil"/>
              <w:left w:val="nil"/>
              <w:bottom w:val="nil"/>
              <w:right w:val="nil"/>
            </w:tcBorders>
            <w:noWrap/>
            <w:hideMark/>
          </w:tcPr>
          <w:p w14:paraId="62E8C04D"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56.5</w:t>
            </w:r>
          </w:p>
        </w:tc>
        <w:tc>
          <w:tcPr>
            <w:tcW w:w="1176" w:type="dxa"/>
            <w:gridSpan w:val="2"/>
            <w:tcBorders>
              <w:top w:val="nil"/>
              <w:left w:val="nil"/>
              <w:bottom w:val="nil"/>
              <w:right w:val="nil"/>
            </w:tcBorders>
            <w:noWrap/>
            <w:hideMark/>
          </w:tcPr>
          <w:p w14:paraId="16262B75"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33,950</w:t>
            </w:r>
          </w:p>
        </w:tc>
        <w:tc>
          <w:tcPr>
            <w:tcW w:w="992" w:type="dxa"/>
            <w:tcBorders>
              <w:top w:val="nil"/>
              <w:left w:val="nil"/>
              <w:bottom w:val="nil"/>
              <w:right w:val="nil"/>
            </w:tcBorders>
            <w:noWrap/>
            <w:hideMark/>
          </w:tcPr>
          <w:p w14:paraId="515DE70B"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2,440</w:t>
            </w:r>
          </w:p>
        </w:tc>
      </w:tr>
      <w:tr w:rsidR="00F94DFC" w:rsidRPr="0012478F" w14:paraId="077ACEB6" w14:textId="77777777" w:rsidTr="004C30F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71" w:type="dxa"/>
            <w:tcBorders>
              <w:left w:val="single" w:sz="4" w:space="0" w:color="5B9BD5" w:themeColor="accent5"/>
            </w:tcBorders>
            <w:noWrap/>
            <w:hideMark/>
          </w:tcPr>
          <w:p w14:paraId="25BE6359" w14:textId="77777777" w:rsidR="00F94DFC" w:rsidRPr="0012478F" w:rsidRDefault="00F94DFC" w:rsidP="004C30FE">
            <w:pPr>
              <w:keepNext/>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30-34</w:t>
            </w:r>
          </w:p>
        </w:tc>
        <w:tc>
          <w:tcPr>
            <w:tcW w:w="953" w:type="dxa"/>
            <w:tcBorders>
              <w:left w:val="nil"/>
              <w:right w:val="nil"/>
            </w:tcBorders>
            <w:noWrap/>
            <w:hideMark/>
          </w:tcPr>
          <w:p w14:paraId="13F60B27"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654</w:t>
            </w:r>
          </w:p>
        </w:tc>
        <w:tc>
          <w:tcPr>
            <w:tcW w:w="809" w:type="dxa"/>
            <w:tcBorders>
              <w:left w:val="nil"/>
              <w:right w:val="nil"/>
            </w:tcBorders>
            <w:noWrap/>
            <w:hideMark/>
          </w:tcPr>
          <w:p w14:paraId="61168506"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358</w:t>
            </w:r>
          </w:p>
        </w:tc>
        <w:tc>
          <w:tcPr>
            <w:tcW w:w="769" w:type="dxa"/>
            <w:tcBorders>
              <w:left w:val="nil"/>
              <w:right w:val="nil"/>
            </w:tcBorders>
            <w:noWrap/>
            <w:hideMark/>
          </w:tcPr>
          <w:p w14:paraId="37FA1750"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46</w:t>
            </w:r>
          </w:p>
        </w:tc>
        <w:tc>
          <w:tcPr>
            <w:tcW w:w="750" w:type="dxa"/>
            <w:tcBorders>
              <w:left w:val="nil"/>
              <w:right w:val="nil"/>
            </w:tcBorders>
            <w:noWrap/>
            <w:hideMark/>
          </w:tcPr>
          <w:p w14:paraId="105D33A1"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29</w:t>
            </w:r>
          </w:p>
        </w:tc>
        <w:tc>
          <w:tcPr>
            <w:tcW w:w="972" w:type="dxa"/>
            <w:tcBorders>
              <w:left w:val="nil"/>
              <w:right w:val="nil"/>
            </w:tcBorders>
            <w:noWrap/>
            <w:hideMark/>
          </w:tcPr>
          <w:p w14:paraId="6292599D"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48.2</w:t>
            </w:r>
          </w:p>
        </w:tc>
        <w:tc>
          <w:tcPr>
            <w:tcW w:w="941" w:type="dxa"/>
            <w:tcBorders>
              <w:left w:val="nil"/>
              <w:right w:val="nil"/>
            </w:tcBorders>
            <w:noWrap/>
            <w:hideMark/>
          </w:tcPr>
          <w:p w14:paraId="2384C9BB"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51.6</w:t>
            </w:r>
          </w:p>
        </w:tc>
        <w:tc>
          <w:tcPr>
            <w:tcW w:w="1176" w:type="dxa"/>
            <w:gridSpan w:val="2"/>
            <w:tcBorders>
              <w:left w:val="nil"/>
              <w:right w:val="nil"/>
            </w:tcBorders>
            <w:noWrap/>
            <w:hideMark/>
          </w:tcPr>
          <w:p w14:paraId="383BE1C7"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46,259</w:t>
            </w:r>
          </w:p>
        </w:tc>
        <w:tc>
          <w:tcPr>
            <w:tcW w:w="992" w:type="dxa"/>
            <w:tcBorders>
              <w:left w:val="nil"/>
              <w:right w:val="nil"/>
            </w:tcBorders>
            <w:noWrap/>
            <w:hideMark/>
          </w:tcPr>
          <w:p w14:paraId="6C5156C6"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3,712</w:t>
            </w:r>
          </w:p>
        </w:tc>
      </w:tr>
      <w:tr w:rsidR="00F94DFC" w:rsidRPr="0012478F" w14:paraId="04EE2503" w14:textId="77777777" w:rsidTr="004C30FE">
        <w:trPr>
          <w:trHeight w:val="20"/>
        </w:trPr>
        <w:tc>
          <w:tcPr>
            <w:cnfStyle w:val="001000000000" w:firstRow="0" w:lastRow="0" w:firstColumn="1" w:lastColumn="0" w:oddVBand="0" w:evenVBand="0" w:oddHBand="0" w:evenHBand="0" w:firstRowFirstColumn="0" w:firstRowLastColumn="0" w:lastRowFirstColumn="0" w:lastRowLastColumn="0"/>
            <w:tcW w:w="1271" w:type="dxa"/>
            <w:tcBorders>
              <w:top w:val="nil"/>
              <w:left w:val="single" w:sz="4" w:space="0" w:color="5B9BD5" w:themeColor="accent5"/>
              <w:bottom w:val="nil"/>
            </w:tcBorders>
            <w:noWrap/>
            <w:hideMark/>
          </w:tcPr>
          <w:p w14:paraId="0D58DB6F" w14:textId="77777777" w:rsidR="00F94DFC" w:rsidRPr="0012478F" w:rsidRDefault="00F94DFC" w:rsidP="004C30FE">
            <w:pPr>
              <w:keepNext/>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35-39</w:t>
            </w:r>
          </w:p>
        </w:tc>
        <w:tc>
          <w:tcPr>
            <w:tcW w:w="953" w:type="dxa"/>
            <w:tcBorders>
              <w:top w:val="nil"/>
              <w:left w:val="nil"/>
              <w:bottom w:val="nil"/>
              <w:right w:val="nil"/>
            </w:tcBorders>
            <w:noWrap/>
            <w:hideMark/>
          </w:tcPr>
          <w:p w14:paraId="24E6F776"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1,003</w:t>
            </w:r>
          </w:p>
        </w:tc>
        <w:tc>
          <w:tcPr>
            <w:tcW w:w="809" w:type="dxa"/>
            <w:tcBorders>
              <w:top w:val="nil"/>
              <w:left w:val="nil"/>
              <w:bottom w:val="nil"/>
              <w:right w:val="nil"/>
            </w:tcBorders>
            <w:noWrap/>
            <w:hideMark/>
          </w:tcPr>
          <w:p w14:paraId="4BB01DF1"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635</w:t>
            </w:r>
          </w:p>
        </w:tc>
        <w:tc>
          <w:tcPr>
            <w:tcW w:w="769" w:type="dxa"/>
            <w:tcBorders>
              <w:top w:val="nil"/>
              <w:left w:val="nil"/>
              <w:bottom w:val="nil"/>
              <w:right w:val="nil"/>
            </w:tcBorders>
            <w:noWrap/>
            <w:hideMark/>
          </w:tcPr>
          <w:p w14:paraId="3E79899B"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65</w:t>
            </w:r>
          </w:p>
        </w:tc>
        <w:tc>
          <w:tcPr>
            <w:tcW w:w="750" w:type="dxa"/>
            <w:tcBorders>
              <w:top w:val="nil"/>
              <w:left w:val="nil"/>
              <w:bottom w:val="nil"/>
              <w:right w:val="nil"/>
            </w:tcBorders>
            <w:noWrap/>
            <w:hideMark/>
          </w:tcPr>
          <w:p w14:paraId="57A0DE17"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49</w:t>
            </w:r>
          </w:p>
        </w:tc>
        <w:tc>
          <w:tcPr>
            <w:tcW w:w="972" w:type="dxa"/>
            <w:tcBorders>
              <w:top w:val="nil"/>
              <w:left w:val="nil"/>
              <w:bottom w:val="nil"/>
              <w:right w:val="nil"/>
            </w:tcBorders>
            <w:noWrap/>
            <w:hideMark/>
          </w:tcPr>
          <w:p w14:paraId="51750FF1"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43.4</w:t>
            </w:r>
          </w:p>
        </w:tc>
        <w:tc>
          <w:tcPr>
            <w:tcW w:w="941" w:type="dxa"/>
            <w:tcBorders>
              <w:top w:val="nil"/>
              <w:left w:val="nil"/>
              <w:bottom w:val="nil"/>
              <w:right w:val="nil"/>
            </w:tcBorders>
            <w:noWrap/>
            <w:hideMark/>
          </w:tcPr>
          <w:p w14:paraId="12F1667F"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46.7</w:t>
            </w:r>
          </w:p>
        </w:tc>
        <w:tc>
          <w:tcPr>
            <w:tcW w:w="1176" w:type="dxa"/>
            <w:gridSpan w:val="2"/>
            <w:tcBorders>
              <w:top w:val="nil"/>
              <w:left w:val="nil"/>
              <w:bottom w:val="nil"/>
              <w:right w:val="nil"/>
            </w:tcBorders>
            <w:noWrap/>
            <w:hideMark/>
          </w:tcPr>
          <w:p w14:paraId="51F5D6B9"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68,081</w:t>
            </w:r>
          </w:p>
        </w:tc>
        <w:tc>
          <w:tcPr>
            <w:tcW w:w="992" w:type="dxa"/>
            <w:tcBorders>
              <w:top w:val="nil"/>
              <w:left w:val="nil"/>
              <w:bottom w:val="nil"/>
              <w:right w:val="nil"/>
            </w:tcBorders>
            <w:noWrap/>
            <w:hideMark/>
          </w:tcPr>
          <w:p w14:paraId="5F3B6713"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5,110</w:t>
            </w:r>
          </w:p>
        </w:tc>
      </w:tr>
      <w:tr w:rsidR="00F94DFC" w:rsidRPr="0012478F" w14:paraId="3DCD915D" w14:textId="77777777" w:rsidTr="004C30F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71" w:type="dxa"/>
            <w:tcBorders>
              <w:left w:val="single" w:sz="4" w:space="0" w:color="5B9BD5" w:themeColor="accent5"/>
            </w:tcBorders>
            <w:noWrap/>
            <w:hideMark/>
          </w:tcPr>
          <w:p w14:paraId="3F0EA727" w14:textId="77777777" w:rsidR="00F94DFC" w:rsidRPr="0012478F" w:rsidRDefault="00F94DFC" w:rsidP="004C30FE">
            <w:pPr>
              <w:keepNext/>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40-44</w:t>
            </w:r>
          </w:p>
        </w:tc>
        <w:tc>
          <w:tcPr>
            <w:tcW w:w="953" w:type="dxa"/>
            <w:tcBorders>
              <w:left w:val="nil"/>
              <w:right w:val="nil"/>
            </w:tcBorders>
            <w:noWrap/>
            <w:hideMark/>
          </w:tcPr>
          <w:p w14:paraId="302F4C73"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1,406</w:t>
            </w:r>
          </w:p>
        </w:tc>
        <w:tc>
          <w:tcPr>
            <w:tcW w:w="809" w:type="dxa"/>
            <w:tcBorders>
              <w:left w:val="nil"/>
              <w:right w:val="nil"/>
            </w:tcBorders>
            <w:noWrap/>
            <w:hideMark/>
          </w:tcPr>
          <w:p w14:paraId="2194A3FB"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856</w:t>
            </w:r>
          </w:p>
        </w:tc>
        <w:tc>
          <w:tcPr>
            <w:tcW w:w="769" w:type="dxa"/>
            <w:tcBorders>
              <w:left w:val="nil"/>
              <w:right w:val="nil"/>
            </w:tcBorders>
            <w:noWrap/>
            <w:hideMark/>
          </w:tcPr>
          <w:p w14:paraId="5E63A39B"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139</w:t>
            </w:r>
          </w:p>
        </w:tc>
        <w:tc>
          <w:tcPr>
            <w:tcW w:w="750" w:type="dxa"/>
            <w:tcBorders>
              <w:left w:val="nil"/>
              <w:right w:val="nil"/>
            </w:tcBorders>
            <w:noWrap/>
            <w:hideMark/>
          </w:tcPr>
          <w:p w14:paraId="2F885FD4"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81</w:t>
            </w:r>
          </w:p>
        </w:tc>
        <w:tc>
          <w:tcPr>
            <w:tcW w:w="972" w:type="dxa"/>
            <w:tcBorders>
              <w:left w:val="nil"/>
              <w:right w:val="nil"/>
            </w:tcBorders>
            <w:noWrap/>
            <w:hideMark/>
          </w:tcPr>
          <w:p w14:paraId="1DD11EC9"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38.7</w:t>
            </w:r>
          </w:p>
        </w:tc>
        <w:tc>
          <w:tcPr>
            <w:tcW w:w="941" w:type="dxa"/>
            <w:tcBorders>
              <w:left w:val="nil"/>
              <w:right w:val="nil"/>
            </w:tcBorders>
            <w:noWrap/>
            <w:hideMark/>
          </w:tcPr>
          <w:p w14:paraId="7A96C588"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41.9</w:t>
            </w:r>
          </w:p>
        </w:tc>
        <w:tc>
          <w:tcPr>
            <w:tcW w:w="1176" w:type="dxa"/>
            <w:gridSpan w:val="2"/>
            <w:tcBorders>
              <w:left w:val="nil"/>
              <w:right w:val="nil"/>
            </w:tcBorders>
            <w:noWrap/>
            <w:hideMark/>
          </w:tcPr>
          <w:p w14:paraId="0524DB4F"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81,497</w:t>
            </w:r>
          </w:p>
        </w:tc>
        <w:tc>
          <w:tcPr>
            <w:tcW w:w="992" w:type="dxa"/>
            <w:tcBorders>
              <w:left w:val="nil"/>
              <w:right w:val="nil"/>
            </w:tcBorders>
            <w:noWrap/>
            <w:hideMark/>
          </w:tcPr>
          <w:p w14:paraId="71FE2490"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8,772</w:t>
            </w:r>
          </w:p>
        </w:tc>
      </w:tr>
      <w:tr w:rsidR="00F94DFC" w:rsidRPr="0012478F" w14:paraId="4E0FDF08" w14:textId="77777777" w:rsidTr="004C30FE">
        <w:trPr>
          <w:trHeight w:val="20"/>
        </w:trPr>
        <w:tc>
          <w:tcPr>
            <w:cnfStyle w:val="001000000000" w:firstRow="0" w:lastRow="0" w:firstColumn="1" w:lastColumn="0" w:oddVBand="0" w:evenVBand="0" w:oddHBand="0" w:evenHBand="0" w:firstRowFirstColumn="0" w:firstRowLastColumn="0" w:lastRowFirstColumn="0" w:lastRowLastColumn="0"/>
            <w:tcW w:w="1271" w:type="dxa"/>
            <w:tcBorders>
              <w:top w:val="nil"/>
              <w:left w:val="single" w:sz="4" w:space="0" w:color="5B9BD5" w:themeColor="accent5"/>
              <w:bottom w:val="nil"/>
            </w:tcBorders>
            <w:noWrap/>
            <w:hideMark/>
          </w:tcPr>
          <w:p w14:paraId="124E69BD" w14:textId="77777777" w:rsidR="00F94DFC" w:rsidRPr="0012478F" w:rsidRDefault="00F94DFC" w:rsidP="004C30FE">
            <w:pPr>
              <w:keepNext/>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45-49</w:t>
            </w:r>
          </w:p>
        </w:tc>
        <w:tc>
          <w:tcPr>
            <w:tcW w:w="953" w:type="dxa"/>
            <w:tcBorders>
              <w:top w:val="nil"/>
              <w:left w:val="nil"/>
              <w:bottom w:val="nil"/>
              <w:right w:val="nil"/>
            </w:tcBorders>
            <w:noWrap/>
            <w:hideMark/>
          </w:tcPr>
          <w:p w14:paraId="653B400A"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2,326</w:t>
            </w:r>
          </w:p>
        </w:tc>
        <w:tc>
          <w:tcPr>
            <w:tcW w:w="809" w:type="dxa"/>
            <w:tcBorders>
              <w:top w:val="nil"/>
              <w:left w:val="nil"/>
              <w:bottom w:val="nil"/>
              <w:right w:val="nil"/>
            </w:tcBorders>
            <w:noWrap/>
            <w:hideMark/>
          </w:tcPr>
          <w:p w14:paraId="2D14AB4E"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1,568</w:t>
            </w:r>
          </w:p>
        </w:tc>
        <w:tc>
          <w:tcPr>
            <w:tcW w:w="769" w:type="dxa"/>
            <w:tcBorders>
              <w:top w:val="nil"/>
              <w:left w:val="nil"/>
              <w:bottom w:val="nil"/>
              <w:right w:val="nil"/>
            </w:tcBorders>
            <w:noWrap/>
            <w:hideMark/>
          </w:tcPr>
          <w:p w14:paraId="0CFCA9DA"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256</w:t>
            </w:r>
          </w:p>
        </w:tc>
        <w:tc>
          <w:tcPr>
            <w:tcW w:w="750" w:type="dxa"/>
            <w:tcBorders>
              <w:top w:val="nil"/>
              <w:left w:val="nil"/>
              <w:bottom w:val="nil"/>
              <w:right w:val="nil"/>
            </w:tcBorders>
            <w:noWrap/>
            <w:hideMark/>
          </w:tcPr>
          <w:p w14:paraId="540CD3DB"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153</w:t>
            </w:r>
          </w:p>
        </w:tc>
        <w:tc>
          <w:tcPr>
            <w:tcW w:w="972" w:type="dxa"/>
            <w:tcBorders>
              <w:top w:val="nil"/>
              <w:left w:val="nil"/>
              <w:bottom w:val="nil"/>
              <w:right w:val="nil"/>
            </w:tcBorders>
            <w:noWrap/>
            <w:hideMark/>
          </w:tcPr>
          <w:p w14:paraId="0B28533A"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34.1</w:t>
            </w:r>
          </w:p>
        </w:tc>
        <w:tc>
          <w:tcPr>
            <w:tcW w:w="941" w:type="dxa"/>
            <w:tcBorders>
              <w:top w:val="nil"/>
              <w:left w:val="nil"/>
              <w:bottom w:val="nil"/>
              <w:right w:val="nil"/>
            </w:tcBorders>
            <w:noWrap/>
            <w:hideMark/>
          </w:tcPr>
          <w:p w14:paraId="250D834E"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37.1</w:t>
            </w:r>
          </w:p>
        </w:tc>
        <w:tc>
          <w:tcPr>
            <w:tcW w:w="1176" w:type="dxa"/>
            <w:gridSpan w:val="2"/>
            <w:tcBorders>
              <w:top w:val="nil"/>
              <w:left w:val="nil"/>
              <w:bottom w:val="nil"/>
              <w:right w:val="nil"/>
            </w:tcBorders>
            <w:noWrap/>
            <w:hideMark/>
          </w:tcPr>
          <w:p w14:paraId="127319C3"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123,136</w:t>
            </w:r>
          </w:p>
        </w:tc>
        <w:tc>
          <w:tcPr>
            <w:tcW w:w="992" w:type="dxa"/>
            <w:tcBorders>
              <w:top w:val="nil"/>
              <w:left w:val="nil"/>
              <w:bottom w:val="nil"/>
              <w:right w:val="nil"/>
            </w:tcBorders>
            <w:noWrap/>
            <w:hideMark/>
          </w:tcPr>
          <w:p w14:paraId="64AFF9D2"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14,412</w:t>
            </w:r>
          </w:p>
        </w:tc>
      </w:tr>
      <w:tr w:rsidR="00F94DFC" w:rsidRPr="0012478F" w14:paraId="1780B939" w14:textId="77777777" w:rsidTr="004C30F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71" w:type="dxa"/>
            <w:tcBorders>
              <w:left w:val="single" w:sz="4" w:space="0" w:color="5B9BD5" w:themeColor="accent5"/>
            </w:tcBorders>
            <w:noWrap/>
            <w:hideMark/>
          </w:tcPr>
          <w:p w14:paraId="51EC0568" w14:textId="77777777" w:rsidR="00F94DFC" w:rsidRPr="0012478F" w:rsidRDefault="00F94DFC" w:rsidP="004C30FE">
            <w:pPr>
              <w:keepNext/>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50-54</w:t>
            </w:r>
          </w:p>
        </w:tc>
        <w:tc>
          <w:tcPr>
            <w:tcW w:w="953" w:type="dxa"/>
            <w:tcBorders>
              <w:left w:val="nil"/>
              <w:right w:val="nil"/>
            </w:tcBorders>
            <w:noWrap/>
            <w:hideMark/>
          </w:tcPr>
          <w:p w14:paraId="669835E7"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3,884</w:t>
            </w:r>
          </w:p>
        </w:tc>
        <w:tc>
          <w:tcPr>
            <w:tcW w:w="809" w:type="dxa"/>
            <w:tcBorders>
              <w:left w:val="nil"/>
              <w:right w:val="nil"/>
            </w:tcBorders>
            <w:noWrap/>
            <w:hideMark/>
          </w:tcPr>
          <w:p w14:paraId="7858D7ED"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2,469</w:t>
            </w:r>
          </w:p>
        </w:tc>
        <w:tc>
          <w:tcPr>
            <w:tcW w:w="769" w:type="dxa"/>
            <w:tcBorders>
              <w:left w:val="nil"/>
              <w:right w:val="nil"/>
            </w:tcBorders>
            <w:noWrap/>
            <w:hideMark/>
          </w:tcPr>
          <w:p w14:paraId="0360865A"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476</w:t>
            </w:r>
          </w:p>
        </w:tc>
        <w:tc>
          <w:tcPr>
            <w:tcW w:w="750" w:type="dxa"/>
            <w:tcBorders>
              <w:left w:val="nil"/>
              <w:right w:val="nil"/>
            </w:tcBorders>
            <w:noWrap/>
            <w:hideMark/>
          </w:tcPr>
          <w:p w14:paraId="290EE9DD"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277</w:t>
            </w:r>
          </w:p>
        </w:tc>
        <w:tc>
          <w:tcPr>
            <w:tcW w:w="972" w:type="dxa"/>
            <w:tcBorders>
              <w:left w:val="nil"/>
              <w:right w:val="nil"/>
            </w:tcBorders>
            <w:noWrap/>
            <w:hideMark/>
          </w:tcPr>
          <w:p w14:paraId="3C2E7B7B"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29.6</w:t>
            </w:r>
          </w:p>
        </w:tc>
        <w:tc>
          <w:tcPr>
            <w:tcW w:w="941" w:type="dxa"/>
            <w:tcBorders>
              <w:left w:val="nil"/>
              <w:right w:val="nil"/>
            </w:tcBorders>
            <w:noWrap/>
            <w:hideMark/>
          </w:tcPr>
          <w:p w14:paraId="5E44005D"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32.5</w:t>
            </w:r>
          </w:p>
        </w:tc>
        <w:tc>
          <w:tcPr>
            <w:tcW w:w="1176" w:type="dxa"/>
            <w:gridSpan w:val="2"/>
            <w:tcBorders>
              <w:left w:val="nil"/>
              <w:right w:val="nil"/>
            </w:tcBorders>
            <w:noWrap/>
            <w:hideMark/>
          </w:tcPr>
          <w:p w14:paraId="71CED217"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172,061</w:t>
            </w:r>
          </w:p>
        </w:tc>
        <w:tc>
          <w:tcPr>
            <w:tcW w:w="992" w:type="dxa"/>
            <w:tcBorders>
              <w:left w:val="nil"/>
              <w:right w:val="nil"/>
            </w:tcBorders>
            <w:noWrap/>
            <w:hideMark/>
          </w:tcPr>
          <w:p w14:paraId="265EA22F"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23,085</w:t>
            </w:r>
          </w:p>
        </w:tc>
      </w:tr>
      <w:tr w:rsidR="00F94DFC" w:rsidRPr="0012478F" w14:paraId="335B4A59" w14:textId="77777777" w:rsidTr="004C30FE">
        <w:trPr>
          <w:trHeight w:val="20"/>
        </w:trPr>
        <w:tc>
          <w:tcPr>
            <w:cnfStyle w:val="001000000000" w:firstRow="0" w:lastRow="0" w:firstColumn="1" w:lastColumn="0" w:oddVBand="0" w:evenVBand="0" w:oddHBand="0" w:evenHBand="0" w:firstRowFirstColumn="0" w:firstRowLastColumn="0" w:lastRowFirstColumn="0" w:lastRowLastColumn="0"/>
            <w:tcW w:w="1271" w:type="dxa"/>
            <w:tcBorders>
              <w:top w:val="nil"/>
              <w:left w:val="single" w:sz="4" w:space="0" w:color="5B9BD5" w:themeColor="accent5"/>
              <w:bottom w:val="nil"/>
            </w:tcBorders>
            <w:noWrap/>
            <w:hideMark/>
          </w:tcPr>
          <w:p w14:paraId="404E7282" w14:textId="77777777" w:rsidR="00F94DFC" w:rsidRPr="0012478F" w:rsidRDefault="00F94DFC" w:rsidP="004C30FE">
            <w:pPr>
              <w:keepNext/>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55-59</w:t>
            </w:r>
          </w:p>
        </w:tc>
        <w:tc>
          <w:tcPr>
            <w:tcW w:w="953" w:type="dxa"/>
            <w:tcBorders>
              <w:top w:val="nil"/>
              <w:left w:val="nil"/>
              <w:bottom w:val="nil"/>
              <w:right w:val="nil"/>
            </w:tcBorders>
            <w:noWrap/>
            <w:hideMark/>
          </w:tcPr>
          <w:p w14:paraId="1C8BC4EA"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5,633</w:t>
            </w:r>
          </w:p>
        </w:tc>
        <w:tc>
          <w:tcPr>
            <w:tcW w:w="809" w:type="dxa"/>
            <w:tcBorders>
              <w:top w:val="nil"/>
              <w:left w:val="nil"/>
              <w:bottom w:val="nil"/>
              <w:right w:val="nil"/>
            </w:tcBorders>
            <w:noWrap/>
            <w:hideMark/>
          </w:tcPr>
          <w:p w14:paraId="390DF6C3"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3,625</w:t>
            </w:r>
          </w:p>
        </w:tc>
        <w:tc>
          <w:tcPr>
            <w:tcW w:w="769" w:type="dxa"/>
            <w:tcBorders>
              <w:top w:val="nil"/>
              <w:left w:val="nil"/>
              <w:bottom w:val="nil"/>
              <w:right w:val="nil"/>
            </w:tcBorders>
            <w:noWrap/>
            <w:hideMark/>
          </w:tcPr>
          <w:p w14:paraId="67C061B1"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876</w:t>
            </w:r>
          </w:p>
        </w:tc>
        <w:tc>
          <w:tcPr>
            <w:tcW w:w="750" w:type="dxa"/>
            <w:tcBorders>
              <w:top w:val="nil"/>
              <w:left w:val="nil"/>
              <w:bottom w:val="nil"/>
              <w:right w:val="nil"/>
            </w:tcBorders>
            <w:noWrap/>
            <w:hideMark/>
          </w:tcPr>
          <w:p w14:paraId="5A70AEBF"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417</w:t>
            </w:r>
          </w:p>
        </w:tc>
        <w:tc>
          <w:tcPr>
            <w:tcW w:w="972" w:type="dxa"/>
            <w:tcBorders>
              <w:top w:val="nil"/>
              <w:left w:val="nil"/>
              <w:bottom w:val="nil"/>
              <w:right w:val="nil"/>
            </w:tcBorders>
            <w:noWrap/>
            <w:hideMark/>
          </w:tcPr>
          <w:p w14:paraId="2FECC15C"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25.2</w:t>
            </w:r>
          </w:p>
        </w:tc>
        <w:tc>
          <w:tcPr>
            <w:tcW w:w="941" w:type="dxa"/>
            <w:tcBorders>
              <w:top w:val="nil"/>
              <w:left w:val="nil"/>
              <w:bottom w:val="nil"/>
              <w:right w:val="nil"/>
            </w:tcBorders>
            <w:noWrap/>
            <w:hideMark/>
          </w:tcPr>
          <w:p w14:paraId="28C2B672"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27.9</w:t>
            </w:r>
          </w:p>
        </w:tc>
        <w:tc>
          <w:tcPr>
            <w:tcW w:w="1176" w:type="dxa"/>
            <w:gridSpan w:val="2"/>
            <w:tcBorders>
              <w:top w:val="nil"/>
              <w:left w:val="nil"/>
              <w:bottom w:val="nil"/>
              <w:right w:val="nil"/>
            </w:tcBorders>
            <w:noWrap/>
            <w:hideMark/>
          </w:tcPr>
          <w:p w14:paraId="50DE0CF4"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209,590</w:t>
            </w:r>
          </w:p>
        </w:tc>
        <w:tc>
          <w:tcPr>
            <w:tcW w:w="992" w:type="dxa"/>
            <w:tcBorders>
              <w:top w:val="nil"/>
              <w:left w:val="nil"/>
              <w:bottom w:val="nil"/>
              <w:right w:val="nil"/>
            </w:tcBorders>
            <w:noWrap/>
            <w:hideMark/>
          </w:tcPr>
          <w:p w14:paraId="71A3C8CD"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33,741</w:t>
            </w:r>
          </w:p>
        </w:tc>
      </w:tr>
      <w:tr w:rsidR="00F94DFC" w:rsidRPr="0012478F" w14:paraId="3DB05970" w14:textId="77777777" w:rsidTr="004C30F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71" w:type="dxa"/>
            <w:tcBorders>
              <w:left w:val="single" w:sz="4" w:space="0" w:color="5B9BD5" w:themeColor="accent5"/>
            </w:tcBorders>
            <w:noWrap/>
            <w:hideMark/>
          </w:tcPr>
          <w:p w14:paraId="50400522" w14:textId="77777777" w:rsidR="00F94DFC" w:rsidRPr="0012478F" w:rsidRDefault="00F94DFC" w:rsidP="004C30FE">
            <w:pPr>
              <w:keepNext/>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60-64</w:t>
            </w:r>
          </w:p>
        </w:tc>
        <w:tc>
          <w:tcPr>
            <w:tcW w:w="953" w:type="dxa"/>
            <w:tcBorders>
              <w:left w:val="nil"/>
              <w:right w:val="nil"/>
            </w:tcBorders>
            <w:noWrap/>
            <w:hideMark/>
          </w:tcPr>
          <w:p w14:paraId="4311CA29"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7,640</w:t>
            </w:r>
          </w:p>
        </w:tc>
        <w:tc>
          <w:tcPr>
            <w:tcW w:w="809" w:type="dxa"/>
            <w:tcBorders>
              <w:left w:val="nil"/>
              <w:right w:val="nil"/>
            </w:tcBorders>
            <w:noWrap/>
            <w:hideMark/>
          </w:tcPr>
          <w:p w14:paraId="1C855473"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5,019</w:t>
            </w:r>
          </w:p>
        </w:tc>
        <w:tc>
          <w:tcPr>
            <w:tcW w:w="769" w:type="dxa"/>
            <w:tcBorders>
              <w:left w:val="nil"/>
              <w:right w:val="nil"/>
            </w:tcBorders>
            <w:noWrap/>
            <w:hideMark/>
          </w:tcPr>
          <w:p w14:paraId="4205732E"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1,234</w:t>
            </w:r>
          </w:p>
        </w:tc>
        <w:tc>
          <w:tcPr>
            <w:tcW w:w="750" w:type="dxa"/>
            <w:tcBorders>
              <w:left w:val="nil"/>
              <w:right w:val="nil"/>
            </w:tcBorders>
            <w:noWrap/>
            <w:hideMark/>
          </w:tcPr>
          <w:p w14:paraId="6620766A"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617</w:t>
            </w:r>
          </w:p>
        </w:tc>
        <w:tc>
          <w:tcPr>
            <w:tcW w:w="972" w:type="dxa"/>
            <w:tcBorders>
              <w:left w:val="nil"/>
              <w:right w:val="nil"/>
            </w:tcBorders>
            <w:noWrap/>
            <w:hideMark/>
          </w:tcPr>
          <w:p w14:paraId="066B9E06"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21.0</w:t>
            </w:r>
          </w:p>
        </w:tc>
        <w:tc>
          <w:tcPr>
            <w:tcW w:w="941" w:type="dxa"/>
            <w:tcBorders>
              <w:left w:val="nil"/>
              <w:right w:val="nil"/>
            </w:tcBorders>
            <w:noWrap/>
            <w:hideMark/>
          </w:tcPr>
          <w:p w14:paraId="6999F3AA"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23.6</w:t>
            </w:r>
          </w:p>
        </w:tc>
        <w:tc>
          <w:tcPr>
            <w:tcW w:w="1176" w:type="dxa"/>
            <w:gridSpan w:val="2"/>
            <w:tcBorders>
              <w:left w:val="nil"/>
              <w:right w:val="nil"/>
            </w:tcBorders>
            <w:noWrap/>
            <w:hideMark/>
          </w:tcPr>
          <w:p w14:paraId="5225B665"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238,458</w:t>
            </w:r>
          </w:p>
        </w:tc>
        <w:tc>
          <w:tcPr>
            <w:tcW w:w="992" w:type="dxa"/>
            <w:tcBorders>
              <w:left w:val="nil"/>
              <w:right w:val="nil"/>
            </w:tcBorders>
            <w:noWrap/>
            <w:hideMark/>
          </w:tcPr>
          <w:p w14:paraId="0BD32147"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40,495</w:t>
            </w:r>
          </w:p>
        </w:tc>
      </w:tr>
      <w:tr w:rsidR="00F94DFC" w:rsidRPr="0012478F" w14:paraId="76C2578F" w14:textId="77777777" w:rsidTr="004C30FE">
        <w:trPr>
          <w:trHeight w:val="20"/>
        </w:trPr>
        <w:tc>
          <w:tcPr>
            <w:cnfStyle w:val="001000000000" w:firstRow="0" w:lastRow="0" w:firstColumn="1" w:lastColumn="0" w:oddVBand="0" w:evenVBand="0" w:oddHBand="0" w:evenHBand="0" w:firstRowFirstColumn="0" w:firstRowLastColumn="0" w:lastRowFirstColumn="0" w:lastRowLastColumn="0"/>
            <w:tcW w:w="1271" w:type="dxa"/>
            <w:tcBorders>
              <w:top w:val="nil"/>
              <w:left w:val="single" w:sz="4" w:space="0" w:color="5B9BD5" w:themeColor="accent5"/>
              <w:bottom w:val="nil"/>
            </w:tcBorders>
            <w:noWrap/>
            <w:hideMark/>
          </w:tcPr>
          <w:p w14:paraId="316403D1" w14:textId="77777777" w:rsidR="00F94DFC" w:rsidRPr="0012478F" w:rsidRDefault="00F94DFC" w:rsidP="004C30FE">
            <w:pPr>
              <w:keepNext/>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65-69</w:t>
            </w:r>
          </w:p>
        </w:tc>
        <w:tc>
          <w:tcPr>
            <w:tcW w:w="953" w:type="dxa"/>
            <w:tcBorders>
              <w:top w:val="nil"/>
              <w:left w:val="nil"/>
              <w:bottom w:val="nil"/>
              <w:right w:val="nil"/>
            </w:tcBorders>
            <w:noWrap/>
            <w:hideMark/>
          </w:tcPr>
          <w:p w14:paraId="64F33281"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10,575</w:t>
            </w:r>
          </w:p>
        </w:tc>
        <w:tc>
          <w:tcPr>
            <w:tcW w:w="809" w:type="dxa"/>
            <w:tcBorders>
              <w:top w:val="nil"/>
              <w:left w:val="nil"/>
              <w:bottom w:val="nil"/>
              <w:right w:val="nil"/>
            </w:tcBorders>
            <w:noWrap/>
            <w:hideMark/>
          </w:tcPr>
          <w:p w14:paraId="60E566F0"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6,848</w:t>
            </w:r>
          </w:p>
        </w:tc>
        <w:tc>
          <w:tcPr>
            <w:tcW w:w="769" w:type="dxa"/>
            <w:tcBorders>
              <w:top w:val="nil"/>
              <w:left w:val="nil"/>
              <w:bottom w:val="nil"/>
              <w:right w:val="nil"/>
            </w:tcBorders>
            <w:noWrap/>
            <w:hideMark/>
          </w:tcPr>
          <w:p w14:paraId="5BAAEA7D"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1,643</w:t>
            </w:r>
          </w:p>
        </w:tc>
        <w:tc>
          <w:tcPr>
            <w:tcW w:w="750" w:type="dxa"/>
            <w:tcBorders>
              <w:top w:val="nil"/>
              <w:left w:val="nil"/>
              <w:bottom w:val="nil"/>
              <w:right w:val="nil"/>
            </w:tcBorders>
            <w:noWrap/>
            <w:hideMark/>
          </w:tcPr>
          <w:p w14:paraId="46F2AD6E"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845</w:t>
            </w:r>
          </w:p>
        </w:tc>
        <w:tc>
          <w:tcPr>
            <w:tcW w:w="972" w:type="dxa"/>
            <w:tcBorders>
              <w:top w:val="nil"/>
              <w:left w:val="nil"/>
              <w:bottom w:val="nil"/>
              <w:right w:val="nil"/>
            </w:tcBorders>
            <w:noWrap/>
            <w:hideMark/>
          </w:tcPr>
          <w:p w14:paraId="66F41DA4"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17.1</w:t>
            </w:r>
          </w:p>
        </w:tc>
        <w:tc>
          <w:tcPr>
            <w:tcW w:w="941" w:type="dxa"/>
            <w:tcBorders>
              <w:top w:val="nil"/>
              <w:left w:val="nil"/>
              <w:bottom w:val="nil"/>
              <w:right w:val="nil"/>
            </w:tcBorders>
            <w:noWrap/>
            <w:hideMark/>
          </w:tcPr>
          <w:p w14:paraId="3E21FDC3"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19.3</w:t>
            </w:r>
          </w:p>
        </w:tc>
        <w:tc>
          <w:tcPr>
            <w:tcW w:w="1176" w:type="dxa"/>
            <w:gridSpan w:val="2"/>
            <w:tcBorders>
              <w:top w:val="nil"/>
              <w:left w:val="nil"/>
              <w:bottom w:val="nil"/>
              <w:right w:val="nil"/>
            </w:tcBorders>
            <w:noWrap/>
            <w:hideMark/>
          </w:tcPr>
          <w:p w14:paraId="3910EBDF"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268,990</w:t>
            </w:r>
          </w:p>
        </w:tc>
        <w:tc>
          <w:tcPr>
            <w:tcW w:w="992" w:type="dxa"/>
            <w:tcBorders>
              <w:top w:val="nil"/>
              <w:left w:val="nil"/>
              <w:bottom w:val="nil"/>
              <w:right w:val="nil"/>
            </w:tcBorders>
            <w:noWrap/>
            <w:hideMark/>
          </w:tcPr>
          <w:p w14:paraId="59358F2B"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44,464</w:t>
            </w:r>
          </w:p>
        </w:tc>
      </w:tr>
      <w:tr w:rsidR="00F94DFC" w:rsidRPr="0012478F" w14:paraId="5578F8D4" w14:textId="77777777" w:rsidTr="004C30F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71" w:type="dxa"/>
            <w:tcBorders>
              <w:left w:val="single" w:sz="4" w:space="0" w:color="5B9BD5" w:themeColor="accent5"/>
            </w:tcBorders>
            <w:noWrap/>
            <w:hideMark/>
          </w:tcPr>
          <w:p w14:paraId="18A5FB38" w14:textId="77777777" w:rsidR="00F94DFC" w:rsidRPr="0012478F" w:rsidRDefault="00F94DFC" w:rsidP="004C30FE">
            <w:pPr>
              <w:keepNext/>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70-74</w:t>
            </w:r>
          </w:p>
        </w:tc>
        <w:tc>
          <w:tcPr>
            <w:tcW w:w="953" w:type="dxa"/>
            <w:tcBorders>
              <w:left w:val="nil"/>
              <w:right w:val="nil"/>
            </w:tcBorders>
            <w:noWrap/>
            <w:hideMark/>
          </w:tcPr>
          <w:p w14:paraId="32A346F8"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16,314</w:t>
            </w:r>
          </w:p>
        </w:tc>
        <w:tc>
          <w:tcPr>
            <w:tcW w:w="809" w:type="dxa"/>
            <w:tcBorders>
              <w:left w:val="nil"/>
              <w:right w:val="nil"/>
            </w:tcBorders>
            <w:noWrap/>
            <w:hideMark/>
          </w:tcPr>
          <w:p w14:paraId="3CE677B4"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11,331</w:t>
            </w:r>
          </w:p>
        </w:tc>
        <w:tc>
          <w:tcPr>
            <w:tcW w:w="769" w:type="dxa"/>
            <w:tcBorders>
              <w:left w:val="nil"/>
              <w:right w:val="nil"/>
            </w:tcBorders>
            <w:noWrap/>
            <w:hideMark/>
          </w:tcPr>
          <w:p w14:paraId="708B0589"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2,665</w:t>
            </w:r>
          </w:p>
        </w:tc>
        <w:tc>
          <w:tcPr>
            <w:tcW w:w="750" w:type="dxa"/>
            <w:tcBorders>
              <w:left w:val="nil"/>
              <w:right w:val="nil"/>
            </w:tcBorders>
            <w:noWrap/>
            <w:hideMark/>
          </w:tcPr>
          <w:p w14:paraId="20604E1C"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1,406</w:t>
            </w:r>
          </w:p>
        </w:tc>
        <w:tc>
          <w:tcPr>
            <w:tcW w:w="972" w:type="dxa"/>
            <w:tcBorders>
              <w:left w:val="nil"/>
              <w:right w:val="nil"/>
            </w:tcBorders>
            <w:noWrap/>
            <w:hideMark/>
          </w:tcPr>
          <w:p w14:paraId="29A14D08"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13.4</w:t>
            </w:r>
          </w:p>
        </w:tc>
        <w:tc>
          <w:tcPr>
            <w:tcW w:w="941" w:type="dxa"/>
            <w:tcBorders>
              <w:left w:val="nil"/>
              <w:right w:val="nil"/>
            </w:tcBorders>
            <w:noWrap/>
            <w:hideMark/>
          </w:tcPr>
          <w:p w14:paraId="2C1502F9"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15.4</w:t>
            </w:r>
          </w:p>
        </w:tc>
        <w:tc>
          <w:tcPr>
            <w:tcW w:w="1176" w:type="dxa"/>
            <w:gridSpan w:val="2"/>
            <w:tcBorders>
              <w:left w:val="nil"/>
              <w:right w:val="nil"/>
            </w:tcBorders>
            <w:noWrap/>
            <w:hideMark/>
          </w:tcPr>
          <w:p w14:paraId="3D1FE6D8"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335,960</w:t>
            </w:r>
          </w:p>
        </w:tc>
        <w:tc>
          <w:tcPr>
            <w:tcW w:w="992" w:type="dxa"/>
            <w:tcBorders>
              <w:left w:val="nil"/>
              <w:right w:val="nil"/>
            </w:tcBorders>
            <w:noWrap/>
            <w:hideMark/>
          </w:tcPr>
          <w:p w14:paraId="0BE7C4E3"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57,429</w:t>
            </w:r>
          </w:p>
        </w:tc>
      </w:tr>
      <w:tr w:rsidR="00F94DFC" w:rsidRPr="0012478F" w14:paraId="36C8840E" w14:textId="77777777" w:rsidTr="004C30FE">
        <w:trPr>
          <w:trHeight w:val="20"/>
        </w:trPr>
        <w:tc>
          <w:tcPr>
            <w:cnfStyle w:val="001000000000" w:firstRow="0" w:lastRow="0" w:firstColumn="1" w:lastColumn="0" w:oddVBand="0" w:evenVBand="0" w:oddHBand="0" w:evenHBand="0" w:firstRowFirstColumn="0" w:firstRowLastColumn="0" w:lastRowFirstColumn="0" w:lastRowLastColumn="0"/>
            <w:tcW w:w="1271" w:type="dxa"/>
            <w:tcBorders>
              <w:top w:val="nil"/>
              <w:left w:val="single" w:sz="4" w:space="0" w:color="5B9BD5" w:themeColor="accent5"/>
              <w:bottom w:val="nil"/>
            </w:tcBorders>
            <w:noWrap/>
            <w:hideMark/>
          </w:tcPr>
          <w:p w14:paraId="1CEEB7FB" w14:textId="77777777" w:rsidR="00F94DFC" w:rsidRPr="0012478F" w:rsidRDefault="00F94DFC" w:rsidP="004C30FE">
            <w:pPr>
              <w:keepNext/>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75-79</w:t>
            </w:r>
          </w:p>
        </w:tc>
        <w:tc>
          <w:tcPr>
            <w:tcW w:w="953" w:type="dxa"/>
            <w:tcBorders>
              <w:top w:val="nil"/>
              <w:left w:val="nil"/>
              <w:bottom w:val="nil"/>
              <w:right w:val="nil"/>
            </w:tcBorders>
            <w:noWrap/>
            <w:hideMark/>
          </w:tcPr>
          <w:p w14:paraId="0D14DF4B"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20,131</w:t>
            </w:r>
          </w:p>
        </w:tc>
        <w:tc>
          <w:tcPr>
            <w:tcW w:w="809" w:type="dxa"/>
            <w:tcBorders>
              <w:top w:val="nil"/>
              <w:left w:val="nil"/>
              <w:bottom w:val="nil"/>
              <w:right w:val="nil"/>
            </w:tcBorders>
            <w:noWrap/>
            <w:hideMark/>
          </w:tcPr>
          <w:p w14:paraId="74C7022E"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15,452</w:t>
            </w:r>
          </w:p>
        </w:tc>
        <w:tc>
          <w:tcPr>
            <w:tcW w:w="769" w:type="dxa"/>
            <w:tcBorders>
              <w:top w:val="nil"/>
              <w:left w:val="nil"/>
              <w:bottom w:val="nil"/>
              <w:right w:val="nil"/>
            </w:tcBorders>
            <w:noWrap/>
            <w:hideMark/>
          </w:tcPr>
          <w:p w14:paraId="11AB98EC"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3,640</w:t>
            </w:r>
          </w:p>
        </w:tc>
        <w:tc>
          <w:tcPr>
            <w:tcW w:w="750" w:type="dxa"/>
            <w:tcBorders>
              <w:top w:val="nil"/>
              <w:left w:val="nil"/>
              <w:bottom w:val="nil"/>
              <w:right w:val="nil"/>
            </w:tcBorders>
            <w:noWrap/>
            <w:hideMark/>
          </w:tcPr>
          <w:p w14:paraId="7F165319"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2,235</w:t>
            </w:r>
          </w:p>
        </w:tc>
        <w:tc>
          <w:tcPr>
            <w:tcW w:w="972" w:type="dxa"/>
            <w:tcBorders>
              <w:top w:val="nil"/>
              <w:left w:val="nil"/>
              <w:bottom w:val="nil"/>
              <w:right w:val="nil"/>
            </w:tcBorders>
            <w:noWrap/>
            <w:hideMark/>
          </w:tcPr>
          <w:p w14:paraId="167EDD39"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10.2</w:t>
            </w:r>
          </w:p>
        </w:tc>
        <w:tc>
          <w:tcPr>
            <w:tcW w:w="941" w:type="dxa"/>
            <w:tcBorders>
              <w:top w:val="nil"/>
              <w:left w:val="nil"/>
              <w:bottom w:val="nil"/>
              <w:right w:val="nil"/>
            </w:tcBorders>
            <w:noWrap/>
            <w:hideMark/>
          </w:tcPr>
          <w:p w14:paraId="1BF97FFE"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11.7</w:t>
            </w:r>
          </w:p>
        </w:tc>
        <w:tc>
          <w:tcPr>
            <w:tcW w:w="1176" w:type="dxa"/>
            <w:gridSpan w:val="2"/>
            <w:tcBorders>
              <w:top w:val="nil"/>
              <w:left w:val="nil"/>
              <w:bottom w:val="nil"/>
              <w:right w:val="nil"/>
            </w:tcBorders>
            <w:noWrap/>
            <w:hideMark/>
          </w:tcPr>
          <w:p w14:paraId="4DAFF429"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322,234</w:t>
            </w:r>
          </w:p>
        </w:tc>
        <w:tc>
          <w:tcPr>
            <w:tcW w:w="992" w:type="dxa"/>
            <w:tcBorders>
              <w:top w:val="nil"/>
              <w:left w:val="nil"/>
              <w:bottom w:val="nil"/>
              <w:right w:val="nil"/>
            </w:tcBorders>
            <w:noWrap/>
            <w:hideMark/>
          </w:tcPr>
          <w:p w14:paraId="7236AE45"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63,145</w:t>
            </w:r>
          </w:p>
        </w:tc>
      </w:tr>
      <w:tr w:rsidR="00F94DFC" w:rsidRPr="0012478F" w14:paraId="1149F763" w14:textId="77777777" w:rsidTr="004C30F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71" w:type="dxa"/>
            <w:tcBorders>
              <w:left w:val="single" w:sz="4" w:space="0" w:color="5B9BD5" w:themeColor="accent5"/>
            </w:tcBorders>
            <w:noWrap/>
            <w:hideMark/>
          </w:tcPr>
          <w:p w14:paraId="457ED1A5" w14:textId="77777777" w:rsidR="00F94DFC" w:rsidRPr="0012478F" w:rsidRDefault="00F94DFC" w:rsidP="004C30FE">
            <w:pPr>
              <w:keepNext/>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80-84</w:t>
            </w:r>
          </w:p>
        </w:tc>
        <w:tc>
          <w:tcPr>
            <w:tcW w:w="953" w:type="dxa"/>
            <w:tcBorders>
              <w:left w:val="nil"/>
              <w:right w:val="nil"/>
            </w:tcBorders>
            <w:noWrap/>
            <w:hideMark/>
          </w:tcPr>
          <w:p w14:paraId="2D3D8880"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24,854</w:t>
            </w:r>
          </w:p>
        </w:tc>
        <w:tc>
          <w:tcPr>
            <w:tcW w:w="809" w:type="dxa"/>
            <w:tcBorders>
              <w:left w:val="nil"/>
              <w:right w:val="nil"/>
            </w:tcBorders>
            <w:noWrap/>
            <w:hideMark/>
          </w:tcPr>
          <w:p w14:paraId="2CAA5D02"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22,256</w:t>
            </w:r>
          </w:p>
        </w:tc>
        <w:tc>
          <w:tcPr>
            <w:tcW w:w="769" w:type="dxa"/>
            <w:tcBorders>
              <w:left w:val="nil"/>
              <w:right w:val="nil"/>
            </w:tcBorders>
            <w:noWrap/>
            <w:hideMark/>
          </w:tcPr>
          <w:p w14:paraId="1EBEECA5"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4,782</w:t>
            </w:r>
          </w:p>
        </w:tc>
        <w:tc>
          <w:tcPr>
            <w:tcW w:w="750" w:type="dxa"/>
            <w:tcBorders>
              <w:left w:val="nil"/>
              <w:right w:val="nil"/>
            </w:tcBorders>
            <w:noWrap/>
            <w:hideMark/>
          </w:tcPr>
          <w:p w14:paraId="1D894465"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3,478</w:t>
            </w:r>
          </w:p>
        </w:tc>
        <w:tc>
          <w:tcPr>
            <w:tcW w:w="972" w:type="dxa"/>
            <w:tcBorders>
              <w:left w:val="nil"/>
              <w:right w:val="nil"/>
            </w:tcBorders>
            <w:noWrap/>
            <w:hideMark/>
          </w:tcPr>
          <w:p w14:paraId="361190FD"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7.3</w:t>
            </w:r>
          </w:p>
        </w:tc>
        <w:tc>
          <w:tcPr>
            <w:tcW w:w="941" w:type="dxa"/>
            <w:tcBorders>
              <w:left w:val="nil"/>
              <w:right w:val="nil"/>
            </w:tcBorders>
            <w:noWrap/>
            <w:hideMark/>
          </w:tcPr>
          <w:p w14:paraId="5AF3F986"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8.5</w:t>
            </w:r>
          </w:p>
        </w:tc>
        <w:tc>
          <w:tcPr>
            <w:tcW w:w="1176" w:type="dxa"/>
            <w:gridSpan w:val="2"/>
            <w:tcBorders>
              <w:left w:val="nil"/>
              <w:right w:val="nil"/>
            </w:tcBorders>
            <w:noWrap/>
            <w:hideMark/>
          </w:tcPr>
          <w:p w14:paraId="5CB86BAF"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306,689</w:t>
            </w:r>
          </w:p>
        </w:tc>
        <w:tc>
          <w:tcPr>
            <w:tcW w:w="992" w:type="dxa"/>
            <w:tcBorders>
              <w:left w:val="nil"/>
              <w:right w:val="nil"/>
            </w:tcBorders>
            <w:noWrap/>
            <w:hideMark/>
          </w:tcPr>
          <w:p w14:paraId="2A0808E5"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64,625</w:t>
            </w:r>
          </w:p>
        </w:tc>
      </w:tr>
      <w:tr w:rsidR="00F94DFC" w:rsidRPr="0012478F" w14:paraId="0CF0628A" w14:textId="77777777" w:rsidTr="004C30FE">
        <w:trPr>
          <w:trHeight w:val="20"/>
        </w:trPr>
        <w:tc>
          <w:tcPr>
            <w:cnfStyle w:val="001000000000" w:firstRow="0" w:lastRow="0" w:firstColumn="1" w:lastColumn="0" w:oddVBand="0" w:evenVBand="0" w:oddHBand="0" w:evenHBand="0" w:firstRowFirstColumn="0" w:firstRowLastColumn="0" w:lastRowFirstColumn="0" w:lastRowLastColumn="0"/>
            <w:tcW w:w="1271" w:type="dxa"/>
            <w:tcBorders>
              <w:top w:val="nil"/>
              <w:left w:val="single" w:sz="4" w:space="0" w:color="5B9BD5" w:themeColor="accent5"/>
              <w:bottom w:val="nil"/>
            </w:tcBorders>
            <w:noWrap/>
            <w:hideMark/>
          </w:tcPr>
          <w:p w14:paraId="5DA43B4C" w14:textId="77777777" w:rsidR="00F94DFC" w:rsidRPr="0012478F" w:rsidRDefault="00F94DFC" w:rsidP="004C30FE">
            <w:pPr>
              <w:keepNext/>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85-89</w:t>
            </w:r>
          </w:p>
        </w:tc>
        <w:tc>
          <w:tcPr>
            <w:tcW w:w="953" w:type="dxa"/>
            <w:tcBorders>
              <w:top w:val="nil"/>
              <w:left w:val="nil"/>
              <w:bottom w:val="nil"/>
              <w:right w:val="nil"/>
            </w:tcBorders>
            <w:noWrap/>
            <w:hideMark/>
          </w:tcPr>
          <w:p w14:paraId="0083C481"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25,537</w:t>
            </w:r>
          </w:p>
        </w:tc>
        <w:tc>
          <w:tcPr>
            <w:tcW w:w="809" w:type="dxa"/>
            <w:tcBorders>
              <w:top w:val="nil"/>
              <w:left w:val="nil"/>
              <w:bottom w:val="nil"/>
              <w:right w:val="nil"/>
            </w:tcBorders>
            <w:noWrap/>
            <w:hideMark/>
          </w:tcPr>
          <w:p w14:paraId="5A163FEF"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28,624</w:t>
            </w:r>
          </w:p>
        </w:tc>
        <w:tc>
          <w:tcPr>
            <w:tcW w:w="769" w:type="dxa"/>
            <w:tcBorders>
              <w:top w:val="nil"/>
              <w:left w:val="nil"/>
              <w:bottom w:val="nil"/>
              <w:right w:val="nil"/>
            </w:tcBorders>
            <w:noWrap/>
            <w:hideMark/>
          </w:tcPr>
          <w:p w14:paraId="229FA113"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4,650</w:t>
            </w:r>
          </w:p>
        </w:tc>
        <w:tc>
          <w:tcPr>
            <w:tcW w:w="750" w:type="dxa"/>
            <w:tcBorders>
              <w:top w:val="nil"/>
              <w:left w:val="nil"/>
              <w:bottom w:val="nil"/>
              <w:right w:val="nil"/>
            </w:tcBorders>
            <w:noWrap/>
            <w:hideMark/>
          </w:tcPr>
          <w:p w14:paraId="60F30E66"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4,234</w:t>
            </w:r>
          </w:p>
        </w:tc>
        <w:tc>
          <w:tcPr>
            <w:tcW w:w="972" w:type="dxa"/>
            <w:tcBorders>
              <w:top w:val="nil"/>
              <w:left w:val="nil"/>
              <w:bottom w:val="nil"/>
              <w:right w:val="nil"/>
            </w:tcBorders>
            <w:noWrap/>
            <w:hideMark/>
          </w:tcPr>
          <w:p w14:paraId="677C373E"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5.1</w:t>
            </w:r>
          </w:p>
        </w:tc>
        <w:tc>
          <w:tcPr>
            <w:tcW w:w="941" w:type="dxa"/>
            <w:tcBorders>
              <w:top w:val="nil"/>
              <w:left w:val="nil"/>
              <w:bottom w:val="nil"/>
              <w:right w:val="nil"/>
            </w:tcBorders>
            <w:noWrap/>
            <w:hideMark/>
          </w:tcPr>
          <w:p w14:paraId="23603DB6"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5.9</w:t>
            </w:r>
          </w:p>
        </w:tc>
        <w:tc>
          <w:tcPr>
            <w:tcW w:w="1176" w:type="dxa"/>
            <w:gridSpan w:val="2"/>
            <w:tcBorders>
              <w:top w:val="nil"/>
              <w:left w:val="nil"/>
              <w:bottom w:val="nil"/>
              <w:right w:val="nil"/>
            </w:tcBorders>
            <w:noWrap/>
            <w:hideMark/>
          </w:tcPr>
          <w:p w14:paraId="3E2C3015"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249,665</w:t>
            </w:r>
          </w:p>
        </w:tc>
        <w:tc>
          <w:tcPr>
            <w:tcW w:w="992" w:type="dxa"/>
            <w:tcBorders>
              <w:top w:val="nil"/>
              <w:left w:val="nil"/>
              <w:bottom w:val="nil"/>
              <w:right w:val="nil"/>
            </w:tcBorders>
            <w:noWrap/>
            <w:hideMark/>
          </w:tcPr>
          <w:p w14:paraId="403D5B9D"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48,572</w:t>
            </w:r>
          </w:p>
        </w:tc>
      </w:tr>
      <w:tr w:rsidR="00F94DFC" w:rsidRPr="0012478F" w14:paraId="7BCE978A" w14:textId="77777777" w:rsidTr="004C30F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71" w:type="dxa"/>
            <w:tcBorders>
              <w:left w:val="single" w:sz="4" w:space="0" w:color="5B9BD5" w:themeColor="accent5"/>
            </w:tcBorders>
            <w:noWrap/>
            <w:hideMark/>
          </w:tcPr>
          <w:p w14:paraId="7D010D10" w14:textId="77777777" w:rsidR="00F94DFC" w:rsidRPr="0012478F" w:rsidRDefault="00F94DFC" w:rsidP="004C30FE">
            <w:pPr>
              <w:keepNext/>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90+</w:t>
            </w:r>
          </w:p>
        </w:tc>
        <w:tc>
          <w:tcPr>
            <w:tcW w:w="953" w:type="dxa"/>
            <w:tcBorders>
              <w:left w:val="nil"/>
              <w:right w:val="nil"/>
            </w:tcBorders>
            <w:noWrap/>
            <w:hideMark/>
          </w:tcPr>
          <w:p w14:paraId="2C5F2336"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22,873</w:t>
            </w:r>
          </w:p>
        </w:tc>
        <w:tc>
          <w:tcPr>
            <w:tcW w:w="809" w:type="dxa"/>
            <w:tcBorders>
              <w:left w:val="nil"/>
              <w:right w:val="nil"/>
            </w:tcBorders>
            <w:noWrap/>
            <w:hideMark/>
          </w:tcPr>
          <w:p w14:paraId="58D6A6F5"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42,080</w:t>
            </w:r>
          </w:p>
        </w:tc>
        <w:tc>
          <w:tcPr>
            <w:tcW w:w="769" w:type="dxa"/>
            <w:tcBorders>
              <w:left w:val="nil"/>
              <w:right w:val="nil"/>
            </w:tcBorders>
            <w:noWrap/>
            <w:hideMark/>
          </w:tcPr>
          <w:p w14:paraId="3DCFE4C3"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3,812</w:t>
            </w:r>
          </w:p>
        </w:tc>
        <w:tc>
          <w:tcPr>
            <w:tcW w:w="750" w:type="dxa"/>
            <w:tcBorders>
              <w:left w:val="nil"/>
              <w:right w:val="nil"/>
            </w:tcBorders>
            <w:noWrap/>
            <w:hideMark/>
          </w:tcPr>
          <w:p w14:paraId="6B87EBEC"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5,509</w:t>
            </w:r>
          </w:p>
        </w:tc>
        <w:tc>
          <w:tcPr>
            <w:tcW w:w="972" w:type="dxa"/>
            <w:tcBorders>
              <w:left w:val="nil"/>
              <w:right w:val="nil"/>
            </w:tcBorders>
            <w:noWrap/>
            <w:hideMark/>
          </w:tcPr>
          <w:p w14:paraId="5872A9D4"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2.9</w:t>
            </w:r>
          </w:p>
        </w:tc>
        <w:tc>
          <w:tcPr>
            <w:tcW w:w="941" w:type="dxa"/>
            <w:tcBorders>
              <w:left w:val="nil"/>
              <w:right w:val="nil"/>
            </w:tcBorders>
            <w:noWrap/>
            <w:hideMark/>
          </w:tcPr>
          <w:p w14:paraId="41EA15D6"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3.2</w:t>
            </w:r>
          </w:p>
        </w:tc>
        <w:tc>
          <w:tcPr>
            <w:tcW w:w="1176" w:type="dxa"/>
            <w:gridSpan w:val="2"/>
            <w:tcBorders>
              <w:left w:val="nil"/>
              <w:right w:val="nil"/>
            </w:tcBorders>
            <w:noWrap/>
            <w:hideMark/>
          </w:tcPr>
          <w:p w14:paraId="4C549B31"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172,665</w:t>
            </w:r>
          </w:p>
        </w:tc>
        <w:tc>
          <w:tcPr>
            <w:tcW w:w="992" w:type="dxa"/>
            <w:tcBorders>
              <w:left w:val="nil"/>
              <w:right w:val="nil"/>
            </w:tcBorders>
            <w:noWrap/>
            <w:hideMark/>
          </w:tcPr>
          <w:p w14:paraId="64D28895"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28,711</w:t>
            </w:r>
          </w:p>
        </w:tc>
      </w:tr>
      <w:tr w:rsidR="00F94DFC" w:rsidRPr="0012478F" w14:paraId="5F8C687B" w14:textId="77777777" w:rsidTr="004C30FE">
        <w:trPr>
          <w:trHeight w:val="20"/>
        </w:trPr>
        <w:tc>
          <w:tcPr>
            <w:cnfStyle w:val="001000000000" w:firstRow="0" w:lastRow="0" w:firstColumn="1" w:lastColumn="0" w:oddVBand="0" w:evenVBand="0" w:oddHBand="0" w:evenHBand="0" w:firstRowFirstColumn="0" w:firstRowLastColumn="0" w:lastRowFirstColumn="0" w:lastRowLastColumn="0"/>
            <w:tcW w:w="1271" w:type="dxa"/>
            <w:tcBorders>
              <w:top w:val="nil"/>
              <w:left w:val="single" w:sz="4" w:space="0" w:color="5B9BD5" w:themeColor="accent5"/>
              <w:bottom w:val="nil"/>
            </w:tcBorders>
            <w:noWrap/>
            <w:hideMark/>
          </w:tcPr>
          <w:p w14:paraId="3F987A0D" w14:textId="77777777" w:rsidR="00F94DFC" w:rsidRPr="0012478F" w:rsidRDefault="00F94DFC" w:rsidP="004C30FE">
            <w:pPr>
              <w:keepNext/>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Total</w:t>
            </w:r>
          </w:p>
        </w:tc>
        <w:tc>
          <w:tcPr>
            <w:tcW w:w="953" w:type="dxa"/>
            <w:tcBorders>
              <w:top w:val="nil"/>
              <w:left w:val="nil"/>
              <w:bottom w:val="nil"/>
              <w:right w:val="nil"/>
            </w:tcBorders>
            <w:noWrap/>
            <w:hideMark/>
          </w:tcPr>
          <w:p w14:paraId="578F145F"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144,605</w:t>
            </w:r>
          </w:p>
        </w:tc>
        <w:tc>
          <w:tcPr>
            <w:tcW w:w="809" w:type="dxa"/>
            <w:tcBorders>
              <w:top w:val="nil"/>
              <w:left w:val="nil"/>
              <w:bottom w:val="nil"/>
              <w:right w:val="nil"/>
            </w:tcBorders>
            <w:noWrap/>
            <w:hideMark/>
          </w:tcPr>
          <w:p w14:paraId="270D5D93"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142,166</w:t>
            </w:r>
          </w:p>
        </w:tc>
        <w:tc>
          <w:tcPr>
            <w:tcW w:w="769" w:type="dxa"/>
            <w:tcBorders>
              <w:top w:val="nil"/>
              <w:left w:val="nil"/>
              <w:bottom w:val="nil"/>
              <w:right w:val="nil"/>
            </w:tcBorders>
            <w:noWrap/>
            <w:hideMark/>
          </w:tcPr>
          <w:p w14:paraId="46CB9ACE"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24,333</w:t>
            </w:r>
          </w:p>
        </w:tc>
        <w:tc>
          <w:tcPr>
            <w:tcW w:w="750" w:type="dxa"/>
            <w:tcBorders>
              <w:top w:val="nil"/>
              <w:left w:val="nil"/>
              <w:bottom w:val="nil"/>
              <w:right w:val="nil"/>
            </w:tcBorders>
            <w:noWrap/>
            <w:hideMark/>
          </w:tcPr>
          <w:p w14:paraId="0BFEB8D7"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19,361</w:t>
            </w:r>
          </w:p>
        </w:tc>
        <w:tc>
          <w:tcPr>
            <w:tcW w:w="972" w:type="dxa"/>
            <w:tcBorders>
              <w:top w:val="nil"/>
              <w:left w:val="nil"/>
              <w:bottom w:val="nil"/>
              <w:right w:val="nil"/>
            </w:tcBorders>
            <w:noWrap/>
            <w:hideMark/>
          </w:tcPr>
          <w:p w14:paraId="4605C814" w14:textId="77777777" w:rsidR="00F94DFC" w:rsidRPr="0012478F" w:rsidRDefault="00F94DFC" w:rsidP="004C30F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p>
        </w:tc>
        <w:tc>
          <w:tcPr>
            <w:tcW w:w="941" w:type="dxa"/>
            <w:tcBorders>
              <w:top w:val="nil"/>
              <w:left w:val="nil"/>
              <w:bottom w:val="nil"/>
              <w:right w:val="nil"/>
            </w:tcBorders>
            <w:noWrap/>
            <w:hideMark/>
          </w:tcPr>
          <w:p w14:paraId="66D9750A" w14:textId="77777777" w:rsidR="00F94DFC" w:rsidRPr="0012478F" w:rsidRDefault="00F94DFC" w:rsidP="004C30FE">
            <w:pPr>
              <w:cnfStyle w:val="000000000000" w:firstRow="0" w:lastRow="0" w:firstColumn="0" w:lastColumn="0" w:oddVBand="0" w:evenVBand="0" w:oddHBand="0" w:evenHBand="0" w:firstRowFirstColumn="0" w:firstRowLastColumn="0" w:lastRowFirstColumn="0" w:lastRowLastColumn="0"/>
              <w:rPr>
                <w:sz w:val="20"/>
                <w:szCs w:val="20"/>
                <w:lang w:eastAsia="en-GB"/>
              </w:rPr>
            </w:pPr>
          </w:p>
        </w:tc>
        <w:tc>
          <w:tcPr>
            <w:tcW w:w="1176" w:type="dxa"/>
            <w:gridSpan w:val="2"/>
            <w:tcBorders>
              <w:top w:val="nil"/>
              <w:left w:val="nil"/>
              <w:bottom w:val="nil"/>
              <w:right w:val="nil"/>
            </w:tcBorders>
            <w:noWrap/>
            <w:hideMark/>
          </w:tcPr>
          <w:p w14:paraId="3F6BEF4D"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2,783,000</w:t>
            </w:r>
          </w:p>
        </w:tc>
        <w:tc>
          <w:tcPr>
            <w:tcW w:w="992" w:type="dxa"/>
            <w:tcBorders>
              <w:top w:val="nil"/>
              <w:left w:val="nil"/>
              <w:bottom w:val="nil"/>
              <w:right w:val="nil"/>
            </w:tcBorders>
            <w:noWrap/>
            <w:hideMark/>
          </w:tcPr>
          <w:p w14:paraId="2AC841AE"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440,907</w:t>
            </w:r>
          </w:p>
        </w:tc>
      </w:tr>
      <w:tr w:rsidR="00F94DFC" w:rsidRPr="0012478F" w14:paraId="207ACE9F" w14:textId="77777777" w:rsidTr="004C30F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71" w:type="dxa"/>
            <w:tcBorders>
              <w:top w:val="nil"/>
              <w:left w:val="single" w:sz="4" w:space="0" w:color="5B9BD5" w:themeColor="accent5"/>
            </w:tcBorders>
            <w:noWrap/>
            <w:hideMark/>
          </w:tcPr>
          <w:p w14:paraId="28912056" w14:textId="77777777" w:rsidR="00F94DFC" w:rsidRPr="0012478F" w:rsidRDefault="00F94DFC" w:rsidP="004C30FE">
            <w:pPr>
              <w:keepNext/>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Average Age</w:t>
            </w:r>
          </w:p>
        </w:tc>
        <w:tc>
          <w:tcPr>
            <w:tcW w:w="953" w:type="dxa"/>
            <w:tcBorders>
              <w:top w:val="nil"/>
              <w:left w:val="nil"/>
              <w:right w:val="nil"/>
            </w:tcBorders>
            <w:noWrap/>
            <w:hideMark/>
          </w:tcPr>
          <w:p w14:paraId="62923B10"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76.9</w:t>
            </w:r>
          </w:p>
        </w:tc>
        <w:tc>
          <w:tcPr>
            <w:tcW w:w="809" w:type="dxa"/>
            <w:tcBorders>
              <w:top w:val="nil"/>
              <w:left w:val="nil"/>
              <w:right w:val="nil"/>
            </w:tcBorders>
            <w:noWrap/>
            <w:hideMark/>
          </w:tcPr>
          <w:p w14:paraId="1EF0BB04"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81.5</w:t>
            </w:r>
          </w:p>
        </w:tc>
        <w:tc>
          <w:tcPr>
            <w:tcW w:w="769" w:type="dxa"/>
            <w:tcBorders>
              <w:top w:val="nil"/>
              <w:left w:val="nil"/>
              <w:right w:val="nil"/>
            </w:tcBorders>
            <w:noWrap/>
            <w:hideMark/>
          </w:tcPr>
          <w:p w14:paraId="14435901"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78.7</w:t>
            </w:r>
          </w:p>
        </w:tc>
        <w:tc>
          <w:tcPr>
            <w:tcW w:w="750" w:type="dxa"/>
            <w:tcBorders>
              <w:top w:val="nil"/>
              <w:left w:val="nil"/>
              <w:right w:val="nil"/>
            </w:tcBorders>
            <w:noWrap/>
            <w:hideMark/>
          </w:tcPr>
          <w:p w14:paraId="76BA38F4" w14:textId="77777777" w:rsidR="00F94DFC" w:rsidRPr="0012478F" w:rsidRDefault="00F94DFC" w:rsidP="004C30FE">
            <w:pPr>
              <w:keepNex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12478F">
              <w:rPr>
                <w:rFonts w:ascii="Calibri" w:eastAsia="Times New Roman" w:hAnsi="Calibri" w:cs="Calibri"/>
                <w:color w:val="000000"/>
                <w:sz w:val="18"/>
                <w:szCs w:val="18"/>
                <w:lang w:eastAsia="en-GB"/>
              </w:rPr>
              <w:t>82.5</w:t>
            </w:r>
          </w:p>
        </w:tc>
        <w:tc>
          <w:tcPr>
            <w:tcW w:w="972" w:type="dxa"/>
            <w:tcBorders>
              <w:top w:val="nil"/>
              <w:left w:val="nil"/>
              <w:right w:val="nil"/>
            </w:tcBorders>
            <w:noWrap/>
            <w:hideMark/>
          </w:tcPr>
          <w:p w14:paraId="6127CE51" w14:textId="77777777" w:rsidR="00F94DFC" w:rsidRPr="0012478F" w:rsidRDefault="00F94DFC" w:rsidP="004C30F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p>
        </w:tc>
        <w:tc>
          <w:tcPr>
            <w:tcW w:w="941" w:type="dxa"/>
            <w:tcBorders>
              <w:top w:val="nil"/>
              <w:left w:val="nil"/>
              <w:right w:val="nil"/>
            </w:tcBorders>
            <w:noWrap/>
            <w:hideMark/>
          </w:tcPr>
          <w:p w14:paraId="4F22E5FF" w14:textId="77777777" w:rsidR="00F94DFC" w:rsidRPr="0012478F" w:rsidRDefault="00F94DFC" w:rsidP="004C30FE">
            <w:pPr>
              <w:cnfStyle w:val="000000100000" w:firstRow="0" w:lastRow="0" w:firstColumn="0" w:lastColumn="0" w:oddVBand="0" w:evenVBand="0" w:oddHBand="1" w:evenHBand="0" w:firstRowFirstColumn="0" w:firstRowLastColumn="0" w:lastRowFirstColumn="0" w:lastRowLastColumn="0"/>
              <w:rPr>
                <w:sz w:val="20"/>
                <w:szCs w:val="20"/>
                <w:lang w:eastAsia="en-GB"/>
              </w:rPr>
            </w:pPr>
          </w:p>
        </w:tc>
        <w:tc>
          <w:tcPr>
            <w:tcW w:w="1176" w:type="dxa"/>
            <w:gridSpan w:val="2"/>
            <w:tcBorders>
              <w:top w:val="nil"/>
              <w:left w:val="nil"/>
              <w:right w:val="nil"/>
            </w:tcBorders>
            <w:noWrap/>
            <w:hideMark/>
          </w:tcPr>
          <w:p w14:paraId="08DE490C" w14:textId="77777777" w:rsidR="00F94DFC" w:rsidRPr="0012478F" w:rsidRDefault="00F94DFC" w:rsidP="004C30FE">
            <w:pPr>
              <w:cnfStyle w:val="000000100000" w:firstRow="0" w:lastRow="0" w:firstColumn="0" w:lastColumn="0" w:oddVBand="0" w:evenVBand="0" w:oddHBand="1" w:evenHBand="0" w:firstRowFirstColumn="0" w:firstRowLastColumn="0" w:lastRowFirstColumn="0" w:lastRowLastColumn="0"/>
              <w:rPr>
                <w:sz w:val="20"/>
                <w:szCs w:val="20"/>
                <w:lang w:eastAsia="en-GB"/>
              </w:rPr>
            </w:pPr>
          </w:p>
        </w:tc>
        <w:tc>
          <w:tcPr>
            <w:tcW w:w="992" w:type="dxa"/>
            <w:tcBorders>
              <w:top w:val="nil"/>
              <w:left w:val="nil"/>
              <w:right w:val="nil"/>
            </w:tcBorders>
            <w:noWrap/>
            <w:hideMark/>
          </w:tcPr>
          <w:p w14:paraId="52A509EE" w14:textId="77777777" w:rsidR="00F94DFC" w:rsidRPr="0012478F" w:rsidRDefault="00F94DFC" w:rsidP="004C30FE">
            <w:pPr>
              <w:cnfStyle w:val="000000100000" w:firstRow="0" w:lastRow="0" w:firstColumn="0" w:lastColumn="0" w:oddVBand="0" w:evenVBand="0" w:oddHBand="1" w:evenHBand="0" w:firstRowFirstColumn="0" w:firstRowLastColumn="0" w:lastRowFirstColumn="0" w:lastRowLastColumn="0"/>
              <w:rPr>
                <w:sz w:val="20"/>
                <w:szCs w:val="20"/>
                <w:lang w:eastAsia="en-GB"/>
              </w:rPr>
            </w:pPr>
          </w:p>
        </w:tc>
      </w:tr>
      <w:tr w:rsidR="00F94DFC" w:rsidRPr="0012478F" w14:paraId="05A51180" w14:textId="77777777" w:rsidTr="004C30FE">
        <w:trPr>
          <w:trHeight w:val="20"/>
        </w:trPr>
        <w:tc>
          <w:tcPr>
            <w:cnfStyle w:val="001000000000" w:firstRow="0" w:lastRow="0" w:firstColumn="1" w:lastColumn="0" w:oddVBand="0" w:evenVBand="0" w:oddHBand="0" w:evenHBand="0" w:firstRowFirstColumn="0" w:firstRowLastColumn="0" w:lastRowFirstColumn="0" w:lastRowLastColumn="0"/>
            <w:tcW w:w="2224" w:type="dxa"/>
            <w:gridSpan w:val="2"/>
            <w:tcBorders>
              <w:left w:val="single" w:sz="4" w:space="0" w:color="5B9BD5" w:themeColor="accent5"/>
            </w:tcBorders>
            <w:noWrap/>
            <w:hideMark/>
          </w:tcPr>
          <w:p w14:paraId="22557777" w14:textId="77777777" w:rsidR="00F94DFC" w:rsidRPr="0012478F" w:rsidRDefault="00F94DFC" w:rsidP="004C30FE">
            <w:pPr>
              <w:keepNext/>
              <w:jc w:val="right"/>
              <w:rPr>
                <w:rFonts w:ascii="Calibri" w:eastAsia="Times New Roman" w:hAnsi="Calibri" w:cs="Calibri"/>
                <w:color w:val="000000"/>
                <w:sz w:val="20"/>
                <w:szCs w:val="20"/>
                <w:lang w:eastAsia="en-GB"/>
              </w:rPr>
            </w:pPr>
            <w:r w:rsidRPr="0012478F">
              <w:rPr>
                <w:rFonts w:ascii="Calibri" w:eastAsia="Times New Roman" w:hAnsi="Calibri" w:cs="Calibri"/>
                <w:color w:val="000000"/>
                <w:sz w:val="20"/>
                <w:szCs w:val="20"/>
                <w:lang w:eastAsia="en-GB"/>
              </w:rPr>
              <w:t xml:space="preserve">Non </w:t>
            </w:r>
            <w:proofErr w:type="spellStart"/>
            <w:r w:rsidRPr="0012478F">
              <w:rPr>
                <w:rFonts w:ascii="Calibri" w:eastAsia="Times New Roman" w:hAnsi="Calibri" w:cs="Calibri"/>
                <w:color w:val="000000"/>
                <w:sz w:val="20"/>
                <w:szCs w:val="20"/>
                <w:lang w:eastAsia="en-GB"/>
              </w:rPr>
              <w:t>Covid</w:t>
            </w:r>
            <w:proofErr w:type="spellEnd"/>
            <w:r w:rsidRPr="0012478F">
              <w:rPr>
                <w:rFonts w:ascii="Calibri" w:eastAsia="Times New Roman" w:hAnsi="Calibri" w:cs="Calibri"/>
                <w:color w:val="000000"/>
                <w:sz w:val="20"/>
                <w:szCs w:val="20"/>
                <w:lang w:eastAsia="en-GB"/>
              </w:rPr>
              <w:t>-</w:t>
            </w:r>
          </w:p>
        </w:tc>
        <w:tc>
          <w:tcPr>
            <w:tcW w:w="809" w:type="dxa"/>
            <w:tcBorders>
              <w:left w:val="nil"/>
              <w:right w:val="nil"/>
            </w:tcBorders>
            <w:noWrap/>
            <w:hideMark/>
          </w:tcPr>
          <w:p w14:paraId="43D4D191"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12478F">
              <w:rPr>
                <w:rFonts w:ascii="Calibri" w:eastAsia="Times New Roman" w:hAnsi="Calibri" w:cs="Calibri"/>
                <w:color w:val="000000"/>
                <w:sz w:val="20"/>
                <w:szCs w:val="20"/>
                <w:lang w:eastAsia="en-GB"/>
              </w:rPr>
              <w:t>243,077</w:t>
            </w:r>
          </w:p>
        </w:tc>
        <w:tc>
          <w:tcPr>
            <w:tcW w:w="769" w:type="dxa"/>
            <w:tcBorders>
              <w:left w:val="nil"/>
              <w:right w:val="nil"/>
            </w:tcBorders>
            <w:noWrap/>
            <w:hideMark/>
          </w:tcPr>
          <w:p w14:paraId="56789080"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20"/>
                <w:szCs w:val="20"/>
                <w:lang w:eastAsia="en-GB"/>
              </w:rPr>
            </w:pPr>
            <w:proofErr w:type="spellStart"/>
            <w:r w:rsidRPr="0012478F">
              <w:rPr>
                <w:rFonts w:ascii="Calibri" w:eastAsia="Times New Roman" w:hAnsi="Calibri" w:cs="Calibri"/>
                <w:b/>
                <w:color w:val="000000"/>
                <w:sz w:val="20"/>
                <w:szCs w:val="20"/>
                <w:lang w:eastAsia="en-GB"/>
              </w:rPr>
              <w:t>Covid</w:t>
            </w:r>
            <w:proofErr w:type="spellEnd"/>
            <w:r w:rsidRPr="0012478F">
              <w:rPr>
                <w:rFonts w:ascii="Calibri" w:eastAsia="Times New Roman" w:hAnsi="Calibri" w:cs="Calibri"/>
                <w:b/>
                <w:color w:val="000000"/>
                <w:sz w:val="20"/>
                <w:szCs w:val="20"/>
                <w:lang w:eastAsia="en-GB"/>
              </w:rPr>
              <w:t>-</w:t>
            </w:r>
          </w:p>
        </w:tc>
        <w:tc>
          <w:tcPr>
            <w:tcW w:w="750" w:type="dxa"/>
            <w:tcBorders>
              <w:left w:val="nil"/>
              <w:right w:val="nil"/>
            </w:tcBorders>
            <w:noWrap/>
            <w:hideMark/>
          </w:tcPr>
          <w:p w14:paraId="6A4C5CC2"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12478F">
              <w:rPr>
                <w:rFonts w:ascii="Calibri" w:eastAsia="Times New Roman" w:hAnsi="Calibri" w:cs="Calibri"/>
                <w:color w:val="000000"/>
                <w:sz w:val="20"/>
                <w:szCs w:val="20"/>
                <w:lang w:eastAsia="en-GB"/>
              </w:rPr>
              <w:t>43,694</w:t>
            </w:r>
          </w:p>
        </w:tc>
        <w:tc>
          <w:tcPr>
            <w:tcW w:w="2096" w:type="dxa"/>
            <w:gridSpan w:val="3"/>
            <w:tcBorders>
              <w:left w:val="nil"/>
              <w:right w:val="nil"/>
            </w:tcBorders>
            <w:noWrap/>
            <w:hideMark/>
          </w:tcPr>
          <w:p w14:paraId="0E8F6BA7" w14:textId="77777777" w:rsidR="00F94DFC" w:rsidRPr="0012478F" w:rsidRDefault="00F94DFC" w:rsidP="004C30FE">
            <w:pPr>
              <w:keepNext/>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12478F">
              <w:rPr>
                <w:rFonts w:ascii="Calibri" w:eastAsia="Times New Roman" w:hAnsi="Calibri" w:cs="Calibri"/>
                <w:color w:val="000000"/>
                <w:sz w:val="20"/>
                <w:szCs w:val="20"/>
                <w:lang w:eastAsia="en-GB"/>
              </w:rPr>
              <w:t>Lost Years/ Death</w:t>
            </w:r>
            <w:r>
              <w:rPr>
                <w:rFonts w:ascii="Calibri" w:eastAsia="Times New Roman" w:hAnsi="Calibri" w:cs="Calibri"/>
                <w:color w:val="000000"/>
                <w:sz w:val="20"/>
                <w:szCs w:val="20"/>
                <w:lang w:eastAsia="en-GB"/>
              </w:rPr>
              <w:t>s</w:t>
            </w:r>
            <w:r w:rsidRPr="0012478F">
              <w:rPr>
                <w:rFonts w:ascii="Calibri" w:eastAsia="Times New Roman" w:hAnsi="Calibri" w:cs="Calibri"/>
                <w:color w:val="000000"/>
                <w:sz w:val="20"/>
                <w:szCs w:val="20"/>
                <w:lang w:eastAsia="en-GB"/>
              </w:rPr>
              <w:t>-</w:t>
            </w:r>
          </w:p>
        </w:tc>
        <w:tc>
          <w:tcPr>
            <w:tcW w:w="993" w:type="dxa"/>
            <w:tcBorders>
              <w:left w:val="nil"/>
              <w:right w:val="nil"/>
            </w:tcBorders>
            <w:noWrap/>
            <w:hideMark/>
          </w:tcPr>
          <w:p w14:paraId="2F218BBC"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12478F">
              <w:rPr>
                <w:rFonts w:ascii="Calibri" w:eastAsia="Times New Roman" w:hAnsi="Calibri" w:cs="Calibri"/>
                <w:b/>
                <w:bCs/>
                <w:color w:val="000000"/>
                <w:sz w:val="20"/>
                <w:szCs w:val="20"/>
                <w:lang w:eastAsia="en-GB"/>
              </w:rPr>
              <w:t>11.4</w:t>
            </w:r>
          </w:p>
        </w:tc>
        <w:tc>
          <w:tcPr>
            <w:tcW w:w="992" w:type="dxa"/>
            <w:tcBorders>
              <w:left w:val="nil"/>
              <w:right w:val="nil"/>
            </w:tcBorders>
            <w:noWrap/>
            <w:hideMark/>
          </w:tcPr>
          <w:p w14:paraId="34FA6943" w14:textId="77777777" w:rsidR="00F94DFC" w:rsidRPr="0012478F" w:rsidRDefault="00F94DFC" w:rsidP="004C30FE">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12478F">
              <w:rPr>
                <w:rFonts w:ascii="Calibri" w:eastAsia="Times New Roman" w:hAnsi="Calibri" w:cs="Calibri"/>
                <w:b/>
                <w:bCs/>
                <w:color w:val="000000"/>
                <w:sz w:val="20"/>
                <w:szCs w:val="20"/>
                <w:lang w:eastAsia="en-GB"/>
              </w:rPr>
              <w:t>10.1</w:t>
            </w:r>
          </w:p>
        </w:tc>
      </w:tr>
    </w:tbl>
    <w:p w14:paraId="289D0D08" w14:textId="77777777" w:rsidR="00F94DFC" w:rsidRPr="00593068" w:rsidRDefault="00F94DFC" w:rsidP="00F94DFC"/>
    <w:p w14:paraId="6E17052E" w14:textId="0FBF8572" w:rsidR="000262C0" w:rsidRPr="00593068" w:rsidRDefault="000262C0" w:rsidP="000262C0">
      <w:r>
        <w:t xml:space="preserve">The average figure of 10.1 years of life lost does not account for the fact that those who have died with COVID-19 have often been in poor health, conditional on their age. </w:t>
      </w:r>
      <w:r w:rsidRPr="00593068">
        <w:t>In their detailed study of 23,804 hospital deaths in England from COVID-19 from 1st March 2020 to 11th May 2020</w:t>
      </w:r>
      <w:r w:rsidR="00D224CD">
        <w:t>,</w:t>
      </w:r>
      <w:r w:rsidRPr="00593068">
        <w:t xml:space="preserve"> </w:t>
      </w:r>
      <w:proofErr w:type="spellStart"/>
      <w:r w:rsidRPr="00593068">
        <w:t>Valab</w:t>
      </w:r>
      <w:r>
        <w:t>h</w:t>
      </w:r>
      <w:r w:rsidRPr="00593068">
        <w:t>ji</w:t>
      </w:r>
      <w:proofErr w:type="spellEnd"/>
      <w:r w:rsidRPr="00593068">
        <w:t xml:space="preserve"> et al </w:t>
      </w:r>
      <w:r>
        <w:t xml:space="preserve">(2020) </w:t>
      </w:r>
      <w:r w:rsidRPr="00593068">
        <w:t xml:space="preserve">found that various different life-shortening risk factors were significantly more prevalent in those patients who died of COVID-19 than in the general population. This included Diabetes (33% vs 5%), and previous hospital admission for significant cardiovascular comorbidities including coronary heart disease (31% vs 3.5%), cerebrovascular disease (19.8% vs 1.5%) and heart failure (17.7% vs 1%). </w:t>
      </w:r>
    </w:p>
    <w:p w14:paraId="2DC966CB" w14:textId="083F5EA7" w:rsidR="00D224CD" w:rsidRDefault="000262C0" w:rsidP="000262C0">
      <w:r w:rsidRPr="00593068">
        <w:lastRenderedPageBreak/>
        <w:t>Other comorbidities such as dementi</w:t>
      </w:r>
      <w:r>
        <w:t>a in its various forms</w:t>
      </w:r>
      <w:r w:rsidRPr="00593068">
        <w:t xml:space="preserve">, </w:t>
      </w:r>
      <w:r>
        <w:t>chronic obstructive pulmonary disease (</w:t>
      </w:r>
      <w:r w:rsidRPr="00593068">
        <w:t>COPD</w:t>
      </w:r>
      <w:r>
        <w:t>)</w:t>
      </w:r>
      <w:r w:rsidRPr="00593068">
        <w:t xml:space="preserve">, vitamin D deficiency, and </w:t>
      </w:r>
      <w:r>
        <w:t xml:space="preserve">hyperlipidaemia </w:t>
      </w:r>
      <w:r w:rsidRPr="00593068">
        <w:t xml:space="preserve">were not collected and compared, </w:t>
      </w:r>
      <w:r>
        <w:t xml:space="preserve">but it is plausible </w:t>
      </w:r>
      <w:r w:rsidRPr="00593068">
        <w:t>that these would also show similar levels of differences. Each of these comorbidities has been shown to significantly increases the risk of early death</w:t>
      </w:r>
      <w:r>
        <w:t xml:space="preserve">. </w:t>
      </w:r>
      <w:bookmarkStart w:id="0" w:name="_Hlk43027501"/>
      <w:r>
        <w:t xml:space="preserve">The </w:t>
      </w:r>
      <w:r w:rsidRPr="00593068">
        <w:t xml:space="preserve">National Diabetes Audit </w:t>
      </w:r>
      <w:bookmarkStart w:id="1" w:name="_Hlk42613723"/>
      <w:r w:rsidRPr="00593068">
        <w:t>in their mortality study</w:t>
      </w:r>
      <w:r>
        <w:rPr>
          <w:rStyle w:val="FootnoteReference"/>
        </w:rPr>
        <w:footnoteReference w:id="10"/>
      </w:r>
      <w:r w:rsidRPr="00593068">
        <w:t xml:space="preserve">  </w:t>
      </w:r>
      <w:bookmarkEnd w:id="1"/>
      <w:r w:rsidRPr="00593068">
        <w:t>found</w:t>
      </w:r>
      <w:r>
        <w:t xml:space="preserve"> </w:t>
      </w:r>
      <w:r w:rsidRPr="00593068">
        <w:t xml:space="preserve">that the presence of diabetes increases a person standard mortality risk by </w:t>
      </w:r>
      <w:r w:rsidR="00054529">
        <w:t xml:space="preserve">a factor of </w:t>
      </w:r>
      <w:r w:rsidRPr="00593068">
        <w:t>1.6.</w:t>
      </w:r>
    </w:p>
    <w:bookmarkEnd w:id="0"/>
    <w:p w14:paraId="748B91D7" w14:textId="26DD18CD" w:rsidR="000262C0" w:rsidRDefault="000262C0" w:rsidP="000262C0">
      <w:r w:rsidRPr="00593068">
        <w:t xml:space="preserve">It is, therefore, </w:t>
      </w:r>
      <w:r>
        <w:t xml:space="preserve">plausible </w:t>
      </w:r>
      <w:r w:rsidRPr="00593068">
        <w:t>that those patients who died of COVID-19 were</w:t>
      </w:r>
      <w:r>
        <w:t xml:space="preserve">, on average, </w:t>
      </w:r>
      <w:r w:rsidRPr="00593068">
        <w:t>already in relatively poor health for their age and this poor health would give them a life expectancy</w:t>
      </w:r>
      <w:r>
        <w:t>, on average,</w:t>
      </w:r>
      <w:r w:rsidRPr="00593068">
        <w:t xml:space="preserve"> </w:t>
      </w:r>
      <w:r>
        <w:t xml:space="preserve">significantly below that of </w:t>
      </w:r>
      <w:r w:rsidRPr="00593068">
        <w:t xml:space="preserve">the age-equivalent general population. </w:t>
      </w:r>
    </w:p>
    <w:p w14:paraId="0C72AEF4" w14:textId="56E2DB69" w:rsidR="00782E88" w:rsidRPr="00B32CD1" w:rsidRDefault="00782E88" w:rsidP="00782E88">
      <w:pPr>
        <w:rPr>
          <w:iCs/>
        </w:rPr>
      </w:pPr>
      <w:r w:rsidRPr="00593068">
        <w:t xml:space="preserve">These comorbidities and conditions </w:t>
      </w:r>
      <w:r>
        <w:t xml:space="preserve">also </w:t>
      </w:r>
      <w:r w:rsidRPr="00593068">
        <w:t>reduce the person’s quality of life</w:t>
      </w:r>
      <w:r>
        <w:t xml:space="preserve">, as well as its quantity (see Clarke et al (2002)). </w:t>
      </w:r>
      <w:r w:rsidRPr="00B32CD1">
        <w:rPr>
          <w:iCs/>
        </w:rPr>
        <w:t>The impact of poor heath through long</w:t>
      </w:r>
      <w:r>
        <w:rPr>
          <w:iCs/>
        </w:rPr>
        <w:t>-</w:t>
      </w:r>
      <w:r w:rsidRPr="00B32CD1">
        <w:rPr>
          <w:iCs/>
        </w:rPr>
        <w:t xml:space="preserve">term conditions and comorbidities are usually incorporated into modelling through a quality of life utility factor which range from 1 </w:t>
      </w:r>
      <w:r>
        <w:rPr>
          <w:iCs/>
        </w:rPr>
        <w:t>(</w:t>
      </w:r>
      <w:r w:rsidRPr="00B32CD1">
        <w:rPr>
          <w:iCs/>
        </w:rPr>
        <w:t>healthy</w:t>
      </w:r>
      <w:r>
        <w:rPr>
          <w:iCs/>
        </w:rPr>
        <w:t>)</w:t>
      </w:r>
      <w:r w:rsidRPr="00B32CD1">
        <w:rPr>
          <w:iCs/>
        </w:rPr>
        <w:t xml:space="preserve"> to 0 </w:t>
      </w:r>
      <w:r>
        <w:rPr>
          <w:iCs/>
        </w:rPr>
        <w:t>(</w:t>
      </w:r>
      <w:r w:rsidRPr="00B32CD1">
        <w:rPr>
          <w:iCs/>
        </w:rPr>
        <w:t>death</w:t>
      </w:r>
      <w:r>
        <w:rPr>
          <w:iCs/>
        </w:rPr>
        <w:t>);</w:t>
      </w:r>
      <w:r w:rsidRPr="00B32CD1">
        <w:rPr>
          <w:iCs/>
        </w:rPr>
        <w:t xml:space="preserve"> this is used to adjust the total life years. </w:t>
      </w:r>
      <w:proofErr w:type="spellStart"/>
      <w:r w:rsidRPr="00B32CD1">
        <w:rPr>
          <w:iCs/>
        </w:rPr>
        <w:t>Beaudet</w:t>
      </w:r>
      <w:proofErr w:type="spellEnd"/>
      <w:r w:rsidRPr="00B32CD1">
        <w:rPr>
          <w:iCs/>
        </w:rPr>
        <w:t xml:space="preserve"> et al (</w:t>
      </w:r>
      <w:r>
        <w:rPr>
          <w:iCs/>
        </w:rPr>
        <w:t>2014</w:t>
      </w:r>
      <w:r w:rsidRPr="00B32CD1">
        <w:rPr>
          <w:iCs/>
        </w:rPr>
        <w:t>), found that the basic type 2 diabetes without complication had a factor of 0.79 and then other comorbidities would reduce this further including Myocardial infarction −0.06, Ischemic heart disease −0.09, Heart failure −0.11, and Stroke -0.16. An average poor health utility factor of 0.8 could be applied to th</w:t>
      </w:r>
      <w:r>
        <w:rPr>
          <w:iCs/>
        </w:rPr>
        <w:t xml:space="preserve">e population of those who have died with COVID-19. </w:t>
      </w:r>
    </w:p>
    <w:p w14:paraId="26AE7972" w14:textId="72589AB1" w:rsidR="00782E88" w:rsidRDefault="00782E88" w:rsidP="00782E88">
      <w:r>
        <w:t>A substantial downwards adjustment to the 10 years estimate of the residual life expectancy based on the general population would seem appropriate for the group who have died with COVID-19. To get to an estimate of average quality adjusted years of life lost some adjustment for both lower life expectancy</w:t>
      </w:r>
      <w:r w:rsidR="00362324">
        <w:t>,</w:t>
      </w:r>
      <w:r>
        <w:t xml:space="preserve"> and </w:t>
      </w:r>
      <w:r w:rsidR="00362324">
        <w:t xml:space="preserve">perhaps also for lower quality of life, is justifiable. </w:t>
      </w:r>
      <w:r>
        <w:t xml:space="preserve">How great an adjustment is hard to be precise about, but It might plausibly be by one half. In the calculations </w:t>
      </w:r>
      <w:proofErr w:type="gramStart"/>
      <w:r>
        <w:t>below</w:t>
      </w:r>
      <w:proofErr w:type="gramEnd"/>
      <w:r>
        <w:t xml:space="preserve"> we apply either no adjustments for co-morbidities or an adjustment of one-half, using lost average quality adjusted years per COVID19 death of 10 or 5 years.</w:t>
      </w:r>
    </w:p>
    <w:p w14:paraId="1307602E" w14:textId="77777777" w:rsidR="00D224CD" w:rsidRDefault="00D224CD" w:rsidP="00221D6D">
      <w:pPr>
        <w:rPr>
          <w:i/>
        </w:rPr>
      </w:pPr>
    </w:p>
    <w:p w14:paraId="1D1274AB" w14:textId="07F9BE54" w:rsidR="00BC69EB" w:rsidRPr="00221D6D" w:rsidRDefault="00BC69EB" w:rsidP="00221D6D">
      <w:pPr>
        <w:rPr>
          <w:i/>
        </w:rPr>
      </w:pPr>
      <w:r w:rsidRPr="00221D6D">
        <w:rPr>
          <w:i/>
        </w:rPr>
        <w:t>A cost benefit analysis of the lockdown:</w:t>
      </w:r>
    </w:p>
    <w:p w14:paraId="06FE7BAE" w14:textId="07429308" w:rsidR="00E21158" w:rsidRDefault="00B370A4" w:rsidP="00C2088D">
      <w:r>
        <w:t xml:space="preserve">Suppose that </w:t>
      </w:r>
      <w:r w:rsidR="00A81242">
        <w:t xml:space="preserve">a </w:t>
      </w:r>
      <w:r w:rsidR="0046144C">
        <w:t xml:space="preserve">group of people </w:t>
      </w:r>
      <w:r w:rsidR="00A81242">
        <w:t>w</w:t>
      </w:r>
      <w:r>
        <w:t xml:space="preserve">ho </w:t>
      </w:r>
      <w:r w:rsidR="0046144C">
        <w:t xml:space="preserve">each </w:t>
      </w:r>
      <w:r>
        <w:t xml:space="preserve">had an expected quality adjusted remaining years of life </w:t>
      </w:r>
      <w:r w:rsidR="002716E5">
        <w:t xml:space="preserve">of 5 years, and </w:t>
      </w:r>
      <w:r w:rsidR="00A81242">
        <w:t xml:space="preserve">who </w:t>
      </w:r>
      <w:r w:rsidR="0046144C">
        <w:t xml:space="preserve">might </w:t>
      </w:r>
      <w:r w:rsidR="00A81242">
        <w:t>have died with the virus</w:t>
      </w:r>
      <w:r w:rsidR="002716E5">
        <w:t>,</w:t>
      </w:r>
      <w:r w:rsidR="00A81242">
        <w:t xml:space="preserve"> has been spared that because of </w:t>
      </w:r>
      <w:r w:rsidR="00362324">
        <w:t xml:space="preserve">severe </w:t>
      </w:r>
      <w:r w:rsidR="00A81242">
        <w:t>government restrictions (“the lockdown”)</w:t>
      </w:r>
      <w:r w:rsidR="002716E5">
        <w:t xml:space="preserve">. We </w:t>
      </w:r>
      <w:r w:rsidR="00775F87">
        <w:t xml:space="preserve">will </w:t>
      </w:r>
      <w:r w:rsidR="002716E5">
        <w:t>assume that the benefit of the restrictions that prevented such death</w:t>
      </w:r>
      <w:r w:rsidR="0046144C">
        <w:t>s</w:t>
      </w:r>
      <w:r w:rsidR="002716E5">
        <w:t xml:space="preserve"> are the value of 5 </w:t>
      </w:r>
      <w:r w:rsidR="00A81242">
        <w:t>quality adjusted years of life</w:t>
      </w:r>
      <w:r w:rsidR="00221D6D">
        <w:t xml:space="preserve"> multiplied by the number of lives saved</w:t>
      </w:r>
      <w:r w:rsidR="002716E5">
        <w:t xml:space="preserve">. The </w:t>
      </w:r>
      <w:r w:rsidR="00A81242">
        <w:t xml:space="preserve">NICE £30,000 threshold </w:t>
      </w:r>
      <w:r w:rsidR="002716E5">
        <w:t xml:space="preserve">is an assessment </w:t>
      </w:r>
      <w:r w:rsidR="00A81242">
        <w:t xml:space="preserve">of the </w:t>
      </w:r>
      <w:r w:rsidR="00775F87">
        <w:t xml:space="preserve">(maximum) </w:t>
      </w:r>
      <w:r w:rsidR="00A81242">
        <w:t xml:space="preserve">resource cost </w:t>
      </w:r>
      <w:r w:rsidR="00E21158">
        <w:t xml:space="preserve">that would be justified </w:t>
      </w:r>
      <w:r w:rsidR="00775F87">
        <w:t xml:space="preserve">for the UK health service </w:t>
      </w:r>
      <w:r w:rsidR="00E21158">
        <w:t xml:space="preserve">to make an expected saving </w:t>
      </w:r>
      <w:r w:rsidR="002716E5">
        <w:t xml:space="preserve">of one quality adjusted year of life. To save 5 QALY would be worth up to </w:t>
      </w:r>
      <w:r w:rsidR="00E21158">
        <w:t xml:space="preserve">£150,000. </w:t>
      </w:r>
    </w:p>
    <w:p w14:paraId="1046ABD5" w14:textId="1597E469" w:rsidR="00E21158" w:rsidRDefault="00775F87" w:rsidP="00C2088D">
      <w:r>
        <w:t xml:space="preserve">We </w:t>
      </w:r>
      <w:r w:rsidR="001F501A">
        <w:t xml:space="preserve">initially </w:t>
      </w:r>
      <w:r w:rsidR="00E21158">
        <w:t xml:space="preserve">apply this figure of £150,000 </w:t>
      </w:r>
      <w:r w:rsidR="00221D6D">
        <w:t xml:space="preserve">(or a figure </w:t>
      </w:r>
      <w:r>
        <w:t xml:space="preserve">of </w:t>
      </w:r>
      <w:r w:rsidR="00221D6D">
        <w:t xml:space="preserve">£300,000 if we make no adjustment for co-morbidities and take 10 life years lost per death) </w:t>
      </w:r>
      <w:r w:rsidR="00E21158">
        <w:t xml:space="preserve">to estimates of the possible </w:t>
      </w:r>
      <w:r w:rsidR="002716E5">
        <w:t xml:space="preserve">number </w:t>
      </w:r>
      <w:r w:rsidR="00E21158">
        <w:t xml:space="preserve">of lives saved </w:t>
      </w:r>
      <w:proofErr w:type="gramStart"/>
      <w:r w:rsidR="00E21158">
        <w:t>as a result of</w:t>
      </w:r>
      <w:proofErr w:type="gramEnd"/>
      <w:r w:rsidR="00E21158">
        <w:t xml:space="preserve"> lockdowns </w:t>
      </w:r>
      <w:r>
        <w:t xml:space="preserve">to give an overall benefit number. </w:t>
      </w:r>
      <w:r w:rsidR="001F501A">
        <w:t xml:space="preserve">(The impact of using much higher values for extra years of life is discussed shortly). </w:t>
      </w:r>
      <w:r>
        <w:t xml:space="preserve">We </w:t>
      </w:r>
      <w:r w:rsidR="00E21158">
        <w:t>compare th</w:t>
      </w:r>
      <w:r>
        <w:t>at</w:t>
      </w:r>
      <w:r w:rsidR="00E21158">
        <w:t xml:space="preserve"> aggregate number with an estimate of the </w:t>
      </w:r>
      <w:r w:rsidR="00501498">
        <w:t xml:space="preserve">cost of </w:t>
      </w:r>
      <w:r w:rsidR="00E21158">
        <w:t xml:space="preserve">the lockdown. </w:t>
      </w:r>
      <w:r w:rsidR="002716E5">
        <w:t>As noted above t</w:t>
      </w:r>
      <w:r w:rsidR="00E21158">
        <w:t>here is no single</w:t>
      </w:r>
      <w:r w:rsidR="0046144C">
        <w:t>,</w:t>
      </w:r>
      <w:r w:rsidR="00E21158">
        <w:t xml:space="preserve"> reliable estimate of lives that have been saved by the UK lockdown </w:t>
      </w:r>
      <w:r w:rsidR="00A80BBA">
        <w:t xml:space="preserve">and </w:t>
      </w:r>
      <w:r w:rsidR="00E21158">
        <w:t>nor is there a widely accepted single figure for the comprehensive overall cost of the lockdown (which should include lost and damaged lives into the future as a result of s</w:t>
      </w:r>
      <w:r w:rsidR="00A80BBA">
        <w:t>evere</w:t>
      </w:r>
      <w:r w:rsidR="00E21158">
        <w:t xml:space="preserve"> restrictions and not just lost incomes</w:t>
      </w:r>
      <w:r w:rsidR="00A80BBA">
        <w:t xml:space="preserve"> in 2020</w:t>
      </w:r>
      <w:r w:rsidR="00E21158">
        <w:t xml:space="preserve">). </w:t>
      </w:r>
      <w:r w:rsidR="001F501A">
        <w:t xml:space="preserve">There is much uncertainty here and </w:t>
      </w:r>
      <w:r w:rsidR="001F501A">
        <w:lastRenderedPageBreak/>
        <w:t xml:space="preserve">presenting a single estimate of costs and benefits is not sensible. </w:t>
      </w:r>
      <w:proofErr w:type="gramStart"/>
      <w:r w:rsidR="00A80BBA">
        <w:t>So</w:t>
      </w:r>
      <w:proofErr w:type="gramEnd"/>
      <w:r w:rsidR="00A80BBA">
        <w:t xml:space="preserve"> we </w:t>
      </w:r>
      <w:r w:rsidR="00E21158">
        <w:t>present a r</w:t>
      </w:r>
      <w:r w:rsidR="00A80BBA">
        <w:t>a</w:t>
      </w:r>
      <w:r w:rsidR="00E21158">
        <w:t>nge of estimated costs and benefits based on a wide range of assumptio</w:t>
      </w:r>
      <w:r w:rsidR="00A80BBA">
        <w:t>ns</w:t>
      </w:r>
      <w:r w:rsidR="00E21158">
        <w:t xml:space="preserve"> t</w:t>
      </w:r>
      <w:r w:rsidR="00A80BBA">
        <w:t xml:space="preserve">hat </w:t>
      </w:r>
      <w:r w:rsidR="00E21158">
        <w:t xml:space="preserve">we think encompass plausible upper and lower limits on </w:t>
      </w:r>
      <w:r w:rsidR="00221D6D">
        <w:t xml:space="preserve">both </w:t>
      </w:r>
      <w:r w:rsidR="00E21158">
        <w:t>costs and benefits.</w:t>
      </w:r>
    </w:p>
    <w:p w14:paraId="3565A93D" w14:textId="0063A022" w:rsidR="00E21158" w:rsidRDefault="00E21158" w:rsidP="00C2088D">
      <w:r>
        <w:t>At the high end of estimated lives saved is the difference between the projected deaths from the study of Professors Ferguson’s group at Imperial assuming no change in behaviour (500,0</w:t>
      </w:r>
      <w:r w:rsidR="009002B6">
        <w:t>0</w:t>
      </w:r>
      <w:r>
        <w:t>0) less an estimate of excess UK deaths (approximately 60,000</w:t>
      </w:r>
      <w:r w:rsidR="003C009A">
        <w:t xml:space="preserve"> </w:t>
      </w:r>
      <w:r w:rsidR="003B06C0">
        <w:t xml:space="preserve">by </w:t>
      </w:r>
      <w:r w:rsidR="003C009A">
        <w:t>June 2020</w:t>
      </w:r>
      <w:r>
        <w:t xml:space="preserve">). </w:t>
      </w:r>
      <w:proofErr w:type="gramStart"/>
      <w:r>
        <w:t>This</w:t>
      </w:r>
      <w:proofErr w:type="gramEnd"/>
      <w:r>
        <w:t xml:space="preserve"> 440,0</w:t>
      </w:r>
      <w:r w:rsidR="003B06C0">
        <w:t>0</w:t>
      </w:r>
      <w:r>
        <w:t>0 net lives saved number is likely to be a s</w:t>
      </w:r>
      <w:r w:rsidR="00221D6D">
        <w:t xml:space="preserve">ignificant </w:t>
      </w:r>
      <w:r>
        <w:t xml:space="preserve">overestimate of likely lives saved. </w:t>
      </w:r>
      <w:r w:rsidR="00775F87">
        <w:t>As noted above i</w:t>
      </w:r>
      <w:r>
        <w:t>t does not account for changes in behaviour that would have occurred without the government lockdown</w:t>
      </w:r>
      <w:r w:rsidR="00775F87">
        <w:t>;</w:t>
      </w:r>
      <w:r>
        <w:t xml:space="preserve"> it does not count future higher deaths from side effects of the lockdown (extra cancer deaths for example)</w:t>
      </w:r>
      <w:r w:rsidR="00775F87">
        <w:t>;</w:t>
      </w:r>
      <w:r>
        <w:t xml:space="preserve"> and it does not allow for the fact that s</w:t>
      </w:r>
      <w:r w:rsidR="003C009A">
        <w:t>ome of those “saved” deaths</w:t>
      </w:r>
      <w:r>
        <w:t xml:space="preserve"> may just have been postponed because when restrictions are eased, and in the absence of a vaccine or of widespread immunity, deaths may pick up again. </w:t>
      </w:r>
      <w:r w:rsidR="00242DFF">
        <w:t>(</w:t>
      </w:r>
      <w:r w:rsidR="00C91D57">
        <w:t xml:space="preserve">If </w:t>
      </w:r>
      <w:r w:rsidR="00242DFF">
        <w:t xml:space="preserve">the epidemic is dying out anyway those deaths will not come as the lockdown is eased but </w:t>
      </w:r>
      <w:r w:rsidR="003C009A">
        <w:t xml:space="preserve">in this case </w:t>
      </w:r>
      <w:r w:rsidR="00242DFF">
        <w:t>the 440,0</w:t>
      </w:r>
      <w:r w:rsidR="003C009A">
        <w:t>0</w:t>
      </w:r>
      <w:r w:rsidR="00242DFF">
        <w:t xml:space="preserve">0 saved lives is also excessive because the lockdown </w:t>
      </w:r>
      <w:r w:rsidR="0046144C">
        <w:t xml:space="preserve">may have </w:t>
      </w:r>
      <w:r w:rsidR="00E16895">
        <w:t xml:space="preserve">come as a </w:t>
      </w:r>
      <w:r w:rsidR="00242DFF">
        <w:t>decline in infections was happening for other reasons).</w:t>
      </w:r>
    </w:p>
    <w:p w14:paraId="0F8B8B4C" w14:textId="0C42EF92" w:rsidR="00242DFF" w:rsidRDefault="00242DFF" w:rsidP="00C2088D">
      <w:r>
        <w:t xml:space="preserve">At the other end of the spectrum would be estimates of net saved lives that are effectively zero. </w:t>
      </w:r>
      <w:r w:rsidR="00F72AAE">
        <w:t xml:space="preserve">That too seems very unlikely. </w:t>
      </w:r>
      <w:r>
        <w:t>We set the lowest estimated net s</w:t>
      </w:r>
      <w:r w:rsidR="00501498">
        <w:t>aved</w:t>
      </w:r>
      <w:r>
        <w:t xml:space="preserve"> lives well above that and use (rather arbitrarily) a </w:t>
      </w:r>
      <w:r w:rsidR="00E16895">
        <w:t>“</w:t>
      </w:r>
      <w:r>
        <w:t>low</w:t>
      </w:r>
      <w:r w:rsidR="000C426F">
        <w:t>est</w:t>
      </w:r>
      <w:r w:rsidR="00E16895">
        <w:t>”</w:t>
      </w:r>
      <w:r>
        <w:t xml:space="preserve"> estimate of 20,000.</w:t>
      </w:r>
    </w:p>
    <w:p w14:paraId="1F250F78" w14:textId="7A8670B3" w:rsidR="003C009A" w:rsidRDefault="003C009A" w:rsidP="00C2088D">
      <w:r>
        <w:t>For each life saved we apply a factor off either 5 or 10 quality adjusted extra years of life</w:t>
      </w:r>
      <w:r w:rsidR="00C91D57">
        <w:t xml:space="preserve">, each </w:t>
      </w:r>
      <w:r w:rsidR="004A1794">
        <w:t xml:space="preserve">initially </w:t>
      </w:r>
      <w:r w:rsidR="00C91D57">
        <w:t>valued with the NICE guideline figure of £30,000</w:t>
      </w:r>
      <w:r>
        <w:t>.</w:t>
      </w:r>
      <w:r w:rsidR="00362324">
        <w:t xml:space="preserve"> </w:t>
      </w:r>
    </w:p>
    <w:p w14:paraId="1C62B3FB" w14:textId="18FF9CDA" w:rsidR="00E16895" w:rsidRDefault="00242DFF" w:rsidP="00242EF2">
      <w:r>
        <w:t>On the cost side the lowest</w:t>
      </w:r>
      <w:r w:rsidR="00501498">
        <w:t xml:space="preserve"> estimate </w:t>
      </w:r>
      <w:r>
        <w:t xml:space="preserve">is just to count the GDP that would have been produced in 2020 </w:t>
      </w:r>
      <w:r w:rsidR="00C91D57">
        <w:t xml:space="preserve">but for </w:t>
      </w:r>
      <w:r w:rsidR="007E7A15">
        <w:t xml:space="preserve">the lockdown established in March and assuming </w:t>
      </w:r>
      <w:r w:rsidR="00E16895">
        <w:t xml:space="preserve">the lockdown to be eased from </w:t>
      </w:r>
      <w:r w:rsidR="00C91D57">
        <w:t>the end of June</w:t>
      </w:r>
      <w:r w:rsidR="00E16895">
        <w:t xml:space="preserve">. </w:t>
      </w:r>
      <w:r>
        <w:t>This assumes a rapid bounce back by the end of the year so there is no effect on incomes and output f</w:t>
      </w:r>
      <w:r w:rsidR="00242EF2">
        <w:t>r</w:t>
      </w:r>
      <w:r>
        <w:t>om the start of 2021 onwar</w:t>
      </w:r>
      <w:r w:rsidR="003C009A">
        <w:t xml:space="preserve">ds. </w:t>
      </w:r>
      <w:r w:rsidR="00E16895">
        <w:t xml:space="preserve">That was the scenario envisaged by the Bank of England in their </w:t>
      </w:r>
      <w:r w:rsidR="00651CC7">
        <w:t xml:space="preserve">May </w:t>
      </w:r>
      <w:r w:rsidR="00E16895">
        <w:t>2020 assessment of the economic outlook when they put the GDP loss in 2020 at around 1</w:t>
      </w:r>
      <w:r w:rsidR="003C5BD2">
        <w:t>4</w:t>
      </w:r>
      <w:r w:rsidR="00E16895">
        <w:t>%. The</w:t>
      </w:r>
      <w:r>
        <w:t xml:space="preserve"> OBR estimate </w:t>
      </w:r>
      <w:r w:rsidR="003C009A">
        <w:t>for lost output in 2020</w:t>
      </w:r>
      <w:r w:rsidR="00E16895">
        <w:t xml:space="preserve">, also based on an assumed rapid recovery in the second half of the year, </w:t>
      </w:r>
      <w:r>
        <w:t>is close</w:t>
      </w:r>
      <w:r w:rsidR="003C5BD2">
        <w:t xml:space="preserve"> to 1</w:t>
      </w:r>
      <w:r w:rsidR="00B32CD1">
        <w:t>3</w:t>
      </w:r>
      <w:r w:rsidR="003C5BD2">
        <w:t xml:space="preserve">%. It seems plausible that a large fraction of these estimates of lost output is due to the lockdown. </w:t>
      </w:r>
      <w:r w:rsidR="00362324">
        <w:t xml:space="preserve">Even </w:t>
      </w:r>
      <w:r w:rsidR="003C5BD2">
        <w:t>absent a government mandated lockdown there would have been some reduction in incomes</w:t>
      </w:r>
      <w:r w:rsidR="00362324">
        <w:t xml:space="preserve">, but with no restrictions on leaving home </w:t>
      </w:r>
      <w:proofErr w:type="gramStart"/>
      <w:r w:rsidR="00362324">
        <w:t>and  most</w:t>
      </w:r>
      <w:proofErr w:type="gramEnd"/>
      <w:r w:rsidR="00362324">
        <w:t xml:space="preserve"> workplaces still open it seems likely the hit to GDP would have been far less. </w:t>
      </w:r>
      <w:r w:rsidR="00987EE4">
        <w:t>Simulations undertaken by Bradley et al (2020)</w:t>
      </w:r>
      <w:r w:rsidR="00BD7E23">
        <w:t>,</w:t>
      </w:r>
      <w:r w:rsidR="00987EE4">
        <w:t xml:space="preserve"> using a model of behavioural choice about work calibrated to the UK</w:t>
      </w:r>
      <w:r w:rsidR="00BD7E23">
        <w:t>,</w:t>
      </w:r>
      <w:r w:rsidR="00987EE4">
        <w:t xml:space="preserve"> show that absent a lockdown falls in output and employment would be very much lower than with a lengthy lockdown. </w:t>
      </w:r>
      <w:r w:rsidR="003C5BD2">
        <w:t>If t</w:t>
      </w:r>
      <w:r w:rsidR="00242B6F">
        <w:t>he</w:t>
      </w:r>
      <w:r w:rsidR="003C5BD2">
        <w:t xml:space="preserve"> lockdown effect was </w:t>
      </w:r>
      <w:r w:rsidR="00F72AAE">
        <w:t xml:space="preserve">two thirds of what the OBR and Bank of England suggest </w:t>
      </w:r>
      <w:r w:rsidR="00E86460">
        <w:t xml:space="preserve">is the loss in GDP for 2020 that </w:t>
      </w:r>
      <w:r w:rsidR="003C5BD2">
        <w:t xml:space="preserve">might imply around a </w:t>
      </w:r>
      <w:r w:rsidR="00F72AAE">
        <w:t>9</w:t>
      </w:r>
      <w:r w:rsidR="003C5BD2">
        <w:t xml:space="preserve">% </w:t>
      </w:r>
      <w:r w:rsidR="00242B6F">
        <w:t>fall in</w:t>
      </w:r>
      <w:r w:rsidR="003C5BD2">
        <w:t xml:space="preserve"> </w:t>
      </w:r>
      <w:r w:rsidR="00242B6F">
        <w:t xml:space="preserve">GDP as a </w:t>
      </w:r>
      <w:r w:rsidR="00E86460">
        <w:t xml:space="preserve">direct </w:t>
      </w:r>
      <w:r w:rsidR="00242B6F">
        <w:t>result of it.</w:t>
      </w:r>
      <w:r w:rsidR="003C5BD2">
        <w:t xml:space="preserve">  </w:t>
      </w:r>
      <w:r w:rsidR="00E16895">
        <w:t xml:space="preserve"> </w:t>
      </w:r>
      <w:r w:rsidR="00F72AAE">
        <w:t>That is around £200 billion.</w:t>
      </w:r>
      <w:r>
        <w:t xml:space="preserve"> </w:t>
      </w:r>
    </w:p>
    <w:p w14:paraId="5798A438" w14:textId="1512ED5F" w:rsidR="00242EF2" w:rsidRDefault="00242EF2" w:rsidP="00242EF2">
      <w:r>
        <w:t>Th</w:t>
      </w:r>
      <w:r w:rsidR="00242B6F">
        <w:t>at</w:t>
      </w:r>
      <w:r>
        <w:t xml:space="preserve"> </w:t>
      </w:r>
      <w:r w:rsidR="00F72AAE">
        <w:t>9</w:t>
      </w:r>
      <w:r>
        <w:t xml:space="preserve">% of GDP </w:t>
      </w:r>
      <w:r w:rsidR="003C009A">
        <w:t xml:space="preserve">cost </w:t>
      </w:r>
      <w:r>
        <w:t xml:space="preserve">is </w:t>
      </w:r>
      <w:r w:rsidR="00E16895">
        <w:t xml:space="preserve">likely to be a </w:t>
      </w:r>
      <w:r>
        <w:t>low</w:t>
      </w:r>
      <w:r w:rsidR="0046144C">
        <w:t xml:space="preserve">-end </w:t>
      </w:r>
      <w:r>
        <w:t xml:space="preserve">estimate of </w:t>
      </w:r>
      <w:r w:rsidR="003C009A">
        <w:t xml:space="preserve">overall </w:t>
      </w:r>
      <w:r>
        <w:t xml:space="preserve">costs </w:t>
      </w:r>
      <w:r w:rsidR="00E16895">
        <w:t xml:space="preserve">of the UK lockdown from mid-March to </w:t>
      </w:r>
      <w:r w:rsidR="00BD7E23">
        <w:t>late</w:t>
      </w:r>
      <w:r w:rsidR="00E16895">
        <w:t xml:space="preserve"> June: </w:t>
      </w:r>
      <w:r>
        <w:t xml:space="preserve"> it assume</w:t>
      </w:r>
      <w:r w:rsidR="003C009A">
        <w:t>s</w:t>
      </w:r>
      <w:r>
        <w:t xml:space="preserve"> lost output </w:t>
      </w:r>
      <w:r w:rsidR="003C009A">
        <w:t xml:space="preserve">from the first half of 2020 </w:t>
      </w:r>
      <w:r>
        <w:t>comes back</w:t>
      </w:r>
      <w:r w:rsidR="003C009A">
        <w:t xml:space="preserve"> quickly</w:t>
      </w:r>
      <w:r>
        <w:rPr>
          <w:rStyle w:val="FootnoteReference"/>
        </w:rPr>
        <w:footnoteReference w:id="11"/>
      </w:r>
      <w:r>
        <w:t xml:space="preserve">, </w:t>
      </w:r>
      <w:r w:rsidR="003C009A">
        <w:t xml:space="preserve">it </w:t>
      </w:r>
      <w:r>
        <w:t xml:space="preserve">ignores </w:t>
      </w:r>
      <w:r>
        <w:lastRenderedPageBreak/>
        <w:t>wider health costs of future lives damaged</w:t>
      </w:r>
      <w:r>
        <w:rPr>
          <w:rStyle w:val="FootnoteReference"/>
        </w:rPr>
        <w:footnoteReference w:id="12"/>
      </w:r>
      <w:r>
        <w:t xml:space="preserve">, </w:t>
      </w:r>
      <w:r w:rsidR="003C009A">
        <w:t xml:space="preserve">it </w:t>
      </w:r>
      <w:r>
        <w:t xml:space="preserve">assumes zero costs from disruption to </w:t>
      </w:r>
      <w:r w:rsidR="003C009A">
        <w:t xml:space="preserve">the </w:t>
      </w:r>
      <w:r>
        <w:t>education of the young</w:t>
      </w:r>
      <w:r>
        <w:rPr>
          <w:rStyle w:val="FootnoteReference"/>
        </w:rPr>
        <w:footnoteReference w:id="13"/>
      </w:r>
      <w:r>
        <w:t xml:space="preserve">. </w:t>
      </w:r>
    </w:p>
    <w:p w14:paraId="67EDCC87" w14:textId="50FE1D87" w:rsidR="00242DFF" w:rsidRDefault="00242DFF" w:rsidP="00C2088D">
      <w:r>
        <w:t>At the high end of the spectrum would be an estimate of 15% of GDP lost in 2020 and lower output for the next few years on top of that as economic activity does not return to normal for s</w:t>
      </w:r>
      <w:r w:rsidR="00651CC7">
        <w:t xml:space="preserve">everal </w:t>
      </w:r>
      <w:r>
        <w:t>years</w:t>
      </w:r>
      <w:r w:rsidR="00E16895">
        <w:t xml:space="preserve"> with some firms permanently damaged by the lockdown and the large rise in unemployment slow to be reversed</w:t>
      </w:r>
      <w:r w:rsidR="007E7A15">
        <w:t>,</w:t>
      </w:r>
      <w:r w:rsidR="00E16895">
        <w:t xml:space="preserve"> even if restrictions are quickly removed from mid</w:t>
      </w:r>
      <w:r w:rsidR="007E7A15">
        <w:t>-</w:t>
      </w:r>
      <w:r w:rsidR="00E16895">
        <w:t xml:space="preserve">2020. </w:t>
      </w:r>
      <w:r>
        <w:t xml:space="preserve"> A shortfall of GDP of 15% in 2020; 7.5% in 2021 and 2.5% in 2022 would be at the more pessimistic end of the spectrum </w:t>
      </w:r>
      <w:r w:rsidR="006334FD">
        <w:t xml:space="preserve">for the impact of the March-June lockdown, </w:t>
      </w:r>
      <w:r>
        <w:t xml:space="preserve">though for many economists </w:t>
      </w:r>
      <w:r w:rsidR="006334FD">
        <w:t xml:space="preserve">such a figure </w:t>
      </w:r>
      <w:r>
        <w:t>seems realistic rather than pessimistic</w:t>
      </w:r>
      <w:r w:rsidR="00FA7CB1">
        <w:rPr>
          <w:rStyle w:val="FootnoteReference"/>
        </w:rPr>
        <w:footnoteReference w:id="14"/>
      </w:r>
      <w:r>
        <w:t>.</w:t>
      </w:r>
      <w:r w:rsidR="00FA7CB1">
        <w:t xml:space="preserve"> </w:t>
      </w:r>
      <w:r>
        <w:t xml:space="preserve"> The cumulative lost output would then be 25% of GDP.</w:t>
      </w:r>
    </w:p>
    <w:p w14:paraId="40BAAEE3" w14:textId="1BE498C3" w:rsidR="00242DFF" w:rsidRDefault="00F72AAE" w:rsidP="00C2088D">
      <w:r>
        <w:t xml:space="preserve">It should be stressed that these are scenarios – not forecasts. But we believe they cover high and low ends of a plausible range for both costs and benefits of lockdown. </w:t>
      </w:r>
      <w:r w:rsidR="00242DFF">
        <w:t>The T</w:t>
      </w:r>
      <w:r w:rsidR="00242EF2">
        <w:t>a</w:t>
      </w:r>
      <w:r w:rsidR="00242DFF">
        <w:t>ble</w:t>
      </w:r>
      <w:r w:rsidR="0046144C">
        <w:t>s</w:t>
      </w:r>
      <w:r w:rsidR="00242DFF">
        <w:t xml:space="preserve"> b</w:t>
      </w:r>
      <w:r w:rsidR="0046144C">
        <w:t>e</w:t>
      </w:r>
      <w:r w:rsidR="00242DFF">
        <w:t>l</w:t>
      </w:r>
      <w:r w:rsidR="00242EF2">
        <w:t>o</w:t>
      </w:r>
      <w:r w:rsidR="00242DFF">
        <w:t xml:space="preserve">w show the cost-benefit calculations of the lockdown based on such ranges: In each cell we report </w:t>
      </w:r>
      <w:r w:rsidR="003C009A">
        <w:t xml:space="preserve">three numbers: </w:t>
      </w:r>
      <w:r w:rsidR="00242DFF">
        <w:t>ben</w:t>
      </w:r>
      <w:r w:rsidR="00242EF2">
        <w:t>e</w:t>
      </w:r>
      <w:r w:rsidR="00242DFF">
        <w:t>fits</w:t>
      </w:r>
      <w:r w:rsidR="002121AA">
        <w:t xml:space="preserve"> (+)</w:t>
      </w:r>
      <w:r w:rsidR="00242DFF">
        <w:t>, costs</w:t>
      </w:r>
      <w:r w:rsidR="002121AA">
        <w:t xml:space="preserve"> (-)</w:t>
      </w:r>
      <w:r w:rsidR="00242DFF">
        <w:t xml:space="preserve"> and </w:t>
      </w:r>
      <w:r w:rsidR="006334FD">
        <w:t xml:space="preserve">(in red) </w:t>
      </w:r>
      <w:r w:rsidR="00242DFF">
        <w:t>the balance</w:t>
      </w:r>
      <w:r w:rsidR="003C009A">
        <w:t xml:space="preserve"> of the two</w:t>
      </w:r>
      <w:r w:rsidR="007E7A15">
        <w:t xml:space="preserve"> - all measured as £ billions. </w:t>
      </w:r>
    </w:p>
    <w:p w14:paraId="44F05684" w14:textId="39FE2795" w:rsidR="002121AA" w:rsidRDefault="002121AA" w:rsidP="00935E21">
      <w:r>
        <w:t xml:space="preserve">For </w:t>
      </w:r>
      <w:r w:rsidR="00935E21">
        <w:t>every permutation of lives saved and GDP lost the costs of lockdown exceed the benefits</w:t>
      </w:r>
      <w:r w:rsidR="00F72AAE">
        <w:t xml:space="preserve">. </w:t>
      </w:r>
      <w:r w:rsidR="00935E21">
        <w:t xml:space="preserve">Even if lives saved are as high as 440,000, each of which means an extra 10 years of quality adjusted life – and when the lost output (assumed to be a sufficient and comprehensive measure of all costs of the lockdown) is simply the likely shortfall in incomes in 2020 – costs are still over 50% higher than </w:t>
      </w:r>
      <w:r w:rsidR="00BD7E23">
        <w:t xml:space="preserve">the </w:t>
      </w:r>
      <w:r w:rsidR="00935E21">
        <w:t xml:space="preserve">benefits of </w:t>
      </w:r>
      <w:r w:rsidR="00FE5229">
        <w:t xml:space="preserve">a three month </w:t>
      </w:r>
      <w:r w:rsidR="00935E21">
        <w:t xml:space="preserve">lockdown (benefits = £132 billion; costs = £200 billion). In all other cases costs are a multiple of benefits. In most cases costs are 10 times or more the scale of benefits. This result reflects the fact that the economic costs of </w:t>
      </w:r>
      <w:r w:rsidR="00FE5229">
        <w:t>a</w:t>
      </w:r>
      <w:r w:rsidR="00935E21">
        <w:t xml:space="preserve"> </w:t>
      </w:r>
      <w:r w:rsidR="00FE5229">
        <w:t xml:space="preserve">three month </w:t>
      </w:r>
      <w:r w:rsidR="00935E21">
        <w:t xml:space="preserve">lockdown – even on the most conservative estimate of £200 billion – is </w:t>
      </w:r>
      <w:r w:rsidR="00BD7E23">
        <w:t xml:space="preserve">probably </w:t>
      </w:r>
      <w:r w:rsidR="00935E21">
        <w:t xml:space="preserve">far larger than annual total expenditure on the UK national health service (which runs at around £130 billion); the benefits of that level of resources applied to health and using the NICE guidelines would be expected to generate far more lives saved than is plausibly attributable to the lockdown in the UK. </w:t>
      </w:r>
    </w:p>
    <w:p w14:paraId="0908E98C" w14:textId="1D7D88A4" w:rsidR="00935E21" w:rsidRDefault="00935E21" w:rsidP="00935E21">
      <w:r>
        <w:t>Another way of making the same point is that the cost per QALY saved of the lockdown looks to be far in excess (</w:t>
      </w:r>
      <w:r w:rsidR="00E86460">
        <w:t xml:space="preserve">generally </w:t>
      </w:r>
      <w:r>
        <w:t xml:space="preserve">by a factor of at least 3 and often by a factor of 10 and more) of that considered acceptable for health treatments in the UK. </w:t>
      </w:r>
    </w:p>
    <w:p w14:paraId="4559EFBE" w14:textId="22652713" w:rsidR="00242DFF" w:rsidRDefault="00D8199B" w:rsidP="00C2088D">
      <w:r w:rsidRPr="00651CC7">
        <w:rPr>
          <w:b/>
        </w:rPr>
        <w:lastRenderedPageBreak/>
        <w:t xml:space="preserve">Table </w:t>
      </w:r>
      <w:r w:rsidR="002C4903" w:rsidRPr="00651CC7">
        <w:rPr>
          <w:b/>
        </w:rPr>
        <w:t>2</w:t>
      </w:r>
      <w:r w:rsidR="006334FD">
        <w:t xml:space="preserve">: </w:t>
      </w:r>
      <w:bookmarkStart w:id="2" w:name="_Hlk42712407"/>
      <w:r w:rsidR="006334FD">
        <w:t>benefits</w:t>
      </w:r>
      <w:r w:rsidR="00426F1D">
        <w:t xml:space="preserve"> (+)</w:t>
      </w:r>
      <w:r w:rsidR="006334FD">
        <w:t>, costs</w:t>
      </w:r>
      <w:r w:rsidR="00426F1D">
        <w:t xml:space="preserve"> (-)</w:t>
      </w:r>
      <w:r w:rsidR="006334FD">
        <w:t xml:space="preserve"> and </w:t>
      </w:r>
      <w:r w:rsidR="006334FD" w:rsidRPr="00FF5F4E">
        <w:rPr>
          <w:b/>
          <w:color w:val="FF0000"/>
        </w:rPr>
        <w:t>net benefits</w:t>
      </w:r>
      <w:r w:rsidR="006334FD" w:rsidRPr="00FF5F4E">
        <w:rPr>
          <w:color w:val="FF0000"/>
        </w:rPr>
        <w:t xml:space="preserve"> </w:t>
      </w:r>
      <w:r w:rsidR="006334FD">
        <w:t xml:space="preserve">of March-June </w:t>
      </w:r>
      <w:r w:rsidR="002121AA">
        <w:t xml:space="preserve">UK </w:t>
      </w:r>
      <w:r w:rsidR="006334FD">
        <w:t>lockdown; con</w:t>
      </w:r>
      <w:r w:rsidR="007E7A15">
        <w:t>v</w:t>
      </w:r>
      <w:r w:rsidR="006334FD">
        <w:t xml:space="preserve">erted to an index of £ billions. </w:t>
      </w:r>
      <w:r w:rsidR="0077765B">
        <w:t xml:space="preserve">5 QALY </w:t>
      </w:r>
      <w:r w:rsidR="00651CC7">
        <w:t xml:space="preserve">are assumed </w:t>
      </w:r>
      <w:r w:rsidR="0077765B">
        <w:t>lost</w:t>
      </w:r>
      <w:r w:rsidR="00651CC7">
        <w:t xml:space="preserve"> for each </w:t>
      </w:r>
      <w:r w:rsidR="0077765B">
        <w:t>COVID-19 death</w:t>
      </w:r>
      <w:r w:rsidR="00E21158">
        <w:t xml:space="preserve"> </w:t>
      </w:r>
    </w:p>
    <w:bookmarkEnd w:id="2"/>
    <w:tbl>
      <w:tblPr>
        <w:tblStyle w:val="GridTable5Dark-Accent5"/>
        <w:tblW w:w="0" w:type="auto"/>
        <w:tblLayout w:type="fixed"/>
        <w:tblLook w:val="04A0" w:firstRow="1" w:lastRow="0" w:firstColumn="1" w:lastColumn="0" w:noHBand="0" w:noVBand="1"/>
      </w:tblPr>
      <w:tblGrid>
        <w:gridCol w:w="1696"/>
        <w:gridCol w:w="1807"/>
        <w:gridCol w:w="1808"/>
        <w:gridCol w:w="1807"/>
        <w:gridCol w:w="1808"/>
      </w:tblGrid>
      <w:tr w:rsidR="00D306B1" w14:paraId="2E9E74F3" w14:textId="77777777" w:rsidTr="003629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0DA1EBD9" w14:textId="77777777" w:rsidR="00D306B1" w:rsidRDefault="00D306B1" w:rsidP="00C2088D"/>
        </w:tc>
        <w:tc>
          <w:tcPr>
            <w:tcW w:w="1807" w:type="dxa"/>
          </w:tcPr>
          <w:p w14:paraId="17E1A177" w14:textId="1FDCF42C" w:rsidR="00D306B1" w:rsidRDefault="00F72AAE" w:rsidP="00BC6360">
            <w:pPr>
              <w:jc w:val="center"/>
              <w:cnfStyle w:val="100000000000" w:firstRow="1" w:lastRow="0" w:firstColumn="0" w:lastColumn="0" w:oddVBand="0" w:evenVBand="0" w:oddHBand="0" w:evenHBand="0" w:firstRowFirstColumn="0" w:firstRowLastColumn="0" w:lastRowFirstColumn="0" w:lastRowLastColumn="0"/>
            </w:pPr>
            <w:r>
              <w:t>9</w:t>
            </w:r>
            <w:r w:rsidR="00D306B1">
              <w:t>% GDP loss</w:t>
            </w:r>
          </w:p>
        </w:tc>
        <w:tc>
          <w:tcPr>
            <w:tcW w:w="1808" w:type="dxa"/>
          </w:tcPr>
          <w:p w14:paraId="45FC01D9" w14:textId="60C6CF38" w:rsidR="00D306B1" w:rsidRDefault="00D306B1" w:rsidP="00BC6360">
            <w:pPr>
              <w:jc w:val="center"/>
              <w:cnfStyle w:val="100000000000" w:firstRow="1" w:lastRow="0" w:firstColumn="0" w:lastColumn="0" w:oddVBand="0" w:evenVBand="0" w:oddHBand="0" w:evenHBand="0" w:firstRowFirstColumn="0" w:firstRowLastColumn="0" w:lastRowFirstColumn="0" w:lastRowLastColumn="0"/>
            </w:pPr>
            <w:r>
              <w:t>15% GDP loss</w:t>
            </w:r>
          </w:p>
        </w:tc>
        <w:tc>
          <w:tcPr>
            <w:tcW w:w="1807" w:type="dxa"/>
          </w:tcPr>
          <w:p w14:paraId="6FDFB915" w14:textId="66463634" w:rsidR="00D306B1" w:rsidRDefault="00D306B1" w:rsidP="00BC6360">
            <w:pPr>
              <w:jc w:val="center"/>
              <w:cnfStyle w:val="100000000000" w:firstRow="1" w:lastRow="0" w:firstColumn="0" w:lastColumn="0" w:oddVBand="0" w:evenVBand="0" w:oddHBand="0" w:evenHBand="0" w:firstRowFirstColumn="0" w:firstRowLastColumn="0" w:lastRowFirstColumn="0" w:lastRowLastColumn="0"/>
            </w:pPr>
            <w:r>
              <w:t>20% GDP loss</w:t>
            </w:r>
          </w:p>
        </w:tc>
        <w:tc>
          <w:tcPr>
            <w:tcW w:w="1808" w:type="dxa"/>
          </w:tcPr>
          <w:p w14:paraId="144E6BBB" w14:textId="68F0FFD0" w:rsidR="00D306B1" w:rsidRDefault="00D306B1" w:rsidP="00BC6360">
            <w:pPr>
              <w:jc w:val="center"/>
              <w:cnfStyle w:val="100000000000" w:firstRow="1" w:lastRow="0" w:firstColumn="0" w:lastColumn="0" w:oddVBand="0" w:evenVBand="0" w:oddHBand="0" w:evenHBand="0" w:firstRowFirstColumn="0" w:firstRowLastColumn="0" w:lastRowFirstColumn="0" w:lastRowLastColumn="0"/>
            </w:pPr>
            <w:r>
              <w:t>25% GDP loss</w:t>
            </w:r>
          </w:p>
        </w:tc>
      </w:tr>
      <w:tr w:rsidR="00D306B1" w14:paraId="5CBFEE6C" w14:textId="77777777" w:rsidTr="003629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360B4177" w14:textId="4D585107" w:rsidR="00D306B1" w:rsidRDefault="00D306B1" w:rsidP="00C2088D">
            <w:r>
              <w:t xml:space="preserve">Lives </w:t>
            </w:r>
            <w:r w:rsidR="002E2FBE">
              <w:t>not lost</w:t>
            </w:r>
            <w:r>
              <w:t xml:space="preserve"> </w:t>
            </w:r>
          </w:p>
        </w:tc>
        <w:tc>
          <w:tcPr>
            <w:tcW w:w="1807" w:type="dxa"/>
          </w:tcPr>
          <w:p w14:paraId="68DB5163" w14:textId="77777777" w:rsidR="00D306B1" w:rsidRDefault="00D306B1" w:rsidP="00BC6360">
            <w:pPr>
              <w:jc w:val="center"/>
              <w:cnfStyle w:val="000000100000" w:firstRow="0" w:lastRow="0" w:firstColumn="0" w:lastColumn="0" w:oddVBand="0" w:evenVBand="0" w:oddHBand="1" w:evenHBand="0" w:firstRowFirstColumn="0" w:firstRowLastColumn="0" w:lastRowFirstColumn="0" w:lastRowLastColumn="0"/>
            </w:pPr>
          </w:p>
        </w:tc>
        <w:tc>
          <w:tcPr>
            <w:tcW w:w="1808" w:type="dxa"/>
          </w:tcPr>
          <w:p w14:paraId="40CE3707" w14:textId="77777777" w:rsidR="00D306B1" w:rsidRDefault="00D306B1" w:rsidP="00BC6360">
            <w:pPr>
              <w:jc w:val="center"/>
              <w:cnfStyle w:val="000000100000" w:firstRow="0" w:lastRow="0" w:firstColumn="0" w:lastColumn="0" w:oddVBand="0" w:evenVBand="0" w:oddHBand="1" w:evenHBand="0" w:firstRowFirstColumn="0" w:firstRowLastColumn="0" w:lastRowFirstColumn="0" w:lastRowLastColumn="0"/>
            </w:pPr>
          </w:p>
        </w:tc>
        <w:tc>
          <w:tcPr>
            <w:tcW w:w="1807" w:type="dxa"/>
          </w:tcPr>
          <w:p w14:paraId="4221EF3E" w14:textId="77777777" w:rsidR="00D306B1" w:rsidRDefault="00D306B1" w:rsidP="00BC6360">
            <w:pPr>
              <w:jc w:val="center"/>
              <w:cnfStyle w:val="000000100000" w:firstRow="0" w:lastRow="0" w:firstColumn="0" w:lastColumn="0" w:oddVBand="0" w:evenVBand="0" w:oddHBand="1" w:evenHBand="0" w:firstRowFirstColumn="0" w:firstRowLastColumn="0" w:lastRowFirstColumn="0" w:lastRowLastColumn="0"/>
            </w:pPr>
          </w:p>
        </w:tc>
        <w:tc>
          <w:tcPr>
            <w:tcW w:w="1808" w:type="dxa"/>
          </w:tcPr>
          <w:p w14:paraId="56D72806" w14:textId="77777777" w:rsidR="00D306B1" w:rsidRDefault="00D306B1" w:rsidP="00BC6360">
            <w:pPr>
              <w:jc w:val="center"/>
              <w:cnfStyle w:val="000000100000" w:firstRow="0" w:lastRow="0" w:firstColumn="0" w:lastColumn="0" w:oddVBand="0" w:evenVBand="0" w:oddHBand="1" w:evenHBand="0" w:firstRowFirstColumn="0" w:firstRowLastColumn="0" w:lastRowFirstColumn="0" w:lastRowLastColumn="0"/>
            </w:pPr>
          </w:p>
        </w:tc>
      </w:tr>
      <w:tr w:rsidR="0013305D" w14:paraId="7F80324C" w14:textId="77777777" w:rsidTr="003629D1">
        <w:tc>
          <w:tcPr>
            <w:cnfStyle w:val="001000000000" w:firstRow="0" w:lastRow="0" w:firstColumn="1" w:lastColumn="0" w:oddVBand="0" w:evenVBand="0" w:oddHBand="0" w:evenHBand="0" w:firstRowFirstColumn="0" w:firstRowLastColumn="0" w:lastRowFirstColumn="0" w:lastRowLastColumn="0"/>
            <w:tcW w:w="1696" w:type="dxa"/>
          </w:tcPr>
          <w:p w14:paraId="4A2A8764" w14:textId="4FDFD4CE" w:rsidR="0013305D" w:rsidRDefault="0013305D" w:rsidP="0013305D">
            <w:r>
              <w:t>440,000</w:t>
            </w:r>
          </w:p>
        </w:tc>
        <w:tc>
          <w:tcPr>
            <w:tcW w:w="1807" w:type="dxa"/>
          </w:tcPr>
          <w:p w14:paraId="5C98DF38" w14:textId="5B6BB53A" w:rsidR="0013305D" w:rsidRDefault="0013305D" w:rsidP="0013305D">
            <w:pPr>
              <w:jc w:val="center"/>
              <w:cnfStyle w:val="000000000000" w:firstRow="0" w:lastRow="0" w:firstColumn="0" w:lastColumn="0" w:oddVBand="0" w:evenVBand="0" w:oddHBand="0" w:evenHBand="0" w:firstRowFirstColumn="0" w:firstRowLastColumn="0" w:lastRowFirstColumn="0" w:lastRowLastColumn="0"/>
            </w:pPr>
            <w:r w:rsidRPr="00282B32">
              <w:t xml:space="preserve">£66b, -£200b, </w:t>
            </w:r>
            <w:r>
              <w:br/>
            </w:r>
            <w:r w:rsidRPr="0013305D">
              <w:rPr>
                <w:b/>
                <w:bCs/>
                <w:color w:val="FF0000"/>
              </w:rPr>
              <w:t>-£134b</w:t>
            </w:r>
          </w:p>
        </w:tc>
        <w:tc>
          <w:tcPr>
            <w:tcW w:w="1808" w:type="dxa"/>
          </w:tcPr>
          <w:p w14:paraId="6FB843A7" w14:textId="4E1451D4" w:rsidR="0013305D" w:rsidRDefault="0013305D" w:rsidP="0013305D">
            <w:pPr>
              <w:jc w:val="center"/>
              <w:cnfStyle w:val="000000000000" w:firstRow="0" w:lastRow="0" w:firstColumn="0" w:lastColumn="0" w:oddVBand="0" w:evenVBand="0" w:oddHBand="0" w:evenHBand="0" w:firstRowFirstColumn="0" w:firstRowLastColumn="0" w:lastRowFirstColumn="0" w:lastRowLastColumn="0"/>
            </w:pPr>
            <w:r w:rsidRPr="00282B32">
              <w:t>£66b, -£330b,</w:t>
            </w:r>
            <w:r>
              <w:br/>
            </w:r>
            <w:r w:rsidRPr="00282B32">
              <w:t xml:space="preserve"> </w:t>
            </w:r>
            <w:r w:rsidRPr="0013305D">
              <w:rPr>
                <w:b/>
                <w:bCs/>
                <w:color w:val="FF0000"/>
              </w:rPr>
              <w:t>-£264b</w:t>
            </w:r>
          </w:p>
        </w:tc>
        <w:tc>
          <w:tcPr>
            <w:tcW w:w="1807" w:type="dxa"/>
          </w:tcPr>
          <w:p w14:paraId="0B08557B" w14:textId="7C941119" w:rsidR="0013305D" w:rsidRDefault="0013305D" w:rsidP="0013305D">
            <w:pPr>
              <w:jc w:val="center"/>
              <w:cnfStyle w:val="000000000000" w:firstRow="0" w:lastRow="0" w:firstColumn="0" w:lastColumn="0" w:oddVBand="0" w:evenVBand="0" w:oddHBand="0" w:evenHBand="0" w:firstRowFirstColumn="0" w:firstRowLastColumn="0" w:lastRowFirstColumn="0" w:lastRowLastColumn="0"/>
            </w:pPr>
            <w:r w:rsidRPr="00282B32">
              <w:t>£66b, -£440b,</w:t>
            </w:r>
            <w:r>
              <w:br/>
            </w:r>
            <w:r w:rsidRPr="00282B32">
              <w:t xml:space="preserve"> </w:t>
            </w:r>
            <w:r w:rsidRPr="0013305D">
              <w:rPr>
                <w:b/>
                <w:bCs/>
                <w:color w:val="FF0000"/>
              </w:rPr>
              <w:t>-£374b</w:t>
            </w:r>
          </w:p>
        </w:tc>
        <w:tc>
          <w:tcPr>
            <w:tcW w:w="1808" w:type="dxa"/>
          </w:tcPr>
          <w:p w14:paraId="665D9C22" w14:textId="5760D92D" w:rsidR="0013305D" w:rsidRDefault="0013305D" w:rsidP="0013305D">
            <w:pPr>
              <w:jc w:val="center"/>
              <w:cnfStyle w:val="000000000000" w:firstRow="0" w:lastRow="0" w:firstColumn="0" w:lastColumn="0" w:oddVBand="0" w:evenVBand="0" w:oddHBand="0" w:evenHBand="0" w:firstRowFirstColumn="0" w:firstRowLastColumn="0" w:lastRowFirstColumn="0" w:lastRowLastColumn="0"/>
            </w:pPr>
            <w:r w:rsidRPr="00282B32">
              <w:t>£66b, -£550b,</w:t>
            </w:r>
            <w:r>
              <w:br/>
            </w:r>
            <w:r w:rsidRPr="00282B32">
              <w:t xml:space="preserve"> </w:t>
            </w:r>
            <w:r w:rsidRPr="0013305D">
              <w:rPr>
                <w:b/>
                <w:bCs/>
                <w:color w:val="FF0000"/>
              </w:rPr>
              <w:t>-£484b</w:t>
            </w:r>
          </w:p>
        </w:tc>
      </w:tr>
      <w:tr w:rsidR="0013305D" w14:paraId="2F6B3DD7" w14:textId="77777777" w:rsidTr="003629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741694A1" w14:textId="55C6CCB5" w:rsidR="0013305D" w:rsidRDefault="0013305D" w:rsidP="0013305D">
            <w:r>
              <w:t>200,000</w:t>
            </w:r>
          </w:p>
        </w:tc>
        <w:tc>
          <w:tcPr>
            <w:tcW w:w="1807" w:type="dxa"/>
          </w:tcPr>
          <w:p w14:paraId="2150CA9E" w14:textId="39787F2C" w:rsidR="0013305D" w:rsidRDefault="0013305D" w:rsidP="0013305D">
            <w:pPr>
              <w:jc w:val="center"/>
              <w:cnfStyle w:val="000000100000" w:firstRow="0" w:lastRow="0" w:firstColumn="0" w:lastColumn="0" w:oddVBand="0" w:evenVBand="0" w:oddHBand="1" w:evenHBand="0" w:firstRowFirstColumn="0" w:firstRowLastColumn="0" w:lastRowFirstColumn="0" w:lastRowLastColumn="0"/>
            </w:pPr>
            <w:r w:rsidRPr="00282B32">
              <w:t>£30b, -£200b,</w:t>
            </w:r>
            <w:r>
              <w:br/>
            </w:r>
            <w:r w:rsidRPr="00282B32">
              <w:t xml:space="preserve"> </w:t>
            </w:r>
            <w:r w:rsidRPr="0013305D">
              <w:rPr>
                <w:b/>
                <w:bCs/>
                <w:color w:val="FF0000"/>
              </w:rPr>
              <w:t>-£170b</w:t>
            </w:r>
          </w:p>
        </w:tc>
        <w:tc>
          <w:tcPr>
            <w:tcW w:w="1808" w:type="dxa"/>
          </w:tcPr>
          <w:p w14:paraId="3379D90E" w14:textId="397AFF7E" w:rsidR="0013305D" w:rsidRDefault="0013305D" w:rsidP="0013305D">
            <w:pPr>
              <w:jc w:val="center"/>
              <w:cnfStyle w:val="000000100000" w:firstRow="0" w:lastRow="0" w:firstColumn="0" w:lastColumn="0" w:oddVBand="0" w:evenVBand="0" w:oddHBand="1" w:evenHBand="0" w:firstRowFirstColumn="0" w:firstRowLastColumn="0" w:lastRowFirstColumn="0" w:lastRowLastColumn="0"/>
            </w:pPr>
            <w:r w:rsidRPr="00282B32">
              <w:t>£30b, -£330b,</w:t>
            </w:r>
            <w:r>
              <w:br/>
            </w:r>
            <w:r w:rsidRPr="0013305D">
              <w:rPr>
                <w:b/>
                <w:bCs/>
                <w:color w:val="FF0000"/>
              </w:rPr>
              <w:t>-£300b</w:t>
            </w:r>
          </w:p>
        </w:tc>
        <w:tc>
          <w:tcPr>
            <w:tcW w:w="1807" w:type="dxa"/>
          </w:tcPr>
          <w:p w14:paraId="6488B6C4" w14:textId="60F00E33" w:rsidR="0013305D" w:rsidRDefault="0013305D" w:rsidP="0013305D">
            <w:pPr>
              <w:jc w:val="center"/>
              <w:cnfStyle w:val="000000100000" w:firstRow="0" w:lastRow="0" w:firstColumn="0" w:lastColumn="0" w:oddVBand="0" w:evenVBand="0" w:oddHBand="1" w:evenHBand="0" w:firstRowFirstColumn="0" w:firstRowLastColumn="0" w:lastRowFirstColumn="0" w:lastRowLastColumn="0"/>
            </w:pPr>
            <w:r w:rsidRPr="00282B32">
              <w:t>£30b, -£440b,</w:t>
            </w:r>
            <w:r>
              <w:br/>
            </w:r>
            <w:r w:rsidRPr="00282B32">
              <w:t xml:space="preserve"> </w:t>
            </w:r>
            <w:r w:rsidRPr="003629D1">
              <w:rPr>
                <w:b/>
                <w:bCs/>
                <w:color w:val="FF0000"/>
              </w:rPr>
              <w:t>-£410b</w:t>
            </w:r>
          </w:p>
        </w:tc>
        <w:tc>
          <w:tcPr>
            <w:tcW w:w="1808" w:type="dxa"/>
          </w:tcPr>
          <w:p w14:paraId="1A1D8CCC" w14:textId="745DAB71" w:rsidR="0013305D" w:rsidRDefault="0013305D" w:rsidP="0013305D">
            <w:pPr>
              <w:jc w:val="center"/>
              <w:cnfStyle w:val="000000100000" w:firstRow="0" w:lastRow="0" w:firstColumn="0" w:lastColumn="0" w:oddVBand="0" w:evenVBand="0" w:oddHBand="1" w:evenHBand="0" w:firstRowFirstColumn="0" w:firstRowLastColumn="0" w:lastRowFirstColumn="0" w:lastRowLastColumn="0"/>
            </w:pPr>
            <w:r w:rsidRPr="00282B32">
              <w:t>£30b, -£550b,</w:t>
            </w:r>
            <w:r>
              <w:br/>
            </w:r>
            <w:r w:rsidRPr="003629D1">
              <w:rPr>
                <w:b/>
                <w:bCs/>
                <w:color w:val="FF0000"/>
              </w:rPr>
              <w:t xml:space="preserve"> -£520b</w:t>
            </w:r>
          </w:p>
        </w:tc>
      </w:tr>
      <w:tr w:rsidR="0013305D" w14:paraId="7AF7D236" w14:textId="77777777" w:rsidTr="003629D1">
        <w:tc>
          <w:tcPr>
            <w:cnfStyle w:val="001000000000" w:firstRow="0" w:lastRow="0" w:firstColumn="1" w:lastColumn="0" w:oddVBand="0" w:evenVBand="0" w:oddHBand="0" w:evenHBand="0" w:firstRowFirstColumn="0" w:firstRowLastColumn="0" w:lastRowFirstColumn="0" w:lastRowLastColumn="0"/>
            <w:tcW w:w="1696" w:type="dxa"/>
          </w:tcPr>
          <w:p w14:paraId="40303B18" w14:textId="5527416F" w:rsidR="0013305D" w:rsidRDefault="0013305D" w:rsidP="0013305D">
            <w:r>
              <w:t>100,000</w:t>
            </w:r>
          </w:p>
        </w:tc>
        <w:tc>
          <w:tcPr>
            <w:tcW w:w="1807" w:type="dxa"/>
          </w:tcPr>
          <w:p w14:paraId="1557E755" w14:textId="7EB0D726" w:rsidR="0013305D" w:rsidRDefault="0013305D" w:rsidP="0013305D">
            <w:pPr>
              <w:jc w:val="center"/>
              <w:cnfStyle w:val="000000000000" w:firstRow="0" w:lastRow="0" w:firstColumn="0" w:lastColumn="0" w:oddVBand="0" w:evenVBand="0" w:oddHBand="0" w:evenHBand="0" w:firstRowFirstColumn="0" w:firstRowLastColumn="0" w:lastRowFirstColumn="0" w:lastRowLastColumn="0"/>
            </w:pPr>
            <w:r w:rsidRPr="00282B32">
              <w:t>£15b, -£200b,</w:t>
            </w:r>
            <w:r>
              <w:br/>
            </w:r>
            <w:r w:rsidRPr="003629D1">
              <w:rPr>
                <w:b/>
                <w:bCs/>
                <w:color w:val="FF0000"/>
              </w:rPr>
              <w:t xml:space="preserve"> -£185b</w:t>
            </w:r>
          </w:p>
        </w:tc>
        <w:tc>
          <w:tcPr>
            <w:tcW w:w="1808" w:type="dxa"/>
          </w:tcPr>
          <w:p w14:paraId="685252A9" w14:textId="2D409894" w:rsidR="0013305D" w:rsidRDefault="0013305D" w:rsidP="0013305D">
            <w:pPr>
              <w:jc w:val="center"/>
              <w:cnfStyle w:val="000000000000" w:firstRow="0" w:lastRow="0" w:firstColumn="0" w:lastColumn="0" w:oddVBand="0" w:evenVBand="0" w:oddHBand="0" w:evenHBand="0" w:firstRowFirstColumn="0" w:firstRowLastColumn="0" w:lastRowFirstColumn="0" w:lastRowLastColumn="0"/>
            </w:pPr>
            <w:r w:rsidRPr="00282B32">
              <w:t xml:space="preserve">£15b, -£330b, </w:t>
            </w:r>
            <w:r w:rsidR="003629D1">
              <w:br/>
            </w:r>
            <w:r w:rsidRPr="003629D1">
              <w:rPr>
                <w:b/>
                <w:bCs/>
                <w:color w:val="FF0000"/>
              </w:rPr>
              <w:t>-£315b</w:t>
            </w:r>
          </w:p>
        </w:tc>
        <w:tc>
          <w:tcPr>
            <w:tcW w:w="1807" w:type="dxa"/>
          </w:tcPr>
          <w:p w14:paraId="393A12BC" w14:textId="222A418E" w:rsidR="0013305D" w:rsidRDefault="0013305D" w:rsidP="0013305D">
            <w:pPr>
              <w:jc w:val="center"/>
              <w:cnfStyle w:val="000000000000" w:firstRow="0" w:lastRow="0" w:firstColumn="0" w:lastColumn="0" w:oddVBand="0" w:evenVBand="0" w:oddHBand="0" w:evenHBand="0" w:firstRowFirstColumn="0" w:firstRowLastColumn="0" w:lastRowFirstColumn="0" w:lastRowLastColumn="0"/>
            </w:pPr>
            <w:r w:rsidRPr="00282B32">
              <w:t xml:space="preserve">£15b, -£440b, </w:t>
            </w:r>
            <w:r w:rsidR="003629D1">
              <w:br/>
            </w:r>
            <w:r w:rsidRPr="003629D1">
              <w:rPr>
                <w:b/>
                <w:bCs/>
                <w:color w:val="FF0000"/>
              </w:rPr>
              <w:t>-£425b</w:t>
            </w:r>
          </w:p>
        </w:tc>
        <w:tc>
          <w:tcPr>
            <w:tcW w:w="1808" w:type="dxa"/>
          </w:tcPr>
          <w:p w14:paraId="0E50EA31" w14:textId="4A21AB9E" w:rsidR="0013305D" w:rsidRDefault="0013305D" w:rsidP="0013305D">
            <w:pPr>
              <w:jc w:val="center"/>
              <w:cnfStyle w:val="000000000000" w:firstRow="0" w:lastRow="0" w:firstColumn="0" w:lastColumn="0" w:oddVBand="0" w:evenVBand="0" w:oddHBand="0" w:evenHBand="0" w:firstRowFirstColumn="0" w:firstRowLastColumn="0" w:lastRowFirstColumn="0" w:lastRowLastColumn="0"/>
            </w:pPr>
            <w:r w:rsidRPr="00282B32">
              <w:t xml:space="preserve">£15b, -£550b, </w:t>
            </w:r>
            <w:r w:rsidR="003629D1">
              <w:br/>
            </w:r>
            <w:r w:rsidRPr="003629D1">
              <w:rPr>
                <w:b/>
                <w:bCs/>
                <w:color w:val="FF0000"/>
              </w:rPr>
              <w:t>-£535b</w:t>
            </w:r>
          </w:p>
        </w:tc>
      </w:tr>
      <w:tr w:rsidR="0013305D" w14:paraId="3FF7E426" w14:textId="77777777" w:rsidTr="003629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104865CB" w14:textId="65D9A6B1" w:rsidR="0013305D" w:rsidRDefault="0013305D" w:rsidP="0013305D">
            <w:r>
              <w:t>50,000</w:t>
            </w:r>
          </w:p>
        </w:tc>
        <w:tc>
          <w:tcPr>
            <w:tcW w:w="1807" w:type="dxa"/>
          </w:tcPr>
          <w:p w14:paraId="4475E01B" w14:textId="488703FD" w:rsidR="0013305D" w:rsidRDefault="0013305D" w:rsidP="0013305D">
            <w:pPr>
              <w:jc w:val="center"/>
              <w:cnfStyle w:val="000000100000" w:firstRow="0" w:lastRow="0" w:firstColumn="0" w:lastColumn="0" w:oddVBand="0" w:evenVBand="0" w:oddHBand="1" w:evenHBand="0" w:firstRowFirstColumn="0" w:firstRowLastColumn="0" w:lastRowFirstColumn="0" w:lastRowLastColumn="0"/>
            </w:pPr>
            <w:r w:rsidRPr="00282B32">
              <w:t>£8b, -£200b,</w:t>
            </w:r>
            <w:r>
              <w:br/>
            </w:r>
            <w:r w:rsidRPr="00282B32">
              <w:t xml:space="preserve"> </w:t>
            </w:r>
            <w:r w:rsidRPr="003629D1">
              <w:rPr>
                <w:b/>
                <w:bCs/>
                <w:color w:val="FF0000"/>
              </w:rPr>
              <w:t>-£192b</w:t>
            </w:r>
          </w:p>
        </w:tc>
        <w:tc>
          <w:tcPr>
            <w:tcW w:w="1808" w:type="dxa"/>
          </w:tcPr>
          <w:p w14:paraId="792350F5" w14:textId="613ACFA1" w:rsidR="0013305D" w:rsidRDefault="0013305D" w:rsidP="0013305D">
            <w:pPr>
              <w:jc w:val="center"/>
              <w:cnfStyle w:val="000000100000" w:firstRow="0" w:lastRow="0" w:firstColumn="0" w:lastColumn="0" w:oddVBand="0" w:evenVBand="0" w:oddHBand="1" w:evenHBand="0" w:firstRowFirstColumn="0" w:firstRowLastColumn="0" w:lastRowFirstColumn="0" w:lastRowLastColumn="0"/>
            </w:pPr>
            <w:r w:rsidRPr="00282B32">
              <w:t>£8b, -£330b,</w:t>
            </w:r>
            <w:r>
              <w:br/>
            </w:r>
            <w:r w:rsidRPr="00282B32">
              <w:t xml:space="preserve"> </w:t>
            </w:r>
            <w:r w:rsidRPr="003629D1">
              <w:rPr>
                <w:b/>
                <w:bCs/>
                <w:color w:val="FF0000"/>
              </w:rPr>
              <w:t>-£322b</w:t>
            </w:r>
          </w:p>
        </w:tc>
        <w:tc>
          <w:tcPr>
            <w:tcW w:w="1807" w:type="dxa"/>
          </w:tcPr>
          <w:p w14:paraId="5AE5CF72" w14:textId="283C3306" w:rsidR="0013305D" w:rsidRDefault="0013305D" w:rsidP="0013305D">
            <w:pPr>
              <w:jc w:val="center"/>
              <w:cnfStyle w:val="000000100000" w:firstRow="0" w:lastRow="0" w:firstColumn="0" w:lastColumn="0" w:oddVBand="0" w:evenVBand="0" w:oddHBand="1" w:evenHBand="0" w:firstRowFirstColumn="0" w:firstRowLastColumn="0" w:lastRowFirstColumn="0" w:lastRowLastColumn="0"/>
            </w:pPr>
            <w:r w:rsidRPr="00282B32">
              <w:t>£8b, -£440b,</w:t>
            </w:r>
            <w:r>
              <w:br/>
            </w:r>
            <w:r w:rsidRPr="00282B32">
              <w:t xml:space="preserve"> </w:t>
            </w:r>
            <w:r w:rsidRPr="003629D1">
              <w:rPr>
                <w:b/>
                <w:bCs/>
                <w:color w:val="FF0000"/>
              </w:rPr>
              <w:t>-£432b</w:t>
            </w:r>
          </w:p>
        </w:tc>
        <w:tc>
          <w:tcPr>
            <w:tcW w:w="1808" w:type="dxa"/>
          </w:tcPr>
          <w:p w14:paraId="260B67D5" w14:textId="5BF20C51" w:rsidR="0013305D" w:rsidRDefault="0013305D" w:rsidP="0013305D">
            <w:pPr>
              <w:jc w:val="center"/>
              <w:cnfStyle w:val="000000100000" w:firstRow="0" w:lastRow="0" w:firstColumn="0" w:lastColumn="0" w:oddVBand="0" w:evenVBand="0" w:oddHBand="1" w:evenHBand="0" w:firstRowFirstColumn="0" w:firstRowLastColumn="0" w:lastRowFirstColumn="0" w:lastRowLastColumn="0"/>
            </w:pPr>
            <w:r w:rsidRPr="00282B32">
              <w:t xml:space="preserve">£8b, -£550b, </w:t>
            </w:r>
            <w:r>
              <w:br/>
            </w:r>
            <w:r w:rsidRPr="003629D1">
              <w:rPr>
                <w:b/>
                <w:bCs/>
                <w:color w:val="FF0000"/>
              </w:rPr>
              <w:t>-£542b</w:t>
            </w:r>
          </w:p>
        </w:tc>
      </w:tr>
      <w:tr w:rsidR="0013305D" w14:paraId="34934E61" w14:textId="77777777" w:rsidTr="003629D1">
        <w:tc>
          <w:tcPr>
            <w:cnfStyle w:val="001000000000" w:firstRow="0" w:lastRow="0" w:firstColumn="1" w:lastColumn="0" w:oddVBand="0" w:evenVBand="0" w:oddHBand="0" w:evenHBand="0" w:firstRowFirstColumn="0" w:firstRowLastColumn="0" w:lastRowFirstColumn="0" w:lastRowLastColumn="0"/>
            <w:tcW w:w="1696" w:type="dxa"/>
          </w:tcPr>
          <w:p w14:paraId="23F86052" w14:textId="5FF97DF5" w:rsidR="0013305D" w:rsidRDefault="0013305D" w:rsidP="0013305D">
            <w:r>
              <w:t>20,000</w:t>
            </w:r>
          </w:p>
        </w:tc>
        <w:tc>
          <w:tcPr>
            <w:tcW w:w="1807" w:type="dxa"/>
          </w:tcPr>
          <w:p w14:paraId="0A93ED74" w14:textId="287E375C" w:rsidR="0013305D" w:rsidRDefault="0013305D" w:rsidP="0013305D">
            <w:pPr>
              <w:jc w:val="center"/>
              <w:cnfStyle w:val="000000000000" w:firstRow="0" w:lastRow="0" w:firstColumn="0" w:lastColumn="0" w:oddVBand="0" w:evenVBand="0" w:oddHBand="0" w:evenHBand="0" w:firstRowFirstColumn="0" w:firstRowLastColumn="0" w:lastRowFirstColumn="0" w:lastRowLastColumn="0"/>
            </w:pPr>
            <w:r w:rsidRPr="00282B32">
              <w:t>£3b, -£200b,</w:t>
            </w:r>
            <w:r>
              <w:br/>
            </w:r>
            <w:r w:rsidRPr="00282B32">
              <w:t xml:space="preserve"> </w:t>
            </w:r>
            <w:r w:rsidRPr="003629D1">
              <w:rPr>
                <w:b/>
                <w:bCs/>
                <w:color w:val="FF0000"/>
              </w:rPr>
              <w:t>-£197b</w:t>
            </w:r>
          </w:p>
        </w:tc>
        <w:tc>
          <w:tcPr>
            <w:tcW w:w="1808" w:type="dxa"/>
          </w:tcPr>
          <w:p w14:paraId="68092F70" w14:textId="0D1E9785" w:rsidR="0013305D" w:rsidRDefault="0013305D" w:rsidP="0013305D">
            <w:pPr>
              <w:jc w:val="center"/>
              <w:cnfStyle w:val="000000000000" w:firstRow="0" w:lastRow="0" w:firstColumn="0" w:lastColumn="0" w:oddVBand="0" w:evenVBand="0" w:oddHBand="0" w:evenHBand="0" w:firstRowFirstColumn="0" w:firstRowLastColumn="0" w:lastRowFirstColumn="0" w:lastRowLastColumn="0"/>
            </w:pPr>
            <w:r w:rsidRPr="00282B32">
              <w:t>£3b, -£330b,</w:t>
            </w:r>
            <w:r>
              <w:br/>
            </w:r>
            <w:r w:rsidRPr="00282B32">
              <w:t xml:space="preserve"> </w:t>
            </w:r>
            <w:r w:rsidRPr="003629D1">
              <w:rPr>
                <w:b/>
                <w:bCs/>
                <w:color w:val="FF0000"/>
              </w:rPr>
              <w:t>-£327b</w:t>
            </w:r>
          </w:p>
        </w:tc>
        <w:tc>
          <w:tcPr>
            <w:tcW w:w="1807" w:type="dxa"/>
          </w:tcPr>
          <w:p w14:paraId="436DD3A6" w14:textId="69A78DA6" w:rsidR="0013305D" w:rsidRDefault="0013305D" w:rsidP="0013305D">
            <w:pPr>
              <w:jc w:val="center"/>
              <w:cnfStyle w:val="000000000000" w:firstRow="0" w:lastRow="0" w:firstColumn="0" w:lastColumn="0" w:oddVBand="0" w:evenVBand="0" w:oddHBand="0" w:evenHBand="0" w:firstRowFirstColumn="0" w:firstRowLastColumn="0" w:lastRowFirstColumn="0" w:lastRowLastColumn="0"/>
            </w:pPr>
            <w:r w:rsidRPr="00282B32">
              <w:t>£3b, -£440b,</w:t>
            </w:r>
            <w:r>
              <w:br/>
            </w:r>
            <w:r w:rsidRPr="003629D1">
              <w:rPr>
                <w:b/>
                <w:bCs/>
                <w:color w:val="FF0000"/>
              </w:rPr>
              <w:t xml:space="preserve"> -£437b</w:t>
            </w:r>
          </w:p>
        </w:tc>
        <w:tc>
          <w:tcPr>
            <w:tcW w:w="1808" w:type="dxa"/>
          </w:tcPr>
          <w:p w14:paraId="7D3E30BF" w14:textId="6FCF78A8" w:rsidR="0013305D" w:rsidRDefault="0013305D" w:rsidP="0013305D">
            <w:pPr>
              <w:jc w:val="center"/>
              <w:cnfStyle w:val="000000000000" w:firstRow="0" w:lastRow="0" w:firstColumn="0" w:lastColumn="0" w:oddVBand="0" w:evenVBand="0" w:oddHBand="0" w:evenHBand="0" w:firstRowFirstColumn="0" w:firstRowLastColumn="0" w:lastRowFirstColumn="0" w:lastRowLastColumn="0"/>
            </w:pPr>
            <w:r w:rsidRPr="00282B32">
              <w:t xml:space="preserve">£3b, -£550b, </w:t>
            </w:r>
            <w:r>
              <w:br/>
            </w:r>
            <w:r w:rsidRPr="003629D1">
              <w:rPr>
                <w:b/>
                <w:bCs/>
                <w:color w:val="FF0000"/>
              </w:rPr>
              <w:t>-£547b</w:t>
            </w:r>
          </w:p>
        </w:tc>
      </w:tr>
    </w:tbl>
    <w:p w14:paraId="657FF656" w14:textId="7A80511F" w:rsidR="00242EF2" w:rsidRDefault="00242EF2" w:rsidP="00C2088D">
      <w:pPr>
        <w:rPr>
          <w:sz w:val="18"/>
          <w:szCs w:val="18"/>
        </w:rPr>
      </w:pPr>
      <w:r w:rsidRPr="004E693B">
        <w:rPr>
          <w:sz w:val="18"/>
          <w:szCs w:val="18"/>
        </w:rPr>
        <w:t xml:space="preserve">Each life saved is estimated to result in 5 more quality adjusted years of life. The NICE resource threshold of £30,000 is applied to each of these quality adjusted years.  The money value of GDP losses </w:t>
      </w:r>
      <w:proofErr w:type="gramStart"/>
      <w:r w:rsidRPr="004E693B">
        <w:rPr>
          <w:sz w:val="18"/>
          <w:szCs w:val="18"/>
        </w:rPr>
        <w:t>are</w:t>
      </w:r>
      <w:proofErr w:type="gramEnd"/>
      <w:r w:rsidRPr="004E693B">
        <w:rPr>
          <w:sz w:val="18"/>
          <w:szCs w:val="18"/>
        </w:rPr>
        <w:t xml:space="preserve"> taken as a proportion of 2019 GDP of £2.</w:t>
      </w:r>
      <w:r w:rsidR="00F72AAE">
        <w:rPr>
          <w:sz w:val="18"/>
          <w:szCs w:val="18"/>
        </w:rPr>
        <w:t>2</w:t>
      </w:r>
      <w:r w:rsidRPr="004E693B">
        <w:rPr>
          <w:sz w:val="18"/>
          <w:szCs w:val="18"/>
        </w:rPr>
        <w:t xml:space="preserve"> trillion</w:t>
      </w:r>
      <w:r w:rsidR="003C009A" w:rsidRPr="004E693B">
        <w:rPr>
          <w:sz w:val="18"/>
          <w:szCs w:val="18"/>
        </w:rPr>
        <w:t xml:space="preserve">. All </w:t>
      </w:r>
      <w:r w:rsidR="004E693B" w:rsidRPr="004E693B">
        <w:rPr>
          <w:sz w:val="18"/>
          <w:szCs w:val="18"/>
        </w:rPr>
        <w:t xml:space="preserve">resulting </w:t>
      </w:r>
      <w:r w:rsidR="003C009A" w:rsidRPr="004E693B">
        <w:rPr>
          <w:sz w:val="18"/>
          <w:szCs w:val="18"/>
        </w:rPr>
        <w:t>figures are in £ billions.</w:t>
      </w:r>
    </w:p>
    <w:p w14:paraId="477D8B98" w14:textId="77777777" w:rsidR="00651CC7" w:rsidRPr="004E693B" w:rsidRDefault="00651CC7" w:rsidP="00C2088D">
      <w:pPr>
        <w:rPr>
          <w:sz w:val="18"/>
          <w:szCs w:val="18"/>
        </w:rPr>
      </w:pPr>
    </w:p>
    <w:p w14:paraId="1A4FCF9C" w14:textId="334EA74C" w:rsidR="00D8199B" w:rsidRDefault="00D8199B" w:rsidP="00D8199B">
      <w:r w:rsidRPr="00651CC7">
        <w:rPr>
          <w:b/>
        </w:rPr>
        <w:t xml:space="preserve">Table </w:t>
      </w:r>
      <w:r w:rsidR="002C4903" w:rsidRPr="00651CC7">
        <w:rPr>
          <w:b/>
        </w:rPr>
        <w:t>3</w:t>
      </w:r>
      <w:r>
        <w:t xml:space="preserve"> </w:t>
      </w:r>
      <w:r w:rsidR="0077765B" w:rsidRPr="0077765B">
        <w:t>benefits</w:t>
      </w:r>
      <w:r w:rsidR="00426F1D">
        <w:t xml:space="preserve"> (+)</w:t>
      </w:r>
      <w:r w:rsidR="0077765B" w:rsidRPr="0077765B">
        <w:t xml:space="preserve">, costs </w:t>
      </w:r>
      <w:r w:rsidR="00426F1D">
        <w:t xml:space="preserve">(-) </w:t>
      </w:r>
      <w:r w:rsidR="0077765B" w:rsidRPr="0077765B">
        <w:t xml:space="preserve">and </w:t>
      </w:r>
      <w:r w:rsidR="0077765B" w:rsidRPr="006F3713">
        <w:rPr>
          <w:b/>
          <w:color w:val="FF0000"/>
        </w:rPr>
        <w:t>net benefits</w:t>
      </w:r>
      <w:r w:rsidR="0077765B" w:rsidRPr="006F3713">
        <w:rPr>
          <w:color w:val="FF0000"/>
        </w:rPr>
        <w:t xml:space="preserve"> </w:t>
      </w:r>
      <w:r w:rsidR="0077765B" w:rsidRPr="0077765B">
        <w:t xml:space="preserve">of March-June </w:t>
      </w:r>
      <w:r w:rsidR="002121AA">
        <w:t xml:space="preserve">UK </w:t>
      </w:r>
      <w:r w:rsidR="0077765B" w:rsidRPr="0077765B">
        <w:t xml:space="preserve">lockdown; converted to an index of £ billions.  </w:t>
      </w:r>
      <w:r w:rsidR="0077765B">
        <w:t>10</w:t>
      </w:r>
      <w:r w:rsidR="0077765B" w:rsidRPr="0077765B">
        <w:t xml:space="preserve"> QALY </w:t>
      </w:r>
      <w:r w:rsidR="00651CC7">
        <w:t xml:space="preserve">are assumed </w:t>
      </w:r>
      <w:r w:rsidR="0077765B" w:rsidRPr="0077765B">
        <w:t>lost</w:t>
      </w:r>
      <w:r w:rsidR="00651CC7">
        <w:t xml:space="preserve"> for each</w:t>
      </w:r>
      <w:r w:rsidR="0077765B" w:rsidRPr="0077765B">
        <w:t xml:space="preserve"> COVID-19 death</w:t>
      </w:r>
    </w:p>
    <w:tbl>
      <w:tblPr>
        <w:tblStyle w:val="GridTable5Dark-Accent5"/>
        <w:tblW w:w="0" w:type="auto"/>
        <w:tblLayout w:type="fixed"/>
        <w:tblLook w:val="04A0" w:firstRow="1" w:lastRow="0" w:firstColumn="1" w:lastColumn="0" w:noHBand="0" w:noVBand="1"/>
      </w:tblPr>
      <w:tblGrid>
        <w:gridCol w:w="1756"/>
        <w:gridCol w:w="1757"/>
        <w:gridCol w:w="1757"/>
        <w:gridCol w:w="1757"/>
        <w:gridCol w:w="1757"/>
      </w:tblGrid>
      <w:tr w:rsidR="00D8199B" w14:paraId="1EFF6BF0" w14:textId="77777777" w:rsidTr="00BC63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6" w:type="dxa"/>
          </w:tcPr>
          <w:p w14:paraId="02DC4880" w14:textId="77777777" w:rsidR="00D8199B" w:rsidRDefault="00D8199B" w:rsidP="00A1216F"/>
        </w:tc>
        <w:tc>
          <w:tcPr>
            <w:tcW w:w="1757" w:type="dxa"/>
          </w:tcPr>
          <w:p w14:paraId="57D60C26" w14:textId="15C05183" w:rsidR="00D8199B" w:rsidRDefault="00F72AAE" w:rsidP="00BC6360">
            <w:pPr>
              <w:jc w:val="center"/>
              <w:cnfStyle w:val="100000000000" w:firstRow="1" w:lastRow="0" w:firstColumn="0" w:lastColumn="0" w:oddVBand="0" w:evenVBand="0" w:oddHBand="0" w:evenHBand="0" w:firstRowFirstColumn="0" w:firstRowLastColumn="0" w:lastRowFirstColumn="0" w:lastRowLastColumn="0"/>
            </w:pPr>
            <w:r>
              <w:t>9</w:t>
            </w:r>
            <w:r w:rsidR="00D8199B">
              <w:t>% GDP loss</w:t>
            </w:r>
          </w:p>
        </w:tc>
        <w:tc>
          <w:tcPr>
            <w:tcW w:w="1757" w:type="dxa"/>
          </w:tcPr>
          <w:p w14:paraId="499CE9BE" w14:textId="77777777" w:rsidR="00D8199B" w:rsidRDefault="00D8199B" w:rsidP="00BC6360">
            <w:pPr>
              <w:jc w:val="center"/>
              <w:cnfStyle w:val="100000000000" w:firstRow="1" w:lastRow="0" w:firstColumn="0" w:lastColumn="0" w:oddVBand="0" w:evenVBand="0" w:oddHBand="0" w:evenHBand="0" w:firstRowFirstColumn="0" w:firstRowLastColumn="0" w:lastRowFirstColumn="0" w:lastRowLastColumn="0"/>
            </w:pPr>
            <w:r>
              <w:t>15% GDP loss</w:t>
            </w:r>
          </w:p>
        </w:tc>
        <w:tc>
          <w:tcPr>
            <w:tcW w:w="1757" w:type="dxa"/>
          </w:tcPr>
          <w:p w14:paraId="23C009FF" w14:textId="77777777" w:rsidR="00D8199B" w:rsidRDefault="00D8199B" w:rsidP="00BC6360">
            <w:pPr>
              <w:jc w:val="center"/>
              <w:cnfStyle w:val="100000000000" w:firstRow="1" w:lastRow="0" w:firstColumn="0" w:lastColumn="0" w:oddVBand="0" w:evenVBand="0" w:oddHBand="0" w:evenHBand="0" w:firstRowFirstColumn="0" w:firstRowLastColumn="0" w:lastRowFirstColumn="0" w:lastRowLastColumn="0"/>
            </w:pPr>
            <w:r>
              <w:t>20% GDP loss</w:t>
            </w:r>
          </w:p>
        </w:tc>
        <w:tc>
          <w:tcPr>
            <w:tcW w:w="1757" w:type="dxa"/>
          </w:tcPr>
          <w:p w14:paraId="194C4BAA" w14:textId="77777777" w:rsidR="00D8199B" w:rsidRDefault="00D8199B" w:rsidP="00BC6360">
            <w:pPr>
              <w:jc w:val="center"/>
              <w:cnfStyle w:val="100000000000" w:firstRow="1" w:lastRow="0" w:firstColumn="0" w:lastColumn="0" w:oddVBand="0" w:evenVBand="0" w:oddHBand="0" w:evenHBand="0" w:firstRowFirstColumn="0" w:firstRowLastColumn="0" w:lastRowFirstColumn="0" w:lastRowLastColumn="0"/>
            </w:pPr>
            <w:r>
              <w:t>25% GDP loss</w:t>
            </w:r>
          </w:p>
        </w:tc>
      </w:tr>
      <w:tr w:rsidR="00D8199B" w14:paraId="5991395B" w14:textId="77777777" w:rsidTr="00BC63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6" w:type="dxa"/>
          </w:tcPr>
          <w:p w14:paraId="47DC8BFC" w14:textId="007D305C" w:rsidR="00D8199B" w:rsidRDefault="00D8199B" w:rsidP="00A1216F">
            <w:r>
              <w:t xml:space="preserve">Lives </w:t>
            </w:r>
            <w:r w:rsidR="002E2FBE">
              <w:t>not lost</w:t>
            </w:r>
            <w:r>
              <w:t xml:space="preserve"> </w:t>
            </w:r>
          </w:p>
        </w:tc>
        <w:tc>
          <w:tcPr>
            <w:tcW w:w="1757" w:type="dxa"/>
          </w:tcPr>
          <w:p w14:paraId="72F32C6B" w14:textId="77777777" w:rsidR="00D8199B" w:rsidRDefault="00D8199B" w:rsidP="00BC6360">
            <w:pPr>
              <w:jc w:val="center"/>
              <w:cnfStyle w:val="000000100000" w:firstRow="0" w:lastRow="0" w:firstColumn="0" w:lastColumn="0" w:oddVBand="0" w:evenVBand="0" w:oddHBand="1" w:evenHBand="0" w:firstRowFirstColumn="0" w:firstRowLastColumn="0" w:lastRowFirstColumn="0" w:lastRowLastColumn="0"/>
            </w:pPr>
          </w:p>
        </w:tc>
        <w:tc>
          <w:tcPr>
            <w:tcW w:w="1757" w:type="dxa"/>
          </w:tcPr>
          <w:p w14:paraId="75FBF7F5" w14:textId="77777777" w:rsidR="00D8199B" w:rsidRDefault="00D8199B" w:rsidP="00BC6360">
            <w:pPr>
              <w:jc w:val="center"/>
              <w:cnfStyle w:val="000000100000" w:firstRow="0" w:lastRow="0" w:firstColumn="0" w:lastColumn="0" w:oddVBand="0" w:evenVBand="0" w:oddHBand="1" w:evenHBand="0" w:firstRowFirstColumn="0" w:firstRowLastColumn="0" w:lastRowFirstColumn="0" w:lastRowLastColumn="0"/>
            </w:pPr>
          </w:p>
        </w:tc>
        <w:tc>
          <w:tcPr>
            <w:tcW w:w="1757" w:type="dxa"/>
          </w:tcPr>
          <w:p w14:paraId="5E647234" w14:textId="77777777" w:rsidR="00D8199B" w:rsidRDefault="00D8199B" w:rsidP="00BC6360">
            <w:pPr>
              <w:jc w:val="center"/>
              <w:cnfStyle w:val="000000100000" w:firstRow="0" w:lastRow="0" w:firstColumn="0" w:lastColumn="0" w:oddVBand="0" w:evenVBand="0" w:oddHBand="1" w:evenHBand="0" w:firstRowFirstColumn="0" w:firstRowLastColumn="0" w:lastRowFirstColumn="0" w:lastRowLastColumn="0"/>
            </w:pPr>
          </w:p>
        </w:tc>
        <w:tc>
          <w:tcPr>
            <w:tcW w:w="1757" w:type="dxa"/>
          </w:tcPr>
          <w:p w14:paraId="4E7E2D00" w14:textId="77777777" w:rsidR="00D8199B" w:rsidRDefault="00D8199B" w:rsidP="00BC6360">
            <w:pPr>
              <w:jc w:val="center"/>
              <w:cnfStyle w:val="000000100000" w:firstRow="0" w:lastRow="0" w:firstColumn="0" w:lastColumn="0" w:oddVBand="0" w:evenVBand="0" w:oddHBand="1" w:evenHBand="0" w:firstRowFirstColumn="0" w:firstRowLastColumn="0" w:lastRowFirstColumn="0" w:lastRowLastColumn="0"/>
            </w:pPr>
          </w:p>
        </w:tc>
      </w:tr>
      <w:tr w:rsidR="00385BE4" w14:paraId="64566691" w14:textId="77777777" w:rsidTr="00BC6360">
        <w:tc>
          <w:tcPr>
            <w:cnfStyle w:val="001000000000" w:firstRow="0" w:lastRow="0" w:firstColumn="1" w:lastColumn="0" w:oddVBand="0" w:evenVBand="0" w:oddHBand="0" w:evenHBand="0" w:firstRowFirstColumn="0" w:firstRowLastColumn="0" w:lastRowFirstColumn="0" w:lastRowLastColumn="0"/>
            <w:tcW w:w="1756" w:type="dxa"/>
          </w:tcPr>
          <w:p w14:paraId="33524887" w14:textId="77777777" w:rsidR="00385BE4" w:rsidRDefault="00385BE4" w:rsidP="00385BE4">
            <w:r>
              <w:t>440,000</w:t>
            </w:r>
          </w:p>
        </w:tc>
        <w:tc>
          <w:tcPr>
            <w:tcW w:w="1757" w:type="dxa"/>
          </w:tcPr>
          <w:p w14:paraId="76B52F2B" w14:textId="58261628" w:rsidR="00385BE4" w:rsidRDefault="00385BE4" w:rsidP="00385BE4">
            <w:pPr>
              <w:jc w:val="center"/>
              <w:cnfStyle w:val="000000000000" w:firstRow="0" w:lastRow="0" w:firstColumn="0" w:lastColumn="0" w:oddVBand="0" w:evenVBand="0" w:oddHBand="0" w:evenHBand="0" w:firstRowFirstColumn="0" w:firstRowLastColumn="0" w:lastRowFirstColumn="0" w:lastRowLastColumn="0"/>
            </w:pPr>
            <w:r w:rsidRPr="009B2274">
              <w:t xml:space="preserve">£132b, -£200b, </w:t>
            </w:r>
            <w:r w:rsidR="003629D1">
              <w:br/>
            </w:r>
            <w:r w:rsidRPr="007C228D">
              <w:rPr>
                <w:b/>
                <w:bCs/>
                <w:color w:val="FF0000"/>
              </w:rPr>
              <w:t>-£68b</w:t>
            </w:r>
          </w:p>
        </w:tc>
        <w:tc>
          <w:tcPr>
            <w:tcW w:w="1757" w:type="dxa"/>
          </w:tcPr>
          <w:p w14:paraId="1FDF7371" w14:textId="482CE6A1" w:rsidR="00385BE4" w:rsidRDefault="00385BE4" w:rsidP="00385BE4">
            <w:pPr>
              <w:jc w:val="center"/>
              <w:cnfStyle w:val="000000000000" w:firstRow="0" w:lastRow="0" w:firstColumn="0" w:lastColumn="0" w:oddVBand="0" w:evenVBand="0" w:oddHBand="0" w:evenHBand="0" w:firstRowFirstColumn="0" w:firstRowLastColumn="0" w:lastRowFirstColumn="0" w:lastRowLastColumn="0"/>
            </w:pPr>
            <w:r w:rsidRPr="009B2274">
              <w:t xml:space="preserve">£132b, -£330b, </w:t>
            </w:r>
            <w:r w:rsidR="003629D1">
              <w:br/>
            </w:r>
            <w:r w:rsidRPr="007C228D">
              <w:rPr>
                <w:b/>
                <w:bCs/>
                <w:color w:val="FF0000"/>
              </w:rPr>
              <w:t>-£198b</w:t>
            </w:r>
          </w:p>
        </w:tc>
        <w:tc>
          <w:tcPr>
            <w:tcW w:w="1757" w:type="dxa"/>
          </w:tcPr>
          <w:p w14:paraId="5A5C8267" w14:textId="7D98901E" w:rsidR="00385BE4" w:rsidRDefault="00385BE4" w:rsidP="00385BE4">
            <w:pPr>
              <w:jc w:val="center"/>
              <w:cnfStyle w:val="000000000000" w:firstRow="0" w:lastRow="0" w:firstColumn="0" w:lastColumn="0" w:oddVBand="0" w:evenVBand="0" w:oddHBand="0" w:evenHBand="0" w:firstRowFirstColumn="0" w:firstRowLastColumn="0" w:lastRowFirstColumn="0" w:lastRowLastColumn="0"/>
            </w:pPr>
            <w:r w:rsidRPr="009B2274">
              <w:t xml:space="preserve">£132b, -£440b, </w:t>
            </w:r>
            <w:r w:rsidR="003629D1">
              <w:br/>
            </w:r>
            <w:r w:rsidRPr="007C228D">
              <w:rPr>
                <w:b/>
                <w:bCs/>
                <w:color w:val="FF0000"/>
              </w:rPr>
              <w:t>-£308b</w:t>
            </w:r>
          </w:p>
        </w:tc>
        <w:tc>
          <w:tcPr>
            <w:tcW w:w="1757" w:type="dxa"/>
          </w:tcPr>
          <w:p w14:paraId="2A0386C8" w14:textId="60DDC2BC" w:rsidR="00385BE4" w:rsidRDefault="00385BE4" w:rsidP="00385BE4">
            <w:pPr>
              <w:jc w:val="center"/>
              <w:cnfStyle w:val="000000000000" w:firstRow="0" w:lastRow="0" w:firstColumn="0" w:lastColumn="0" w:oddVBand="0" w:evenVBand="0" w:oddHBand="0" w:evenHBand="0" w:firstRowFirstColumn="0" w:firstRowLastColumn="0" w:lastRowFirstColumn="0" w:lastRowLastColumn="0"/>
            </w:pPr>
            <w:r w:rsidRPr="009B2274">
              <w:t xml:space="preserve">£132b, -£550b, </w:t>
            </w:r>
            <w:r w:rsidR="003629D1">
              <w:br/>
            </w:r>
            <w:r w:rsidRPr="007C228D">
              <w:rPr>
                <w:b/>
                <w:bCs/>
                <w:color w:val="FF0000"/>
              </w:rPr>
              <w:t>-£418b</w:t>
            </w:r>
          </w:p>
        </w:tc>
      </w:tr>
      <w:tr w:rsidR="00385BE4" w14:paraId="5C9C0F34" w14:textId="77777777" w:rsidTr="00BC63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6" w:type="dxa"/>
          </w:tcPr>
          <w:p w14:paraId="61A9C68E" w14:textId="77777777" w:rsidR="00385BE4" w:rsidRDefault="00385BE4" w:rsidP="00385BE4">
            <w:r>
              <w:t>200,000</w:t>
            </w:r>
          </w:p>
        </w:tc>
        <w:tc>
          <w:tcPr>
            <w:tcW w:w="1757" w:type="dxa"/>
          </w:tcPr>
          <w:p w14:paraId="4933156B" w14:textId="18EBDA13" w:rsidR="00385BE4" w:rsidRDefault="00385BE4" w:rsidP="00385BE4">
            <w:pPr>
              <w:jc w:val="center"/>
              <w:cnfStyle w:val="000000100000" w:firstRow="0" w:lastRow="0" w:firstColumn="0" w:lastColumn="0" w:oddVBand="0" w:evenVBand="0" w:oddHBand="1" w:evenHBand="0" w:firstRowFirstColumn="0" w:firstRowLastColumn="0" w:lastRowFirstColumn="0" w:lastRowLastColumn="0"/>
            </w:pPr>
            <w:r w:rsidRPr="009B2274">
              <w:t xml:space="preserve">£60b, -£200b, </w:t>
            </w:r>
            <w:r w:rsidR="003629D1">
              <w:br/>
            </w:r>
            <w:r w:rsidRPr="007C228D">
              <w:rPr>
                <w:b/>
                <w:bCs/>
                <w:color w:val="FF0000"/>
              </w:rPr>
              <w:t>-£140b</w:t>
            </w:r>
          </w:p>
        </w:tc>
        <w:tc>
          <w:tcPr>
            <w:tcW w:w="1757" w:type="dxa"/>
          </w:tcPr>
          <w:p w14:paraId="47C98FEC" w14:textId="66B00E1C" w:rsidR="00385BE4" w:rsidRDefault="00385BE4" w:rsidP="00385BE4">
            <w:pPr>
              <w:jc w:val="center"/>
              <w:cnfStyle w:val="000000100000" w:firstRow="0" w:lastRow="0" w:firstColumn="0" w:lastColumn="0" w:oddVBand="0" w:evenVBand="0" w:oddHBand="1" w:evenHBand="0" w:firstRowFirstColumn="0" w:firstRowLastColumn="0" w:lastRowFirstColumn="0" w:lastRowLastColumn="0"/>
            </w:pPr>
            <w:r w:rsidRPr="009B2274">
              <w:t xml:space="preserve">£60b, -£330b, </w:t>
            </w:r>
            <w:r w:rsidR="003629D1">
              <w:br/>
            </w:r>
            <w:r w:rsidRPr="007C228D">
              <w:rPr>
                <w:b/>
                <w:bCs/>
                <w:color w:val="FF0000"/>
              </w:rPr>
              <w:t>-£270b</w:t>
            </w:r>
          </w:p>
        </w:tc>
        <w:tc>
          <w:tcPr>
            <w:tcW w:w="1757" w:type="dxa"/>
          </w:tcPr>
          <w:p w14:paraId="1AA339B6" w14:textId="34422570" w:rsidR="00385BE4" w:rsidRDefault="00385BE4" w:rsidP="00385BE4">
            <w:pPr>
              <w:jc w:val="center"/>
              <w:cnfStyle w:val="000000100000" w:firstRow="0" w:lastRow="0" w:firstColumn="0" w:lastColumn="0" w:oddVBand="0" w:evenVBand="0" w:oddHBand="1" w:evenHBand="0" w:firstRowFirstColumn="0" w:firstRowLastColumn="0" w:lastRowFirstColumn="0" w:lastRowLastColumn="0"/>
            </w:pPr>
            <w:r w:rsidRPr="009B2274">
              <w:t xml:space="preserve">£60b, -£440b, </w:t>
            </w:r>
            <w:r w:rsidR="003629D1">
              <w:br/>
            </w:r>
            <w:r w:rsidRPr="007C228D">
              <w:rPr>
                <w:b/>
                <w:bCs/>
                <w:color w:val="FF0000"/>
              </w:rPr>
              <w:t>-£380b</w:t>
            </w:r>
          </w:p>
        </w:tc>
        <w:tc>
          <w:tcPr>
            <w:tcW w:w="1757" w:type="dxa"/>
          </w:tcPr>
          <w:p w14:paraId="02E9C0F4" w14:textId="36849F9B" w:rsidR="00385BE4" w:rsidRDefault="00385BE4" w:rsidP="00385BE4">
            <w:pPr>
              <w:jc w:val="center"/>
              <w:cnfStyle w:val="000000100000" w:firstRow="0" w:lastRow="0" w:firstColumn="0" w:lastColumn="0" w:oddVBand="0" w:evenVBand="0" w:oddHBand="1" w:evenHBand="0" w:firstRowFirstColumn="0" w:firstRowLastColumn="0" w:lastRowFirstColumn="0" w:lastRowLastColumn="0"/>
            </w:pPr>
            <w:r w:rsidRPr="009B2274">
              <w:t xml:space="preserve">£60b, -£550b, </w:t>
            </w:r>
            <w:r w:rsidR="003629D1">
              <w:br/>
            </w:r>
            <w:r w:rsidRPr="007C228D">
              <w:rPr>
                <w:b/>
                <w:bCs/>
                <w:color w:val="FF0000"/>
              </w:rPr>
              <w:t>-£490b</w:t>
            </w:r>
          </w:p>
        </w:tc>
      </w:tr>
      <w:tr w:rsidR="00385BE4" w14:paraId="20DF2C65" w14:textId="77777777" w:rsidTr="00BC6360">
        <w:tc>
          <w:tcPr>
            <w:cnfStyle w:val="001000000000" w:firstRow="0" w:lastRow="0" w:firstColumn="1" w:lastColumn="0" w:oddVBand="0" w:evenVBand="0" w:oddHBand="0" w:evenHBand="0" w:firstRowFirstColumn="0" w:firstRowLastColumn="0" w:lastRowFirstColumn="0" w:lastRowLastColumn="0"/>
            <w:tcW w:w="1756" w:type="dxa"/>
          </w:tcPr>
          <w:p w14:paraId="6A00316E" w14:textId="77777777" w:rsidR="00385BE4" w:rsidRDefault="00385BE4" w:rsidP="00385BE4">
            <w:r>
              <w:t>100,000</w:t>
            </w:r>
          </w:p>
        </w:tc>
        <w:tc>
          <w:tcPr>
            <w:tcW w:w="1757" w:type="dxa"/>
          </w:tcPr>
          <w:p w14:paraId="24753D40" w14:textId="2B19B96F" w:rsidR="00385BE4" w:rsidRDefault="00385BE4" w:rsidP="00385BE4">
            <w:pPr>
              <w:jc w:val="center"/>
              <w:cnfStyle w:val="000000000000" w:firstRow="0" w:lastRow="0" w:firstColumn="0" w:lastColumn="0" w:oddVBand="0" w:evenVBand="0" w:oddHBand="0" w:evenHBand="0" w:firstRowFirstColumn="0" w:firstRowLastColumn="0" w:lastRowFirstColumn="0" w:lastRowLastColumn="0"/>
            </w:pPr>
            <w:r w:rsidRPr="009B2274">
              <w:t xml:space="preserve">£30b, -£200b, </w:t>
            </w:r>
            <w:r w:rsidR="003629D1">
              <w:br/>
            </w:r>
            <w:r w:rsidRPr="007C228D">
              <w:rPr>
                <w:b/>
                <w:bCs/>
                <w:color w:val="FF0000"/>
              </w:rPr>
              <w:t>-£170b</w:t>
            </w:r>
          </w:p>
        </w:tc>
        <w:tc>
          <w:tcPr>
            <w:tcW w:w="1757" w:type="dxa"/>
          </w:tcPr>
          <w:p w14:paraId="40BB967E" w14:textId="0B1A3C8A" w:rsidR="00385BE4" w:rsidRDefault="00385BE4" w:rsidP="00385BE4">
            <w:pPr>
              <w:jc w:val="center"/>
              <w:cnfStyle w:val="000000000000" w:firstRow="0" w:lastRow="0" w:firstColumn="0" w:lastColumn="0" w:oddVBand="0" w:evenVBand="0" w:oddHBand="0" w:evenHBand="0" w:firstRowFirstColumn="0" w:firstRowLastColumn="0" w:lastRowFirstColumn="0" w:lastRowLastColumn="0"/>
            </w:pPr>
            <w:r w:rsidRPr="009B2274">
              <w:t xml:space="preserve">£30b, -£330b, </w:t>
            </w:r>
            <w:r w:rsidR="003629D1">
              <w:br/>
            </w:r>
            <w:r w:rsidRPr="007C228D">
              <w:rPr>
                <w:b/>
                <w:bCs/>
                <w:color w:val="FF0000"/>
              </w:rPr>
              <w:t>-£300b</w:t>
            </w:r>
          </w:p>
        </w:tc>
        <w:tc>
          <w:tcPr>
            <w:tcW w:w="1757" w:type="dxa"/>
          </w:tcPr>
          <w:p w14:paraId="77893C3B" w14:textId="68A318C5" w:rsidR="00385BE4" w:rsidRDefault="00385BE4" w:rsidP="00385BE4">
            <w:pPr>
              <w:jc w:val="center"/>
              <w:cnfStyle w:val="000000000000" w:firstRow="0" w:lastRow="0" w:firstColumn="0" w:lastColumn="0" w:oddVBand="0" w:evenVBand="0" w:oddHBand="0" w:evenHBand="0" w:firstRowFirstColumn="0" w:firstRowLastColumn="0" w:lastRowFirstColumn="0" w:lastRowLastColumn="0"/>
            </w:pPr>
            <w:r w:rsidRPr="009B2274">
              <w:t xml:space="preserve">£30b, -£440b, </w:t>
            </w:r>
            <w:r w:rsidR="003629D1">
              <w:br/>
            </w:r>
            <w:r w:rsidRPr="007C228D">
              <w:rPr>
                <w:b/>
                <w:bCs/>
                <w:color w:val="FF0000"/>
              </w:rPr>
              <w:t>-£410b</w:t>
            </w:r>
          </w:p>
        </w:tc>
        <w:tc>
          <w:tcPr>
            <w:tcW w:w="1757" w:type="dxa"/>
          </w:tcPr>
          <w:p w14:paraId="66D8A92E" w14:textId="5764786F" w:rsidR="00385BE4" w:rsidRDefault="00385BE4" w:rsidP="00385BE4">
            <w:pPr>
              <w:jc w:val="center"/>
              <w:cnfStyle w:val="000000000000" w:firstRow="0" w:lastRow="0" w:firstColumn="0" w:lastColumn="0" w:oddVBand="0" w:evenVBand="0" w:oddHBand="0" w:evenHBand="0" w:firstRowFirstColumn="0" w:firstRowLastColumn="0" w:lastRowFirstColumn="0" w:lastRowLastColumn="0"/>
            </w:pPr>
            <w:r w:rsidRPr="009B2274">
              <w:t xml:space="preserve">£30b, -£550b, </w:t>
            </w:r>
            <w:r w:rsidR="003629D1">
              <w:br/>
            </w:r>
            <w:r w:rsidRPr="007C228D">
              <w:rPr>
                <w:b/>
                <w:bCs/>
                <w:color w:val="FF0000"/>
              </w:rPr>
              <w:t>-£520b</w:t>
            </w:r>
          </w:p>
        </w:tc>
      </w:tr>
      <w:tr w:rsidR="00385BE4" w14:paraId="1ADE7706" w14:textId="77777777" w:rsidTr="00BC63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6" w:type="dxa"/>
          </w:tcPr>
          <w:p w14:paraId="2CB6DAA3" w14:textId="77777777" w:rsidR="00385BE4" w:rsidRDefault="00385BE4" w:rsidP="00385BE4">
            <w:r>
              <w:t>50,000</w:t>
            </w:r>
          </w:p>
        </w:tc>
        <w:tc>
          <w:tcPr>
            <w:tcW w:w="1757" w:type="dxa"/>
          </w:tcPr>
          <w:p w14:paraId="7DEE5EAD" w14:textId="14EBA973" w:rsidR="00385BE4" w:rsidRDefault="00385BE4" w:rsidP="00385BE4">
            <w:pPr>
              <w:jc w:val="center"/>
              <w:cnfStyle w:val="000000100000" w:firstRow="0" w:lastRow="0" w:firstColumn="0" w:lastColumn="0" w:oddVBand="0" w:evenVBand="0" w:oddHBand="1" w:evenHBand="0" w:firstRowFirstColumn="0" w:firstRowLastColumn="0" w:lastRowFirstColumn="0" w:lastRowLastColumn="0"/>
            </w:pPr>
            <w:r w:rsidRPr="009B2274">
              <w:t xml:space="preserve">£15b, -£200b, </w:t>
            </w:r>
            <w:r w:rsidR="003629D1">
              <w:br/>
            </w:r>
            <w:r w:rsidRPr="007C228D">
              <w:rPr>
                <w:b/>
                <w:bCs/>
                <w:color w:val="FF0000"/>
              </w:rPr>
              <w:t>-£185b</w:t>
            </w:r>
          </w:p>
        </w:tc>
        <w:tc>
          <w:tcPr>
            <w:tcW w:w="1757" w:type="dxa"/>
          </w:tcPr>
          <w:p w14:paraId="3CB30D48" w14:textId="089130FC" w:rsidR="00385BE4" w:rsidRDefault="00385BE4" w:rsidP="00385BE4">
            <w:pPr>
              <w:jc w:val="center"/>
              <w:cnfStyle w:val="000000100000" w:firstRow="0" w:lastRow="0" w:firstColumn="0" w:lastColumn="0" w:oddVBand="0" w:evenVBand="0" w:oddHBand="1" w:evenHBand="0" w:firstRowFirstColumn="0" w:firstRowLastColumn="0" w:lastRowFirstColumn="0" w:lastRowLastColumn="0"/>
            </w:pPr>
            <w:r w:rsidRPr="009B2274">
              <w:t xml:space="preserve">£15b, -£330b, </w:t>
            </w:r>
            <w:r w:rsidR="003629D1">
              <w:br/>
            </w:r>
            <w:r w:rsidRPr="007C228D">
              <w:rPr>
                <w:b/>
                <w:bCs/>
                <w:color w:val="FF0000"/>
              </w:rPr>
              <w:t>-£315b</w:t>
            </w:r>
          </w:p>
        </w:tc>
        <w:tc>
          <w:tcPr>
            <w:tcW w:w="1757" w:type="dxa"/>
          </w:tcPr>
          <w:p w14:paraId="3C115581" w14:textId="53FA2AA9" w:rsidR="00385BE4" w:rsidRDefault="00385BE4" w:rsidP="00385BE4">
            <w:pPr>
              <w:jc w:val="center"/>
              <w:cnfStyle w:val="000000100000" w:firstRow="0" w:lastRow="0" w:firstColumn="0" w:lastColumn="0" w:oddVBand="0" w:evenVBand="0" w:oddHBand="1" w:evenHBand="0" w:firstRowFirstColumn="0" w:firstRowLastColumn="0" w:lastRowFirstColumn="0" w:lastRowLastColumn="0"/>
            </w:pPr>
            <w:r w:rsidRPr="009B2274">
              <w:t xml:space="preserve">£15b, -£440b, </w:t>
            </w:r>
            <w:r w:rsidR="003629D1">
              <w:br/>
            </w:r>
            <w:r w:rsidRPr="007C228D">
              <w:rPr>
                <w:b/>
                <w:bCs/>
                <w:color w:val="FF0000"/>
              </w:rPr>
              <w:t>-£425b</w:t>
            </w:r>
          </w:p>
        </w:tc>
        <w:tc>
          <w:tcPr>
            <w:tcW w:w="1757" w:type="dxa"/>
          </w:tcPr>
          <w:p w14:paraId="000A013F" w14:textId="56AD74BE" w:rsidR="00385BE4" w:rsidRDefault="00385BE4" w:rsidP="00385BE4">
            <w:pPr>
              <w:jc w:val="center"/>
              <w:cnfStyle w:val="000000100000" w:firstRow="0" w:lastRow="0" w:firstColumn="0" w:lastColumn="0" w:oddVBand="0" w:evenVBand="0" w:oddHBand="1" w:evenHBand="0" w:firstRowFirstColumn="0" w:firstRowLastColumn="0" w:lastRowFirstColumn="0" w:lastRowLastColumn="0"/>
            </w:pPr>
            <w:r w:rsidRPr="009B2274">
              <w:t xml:space="preserve">£15b, -£550b, </w:t>
            </w:r>
            <w:r w:rsidR="003629D1">
              <w:br/>
            </w:r>
            <w:r w:rsidRPr="007C228D">
              <w:rPr>
                <w:b/>
                <w:bCs/>
                <w:color w:val="FF0000"/>
              </w:rPr>
              <w:t>-£535b</w:t>
            </w:r>
          </w:p>
        </w:tc>
      </w:tr>
      <w:tr w:rsidR="00385BE4" w14:paraId="4323C252" w14:textId="77777777" w:rsidTr="00BC6360">
        <w:tc>
          <w:tcPr>
            <w:cnfStyle w:val="001000000000" w:firstRow="0" w:lastRow="0" w:firstColumn="1" w:lastColumn="0" w:oddVBand="0" w:evenVBand="0" w:oddHBand="0" w:evenHBand="0" w:firstRowFirstColumn="0" w:firstRowLastColumn="0" w:lastRowFirstColumn="0" w:lastRowLastColumn="0"/>
            <w:tcW w:w="1756" w:type="dxa"/>
          </w:tcPr>
          <w:p w14:paraId="6388F04E" w14:textId="77777777" w:rsidR="00385BE4" w:rsidRDefault="00385BE4" w:rsidP="00385BE4">
            <w:r>
              <w:t>20,000</w:t>
            </w:r>
          </w:p>
        </w:tc>
        <w:tc>
          <w:tcPr>
            <w:tcW w:w="1757" w:type="dxa"/>
          </w:tcPr>
          <w:p w14:paraId="1777C09F" w14:textId="2FD05740" w:rsidR="00385BE4" w:rsidRDefault="00385BE4" w:rsidP="00385BE4">
            <w:pPr>
              <w:jc w:val="center"/>
              <w:cnfStyle w:val="000000000000" w:firstRow="0" w:lastRow="0" w:firstColumn="0" w:lastColumn="0" w:oddVBand="0" w:evenVBand="0" w:oddHBand="0" w:evenHBand="0" w:firstRowFirstColumn="0" w:firstRowLastColumn="0" w:lastRowFirstColumn="0" w:lastRowLastColumn="0"/>
            </w:pPr>
            <w:r w:rsidRPr="009B2274">
              <w:t xml:space="preserve">£6b, -£200b, </w:t>
            </w:r>
            <w:r w:rsidR="003629D1">
              <w:br/>
            </w:r>
            <w:r w:rsidRPr="007C228D">
              <w:rPr>
                <w:b/>
                <w:bCs/>
                <w:color w:val="FF0000"/>
              </w:rPr>
              <w:t>-£194b</w:t>
            </w:r>
          </w:p>
        </w:tc>
        <w:tc>
          <w:tcPr>
            <w:tcW w:w="1757" w:type="dxa"/>
          </w:tcPr>
          <w:p w14:paraId="682556E5" w14:textId="4510E586" w:rsidR="00385BE4" w:rsidRDefault="00385BE4" w:rsidP="00385BE4">
            <w:pPr>
              <w:jc w:val="center"/>
              <w:cnfStyle w:val="000000000000" w:firstRow="0" w:lastRow="0" w:firstColumn="0" w:lastColumn="0" w:oddVBand="0" w:evenVBand="0" w:oddHBand="0" w:evenHBand="0" w:firstRowFirstColumn="0" w:firstRowLastColumn="0" w:lastRowFirstColumn="0" w:lastRowLastColumn="0"/>
            </w:pPr>
            <w:r w:rsidRPr="009B2274">
              <w:t xml:space="preserve">£6b, -£330b, </w:t>
            </w:r>
            <w:r w:rsidR="003629D1">
              <w:br/>
            </w:r>
            <w:r w:rsidRPr="007C228D">
              <w:rPr>
                <w:b/>
                <w:bCs/>
                <w:color w:val="FF0000"/>
              </w:rPr>
              <w:t>-£324b</w:t>
            </w:r>
          </w:p>
        </w:tc>
        <w:tc>
          <w:tcPr>
            <w:tcW w:w="1757" w:type="dxa"/>
          </w:tcPr>
          <w:p w14:paraId="7B8385CD" w14:textId="3F438137" w:rsidR="00385BE4" w:rsidRDefault="00385BE4" w:rsidP="00385BE4">
            <w:pPr>
              <w:jc w:val="center"/>
              <w:cnfStyle w:val="000000000000" w:firstRow="0" w:lastRow="0" w:firstColumn="0" w:lastColumn="0" w:oddVBand="0" w:evenVBand="0" w:oddHBand="0" w:evenHBand="0" w:firstRowFirstColumn="0" w:firstRowLastColumn="0" w:lastRowFirstColumn="0" w:lastRowLastColumn="0"/>
            </w:pPr>
            <w:r w:rsidRPr="009B2274">
              <w:t xml:space="preserve">£6b, -£440b, </w:t>
            </w:r>
            <w:r w:rsidR="003629D1">
              <w:br/>
            </w:r>
            <w:r w:rsidRPr="007C228D">
              <w:rPr>
                <w:b/>
                <w:bCs/>
                <w:color w:val="FF0000"/>
              </w:rPr>
              <w:t>-£434b</w:t>
            </w:r>
          </w:p>
        </w:tc>
        <w:tc>
          <w:tcPr>
            <w:tcW w:w="1757" w:type="dxa"/>
          </w:tcPr>
          <w:p w14:paraId="7FB0F7EA" w14:textId="1BC1036F" w:rsidR="00385BE4" w:rsidRDefault="00385BE4" w:rsidP="00385BE4">
            <w:pPr>
              <w:jc w:val="center"/>
              <w:cnfStyle w:val="000000000000" w:firstRow="0" w:lastRow="0" w:firstColumn="0" w:lastColumn="0" w:oddVBand="0" w:evenVBand="0" w:oddHBand="0" w:evenHBand="0" w:firstRowFirstColumn="0" w:firstRowLastColumn="0" w:lastRowFirstColumn="0" w:lastRowLastColumn="0"/>
            </w:pPr>
            <w:r w:rsidRPr="009B2274">
              <w:t xml:space="preserve">£6b, -£550b, </w:t>
            </w:r>
            <w:r w:rsidR="003629D1">
              <w:br/>
            </w:r>
            <w:r w:rsidRPr="007C228D">
              <w:rPr>
                <w:b/>
                <w:bCs/>
                <w:color w:val="FF0000"/>
              </w:rPr>
              <w:t>-£544b</w:t>
            </w:r>
          </w:p>
        </w:tc>
      </w:tr>
    </w:tbl>
    <w:p w14:paraId="08B20794" w14:textId="4FD276D8" w:rsidR="00D8199B" w:rsidRDefault="00D8199B" w:rsidP="00D8199B">
      <w:pPr>
        <w:rPr>
          <w:sz w:val="18"/>
          <w:szCs w:val="18"/>
        </w:rPr>
      </w:pPr>
      <w:r w:rsidRPr="004E693B">
        <w:rPr>
          <w:sz w:val="18"/>
          <w:szCs w:val="18"/>
        </w:rPr>
        <w:t xml:space="preserve">Each life saved is estimated to resulted in 10 more quality adjusted years of life. The NICE resource threshold of £30,000 is applied to each of these quality adjusted years.  The money value of GDP losses </w:t>
      </w:r>
      <w:proofErr w:type="gramStart"/>
      <w:r w:rsidRPr="004E693B">
        <w:rPr>
          <w:sz w:val="18"/>
          <w:szCs w:val="18"/>
        </w:rPr>
        <w:t>are</w:t>
      </w:r>
      <w:proofErr w:type="gramEnd"/>
      <w:r w:rsidRPr="004E693B">
        <w:rPr>
          <w:sz w:val="18"/>
          <w:szCs w:val="18"/>
        </w:rPr>
        <w:t xml:space="preserve"> taken as a proportion of 2019 GDP of £2.</w:t>
      </w:r>
      <w:r w:rsidR="00F72AAE">
        <w:rPr>
          <w:sz w:val="18"/>
          <w:szCs w:val="18"/>
        </w:rPr>
        <w:t>2</w:t>
      </w:r>
      <w:r w:rsidRPr="004E693B">
        <w:rPr>
          <w:sz w:val="18"/>
          <w:szCs w:val="18"/>
        </w:rPr>
        <w:t xml:space="preserve"> trillion </w:t>
      </w:r>
    </w:p>
    <w:p w14:paraId="49FD4FC1" w14:textId="77777777" w:rsidR="00651CC7" w:rsidRPr="004E693B" w:rsidRDefault="00651CC7" w:rsidP="00D8199B">
      <w:pPr>
        <w:rPr>
          <w:sz w:val="18"/>
          <w:szCs w:val="18"/>
        </w:rPr>
      </w:pPr>
    </w:p>
    <w:p w14:paraId="37F314CB" w14:textId="1957D91C" w:rsidR="00BD7E23" w:rsidRPr="00BD7E23" w:rsidRDefault="00BD7E23" w:rsidP="00C2088D">
      <w:pPr>
        <w:rPr>
          <w:i/>
        </w:rPr>
      </w:pPr>
      <w:r w:rsidRPr="00BD7E23">
        <w:rPr>
          <w:i/>
        </w:rPr>
        <w:t>Sensitivity to the value of extra years of life:</w:t>
      </w:r>
    </w:p>
    <w:p w14:paraId="6965DF67" w14:textId="1781FB2F" w:rsidR="007C1074" w:rsidRDefault="004E693B" w:rsidP="00C2088D">
      <w:r>
        <w:t xml:space="preserve">Taken at face value the numbers in Tables </w:t>
      </w:r>
      <w:r w:rsidR="002121AA">
        <w:t>2</w:t>
      </w:r>
      <w:r>
        <w:t xml:space="preserve"> and </w:t>
      </w:r>
      <w:r w:rsidR="002121AA">
        <w:t>3</w:t>
      </w:r>
      <w:r>
        <w:t xml:space="preserve"> </w:t>
      </w:r>
      <w:r w:rsidR="0017633A">
        <w:t>wo</w:t>
      </w:r>
      <w:r w:rsidR="00E91B11">
        <w:t xml:space="preserve">uld suggest </w:t>
      </w:r>
      <w:r w:rsidR="00EA3AB4">
        <w:t xml:space="preserve">a lockdown that lasted three months </w:t>
      </w:r>
      <w:r>
        <w:t xml:space="preserve">was not an effective policy and </w:t>
      </w:r>
      <w:r w:rsidR="0046144C">
        <w:t xml:space="preserve">that </w:t>
      </w:r>
      <w:r>
        <w:t xml:space="preserve">severe restrictions </w:t>
      </w:r>
      <w:r w:rsidR="00E91B11">
        <w:t xml:space="preserve">should </w:t>
      </w:r>
      <w:r w:rsidR="00F94DFC">
        <w:t xml:space="preserve">have been eased sooner </w:t>
      </w:r>
      <w:r w:rsidR="00742C3F">
        <w:t xml:space="preserve">because the economic costs </w:t>
      </w:r>
      <w:r w:rsidR="00BD7E23">
        <w:t xml:space="preserve">of such protracted restrictions on mobility </w:t>
      </w:r>
      <w:r w:rsidR="00335847">
        <w:t xml:space="preserve">have been </w:t>
      </w:r>
      <w:r w:rsidR="00742C3F">
        <w:t>high</w:t>
      </w:r>
      <w:r w:rsidR="00A804DE">
        <w:t xml:space="preserve"> relative to likely benefits</w:t>
      </w:r>
      <w:r w:rsidR="00742C3F">
        <w:t xml:space="preserve">. </w:t>
      </w:r>
      <w:r w:rsidR="00F94DFC">
        <w:t xml:space="preserve">That conclusion is sensitive to whether using the NICE figure of £30,000 for valuing a </w:t>
      </w:r>
      <w:r w:rsidR="007C1074">
        <w:t xml:space="preserve">potential </w:t>
      </w:r>
      <w:r w:rsidR="00F94DFC">
        <w:t>year of life saved</w:t>
      </w:r>
      <w:r w:rsidR="00EA3AB4">
        <w:t xml:space="preserve"> is sensible</w:t>
      </w:r>
      <w:r w:rsidR="00F94DFC">
        <w:t xml:space="preserve">. As noted by Layard et al (2020), a </w:t>
      </w:r>
      <w:r w:rsidR="00EA3AB4">
        <w:t xml:space="preserve">much higher </w:t>
      </w:r>
      <w:r w:rsidR="00F94DFC">
        <w:t xml:space="preserve">figure </w:t>
      </w:r>
      <w:r w:rsidR="007C1074">
        <w:t>p</w:t>
      </w:r>
      <w:r w:rsidR="00F94DFC">
        <w:t>er QALY of £60,0</w:t>
      </w:r>
      <w:r w:rsidR="007C1074">
        <w:t>0</w:t>
      </w:r>
      <w:r w:rsidR="00F94DFC">
        <w:t xml:space="preserve">0 is often advocated. </w:t>
      </w:r>
      <w:r w:rsidR="007C1074">
        <w:t xml:space="preserve">If we use that figure all the benefit numbers in Table 2 and 3 would be doubled. But of the 40 permutations of scenarios in Tables 2 and 3 the result that costs of a three-month lockdown </w:t>
      </w:r>
      <w:r w:rsidR="00EA3AB4">
        <w:t xml:space="preserve">are greater than </w:t>
      </w:r>
      <w:r w:rsidR="007C1074">
        <w:t>benefits would then only be overturned in 1 case.</w:t>
      </w:r>
    </w:p>
    <w:p w14:paraId="16552524" w14:textId="58DB6FF8" w:rsidR="007C1074" w:rsidRDefault="0021710A" w:rsidP="0021710A">
      <w:r>
        <w:lastRenderedPageBreak/>
        <w:t xml:space="preserve">Might it be that </w:t>
      </w:r>
      <w:r w:rsidR="001D29DB">
        <w:t xml:space="preserve">such </w:t>
      </w:r>
      <w:r>
        <w:t xml:space="preserve">calculations massively understate the benefits of lockdown? That would be the case if the value of </w:t>
      </w:r>
      <w:r w:rsidR="007C1074">
        <w:t xml:space="preserve">potential years of life saved </w:t>
      </w:r>
      <w:r>
        <w:t xml:space="preserve">is dramatically too low; some would say that it is. </w:t>
      </w:r>
      <w:r w:rsidR="007C1074">
        <w:t xml:space="preserve">Layard et al (2020) advocate </w:t>
      </w:r>
      <w:r w:rsidR="008428FE">
        <w:t xml:space="preserve">enormously </w:t>
      </w:r>
      <w:r w:rsidR="007C1074">
        <w:t>higher levels</w:t>
      </w:r>
      <w:r w:rsidR="00AF6175">
        <w:rPr>
          <w:rStyle w:val="FootnoteReference"/>
        </w:rPr>
        <w:footnoteReference w:id="15"/>
      </w:r>
      <w:r w:rsidR="00EA3AB4">
        <w:t xml:space="preserve">. </w:t>
      </w:r>
      <w:r w:rsidR="009911AC">
        <w:t xml:space="preserve">Estimates used in </w:t>
      </w:r>
      <w:r w:rsidR="00F70112">
        <w:t xml:space="preserve">the </w:t>
      </w:r>
      <w:r w:rsidR="009911AC">
        <w:t xml:space="preserve">US for the statistical value of a life place it slightly above $10 million (see </w:t>
      </w:r>
      <w:proofErr w:type="spellStart"/>
      <w:r w:rsidR="009911AC">
        <w:t>Vi</w:t>
      </w:r>
      <w:r w:rsidR="001E69FF">
        <w:t>s</w:t>
      </w:r>
      <w:r w:rsidR="009911AC">
        <w:t>cusi</w:t>
      </w:r>
      <w:proofErr w:type="spellEnd"/>
      <w:r w:rsidR="009911AC">
        <w:t xml:space="preserve"> (2020 and 2018) and Murphy and </w:t>
      </w:r>
      <w:proofErr w:type="spellStart"/>
      <w:r w:rsidR="009911AC">
        <w:t>Topel</w:t>
      </w:r>
      <w:proofErr w:type="spellEnd"/>
      <w:r w:rsidR="009911AC">
        <w:t xml:space="preserve"> (2006)). For a new</w:t>
      </w:r>
      <w:r w:rsidR="00E37D4D">
        <w:t>-</w:t>
      </w:r>
      <w:r w:rsidR="009911AC">
        <w:t xml:space="preserve">born who might expect 80 good years </w:t>
      </w:r>
      <w:r w:rsidR="009E365F">
        <w:t>o</w:t>
      </w:r>
      <w:r w:rsidR="009911AC">
        <w:t>f life the NICE £30,0</w:t>
      </w:r>
      <w:r w:rsidR="009E365F">
        <w:t>0</w:t>
      </w:r>
      <w:r w:rsidR="009911AC">
        <w:t xml:space="preserve">0 number would generate a life value of £2.4 million </w:t>
      </w:r>
      <w:r w:rsidR="006E25E9">
        <w:t>–</w:t>
      </w:r>
      <w:r w:rsidR="009911AC">
        <w:t xml:space="preserve"> </w:t>
      </w:r>
      <w:r w:rsidR="00453F15">
        <w:t xml:space="preserve">just under a third </w:t>
      </w:r>
      <w:r w:rsidR="006E25E9">
        <w:t xml:space="preserve">of the value if a statistical life is worth $10 million. </w:t>
      </w:r>
      <w:r w:rsidR="00E37D4D">
        <w:t xml:space="preserve">Adler (2020) presents powerful arguments why using such high VSL figures may be inappropriate for assessing policy with respect to the COVID-19, especially if the impact of lockdowns </w:t>
      </w:r>
      <w:proofErr w:type="gramStart"/>
      <w:r w:rsidR="00E37D4D">
        <w:t>fall</w:t>
      </w:r>
      <w:proofErr w:type="gramEnd"/>
      <w:r w:rsidR="00E37D4D">
        <w:t xml:space="preserve"> disproportionately on the less well off.  </w:t>
      </w:r>
    </w:p>
    <w:p w14:paraId="7E2A2677" w14:textId="4A8CF644" w:rsidR="00432D18" w:rsidRDefault="006E25E9" w:rsidP="0021710A">
      <w:r>
        <w:t xml:space="preserve">Goldstein and Lee (2020) note that US health economists use values </w:t>
      </w:r>
      <w:r w:rsidR="00453F15">
        <w:t xml:space="preserve">of </w:t>
      </w:r>
      <w:r>
        <w:t xml:space="preserve">around $125,000 per year of life (Institute for Clinical and Economic Review 2020). That is a bit over three times the NICE figure.  </w:t>
      </w:r>
      <w:r w:rsidR="003B06C0">
        <w:t>However,</w:t>
      </w:r>
      <w:r w:rsidR="0021710A">
        <w:t xml:space="preserve"> </w:t>
      </w:r>
      <w:r>
        <w:t xml:space="preserve">the </w:t>
      </w:r>
      <w:r w:rsidR="0021710A">
        <w:t>£30,000 figure per QALY is the figure used in resource dec</w:t>
      </w:r>
      <w:r w:rsidR="004249AA">
        <w:t>i</w:t>
      </w:r>
      <w:r w:rsidR="0021710A">
        <w:t>sions within the UK health system</w:t>
      </w:r>
      <w:r w:rsidR="004249AA">
        <w:t>. It is not an arbitrary number</w:t>
      </w:r>
      <w:r w:rsidR="004E693B">
        <w:t xml:space="preserve">. It is not </w:t>
      </w:r>
      <w:r w:rsidR="004249AA">
        <w:t>based on likely future earnings lost or the value of future consumption</w:t>
      </w:r>
      <w:r w:rsidR="004E693B">
        <w:t xml:space="preserve"> – calculations that are open to the moral objection that they reduce the value of human life to how much people would have spent on commodities</w:t>
      </w:r>
      <w:r w:rsidR="004249AA">
        <w:t xml:space="preserve">. </w:t>
      </w:r>
      <w:r w:rsidR="004E693B">
        <w:t xml:space="preserve">Instead the figure we use for the value of a QALY </w:t>
      </w:r>
      <w:r w:rsidR="004249AA">
        <w:t>is a measure of what is considered the highest level of resources (i</w:t>
      </w:r>
      <w:r w:rsidR="00935E21">
        <w:t>.</w:t>
      </w:r>
      <w:r w:rsidR="004249AA">
        <w:t>e</w:t>
      </w:r>
      <w:r w:rsidR="00935E21">
        <w:t>.</w:t>
      </w:r>
      <w:r w:rsidR="004249AA">
        <w:t xml:space="preserve"> what part of GDP) </w:t>
      </w:r>
      <w:r w:rsidR="00453F15">
        <w:t xml:space="preserve">in the UK health system </w:t>
      </w:r>
      <w:r w:rsidR="00335847">
        <w:t xml:space="preserve">that </w:t>
      </w:r>
      <w:r w:rsidR="004249AA">
        <w:t xml:space="preserve">should be used to generate extra quality adjusted years of life – </w:t>
      </w:r>
      <w:r w:rsidR="004E693B">
        <w:t xml:space="preserve">and it is saving of lives </w:t>
      </w:r>
      <w:r w:rsidR="004249AA">
        <w:t xml:space="preserve">which is what the lockdown was for. In using this </w:t>
      </w:r>
      <w:r w:rsidR="00BC6360">
        <w:t>yardstick,</w:t>
      </w:r>
      <w:r w:rsidR="004249AA">
        <w:t xml:space="preserve"> we are treating decisions on how to face COVID</w:t>
      </w:r>
      <w:r w:rsidR="003B06C0">
        <w:t>-</w:t>
      </w:r>
      <w:r w:rsidR="004249AA">
        <w:t xml:space="preserve">19 in the same way as decisions in the UK </w:t>
      </w:r>
      <w:r w:rsidR="004E693B">
        <w:t xml:space="preserve">are made </w:t>
      </w:r>
      <w:r w:rsidR="004249AA">
        <w:t xml:space="preserve">about resources to apply to the treatment of cancer, heart disease, dementia and diabetes. </w:t>
      </w:r>
      <w:r w:rsidR="00432D18">
        <w:t>On that basis it would seem as though the benefits of the</w:t>
      </w:r>
      <w:r w:rsidR="00FE5229">
        <w:t xml:space="preserve"> three</w:t>
      </w:r>
      <w:r w:rsidR="00181652">
        <w:t>-</w:t>
      </w:r>
      <w:r w:rsidR="00FE5229">
        <w:t xml:space="preserve">month </w:t>
      </w:r>
      <w:r w:rsidR="00432D18">
        <w:t xml:space="preserve">lockdown </w:t>
      </w:r>
      <w:proofErr w:type="gramStart"/>
      <w:r w:rsidR="00432D18">
        <w:t xml:space="preserve">were  </w:t>
      </w:r>
      <w:r w:rsidR="00181652">
        <w:t>likely</w:t>
      </w:r>
      <w:proofErr w:type="gramEnd"/>
      <w:r w:rsidR="00181652">
        <w:t xml:space="preserve"> to have been </w:t>
      </w:r>
      <w:r w:rsidR="00432D18">
        <w:t>lower</w:t>
      </w:r>
      <w:r w:rsidR="00015D8E">
        <w:t xml:space="preserve"> – perhaps far lower - </w:t>
      </w:r>
      <w:r w:rsidR="00432D18">
        <w:t xml:space="preserve"> than its costs.</w:t>
      </w:r>
      <w:r w:rsidR="00453F15">
        <w:t xml:space="preserve"> Yet even </w:t>
      </w:r>
      <w:r>
        <w:t xml:space="preserve">if one used a valuation of </w:t>
      </w:r>
      <w:r w:rsidR="00486DE0">
        <w:t xml:space="preserve">a </w:t>
      </w:r>
      <w:r>
        <w:t xml:space="preserve">QALY three times as great the figures in Tables 2 and 3 (with benefits raised by a factor of 3) </w:t>
      </w:r>
      <w:r w:rsidR="00015D8E">
        <w:t xml:space="preserve">that </w:t>
      </w:r>
      <w:r>
        <w:t xml:space="preserve">would still generate costs of the lockdown </w:t>
      </w:r>
      <w:proofErr w:type="gramStart"/>
      <w:r>
        <w:t>in excess of</w:t>
      </w:r>
      <w:proofErr w:type="gramEnd"/>
      <w:r>
        <w:t xml:space="preserve"> benefits in nearly all the cases considered. </w:t>
      </w:r>
    </w:p>
    <w:p w14:paraId="40E4331C" w14:textId="3BF86785" w:rsidR="008E4E9B" w:rsidRDefault="00432D18" w:rsidP="0021710A">
      <w:r>
        <w:t xml:space="preserve">That judgement is, however, made with the benefit of hindsight: we now </w:t>
      </w:r>
      <w:r w:rsidR="00335847">
        <w:t xml:space="preserve">know </w:t>
      </w:r>
      <w:r>
        <w:t xml:space="preserve">more about the scale of the economic costs </w:t>
      </w:r>
      <w:r w:rsidR="008E4E9B">
        <w:t>of</w:t>
      </w:r>
      <w:r>
        <w:t xml:space="preserve"> the lockdown than was known in March</w:t>
      </w:r>
      <w:r w:rsidR="00EB05C1">
        <w:t xml:space="preserve"> 2020</w:t>
      </w:r>
      <w:r w:rsidR="00335847">
        <w:t>,</w:t>
      </w:r>
      <w:r w:rsidR="008E4E9B">
        <w:t xml:space="preserve"> and also </w:t>
      </w:r>
      <w:r w:rsidR="00335847">
        <w:t xml:space="preserve">know </w:t>
      </w:r>
      <w:r w:rsidR="008E4E9B">
        <w:t>about how deaths and new infections have evolved across Europe. The more interesting policy issue is what i</w:t>
      </w:r>
      <w:r w:rsidR="00453F15">
        <w:t xml:space="preserve">t is </w:t>
      </w:r>
      <w:r w:rsidR="008E4E9B">
        <w:t>best to do now</w:t>
      </w:r>
      <w:r w:rsidR="00792976">
        <w:t xml:space="preserve">: </w:t>
      </w:r>
      <w:r w:rsidR="00335847">
        <w:t xml:space="preserve"> h</w:t>
      </w:r>
      <w:r w:rsidR="008E4E9B">
        <w:t>ow quickly should the lockdown be eased given what we know now</w:t>
      </w:r>
      <w:r w:rsidR="00335847">
        <w:t>?</w:t>
      </w:r>
      <w:r w:rsidR="008E4E9B">
        <w:t xml:space="preserve"> That issue we consider in the next section.</w:t>
      </w:r>
    </w:p>
    <w:p w14:paraId="74E8DEA8" w14:textId="77777777" w:rsidR="00792976" w:rsidRDefault="00792976" w:rsidP="0021710A"/>
    <w:p w14:paraId="3CB945D4" w14:textId="6BB59CA5" w:rsidR="008E4E9B" w:rsidRDefault="008E4E9B" w:rsidP="00825CC8">
      <w:pPr>
        <w:keepNext/>
        <w:rPr>
          <w:b/>
        </w:rPr>
      </w:pPr>
      <w:r>
        <w:rPr>
          <w:b/>
        </w:rPr>
        <w:t xml:space="preserve">Section </w:t>
      </w:r>
      <w:r w:rsidR="002E2FBE">
        <w:rPr>
          <w:b/>
        </w:rPr>
        <w:t>6</w:t>
      </w:r>
      <w:r>
        <w:rPr>
          <w:b/>
        </w:rPr>
        <w:t xml:space="preserve">: what policy to adopt now? </w:t>
      </w:r>
    </w:p>
    <w:p w14:paraId="4E6BF601" w14:textId="2EFB81C1" w:rsidR="008E4E9B" w:rsidRPr="008E4E9B" w:rsidRDefault="008E4E9B" w:rsidP="00C2088D">
      <w:r w:rsidRPr="008E4E9B">
        <w:t>We a</w:t>
      </w:r>
      <w:r>
        <w:t>p</w:t>
      </w:r>
      <w:r w:rsidRPr="008E4E9B">
        <w:t xml:space="preserve">ply a similar </w:t>
      </w:r>
      <w:r>
        <w:t xml:space="preserve">cost-benefit </w:t>
      </w:r>
      <w:r w:rsidRPr="008E4E9B">
        <w:t>method</w:t>
      </w:r>
      <w:r>
        <w:t>ology</w:t>
      </w:r>
      <w:r w:rsidRPr="008E4E9B">
        <w:t xml:space="preserve"> to consider p</w:t>
      </w:r>
      <w:r>
        <w:t>o</w:t>
      </w:r>
      <w:r w:rsidRPr="008E4E9B">
        <w:t>licy options</w:t>
      </w:r>
      <w:r w:rsidR="00C40993">
        <w:t xml:space="preserve"> for the level of restrictions applied in the UK over the next 3 months (July-September</w:t>
      </w:r>
      <w:r w:rsidR="00C069E1">
        <w:t xml:space="preserve"> 2020</w:t>
      </w:r>
      <w:r w:rsidR="00C40993">
        <w:t>)</w:t>
      </w:r>
      <w:r w:rsidRPr="008E4E9B">
        <w:t xml:space="preserve">. The </w:t>
      </w:r>
      <w:r w:rsidR="00335847">
        <w:t xml:space="preserve">options we consider </w:t>
      </w:r>
      <w:r w:rsidR="00C40993">
        <w:t>fall under two broad headings:</w:t>
      </w:r>
    </w:p>
    <w:p w14:paraId="1AD32939" w14:textId="22C3E202" w:rsidR="007613C0" w:rsidRPr="00C40993" w:rsidRDefault="007613C0" w:rsidP="00EA6160">
      <w:pPr>
        <w:pStyle w:val="ListParagraph"/>
        <w:numPr>
          <w:ilvl w:val="0"/>
          <w:numId w:val="7"/>
        </w:numPr>
        <w:spacing w:after="60" w:line="240" w:lineRule="auto"/>
        <w:ind w:left="357" w:hanging="357"/>
        <w:rPr>
          <w:rFonts w:eastAsia="Times New Roman"/>
        </w:rPr>
      </w:pPr>
      <w:r w:rsidRPr="00C40993">
        <w:rPr>
          <w:rFonts w:eastAsia="Times New Roman"/>
        </w:rPr>
        <w:t>Carry on with</w:t>
      </w:r>
      <w:r w:rsidR="00335847">
        <w:rPr>
          <w:rFonts w:eastAsia="Times New Roman"/>
        </w:rPr>
        <w:t xml:space="preserve"> </w:t>
      </w:r>
      <w:r w:rsidR="00C40993" w:rsidRPr="00C40993">
        <w:rPr>
          <w:rFonts w:eastAsia="Times New Roman"/>
        </w:rPr>
        <w:t xml:space="preserve">only </w:t>
      </w:r>
      <w:r w:rsidR="00AA77C4">
        <w:rPr>
          <w:rFonts w:eastAsia="Times New Roman"/>
        </w:rPr>
        <w:t xml:space="preserve">very </w:t>
      </w:r>
      <w:r w:rsidR="00C40993" w:rsidRPr="00C40993">
        <w:rPr>
          <w:rFonts w:eastAsia="Times New Roman"/>
        </w:rPr>
        <w:t xml:space="preserve">limited easing of restrictions </w:t>
      </w:r>
    </w:p>
    <w:p w14:paraId="31E1382A" w14:textId="1CD06C5E" w:rsidR="007613C0" w:rsidRDefault="007613C0" w:rsidP="00EA6160">
      <w:pPr>
        <w:numPr>
          <w:ilvl w:val="0"/>
          <w:numId w:val="7"/>
        </w:numPr>
        <w:spacing w:after="60" w:line="240" w:lineRule="auto"/>
        <w:ind w:left="357" w:hanging="357"/>
        <w:rPr>
          <w:rFonts w:eastAsia="Times New Roman"/>
        </w:rPr>
      </w:pPr>
      <w:r>
        <w:rPr>
          <w:rFonts w:eastAsia="Times New Roman"/>
        </w:rPr>
        <w:lastRenderedPageBreak/>
        <w:t xml:space="preserve">Move quickly to minimal </w:t>
      </w:r>
      <w:r w:rsidR="00C40993">
        <w:rPr>
          <w:rFonts w:eastAsia="Times New Roman"/>
        </w:rPr>
        <w:t>l</w:t>
      </w:r>
      <w:r>
        <w:rPr>
          <w:rFonts w:eastAsia="Times New Roman"/>
        </w:rPr>
        <w:t>ockdown (</w:t>
      </w:r>
      <w:r w:rsidR="00C40993">
        <w:rPr>
          <w:rFonts w:eastAsia="Times New Roman"/>
        </w:rPr>
        <w:t xml:space="preserve">easing restrictions </w:t>
      </w:r>
      <w:r w:rsidR="0047328D">
        <w:rPr>
          <w:rFonts w:eastAsia="Times New Roman"/>
        </w:rPr>
        <w:t xml:space="preserve">for the general population </w:t>
      </w:r>
      <w:r w:rsidR="00C40993">
        <w:rPr>
          <w:rFonts w:eastAsia="Times New Roman"/>
        </w:rPr>
        <w:t>rapidly</w:t>
      </w:r>
      <w:r w:rsidR="0047328D">
        <w:rPr>
          <w:rFonts w:eastAsia="Times New Roman"/>
        </w:rPr>
        <w:t>, focusing resources on high risk groups</w:t>
      </w:r>
      <w:r w:rsidR="00C40993">
        <w:rPr>
          <w:rFonts w:eastAsia="Times New Roman"/>
        </w:rPr>
        <w:t xml:space="preserve"> and relying on </w:t>
      </w:r>
      <w:r w:rsidR="00BC6360">
        <w:rPr>
          <w:rFonts w:eastAsia="Times New Roman"/>
        </w:rPr>
        <w:t xml:space="preserve">existing </w:t>
      </w:r>
      <w:r>
        <w:rPr>
          <w:rFonts w:eastAsia="Times New Roman"/>
        </w:rPr>
        <w:t xml:space="preserve">tracking </w:t>
      </w:r>
      <w:r w:rsidR="00C069E1">
        <w:rPr>
          <w:rFonts w:eastAsia="Times New Roman"/>
        </w:rPr>
        <w:t xml:space="preserve">of </w:t>
      </w:r>
      <w:r>
        <w:rPr>
          <w:rFonts w:eastAsia="Times New Roman"/>
        </w:rPr>
        <w:t>the cases/deaths</w:t>
      </w:r>
      <w:r w:rsidR="00C40993">
        <w:rPr>
          <w:rFonts w:eastAsia="Times New Roman"/>
        </w:rPr>
        <w:t xml:space="preserve"> to </w:t>
      </w:r>
      <w:r w:rsidR="00886C5B">
        <w:rPr>
          <w:rFonts w:eastAsia="Times New Roman"/>
        </w:rPr>
        <w:t xml:space="preserve">help </w:t>
      </w:r>
      <w:r w:rsidR="00C40993">
        <w:rPr>
          <w:rFonts w:eastAsia="Times New Roman"/>
        </w:rPr>
        <w:t>prevent re-emergence of the virus</w:t>
      </w:r>
      <w:r>
        <w:rPr>
          <w:rFonts w:eastAsia="Times New Roman"/>
        </w:rPr>
        <w:t>)</w:t>
      </w:r>
    </w:p>
    <w:p w14:paraId="02DA0794" w14:textId="77777777" w:rsidR="001D29DB" w:rsidRDefault="001D29DB" w:rsidP="001D29DB">
      <w:pPr>
        <w:spacing w:after="60" w:line="240" w:lineRule="auto"/>
        <w:ind w:left="357"/>
        <w:rPr>
          <w:rFonts w:eastAsia="Times New Roman"/>
        </w:rPr>
      </w:pPr>
    </w:p>
    <w:p w14:paraId="28346F89" w14:textId="33E91F09" w:rsidR="007613C0" w:rsidRDefault="00C40993" w:rsidP="007613C0">
      <w:r>
        <w:t xml:space="preserve">We </w:t>
      </w:r>
      <w:r w:rsidR="00335847">
        <w:t xml:space="preserve">consider the following scenarios for </w:t>
      </w:r>
      <w:r>
        <w:t>the consequences of each policy for the evolution of COVID</w:t>
      </w:r>
      <w:r w:rsidR="003B06C0">
        <w:t>-</w:t>
      </w:r>
      <w:r>
        <w:t>19 deaths:</w:t>
      </w:r>
    </w:p>
    <w:p w14:paraId="02445C4C" w14:textId="214BCA37" w:rsidR="007613C0" w:rsidRDefault="00C40993" w:rsidP="00EA6160">
      <w:pPr>
        <w:pStyle w:val="ListParagraph"/>
        <w:numPr>
          <w:ilvl w:val="0"/>
          <w:numId w:val="11"/>
        </w:numPr>
        <w:spacing w:after="60" w:line="240" w:lineRule="auto"/>
        <w:rPr>
          <w:rFonts w:eastAsia="Times New Roman"/>
        </w:rPr>
      </w:pPr>
      <w:r>
        <w:rPr>
          <w:rFonts w:eastAsia="Times New Roman"/>
        </w:rPr>
        <w:t xml:space="preserve">Very </w:t>
      </w:r>
      <w:r w:rsidR="00335847">
        <w:rPr>
          <w:rFonts w:eastAsia="Times New Roman"/>
        </w:rPr>
        <w:t xml:space="preserve">limited </w:t>
      </w:r>
      <w:r>
        <w:rPr>
          <w:rFonts w:eastAsia="Times New Roman"/>
        </w:rPr>
        <w:t xml:space="preserve">easing of restrictions results in a continuing steady fall in the death rate over </w:t>
      </w:r>
      <w:r w:rsidR="007613C0" w:rsidRPr="00C40993">
        <w:rPr>
          <w:rFonts w:eastAsia="Times New Roman"/>
        </w:rPr>
        <w:t xml:space="preserve">13 weeks </w:t>
      </w:r>
      <w:r>
        <w:rPr>
          <w:rFonts w:eastAsia="Times New Roman"/>
        </w:rPr>
        <w:t>down to single figures per week at the end of three months.</w:t>
      </w:r>
      <w:r w:rsidR="002567E7">
        <w:rPr>
          <w:rFonts w:eastAsia="Times New Roman"/>
        </w:rPr>
        <w:t xml:space="preserve"> Each week deaths are </w:t>
      </w:r>
      <w:r w:rsidR="00AA77C4">
        <w:rPr>
          <w:rFonts w:eastAsia="Times New Roman"/>
        </w:rPr>
        <w:t xml:space="preserve">assumed to be </w:t>
      </w:r>
      <w:r w:rsidR="002567E7">
        <w:rPr>
          <w:rFonts w:eastAsia="Times New Roman"/>
        </w:rPr>
        <w:t>0.</w:t>
      </w:r>
      <w:r w:rsidR="00AA77C4">
        <w:rPr>
          <w:rFonts w:eastAsia="Times New Roman"/>
        </w:rPr>
        <w:t>7</w:t>
      </w:r>
      <w:r w:rsidR="002567E7">
        <w:rPr>
          <w:rFonts w:eastAsia="Times New Roman"/>
        </w:rPr>
        <w:t xml:space="preserve"> x deaths of the previous week.</w:t>
      </w:r>
    </w:p>
    <w:p w14:paraId="73996F40" w14:textId="77777777" w:rsidR="00AA77C4" w:rsidRDefault="00AA77C4" w:rsidP="00AA77C4">
      <w:pPr>
        <w:pStyle w:val="ListParagraph"/>
        <w:spacing w:after="60" w:line="240" w:lineRule="auto"/>
        <w:ind w:left="360"/>
        <w:rPr>
          <w:rFonts w:eastAsia="Times New Roman"/>
        </w:rPr>
      </w:pPr>
    </w:p>
    <w:p w14:paraId="13958064" w14:textId="0747929C" w:rsidR="007613C0" w:rsidRDefault="00C40993" w:rsidP="00EA6160">
      <w:pPr>
        <w:pStyle w:val="ListParagraph"/>
        <w:numPr>
          <w:ilvl w:val="0"/>
          <w:numId w:val="11"/>
        </w:numPr>
        <w:spacing w:after="60" w:line="240" w:lineRule="auto"/>
        <w:ind w:left="357" w:hanging="357"/>
        <w:rPr>
          <w:rFonts w:eastAsia="Times New Roman"/>
        </w:rPr>
      </w:pPr>
      <w:r>
        <w:rPr>
          <w:rFonts w:eastAsia="Times New Roman"/>
        </w:rPr>
        <w:t xml:space="preserve">For the policy of </w:t>
      </w:r>
      <w:r w:rsidR="0047328D">
        <w:rPr>
          <w:rFonts w:eastAsia="Times New Roman"/>
        </w:rPr>
        <w:t xml:space="preserve">more </w:t>
      </w:r>
      <w:r>
        <w:rPr>
          <w:rFonts w:eastAsia="Times New Roman"/>
        </w:rPr>
        <w:t xml:space="preserve">rapid easing of restrictions we consider three possible scenarios: </w:t>
      </w:r>
    </w:p>
    <w:p w14:paraId="6F5E435F" w14:textId="77777777" w:rsidR="007A1094" w:rsidRPr="007A1094" w:rsidRDefault="007A1094" w:rsidP="007A1094">
      <w:pPr>
        <w:pStyle w:val="ListParagraph"/>
        <w:rPr>
          <w:rFonts w:eastAsia="Times New Roman"/>
        </w:rPr>
      </w:pPr>
    </w:p>
    <w:p w14:paraId="696B3952" w14:textId="5DAC287C" w:rsidR="007613C0" w:rsidRDefault="007613C0" w:rsidP="00EA6160">
      <w:pPr>
        <w:pStyle w:val="ListParagraph"/>
        <w:numPr>
          <w:ilvl w:val="0"/>
          <w:numId w:val="9"/>
        </w:numPr>
        <w:spacing w:after="60" w:line="240" w:lineRule="auto"/>
        <w:rPr>
          <w:rFonts w:eastAsia="Times New Roman"/>
        </w:rPr>
      </w:pPr>
      <w:r>
        <w:rPr>
          <w:rFonts w:eastAsia="Times New Roman"/>
        </w:rPr>
        <w:t xml:space="preserve">Deaths continue to fall but at </w:t>
      </w:r>
      <w:r w:rsidR="00886C5B">
        <w:rPr>
          <w:rFonts w:eastAsia="Times New Roman"/>
        </w:rPr>
        <w:t xml:space="preserve">significantly </w:t>
      </w:r>
      <w:r>
        <w:rPr>
          <w:rFonts w:eastAsia="Times New Roman"/>
        </w:rPr>
        <w:t xml:space="preserve">slower rate than </w:t>
      </w:r>
      <w:r w:rsidR="00C40993">
        <w:rPr>
          <w:rFonts w:eastAsia="Times New Roman"/>
        </w:rPr>
        <w:t xml:space="preserve">with a slow </w:t>
      </w:r>
      <w:r w:rsidR="00265895">
        <w:rPr>
          <w:rFonts w:eastAsia="Times New Roman"/>
        </w:rPr>
        <w:t xml:space="preserve">and limited </w:t>
      </w:r>
      <w:r w:rsidR="00C40993">
        <w:rPr>
          <w:rFonts w:eastAsia="Times New Roman"/>
        </w:rPr>
        <w:t>easing of lockdown</w:t>
      </w:r>
      <w:r w:rsidR="002567E7">
        <w:rPr>
          <w:rFonts w:eastAsia="Times New Roman"/>
        </w:rPr>
        <w:t>; each week deaths are 0.</w:t>
      </w:r>
      <w:r w:rsidR="00AA77C4">
        <w:rPr>
          <w:rFonts w:eastAsia="Times New Roman"/>
        </w:rPr>
        <w:t>9</w:t>
      </w:r>
      <w:r w:rsidR="002567E7">
        <w:rPr>
          <w:rFonts w:eastAsia="Times New Roman"/>
        </w:rPr>
        <w:t xml:space="preserve"> x deaths of the previous week</w:t>
      </w:r>
    </w:p>
    <w:p w14:paraId="5182EA16" w14:textId="55A7635E" w:rsidR="007613C0" w:rsidRDefault="007613C0" w:rsidP="00EA6160">
      <w:pPr>
        <w:pStyle w:val="ListParagraph"/>
        <w:numPr>
          <w:ilvl w:val="0"/>
          <w:numId w:val="9"/>
        </w:numPr>
        <w:spacing w:after="60" w:line="240" w:lineRule="auto"/>
        <w:rPr>
          <w:rFonts w:eastAsia="Times New Roman"/>
        </w:rPr>
      </w:pPr>
      <w:r>
        <w:rPr>
          <w:rFonts w:eastAsia="Times New Roman"/>
        </w:rPr>
        <w:t xml:space="preserve">Deaths </w:t>
      </w:r>
      <w:r w:rsidR="001D29DB">
        <w:rPr>
          <w:rFonts w:eastAsia="Times New Roman"/>
        </w:rPr>
        <w:t xml:space="preserve">move back to the </w:t>
      </w:r>
      <w:r w:rsidR="002567E7">
        <w:rPr>
          <w:rFonts w:eastAsia="Times New Roman"/>
        </w:rPr>
        <w:t xml:space="preserve">start-June </w:t>
      </w:r>
      <w:r>
        <w:rPr>
          <w:rFonts w:eastAsia="Times New Roman"/>
        </w:rPr>
        <w:t>level of 1,</w:t>
      </w:r>
      <w:r w:rsidR="00AA77C4">
        <w:rPr>
          <w:rFonts w:eastAsia="Times New Roman"/>
        </w:rPr>
        <w:t>2</w:t>
      </w:r>
      <w:r w:rsidR="00DB3787">
        <w:rPr>
          <w:rFonts w:eastAsia="Times New Roman"/>
        </w:rPr>
        <w:t>30</w:t>
      </w:r>
      <w:r w:rsidR="00C40993">
        <w:rPr>
          <w:rFonts w:eastAsia="Times New Roman"/>
        </w:rPr>
        <w:t xml:space="preserve"> per </w:t>
      </w:r>
      <w:r>
        <w:rPr>
          <w:rFonts w:eastAsia="Times New Roman"/>
        </w:rPr>
        <w:t>week</w:t>
      </w:r>
      <w:r w:rsidR="001D29DB">
        <w:rPr>
          <w:rFonts w:eastAsia="Times New Roman"/>
        </w:rPr>
        <w:t xml:space="preserve"> and stay there</w:t>
      </w:r>
    </w:p>
    <w:p w14:paraId="7A85286B" w14:textId="7943971F" w:rsidR="00AA77C4" w:rsidRDefault="007613C0" w:rsidP="00EA6160">
      <w:pPr>
        <w:pStyle w:val="ListParagraph"/>
        <w:numPr>
          <w:ilvl w:val="0"/>
          <w:numId w:val="9"/>
        </w:numPr>
        <w:spacing w:after="60" w:line="240" w:lineRule="auto"/>
        <w:rPr>
          <w:rFonts w:eastAsia="Times New Roman"/>
        </w:rPr>
      </w:pPr>
      <w:r>
        <w:rPr>
          <w:rFonts w:eastAsia="Times New Roman"/>
        </w:rPr>
        <w:t xml:space="preserve">Deaths </w:t>
      </w:r>
      <w:r w:rsidR="002567E7">
        <w:rPr>
          <w:rFonts w:eastAsia="Times New Roman"/>
        </w:rPr>
        <w:t xml:space="preserve">steadily </w:t>
      </w:r>
      <w:r>
        <w:rPr>
          <w:rFonts w:eastAsia="Times New Roman"/>
        </w:rPr>
        <w:t xml:space="preserve">increase back up to levels seen at height of </w:t>
      </w:r>
      <w:r w:rsidR="002567E7">
        <w:rPr>
          <w:rFonts w:eastAsia="Times New Roman"/>
        </w:rPr>
        <w:t xml:space="preserve">the UK </w:t>
      </w:r>
      <w:r>
        <w:rPr>
          <w:rFonts w:eastAsia="Times New Roman"/>
        </w:rPr>
        <w:t>pandemic</w:t>
      </w:r>
      <w:r w:rsidR="00AA77C4">
        <w:rPr>
          <w:rFonts w:eastAsia="Times New Roman"/>
        </w:rPr>
        <w:t xml:space="preserve">; each week </w:t>
      </w:r>
      <w:r w:rsidR="0047328D">
        <w:rPr>
          <w:rFonts w:eastAsia="Times New Roman"/>
        </w:rPr>
        <w:t>over a three</w:t>
      </w:r>
      <w:r w:rsidR="00181652">
        <w:rPr>
          <w:rFonts w:eastAsia="Times New Roman"/>
        </w:rPr>
        <w:t>-</w:t>
      </w:r>
      <w:r w:rsidR="0047328D">
        <w:rPr>
          <w:rFonts w:eastAsia="Times New Roman"/>
        </w:rPr>
        <w:t xml:space="preserve">month period </w:t>
      </w:r>
      <w:r w:rsidR="00AA77C4">
        <w:rPr>
          <w:rFonts w:eastAsia="Times New Roman"/>
        </w:rPr>
        <w:t>they are 15% higher than the week before</w:t>
      </w:r>
      <w:r w:rsidR="002567E7">
        <w:rPr>
          <w:rFonts w:eastAsia="Times New Roman"/>
        </w:rPr>
        <w:t>.</w:t>
      </w:r>
    </w:p>
    <w:p w14:paraId="12B4E0D0" w14:textId="239A88F7" w:rsidR="007613C0" w:rsidRPr="00EA6160" w:rsidRDefault="002567E7" w:rsidP="00AA77C4">
      <w:pPr>
        <w:pStyle w:val="ListParagraph"/>
        <w:spacing w:after="60" w:line="240" w:lineRule="auto"/>
        <w:ind w:left="1077"/>
        <w:rPr>
          <w:rFonts w:eastAsia="Times New Roman"/>
        </w:rPr>
      </w:pPr>
      <w:r>
        <w:rPr>
          <w:rFonts w:eastAsia="Times New Roman"/>
        </w:rPr>
        <w:t xml:space="preserve"> </w:t>
      </w:r>
      <w:r w:rsidR="007613C0">
        <w:rPr>
          <w:rFonts w:eastAsia="Times New Roman"/>
        </w:rPr>
        <w:t xml:space="preserve"> </w:t>
      </w:r>
    </w:p>
    <w:p w14:paraId="1F954099" w14:textId="77777777" w:rsidR="00181652" w:rsidRDefault="00181652" w:rsidP="007613C0">
      <w:r>
        <w:t xml:space="preserve">These are macabre thought </w:t>
      </w:r>
      <w:proofErr w:type="gramStart"/>
      <w:r>
        <w:t>experiments</w:t>
      </w:r>
      <w:proofErr w:type="gramEnd"/>
      <w:r>
        <w:t xml:space="preserve"> and many will feel uneasy at such calculations. But there are implications in terms of deaths and misery on both sides of the ledger from </w:t>
      </w:r>
      <w:r w:rsidRPr="00181652">
        <w:rPr>
          <w:i/>
        </w:rPr>
        <w:t>any</w:t>
      </w:r>
      <w:r>
        <w:t xml:space="preserve"> policy. To think such comparisons are distasteful is to not face that reality. </w:t>
      </w:r>
    </w:p>
    <w:p w14:paraId="69AB2188" w14:textId="1F79D2B6" w:rsidR="008F2B2E" w:rsidRDefault="008F2B2E" w:rsidP="007613C0">
      <w:r>
        <w:t xml:space="preserve">The assumed paths of deaths under the 4 scenarios is shown in the Table </w:t>
      </w:r>
      <w:r w:rsidR="00963803">
        <w:t>4</w:t>
      </w:r>
      <w:r>
        <w:t>.</w:t>
      </w:r>
      <w:r w:rsidR="002567E7">
        <w:t xml:space="preserve"> In each case we set the initial level of deaths </w:t>
      </w:r>
      <w:r w:rsidR="007A1094">
        <w:t xml:space="preserve">in the </w:t>
      </w:r>
      <w:r w:rsidR="002567E7">
        <w:t xml:space="preserve">week </w:t>
      </w:r>
      <w:r w:rsidR="007A1094">
        <w:t xml:space="preserve">prior to each scenario </w:t>
      </w:r>
      <w:r w:rsidR="002567E7">
        <w:t xml:space="preserve">at the </w:t>
      </w:r>
      <w:r w:rsidR="00AA77C4">
        <w:t xml:space="preserve">last ONS recorded figure for </w:t>
      </w:r>
      <w:r w:rsidR="002567E7">
        <w:t xml:space="preserve">UK </w:t>
      </w:r>
      <w:r w:rsidR="00AA77C4">
        <w:t>deaths in the week to June 12</w:t>
      </w:r>
      <w:r w:rsidR="00AA77C4" w:rsidRPr="00AA77C4">
        <w:rPr>
          <w:vertAlign w:val="superscript"/>
        </w:rPr>
        <w:t>th</w:t>
      </w:r>
      <w:r w:rsidR="00AA77C4">
        <w:t xml:space="preserve"> </w:t>
      </w:r>
      <w:r w:rsidR="007A1094">
        <w:t>(</w:t>
      </w:r>
      <w:r w:rsidR="002567E7">
        <w:t>1</w:t>
      </w:r>
      <w:r w:rsidR="007A1094">
        <w:t>2</w:t>
      </w:r>
      <w:r w:rsidR="00AA77C4">
        <w:t>3</w:t>
      </w:r>
      <w:r w:rsidR="007A1094">
        <w:t>0 deaths)</w:t>
      </w:r>
      <w:r w:rsidR="00AA77C4">
        <w:t>.</w:t>
      </w:r>
      <w:r w:rsidR="002567E7">
        <w:t xml:space="preserve"> </w:t>
      </w:r>
    </w:p>
    <w:p w14:paraId="71EDC721" w14:textId="430D9080" w:rsidR="00BC6360" w:rsidRDefault="008F2B2E" w:rsidP="009525AE">
      <w:r>
        <w:t xml:space="preserve">The implied cost of the extra deaths from the easing policies (under scenarios i, ii. and iii) are shown </w:t>
      </w:r>
      <w:r w:rsidR="009525AE">
        <w:t>towards the bottom of the table</w:t>
      </w:r>
      <w:r>
        <w:t xml:space="preserve">. </w:t>
      </w:r>
      <w:r w:rsidR="00675CA3">
        <w:t xml:space="preserve">These are the projected excess deaths under each easing </w:t>
      </w:r>
      <w:r w:rsidR="0077765B">
        <w:t>scenario</w:t>
      </w:r>
      <w:r w:rsidR="00675CA3">
        <w:t xml:space="preserve"> relative to the policy of continuing with the lockdown multiplied by the lost QALY per death and valued at £30,0</w:t>
      </w:r>
      <w:r w:rsidR="007A1094">
        <w:t>0</w:t>
      </w:r>
      <w:r w:rsidR="00675CA3">
        <w:t xml:space="preserve">0 per QALY. </w:t>
      </w:r>
      <w:r>
        <w:t xml:space="preserve">These numbers </w:t>
      </w:r>
      <w:r w:rsidR="00675CA3">
        <w:t xml:space="preserve">are in £ billions and </w:t>
      </w:r>
      <w:r>
        <w:t xml:space="preserve">should be set against the estimated benefits from easing </w:t>
      </w:r>
      <w:r w:rsidR="00675CA3">
        <w:t>the lockdown</w:t>
      </w:r>
      <w:r>
        <w:t>.</w:t>
      </w:r>
      <w:r w:rsidR="009525AE">
        <w:t xml:space="preserve"> </w:t>
      </w:r>
    </w:p>
    <w:p w14:paraId="6E1BC172" w14:textId="75251889" w:rsidR="0019049E" w:rsidRDefault="0019049E" w:rsidP="0019049E">
      <w:r>
        <w:t xml:space="preserve">  Our low-end estimate of the (narrowly defined) cost of the </w:t>
      </w:r>
      <w:bookmarkStart w:id="3" w:name="_GoBack"/>
      <w:bookmarkEnd w:id="3"/>
      <w:r>
        <w:t xml:space="preserve">March to June lockdown was 9% of GDP – a figure of £200 billion. One might assume that a continuation of the lockdown over the next three months with only a very limited easing of restrictions generates a further cost of the same size. But rapid easing of restrictions is unlikely to </w:t>
      </w:r>
      <w:r w:rsidR="0083357B">
        <w:t xml:space="preserve">mean narrowly defined economic activity (GDP) just bounces back. </w:t>
      </w:r>
      <w:r>
        <w:t xml:space="preserve">A conservative estimate of the </w:t>
      </w:r>
      <w:r w:rsidR="0083357B">
        <w:t xml:space="preserve">narrowly defined economic </w:t>
      </w:r>
      <w:r>
        <w:t xml:space="preserve">benefits of quickly easing the lockdown is that the £200 billion cost under lockdown might become half that size. This would generate a benefit from easing of £100 billion over three months to be set against any extra lives lost. </w:t>
      </w:r>
    </w:p>
    <w:p w14:paraId="0CCEE9AC" w14:textId="77777777" w:rsidR="002B1E8F" w:rsidRDefault="002B1E8F" w:rsidP="002B1E8F">
      <w:r>
        <w:t xml:space="preserve">Based on that assumption under all scenarios the cost of easing restrictions is much lower than its benefits – the maximum cost of £14 billion should to be set against an estimate of benefits of £100 billion. One would need to value QALYs at over 7 times the NICE guideline value of £30,000 to make a continuation of the lockdown warranted.  </w:t>
      </w:r>
    </w:p>
    <w:p w14:paraId="22787822" w14:textId="78E732E3" w:rsidR="00935E21" w:rsidRDefault="00935E21" w:rsidP="007613C0">
      <w:pPr>
        <w:rPr>
          <w:b/>
        </w:rPr>
      </w:pPr>
    </w:p>
    <w:p w14:paraId="589832A3" w14:textId="61DB80F0" w:rsidR="002B1E8F" w:rsidRDefault="002B1E8F" w:rsidP="007613C0">
      <w:pPr>
        <w:rPr>
          <w:b/>
        </w:rPr>
      </w:pPr>
    </w:p>
    <w:p w14:paraId="3CEE5C57" w14:textId="77777777" w:rsidR="002B1E8F" w:rsidRDefault="002B1E8F" w:rsidP="007613C0">
      <w:pPr>
        <w:rPr>
          <w:b/>
        </w:rPr>
      </w:pPr>
    </w:p>
    <w:p w14:paraId="06772AE7" w14:textId="4CB04CA0" w:rsidR="00D94493" w:rsidRDefault="00935E21" w:rsidP="007613C0">
      <w:r w:rsidRPr="00265895">
        <w:rPr>
          <w:b/>
        </w:rPr>
        <w:lastRenderedPageBreak/>
        <w:t xml:space="preserve">Table </w:t>
      </w:r>
      <w:r>
        <w:rPr>
          <w:b/>
        </w:rPr>
        <w:t>4</w:t>
      </w:r>
      <w:r w:rsidRPr="00265895">
        <w:rPr>
          <w:b/>
        </w:rPr>
        <w:t>:</w:t>
      </w:r>
      <w:r>
        <w:rPr>
          <w:b/>
        </w:rPr>
        <w:t xml:space="preserve"> Deaths and costs of deaths under different unlocking scenarios</w:t>
      </w:r>
    </w:p>
    <w:tbl>
      <w:tblPr>
        <w:tblW w:w="9991" w:type="dxa"/>
        <w:tblLook w:val="04A0" w:firstRow="1" w:lastRow="0" w:firstColumn="1" w:lastColumn="0" w:noHBand="0" w:noVBand="1"/>
      </w:tblPr>
      <w:tblGrid>
        <w:gridCol w:w="2117"/>
        <w:gridCol w:w="1559"/>
        <w:gridCol w:w="1559"/>
        <w:gridCol w:w="1701"/>
        <w:gridCol w:w="1868"/>
        <w:gridCol w:w="1187"/>
      </w:tblGrid>
      <w:tr w:rsidR="00935E21" w:rsidRPr="00ED5BF5" w14:paraId="767ADCFB" w14:textId="77777777" w:rsidTr="00741A2F">
        <w:trPr>
          <w:gridAfter w:val="1"/>
          <w:wAfter w:w="1187" w:type="dxa"/>
          <w:trHeight w:val="450"/>
        </w:trPr>
        <w:tc>
          <w:tcPr>
            <w:tcW w:w="2117" w:type="dxa"/>
            <w:vMerge w:val="restart"/>
            <w:tcBorders>
              <w:top w:val="nil"/>
              <w:left w:val="single" w:sz="8" w:space="0" w:color="FFFFFF"/>
              <w:bottom w:val="single" w:sz="8" w:space="0" w:color="FFFFFF"/>
              <w:right w:val="single" w:sz="8" w:space="0" w:color="FFFFFF"/>
            </w:tcBorders>
            <w:shd w:val="clear" w:color="000000" w:fill="5B9BD5"/>
            <w:vAlign w:val="center"/>
            <w:hideMark/>
          </w:tcPr>
          <w:p w14:paraId="644DF679" w14:textId="77777777" w:rsidR="00935E21" w:rsidRPr="00ED5BF5" w:rsidRDefault="00935E21" w:rsidP="00741A2F">
            <w:pPr>
              <w:spacing w:after="0" w:line="240" w:lineRule="auto"/>
              <w:jc w:val="center"/>
              <w:rPr>
                <w:rFonts w:ascii="Calibri" w:eastAsia="Times New Roman" w:hAnsi="Calibri" w:cs="Calibri"/>
                <w:b/>
                <w:bCs/>
                <w:color w:val="000000"/>
                <w:sz w:val="20"/>
                <w:szCs w:val="20"/>
                <w:lang w:eastAsia="en-GB"/>
              </w:rPr>
            </w:pPr>
            <w:r w:rsidRPr="00ED5BF5">
              <w:rPr>
                <w:rFonts w:ascii="Calibri" w:eastAsia="Times New Roman" w:hAnsi="Calibri" w:cs="Calibri"/>
                <w:b/>
                <w:bCs/>
                <w:color w:val="000000"/>
                <w:sz w:val="20"/>
                <w:szCs w:val="20"/>
                <w:lang w:eastAsia="en-GB"/>
              </w:rPr>
              <w:t>from 12/6/2020</w:t>
            </w:r>
          </w:p>
        </w:tc>
        <w:tc>
          <w:tcPr>
            <w:tcW w:w="1559" w:type="dxa"/>
            <w:vMerge w:val="restart"/>
            <w:tcBorders>
              <w:top w:val="single" w:sz="8" w:space="0" w:color="FFFFFF"/>
              <w:left w:val="nil"/>
              <w:bottom w:val="single" w:sz="8" w:space="0" w:color="FFFFFF"/>
              <w:right w:val="nil"/>
            </w:tcBorders>
            <w:shd w:val="clear" w:color="000000" w:fill="5B9BD5"/>
            <w:vAlign w:val="center"/>
            <w:hideMark/>
          </w:tcPr>
          <w:p w14:paraId="1DF57226" w14:textId="77777777" w:rsidR="00935E21" w:rsidRPr="00ED5BF5" w:rsidRDefault="00935E21" w:rsidP="00741A2F">
            <w:pPr>
              <w:spacing w:after="0" w:line="240" w:lineRule="auto"/>
              <w:jc w:val="center"/>
              <w:rPr>
                <w:rFonts w:ascii="Calibri" w:eastAsia="Times New Roman" w:hAnsi="Calibri" w:cs="Calibri"/>
                <w:b/>
                <w:bCs/>
                <w:color w:val="000000"/>
                <w:sz w:val="20"/>
                <w:szCs w:val="20"/>
                <w:lang w:eastAsia="en-GB"/>
              </w:rPr>
            </w:pPr>
            <w:r w:rsidRPr="00ED5BF5">
              <w:rPr>
                <w:rFonts w:ascii="Calibri" w:eastAsia="Times New Roman" w:hAnsi="Calibri" w:cs="Calibri"/>
                <w:b/>
                <w:bCs/>
                <w:color w:val="000000"/>
                <w:sz w:val="20"/>
                <w:szCs w:val="20"/>
                <w:lang w:eastAsia="en-GB"/>
              </w:rPr>
              <w:t>Continue Lockdown (0.7)</w:t>
            </w:r>
          </w:p>
        </w:tc>
        <w:tc>
          <w:tcPr>
            <w:tcW w:w="1559" w:type="dxa"/>
            <w:vMerge w:val="restart"/>
            <w:tcBorders>
              <w:top w:val="single" w:sz="8" w:space="0" w:color="FFFFFF"/>
              <w:left w:val="nil"/>
              <w:bottom w:val="single" w:sz="8" w:space="0" w:color="FFFFFF"/>
              <w:right w:val="nil"/>
            </w:tcBorders>
            <w:shd w:val="clear" w:color="000000" w:fill="5B9BD5"/>
            <w:vAlign w:val="center"/>
            <w:hideMark/>
          </w:tcPr>
          <w:p w14:paraId="6C28EEBF" w14:textId="77777777" w:rsidR="00935E21" w:rsidRPr="00ED5BF5" w:rsidRDefault="00935E21" w:rsidP="00741A2F">
            <w:pPr>
              <w:spacing w:after="0" w:line="240" w:lineRule="auto"/>
              <w:jc w:val="center"/>
              <w:rPr>
                <w:rFonts w:ascii="Calibri" w:eastAsia="Times New Roman" w:hAnsi="Calibri" w:cs="Calibri"/>
                <w:b/>
                <w:bCs/>
                <w:color w:val="000000"/>
                <w:sz w:val="20"/>
                <w:szCs w:val="20"/>
                <w:lang w:eastAsia="en-GB"/>
              </w:rPr>
            </w:pPr>
            <w:r w:rsidRPr="00ED5BF5">
              <w:rPr>
                <w:rFonts w:ascii="Calibri" w:eastAsia="Times New Roman" w:hAnsi="Calibri" w:cs="Calibri"/>
                <w:b/>
                <w:bCs/>
                <w:color w:val="000000"/>
                <w:sz w:val="20"/>
                <w:szCs w:val="20"/>
                <w:lang w:eastAsia="en-GB"/>
              </w:rPr>
              <w:t>Ease Scenario I (0.9)</w:t>
            </w:r>
          </w:p>
        </w:tc>
        <w:tc>
          <w:tcPr>
            <w:tcW w:w="1701" w:type="dxa"/>
            <w:vMerge w:val="restart"/>
            <w:tcBorders>
              <w:top w:val="single" w:sz="8" w:space="0" w:color="FFFFFF"/>
              <w:left w:val="nil"/>
              <w:bottom w:val="single" w:sz="8" w:space="0" w:color="FFFFFF"/>
              <w:right w:val="nil"/>
            </w:tcBorders>
            <w:shd w:val="clear" w:color="000000" w:fill="5B9BD5"/>
            <w:vAlign w:val="center"/>
            <w:hideMark/>
          </w:tcPr>
          <w:p w14:paraId="795C1882" w14:textId="77777777" w:rsidR="00935E21" w:rsidRPr="00ED5BF5" w:rsidRDefault="00935E21" w:rsidP="00741A2F">
            <w:pPr>
              <w:spacing w:after="0" w:line="240" w:lineRule="auto"/>
              <w:jc w:val="center"/>
              <w:rPr>
                <w:rFonts w:ascii="Calibri" w:eastAsia="Times New Roman" w:hAnsi="Calibri" w:cs="Calibri"/>
                <w:b/>
                <w:bCs/>
                <w:color w:val="000000"/>
                <w:sz w:val="20"/>
                <w:szCs w:val="20"/>
                <w:lang w:eastAsia="en-GB"/>
              </w:rPr>
            </w:pPr>
            <w:r w:rsidRPr="00ED5BF5">
              <w:rPr>
                <w:rFonts w:ascii="Calibri" w:eastAsia="Times New Roman" w:hAnsi="Calibri" w:cs="Calibri"/>
                <w:b/>
                <w:bCs/>
                <w:color w:val="000000"/>
                <w:sz w:val="20"/>
                <w:szCs w:val="20"/>
                <w:lang w:eastAsia="en-GB"/>
              </w:rPr>
              <w:t>Ease Scenario II (1)</w:t>
            </w:r>
          </w:p>
        </w:tc>
        <w:tc>
          <w:tcPr>
            <w:tcW w:w="1868" w:type="dxa"/>
            <w:vMerge w:val="restart"/>
            <w:tcBorders>
              <w:top w:val="single" w:sz="8" w:space="0" w:color="FFFFFF"/>
              <w:left w:val="nil"/>
              <w:bottom w:val="single" w:sz="8" w:space="0" w:color="FFFFFF"/>
              <w:right w:val="nil"/>
            </w:tcBorders>
            <w:shd w:val="clear" w:color="000000" w:fill="5B9BD5"/>
            <w:vAlign w:val="center"/>
            <w:hideMark/>
          </w:tcPr>
          <w:p w14:paraId="5D252EA2" w14:textId="77777777" w:rsidR="00935E21" w:rsidRPr="00ED5BF5" w:rsidRDefault="00935E21" w:rsidP="00741A2F">
            <w:pPr>
              <w:spacing w:after="0" w:line="240" w:lineRule="auto"/>
              <w:jc w:val="center"/>
              <w:rPr>
                <w:rFonts w:ascii="Calibri" w:eastAsia="Times New Roman" w:hAnsi="Calibri" w:cs="Calibri"/>
                <w:b/>
                <w:bCs/>
                <w:color w:val="000000"/>
                <w:sz w:val="20"/>
                <w:szCs w:val="20"/>
                <w:lang w:eastAsia="en-GB"/>
              </w:rPr>
            </w:pPr>
            <w:r w:rsidRPr="00ED5BF5">
              <w:rPr>
                <w:rFonts w:ascii="Calibri" w:eastAsia="Times New Roman" w:hAnsi="Calibri" w:cs="Calibri"/>
                <w:b/>
                <w:bCs/>
                <w:color w:val="000000"/>
                <w:sz w:val="20"/>
                <w:szCs w:val="20"/>
                <w:lang w:eastAsia="en-GB"/>
              </w:rPr>
              <w:t>Ease Scenario III (1.15)</w:t>
            </w:r>
          </w:p>
        </w:tc>
      </w:tr>
      <w:tr w:rsidR="00935E21" w:rsidRPr="00ED5BF5" w14:paraId="4BFC162B" w14:textId="77777777" w:rsidTr="00741A2F">
        <w:trPr>
          <w:trHeight w:val="20"/>
        </w:trPr>
        <w:tc>
          <w:tcPr>
            <w:tcW w:w="2117" w:type="dxa"/>
            <w:vMerge/>
            <w:tcBorders>
              <w:top w:val="nil"/>
              <w:left w:val="single" w:sz="8" w:space="0" w:color="FFFFFF"/>
              <w:bottom w:val="single" w:sz="8" w:space="0" w:color="FFFFFF"/>
              <w:right w:val="single" w:sz="8" w:space="0" w:color="FFFFFF"/>
            </w:tcBorders>
            <w:vAlign w:val="center"/>
            <w:hideMark/>
          </w:tcPr>
          <w:p w14:paraId="627C8B1C" w14:textId="77777777" w:rsidR="00935E21" w:rsidRPr="00ED5BF5" w:rsidRDefault="00935E21" w:rsidP="00741A2F">
            <w:pPr>
              <w:spacing w:after="0" w:line="240" w:lineRule="auto"/>
              <w:rPr>
                <w:rFonts w:ascii="Calibri" w:eastAsia="Times New Roman" w:hAnsi="Calibri" w:cs="Calibri"/>
                <w:b/>
                <w:bCs/>
                <w:color w:val="000000"/>
                <w:sz w:val="20"/>
                <w:szCs w:val="20"/>
                <w:lang w:eastAsia="en-GB"/>
              </w:rPr>
            </w:pPr>
          </w:p>
        </w:tc>
        <w:tc>
          <w:tcPr>
            <w:tcW w:w="1559" w:type="dxa"/>
            <w:vMerge/>
            <w:tcBorders>
              <w:top w:val="single" w:sz="8" w:space="0" w:color="FFFFFF"/>
              <w:left w:val="nil"/>
              <w:bottom w:val="single" w:sz="8" w:space="0" w:color="FFFFFF"/>
              <w:right w:val="nil"/>
            </w:tcBorders>
            <w:vAlign w:val="center"/>
            <w:hideMark/>
          </w:tcPr>
          <w:p w14:paraId="5EF189CF" w14:textId="77777777" w:rsidR="00935E21" w:rsidRPr="00ED5BF5" w:rsidRDefault="00935E21" w:rsidP="00741A2F">
            <w:pPr>
              <w:spacing w:after="0" w:line="240" w:lineRule="auto"/>
              <w:rPr>
                <w:rFonts w:ascii="Calibri" w:eastAsia="Times New Roman" w:hAnsi="Calibri" w:cs="Calibri"/>
                <w:b/>
                <w:bCs/>
                <w:color w:val="000000"/>
                <w:sz w:val="20"/>
                <w:szCs w:val="20"/>
                <w:lang w:eastAsia="en-GB"/>
              </w:rPr>
            </w:pPr>
          </w:p>
        </w:tc>
        <w:tc>
          <w:tcPr>
            <w:tcW w:w="1559" w:type="dxa"/>
            <w:vMerge/>
            <w:tcBorders>
              <w:top w:val="single" w:sz="8" w:space="0" w:color="FFFFFF"/>
              <w:left w:val="nil"/>
              <w:bottom w:val="single" w:sz="8" w:space="0" w:color="FFFFFF"/>
              <w:right w:val="nil"/>
            </w:tcBorders>
            <w:vAlign w:val="center"/>
            <w:hideMark/>
          </w:tcPr>
          <w:p w14:paraId="7340C5D4" w14:textId="77777777" w:rsidR="00935E21" w:rsidRPr="00ED5BF5" w:rsidRDefault="00935E21" w:rsidP="00741A2F">
            <w:pPr>
              <w:spacing w:after="0" w:line="240" w:lineRule="auto"/>
              <w:rPr>
                <w:rFonts w:ascii="Calibri" w:eastAsia="Times New Roman" w:hAnsi="Calibri" w:cs="Calibri"/>
                <w:b/>
                <w:bCs/>
                <w:color w:val="000000"/>
                <w:sz w:val="20"/>
                <w:szCs w:val="20"/>
                <w:lang w:eastAsia="en-GB"/>
              </w:rPr>
            </w:pPr>
          </w:p>
        </w:tc>
        <w:tc>
          <w:tcPr>
            <w:tcW w:w="1701" w:type="dxa"/>
            <w:vMerge/>
            <w:tcBorders>
              <w:top w:val="single" w:sz="8" w:space="0" w:color="FFFFFF"/>
              <w:left w:val="nil"/>
              <w:bottom w:val="single" w:sz="8" w:space="0" w:color="FFFFFF"/>
              <w:right w:val="nil"/>
            </w:tcBorders>
            <w:vAlign w:val="center"/>
            <w:hideMark/>
          </w:tcPr>
          <w:p w14:paraId="16F24AFB" w14:textId="77777777" w:rsidR="00935E21" w:rsidRPr="00ED5BF5" w:rsidRDefault="00935E21" w:rsidP="00741A2F">
            <w:pPr>
              <w:spacing w:after="0" w:line="240" w:lineRule="auto"/>
              <w:rPr>
                <w:rFonts w:ascii="Calibri" w:eastAsia="Times New Roman" w:hAnsi="Calibri" w:cs="Calibri"/>
                <w:b/>
                <w:bCs/>
                <w:color w:val="000000"/>
                <w:sz w:val="20"/>
                <w:szCs w:val="20"/>
                <w:lang w:eastAsia="en-GB"/>
              </w:rPr>
            </w:pPr>
          </w:p>
        </w:tc>
        <w:tc>
          <w:tcPr>
            <w:tcW w:w="1868" w:type="dxa"/>
            <w:vMerge/>
            <w:tcBorders>
              <w:top w:val="single" w:sz="8" w:space="0" w:color="FFFFFF"/>
              <w:left w:val="nil"/>
              <w:bottom w:val="single" w:sz="8" w:space="0" w:color="FFFFFF"/>
              <w:right w:val="nil"/>
            </w:tcBorders>
            <w:vAlign w:val="center"/>
            <w:hideMark/>
          </w:tcPr>
          <w:p w14:paraId="6833477D" w14:textId="77777777" w:rsidR="00935E21" w:rsidRPr="00ED5BF5" w:rsidRDefault="00935E21" w:rsidP="00741A2F">
            <w:pPr>
              <w:spacing w:after="0" w:line="240" w:lineRule="auto"/>
              <w:rPr>
                <w:rFonts w:ascii="Calibri" w:eastAsia="Times New Roman" w:hAnsi="Calibri" w:cs="Calibri"/>
                <w:b/>
                <w:bCs/>
                <w:color w:val="000000"/>
                <w:sz w:val="20"/>
                <w:szCs w:val="20"/>
                <w:lang w:eastAsia="en-GB"/>
              </w:rPr>
            </w:pPr>
          </w:p>
        </w:tc>
        <w:tc>
          <w:tcPr>
            <w:tcW w:w="1187" w:type="dxa"/>
            <w:tcBorders>
              <w:top w:val="nil"/>
              <w:left w:val="nil"/>
              <w:bottom w:val="nil"/>
              <w:right w:val="nil"/>
            </w:tcBorders>
            <w:shd w:val="clear" w:color="auto" w:fill="auto"/>
            <w:noWrap/>
            <w:vAlign w:val="bottom"/>
            <w:hideMark/>
          </w:tcPr>
          <w:p w14:paraId="124A6B1E" w14:textId="77777777" w:rsidR="00935E21" w:rsidRPr="00ED5BF5" w:rsidRDefault="00935E21" w:rsidP="00741A2F">
            <w:pPr>
              <w:spacing w:after="0" w:line="240" w:lineRule="auto"/>
              <w:jc w:val="center"/>
              <w:rPr>
                <w:rFonts w:ascii="Calibri" w:eastAsia="Times New Roman" w:hAnsi="Calibri" w:cs="Calibri"/>
                <w:b/>
                <w:bCs/>
                <w:color w:val="000000"/>
                <w:sz w:val="24"/>
                <w:szCs w:val="24"/>
                <w:lang w:eastAsia="en-GB"/>
              </w:rPr>
            </w:pPr>
          </w:p>
        </w:tc>
      </w:tr>
      <w:tr w:rsidR="00935E21" w:rsidRPr="00ED5BF5" w14:paraId="32E5755C" w14:textId="77777777" w:rsidTr="00741A2F">
        <w:trPr>
          <w:trHeight w:val="20"/>
        </w:trPr>
        <w:tc>
          <w:tcPr>
            <w:tcW w:w="2117" w:type="dxa"/>
            <w:tcBorders>
              <w:top w:val="nil"/>
              <w:left w:val="single" w:sz="8" w:space="0" w:color="FFFFFF"/>
              <w:bottom w:val="single" w:sz="8" w:space="0" w:color="FFFFFF"/>
              <w:right w:val="single" w:sz="8" w:space="0" w:color="FFFFFF"/>
            </w:tcBorders>
            <w:shd w:val="clear" w:color="000000" w:fill="5B9BD5"/>
            <w:noWrap/>
            <w:vAlign w:val="center"/>
            <w:hideMark/>
          </w:tcPr>
          <w:p w14:paraId="20EB5946" w14:textId="77777777" w:rsidR="00935E21" w:rsidRPr="00ED5BF5" w:rsidRDefault="00935E21" w:rsidP="00741A2F">
            <w:pPr>
              <w:spacing w:after="0" w:line="240" w:lineRule="auto"/>
              <w:jc w:val="right"/>
              <w:rPr>
                <w:rFonts w:ascii="Calibri" w:eastAsia="Times New Roman" w:hAnsi="Calibri" w:cs="Calibri"/>
                <w:b/>
                <w:bCs/>
                <w:color w:val="000000"/>
                <w:sz w:val="20"/>
                <w:szCs w:val="20"/>
                <w:lang w:eastAsia="en-GB"/>
              </w:rPr>
            </w:pPr>
            <w:r w:rsidRPr="00ED5BF5">
              <w:rPr>
                <w:rFonts w:ascii="Calibri" w:eastAsia="Times New Roman" w:hAnsi="Calibri" w:cs="Calibri"/>
                <w:b/>
                <w:bCs/>
                <w:color w:val="000000"/>
                <w:sz w:val="20"/>
                <w:szCs w:val="20"/>
                <w:lang w:eastAsia="en-GB"/>
              </w:rPr>
              <w:t>week 1</w:t>
            </w:r>
          </w:p>
        </w:tc>
        <w:tc>
          <w:tcPr>
            <w:tcW w:w="1559" w:type="dxa"/>
            <w:tcBorders>
              <w:top w:val="nil"/>
              <w:left w:val="nil"/>
              <w:bottom w:val="single" w:sz="8" w:space="0" w:color="FFFFFF"/>
              <w:right w:val="single" w:sz="8" w:space="0" w:color="FFFFFF"/>
            </w:tcBorders>
            <w:shd w:val="clear" w:color="000000" w:fill="BDD6EE"/>
            <w:noWrap/>
            <w:vAlign w:val="center"/>
            <w:hideMark/>
          </w:tcPr>
          <w:p w14:paraId="7FCC8A3F"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861</w:t>
            </w:r>
          </w:p>
        </w:tc>
        <w:tc>
          <w:tcPr>
            <w:tcW w:w="1559" w:type="dxa"/>
            <w:tcBorders>
              <w:top w:val="nil"/>
              <w:left w:val="nil"/>
              <w:bottom w:val="single" w:sz="8" w:space="0" w:color="FFFFFF"/>
              <w:right w:val="single" w:sz="8" w:space="0" w:color="FFFFFF"/>
            </w:tcBorders>
            <w:shd w:val="clear" w:color="000000" w:fill="BDD6EE"/>
            <w:noWrap/>
            <w:vAlign w:val="center"/>
            <w:hideMark/>
          </w:tcPr>
          <w:p w14:paraId="64E09F73"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1,107</w:t>
            </w:r>
          </w:p>
        </w:tc>
        <w:tc>
          <w:tcPr>
            <w:tcW w:w="1701" w:type="dxa"/>
            <w:tcBorders>
              <w:top w:val="nil"/>
              <w:left w:val="nil"/>
              <w:bottom w:val="single" w:sz="8" w:space="0" w:color="FFFFFF"/>
              <w:right w:val="single" w:sz="8" w:space="0" w:color="FFFFFF"/>
            </w:tcBorders>
            <w:shd w:val="clear" w:color="000000" w:fill="BDD6EE"/>
            <w:noWrap/>
            <w:vAlign w:val="center"/>
            <w:hideMark/>
          </w:tcPr>
          <w:p w14:paraId="1851F5B1"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1,230</w:t>
            </w:r>
          </w:p>
        </w:tc>
        <w:tc>
          <w:tcPr>
            <w:tcW w:w="1868" w:type="dxa"/>
            <w:tcBorders>
              <w:top w:val="nil"/>
              <w:left w:val="nil"/>
              <w:bottom w:val="single" w:sz="8" w:space="0" w:color="FFFFFF"/>
              <w:right w:val="single" w:sz="8" w:space="0" w:color="FFFFFF"/>
            </w:tcBorders>
            <w:shd w:val="clear" w:color="000000" w:fill="BDD6EE"/>
            <w:noWrap/>
            <w:vAlign w:val="center"/>
            <w:hideMark/>
          </w:tcPr>
          <w:p w14:paraId="1B4B44E5"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1,415</w:t>
            </w:r>
          </w:p>
        </w:tc>
        <w:tc>
          <w:tcPr>
            <w:tcW w:w="1187" w:type="dxa"/>
            <w:vAlign w:val="center"/>
            <w:hideMark/>
          </w:tcPr>
          <w:p w14:paraId="319EC482" w14:textId="77777777" w:rsidR="00935E21" w:rsidRPr="00ED5BF5" w:rsidRDefault="00935E21" w:rsidP="00741A2F">
            <w:pPr>
              <w:spacing w:after="0" w:line="240" w:lineRule="auto"/>
              <w:rPr>
                <w:rFonts w:ascii="Times New Roman" w:eastAsia="Times New Roman" w:hAnsi="Times New Roman" w:cs="Times New Roman"/>
                <w:sz w:val="20"/>
                <w:szCs w:val="20"/>
                <w:lang w:eastAsia="en-GB"/>
              </w:rPr>
            </w:pPr>
          </w:p>
        </w:tc>
      </w:tr>
      <w:tr w:rsidR="00935E21" w:rsidRPr="00ED5BF5" w14:paraId="0078E3E6" w14:textId="77777777" w:rsidTr="00741A2F">
        <w:trPr>
          <w:trHeight w:val="20"/>
        </w:trPr>
        <w:tc>
          <w:tcPr>
            <w:tcW w:w="2117" w:type="dxa"/>
            <w:tcBorders>
              <w:top w:val="nil"/>
              <w:left w:val="single" w:sz="8" w:space="0" w:color="FFFFFF"/>
              <w:bottom w:val="single" w:sz="8" w:space="0" w:color="FFFFFF"/>
              <w:right w:val="single" w:sz="8" w:space="0" w:color="FFFFFF"/>
            </w:tcBorders>
            <w:shd w:val="clear" w:color="000000" w:fill="5B9BD5"/>
            <w:noWrap/>
            <w:vAlign w:val="center"/>
            <w:hideMark/>
          </w:tcPr>
          <w:p w14:paraId="27D424DD" w14:textId="77777777" w:rsidR="00935E21" w:rsidRPr="00ED5BF5" w:rsidRDefault="00935E21" w:rsidP="00741A2F">
            <w:pPr>
              <w:spacing w:after="0" w:line="240" w:lineRule="auto"/>
              <w:jc w:val="right"/>
              <w:rPr>
                <w:rFonts w:ascii="Calibri" w:eastAsia="Times New Roman" w:hAnsi="Calibri" w:cs="Calibri"/>
                <w:b/>
                <w:bCs/>
                <w:color w:val="000000"/>
                <w:sz w:val="20"/>
                <w:szCs w:val="20"/>
                <w:lang w:eastAsia="en-GB"/>
              </w:rPr>
            </w:pPr>
            <w:r w:rsidRPr="00ED5BF5">
              <w:rPr>
                <w:rFonts w:ascii="Calibri" w:eastAsia="Times New Roman" w:hAnsi="Calibri" w:cs="Calibri"/>
                <w:b/>
                <w:bCs/>
                <w:color w:val="000000"/>
                <w:sz w:val="20"/>
                <w:szCs w:val="20"/>
                <w:lang w:eastAsia="en-GB"/>
              </w:rPr>
              <w:t>week 2</w:t>
            </w:r>
          </w:p>
        </w:tc>
        <w:tc>
          <w:tcPr>
            <w:tcW w:w="1559" w:type="dxa"/>
            <w:tcBorders>
              <w:top w:val="nil"/>
              <w:left w:val="nil"/>
              <w:bottom w:val="single" w:sz="8" w:space="0" w:color="FFFFFF"/>
              <w:right w:val="single" w:sz="8" w:space="0" w:color="FFFFFF"/>
            </w:tcBorders>
            <w:shd w:val="clear" w:color="000000" w:fill="BDD6EE"/>
            <w:noWrap/>
            <w:vAlign w:val="center"/>
            <w:hideMark/>
          </w:tcPr>
          <w:p w14:paraId="1096EEFB"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603</w:t>
            </w:r>
          </w:p>
        </w:tc>
        <w:tc>
          <w:tcPr>
            <w:tcW w:w="1559" w:type="dxa"/>
            <w:tcBorders>
              <w:top w:val="nil"/>
              <w:left w:val="nil"/>
              <w:bottom w:val="single" w:sz="8" w:space="0" w:color="FFFFFF"/>
              <w:right w:val="single" w:sz="8" w:space="0" w:color="FFFFFF"/>
            </w:tcBorders>
            <w:shd w:val="clear" w:color="000000" w:fill="BDD6EE"/>
            <w:noWrap/>
            <w:vAlign w:val="center"/>
            <w:hideMark/>
          </w:tcPr>
          <w:p w14:paraId="095ACB9C"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996</w:t>
            </w:r>
          </w:p>
        </w:tc>
        <w:tc>
          <w:tcPr>
            <w:tcW w:w="1701" w:type="dxa"/>
            <w:tcBorders>
              <w:top w:val="nil"/>
              <w:left w:val="nil"/>
              <w:bottom w:val="single" w:sz="8" w:space="0" w:color="FFFFFF"/>
              <w:right w:val="single" w:sz="8" w:space="0" w:color="FFFFFF"/>
            </w:tcBorders>
            <w:shd w:val="clear" w:color="000000" w:fill="BDD6EE"/>
            <w:noWrap/>
            <w:vAlign w:val="center"/>
            <w:hideMark/>
          </w:tcPr>
          <w:p w14:paraId="7B41CA87"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1,230</w:t>
            </w:r>
          </w:p>
        </w:tc>
        <w:tc>
          <w:tcPr>
            <w:tcW w:w="1868" w:type="dxa"/>
            <w:tcBorders>
              <w:top w:val="nil"/>
              <w:left w:val="nil"/>
              <w:bottom w:val="single" w:sz="8" w:space="0" w:color="FFFFFF"/>
              <w:right w:val="single" w:sz="8" w:space="0" w:color="FFFFFF"/>
            </w:tcBorders>
            <w:shd w:val="clear" w:color="000000" w:fill="BDD6EE"/>
            <w:noWrap/>
            <w:vAlign w:val="center"/>
            <w:hideMark/>
          </w:tcPr>
          <w:p w14:paraId="2603995A"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1,627</w:t>
            </w:r>
          </w:p>
        </w:tc>
        <w:tc>
          <w:tcPr>
            <w:tcW w:w="1187" w:type="dxa"/>
            <w:vAlign w:val="center"/>
            <w:hideMark/>
          </w:tcPr>
          <w:p w14:paraId="731ED25B" w14:textId="77777777" w:rsidR="00935E21" w:rsidRPr="00ED5BF5" w:rsidRDefault="00935E21" w:rsidP="00741A2F">
            <w:pPr>
              <w:spacing w:after="0" w:line="240" w:lineRule="auto"/>
              <w:rPr>
                <w:rFonts w:ascii="Times New Roman" w:eastAsia="Times New Roman" w:hAnsi="Times New Roman" w:cs="Times New Roman"/>
                <w:sz w:val="20"/>
                <w:szCs w:val="20"/>
                <w:lang w:eastAsia="en-GB"/>
              </w:rPr>
            </w:pPr>
          </w:p>
        </w:tc>
      </w:tr>
      <w:tr w:rsidR="00935E21" w:rsidRPr="00ED5BF5" w14:paraId="5DCEB9C2" w14:textId="77777777" w:rsidTr="00741A2F">
        <w:trPr>
          <w:trHeight w:val="20"/>
        </w:trPr>
        <w:tc>
          <w:tcPr>
            <w:tcW w:w="2117" w:type="dxa"/>
            <w:tcBorders>
              <w:top w:val="nil"/>
              <w:left w:val="single" w:sz="8" w:space="0" w:color="FFFFFF"/>
              <w:bottom w:val="single" w:sz="8" w:space="0" w:color="FFFFFF"/>
              <w:right w:val="single" w:sz="8" w:space="0" w:color="FFFFFF"/>
            </w:tcBorders>
            <w:shd w:val="clear" w:color="000000" w:fill="5B9BD5"/>
            <w:noWrap/>
            <w:vAlign w:val="center"/>
            <w:hideMark/>
          </w:tcPr>
          <w:p w14:paraId="38CBA554" w14:textId="77777777" w:rsidR="00935E21" w:rsidRPr="00ED5BF5" w:rsidRDefault="00935E21" w:rsidP="00741A2F">
            <w:pPr>
              <w:spacing w:after="0" w:line="240" w:lineRule="auto"/>
              <w:jc w:val="right"/>
              <w:rPr>
                <w:rFonts w:ascii="Calibri" w:eastAsia="Times New Roman" w:hAnsi="Calibri" w:cs="Calibri"/>
                <w:b/>
                <w:bCs/>
                <w:color w:val="000000"/>
                <w:sz w:val="20"/>
                <w:szCs w:val="20"/>
                <w:lang w:eastAsia="en-GB"/>
              </w:rPr>
            </w:pPr>
            <w:r w:rsidRPr="00ED5BF5">
              <w:rPr>
                <w:rFonts w:ascii="Calibri" w:eastAsia="Times New Roman" w:hAnsi="Calibri" w:cs="Calibri"/>
                <w:b/>
                <w:bCs/>
                <w:color w:val="000000"/>
                <w:sz w:val="20"/>
                <w:szCs w:val="20"/>
                <w:lang w:eastAsia="en-GB"/>
              </w:rPr>
              <w:t>week 3</w:t>
            </w:r>
          </w:p>
        </w:tc>
        <w:tc>
          <w:tcPr>
            <w:tcW w:w="1559" w:type="dxa"/>
            <w:tcBorders>
              <w:top w:val="nil"/>
              <w:left w:val="nil"/>
              <w:bottom w:val="single" w:sz="8" w:space="0" w:color="FFFFFF"/>
              <w:right w:val="single" w:sz="8" w:space="0" w:color="FFFFFF"/>
            </w:tcBorders>
            <w:shd w:val="clear" w:color="000000" w:fill="BDD6EE"/>
            <w:noWrap/>
            <w:vAlign w:val="center"/>
            <w:hideMark/>
          </w:tcPr>
          <w:p w14:paraId="779258E3"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422</w:t>
            </w:r>
          </w:p>
        </w:tc>
        <w:tc>
          <w:tcPr>
            <w:tcW w:w="1559" w:type="dxa"/>
            <w:tcBorders>
              <w:top w:val="nil"/>
              <w:left w:val="nil"/>
              <w:bottom w:val="single" w:sz="8" w:space="0" w:color="FFFFFF"/>
              <w:right w:val="single" w:sz="8" w:space="0" w:color="FFFFFF"/>
            </w:tcBorders>
            <w:shd w:val="clear" w:color="000000" w:fill="BDD6EE"/>
            <w:noWrap/>
            <w:vAlign w:val="center"/>
            <w:hideMark/>
          </w:tcPr>
          <w:p w14:paraId="4468EBCF"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896</w:t>
            </w:r>
          </w:p>
        </w:tc>
        <w:tc>
          <w:tcPr>
            <w:tcW w:w="1701" w:type="dxa"/>
            <w:tcBorders>
              <w:top w:val="nil"/>
              <w:left w:val="nil"/>
              <w:bottom w:val="single" w:sz="8" w:space="0" w:color="FFFFFF"/>
              <w:right w:val="single" w:sz="8" w:space="0" w:color="FFFFFF"/>
            </w:tcBorders>
            <w:shd w:val="clear" w:color="000000" w:fill="BDD6EE"/>
            <w:noWrap/>
            <w:vAlign w:val="center"/>
            <w:hideMark/>
          </w:tcPr>
          <w:p w14:paraId="082B3B0B"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1,230</w:t>
            </w:r>
          </w:p>
        </w:tc>
        <w:tc>
          <w:tcPr>
            <w:tcW w:w="1868" w:type="dxa"/>
            <w:tcBorders>
              <w:top w:val="nil"/>
              <w:left w:val="nil"/>
              <w:bottom w:val="single" w:sz="8" w:space="0" w:color="FFFFFF"/>
              <w:right w:val="single" w:sz="8" w:space="0" w:color="FFFFFF"/>
            </w:tcBorders>
            <w:shd w:val="clear" w:color="000000" w:fill="BDD6EE"/>
            <w:noWrap/>
            <w:vAlign w:val="center"/>
            <w:hideMark/>
          </w:tcPr>
          <w:p w14:paraId="7D84DC79"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1,871</w:t>
            </w:r>
          </w:p>
        </w:tc>
        <w:tc>
          <w:tcPr>
            <w:tcW w:w="1187" w:type="dxa"/>
            <w:vAlign w:val="center"/>
            <w:hideMark/>
          </w:tcPr>
          <w:p w14:paraId="6D0B1919" w14:textId="77777777" w:rsidR="00935E21" w:rsidRPr="00ED5BF5" w:rsidRDefault="00935E21" w:rsidP="00741A2F">
            <w:pPr>
              <w:spacing w:after="0" w:line="240" w:lineRule="auto"/>
              <w:rPr>
                <w:rFonts w:ascii="Times New Roman" w:eastAsia="Times New Roman" w:hAnsi="Times New Roman" w:cs="Times New Roman"/>
                <w:sz w:val="20"/>
                <w:szCs w:val="20"/>
                <w:lang w:eastAsia="en-GB"/>
              </w:rPr>
            </w:pPr>
          </w:p>
        </w:tc>
      </w:tr>
      <w:tr w:rsidR="00935E21" w:rsidRPr="00ED5BF5" w14:paraId="14F8DB05" w14:textId="77777777" w:rsidTr="00741A2F">
        <w:trPr>
          <w:trHeight w:val="20"/>
        </w:trPr>
        <w:tc>
          <w:tcPr>
            <w:tcW w:w="2117" w:type="dxa"/>
            <w:tcBorders>
              <w:top w:val="nil"/>
              <w:left w:val="single" w:sz="8" w:space="0" w:color="FFFFFF"/>
              <w:bottom w:val="single" w:sz="8" w:space="0" w:color="FFFFFF"/>
              <w:right w:val="single" w:sz="8" w:space="0" w:color="FFFFFF"/>
            </w:tcBorders>
            <w:shd w:val="clear" w:color="000000" w:fill="5B9BD5"/>
            <w:noWrap/>
            <w:vAlign w:val="center"/>
            <w:hideMark/>
          </w:tcPr>
          <w:p w14:paraId="5EB9340C" w14:textId="77777777" w:rsidR="00935E21" w:rsidRPr="00ED5BF5" w:rsidRDefault="00935E21" w:rsidP="00741A2F">
            <w:pPr>
              <w:spacing w:after="0" w:line="240" w:lineRule="auto"/>
              <w:jc w:val="right"/>
              <w:rPr>
                <w:rFonts w:ascii="Calibri" w:eastAsia="Times New Roman" w:hAnsi="Calibri" w:cs="Calibri"/>
                <w:b/>
                <w:bCs/>
                <w:color w:val="000000"/>
                <w:sz w:val="20"/>
                <w:szCs w:val="20"/>
                <w:lang w:eastAsia="en-GB"/>
              </w:rPr>
            </w:pPr>
            <w:r w:rsidRPr="00ED5BF5">
              <w:rPr>
                <w:rFonts w:ascii="Calibri" w:eastAsia="Times New Roman" w:hAnsi="Calibri" w:cs="Calibri"/>
                <w:b/>
                <w:bCs/>
                <w:color w:val="000000"/>
                <w:sz w:val="20"/>
                <w:szCs w:val="20"/>
                <w:lang w:eastAsia="en-GB"/>
              </w:rPr>
              <w:t>week 4</w:t>
            </w:r>
          </w:p>
        </w:tc>
        <w:tc>
          <w:tcPr>
            <w:tcW w:w="1559" w:type="dxa"/>
            <w:tcBorders>
              <w:top w:val="nil"/>
              <w:left w:val="nil"/>
              <w:bottom w:val="single" w:sz="8" w:space="0" w:color="FFFFFF"/>
              <w:right w:val="single" w:sz="8" w:space="0" w:color="FFFFFF"/>
            </w:tcBorders>
            <w:shd w:val="clear" w:color="000000" w:fill="BDD6EE"/>
            <w:noWrap/>
            <w:vAlign w:val="center"/>
            <w:hideMark/>
          </w:tcPr>
          <w:p w14:paraId="020E91C5"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295</w:t>
            </w:r>
          </w:p>
        </w:tc>
        <w:tc>
          <w:tcPr>
            <w:tcW w:w="1559" w:type="dxa"/>
            <w:tcBorders>
              <w:top w:val="nil"/>
              <w:left w:val="nil"/>
              <w:bottom w:val="single" w:sz="8" w:space="0" w:color="FFFFFF"/>
              <w:right w:val="single" w:sz="8" w:space="0" w:color="FFFFFF"/>
            </w:tcBorders>
            <w:shd w:val="clear" w:color="000000" w:fill="BDD6EE"/>
            <w:noWrap/>
            <w:vAlign w:val="center"/>
            <w:hideMark/>
          </w:tcPr>
          <w:p w14:paraId="03FAEB24"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806</w:t>
            </w:r>
          </w:p>
        </w:tc>
        <w:tc>
          <w:tcPr>
            <w:tcW w:w="1701" w:type="dxa"/>
            <w:tcBorders>
              <w:top w:val="nil"/>
              <w:left w:val="nil"/>
              <w:bottom w:val="single" w:sz="8" w:space="0" w:color="FFFFFF"/>
              <w:right w:val="single" w:sz="8" w:space="0" w:color="FFFFFF"/>
            </w:tcBorders>
            <w:shd w:val="clear" w:color="000000" w:fill="BDD6EE"/>
            <w:noWrap/>
            <w:vAlign w:val="center"/>
            <w:hideMark/>
          </w:tcPr>
          <w:p w14:paraId="4C1B7CE0"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1,230</w:t>
            </w:r>
          </w:p>
        </w:tc>
        <w:tc>
          <w:tcPr>
            <w:tcW w:w="1868" w:type="dxa"/>
            <w:tcBorders>
              <w:top w:val="nil"/>
              <w:left w:val="nil"/>
              <w:bottom w:val="single" w:sz="8" w:space="0" w:color="FFFFFF"/>
              <w:right w:val="single" w:sz="8" w:space="0" w:color="FFFFFF"/>
            </w:tcBorders>
            <w:shd w:val="clear" w:color="000000" w:fill="BDD6EE"/>
            <w:noWrap/>
            <w:vAlign w:val="center"/>
            <w:hideMark/>
          </w:tcPr>
          <w:p w14:paraId="55928211"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2,152</w:t>
            </w:r>
          </w:p>
        </w:tc>
        <w:tc>
          <w:tcPr>
            <w:tcW w:w="1187" w:type="dxa"/>
            <w:vAlign w:val="center"/>
            <w:hideMark/>
          </w:tcPr>
          <w:p w14:paraId="7094BBE3" w14:textId="77777777" w:rsidR="00935E21" w:rsidRPr="00ED5BF5" w:rsidRDefault="00935E21" w:rsidP="00741A2F">
            <w:pPr>
              <w:spacing w:after="0" w:line="240" w:lineRule="auto"/>
              <w:rPr>
                <w:rFonts w:ascii="Times New Roman" w:eastAsia="Times New Roman" w:hAnsi="Times New Roman" w:cs="Times New Roman"/>
                <w:sz w:val="20"/>
                <w:szCs w:val="20"/>
                <w:lang w:eastAsia="en-GB"/>
              </w:rPr>
            </w:pPr>
          </w:p>
        </w:tc>
      </w:tr>
      <w:tr w:rsidR="00935E21" w:rsidRPr="00ED5BF5" w14:paraId="1D12340B" w14:textId="77777777" w:rsidTr="00741A2F">
        <w:trPr>
          <w:trHeight w:val="20"/>
        </w:trPr>
        <w:tc>
          <w:tcPr>
            <w:tcW w:w="2117" w:type="dxa"/>
            <w:tcBorders>
              <w:top w:val="nil"/>
              <w:left w:val="single" w:sz="8" w:space="0" w:color="FFFFFF"/>
              <w:bottom w:val="single" w:sz="8" w:space="0" w:color="FFFFFF"/>
              <w:right w:val="single" w:sz="8" w:space="0" w:color="FFFFFF"/>
            </w:tcBorders>
            <w:shd w:val="clear" w:color="000000" w:fill="5B9BD5"/>
            <w:noWrap/>
            <w:vAlign w:val="center"/>
            <w:hideMark/>
          </w:tcPr>
          <w:p w14:paraId="29F7037E" w14:textId="77777777" w:rsidR="00935E21" w:rsidRPr="00ED5BF5" w:rsidRDefault="00935E21" w:rsidP="00741A2F">
            <w:pPr>
              <w:spacing w:after="0" w:line="240" w:lineRule="auto"/>
              <w:jc w:val="right"/>
              <w:rPr>
                <w:rFonts w:ascii="Calibri" w:eastAsia="Times New Roman" w:hAnsi="Calibri" w:cs="Calibri"/>
                <w:b/>
                <w:bCs/>
                <w:color w:val="000000"/>
                <w:sz w:val="20"/>
                <w:szCs w:val="20"/>
                <w:lang w:eastAsia="en-GB"/>
              </w:rPr>
            </w:pPr>
            <w:r w:rsidRPr="00ED5BF5">
              <w:rPr>
                <w:rFonts w:ascii="Calibri" w:eastAsia="Times New Roman" w:hAnsi="Calibri" w:cs="Calibri"/>
                <w:b/>
                <w:bCs/>
                <w:color w:val="000000"/>
                <w:sz w:val="20"/>
                <w:szCs w:val="20"/>
                <w:lang w:eastAsia="en-GB"/>
              </w:rPr>
              <w:t>week 5</w:t>
            </w:r>
          </w:p>
        </w:tc>
        <w:tc>
          <w:tcPr>
            <w:tcW w:w="1559" w:type="dxa"/>
            <w:tcBorders>
              <w:top w:val="nil"/>
              <w:left w:val="nil"/>
              <w:bottom w:val="single" w:sz="8" w:space="0" w:color="FFFFFF"/>
              <w:right w:val="single" w:sz="8" w:space="0" w:color="FFFFFF"/>
            </w:tcBorders>
            <w:shd w:val="clear" w:color="000000" w:fill="BDD6EE"/>
            <w:noWrap/>
            <w:vAlign w:val="center"/>
            <w:hideMark/>
          </w:tcPr>
          <w:p w14:paraId="044DC6DA"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207</w:t>
            </w:r>
          </w:p>
        </w:tc>
        <w:tc>
          <w:tcPr>
            <w:tcW w:w="1559" w:type="dxa"/>
            <w:tcBorders>
              <w:top w:val="nil"/>
              <w:left w:val="nil"/>
              <w:bottom w:val="single" w:sz="8" w:space="0" w:color="FFFFFF"/>
              <w:right w:val="single" w:sz="8" w:space="0" w:color="FFFFFF"/>
            </w:tcBorders>
            <w:shd w:val="clear" w:color="000000" w:fill="BDD6EE"/>
            <w:noWrap/>
            <w:vAlign w:val="center"/>
            <w:hideMark/>
          </w:tcPr>
          <w:p w14:paraId="36D25703"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725</w:t>
            </w:r>
          </w:p>
        </w:tc>
        <w:tc>
          <w:tcPr>
            <w:tcW w:w="1701" w:type="dxa"/>
            <w:tcBorders>
              <w:top w:val="nil"/>
              <w:left w:val="nil"/>
              <w:bottom w:val="single" w:sz="8" w:space="0" w:color="FFFFFF"/>
              <w:right w:val="single" w:sz="8" w:space="0" w:color="FFFFFF"/>
            </w:tcBorders>
            <w:shd w:val="clear" w:color="000000" w:fill="BDD6EE"/>
            <w:noWrap/>
            <w:vAlign w:val="center"/>
            <w:hideMark/>
          </w:tcPr>
          <w:p w14:paraId="3E60E24F"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1,230</w:t>
            </w:r>
          </w:p>
        </w:tc>
        <w:tc>
          <w:tcPr>
            <w:tcW w:w="1868" w:type="dxa"/>
            <w:tcBorders>
              <w:top w:val="nil"/>
              <w:left w:val="nil"/>
              <w:bottom w:val="single" w:sz="8" w:space="0" w:color="FFFFFF"/>
              <w:right w:val="single" w:sz="8" w:space="0" w:color="FFFFFF"/>
            </w:tcBorders>
            <w:shd w:val="clear" w:color="000000" w:fill="BDD6EE"/>
            <w:noWrap/>
            <w:vAlign w:val="center"/>
            <w:hideMark/>
          </w:tcPr>
          <w:p w14:paraId="25D6D0D6"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2,475</w:t>
            </w:r>
          </w:p>
        </w:tc>
        <w:tc>
          <w:tcPr>
            <w:tcW w:w="1187" w:type="dxa"/>
            <w:vAlign w:val="center"/>
            <w:hideMark/>
          </w:tcPr>
          <w:p w14:paraId="3D1656F1" w14:textId="77777777" w:rsidR="00935E21" w:rsidRPr="00ED5BF5" w:rsidRDefault="00935E21" w:rsidP="00741A2F">
            <w:pPr>
              <w:spacing w:after="0" w:line="240" w:lineRule="auto"/>
              <w:rPr>
                <w:rFonts w:ascii="Times New Roman" w:eastAsia="Times New Roman" w:hAnsi="Times New Roman" w:cs="Times New Roman"/>
                <w:sz w:val="20"/>
                <w:szCs w:val="20"/>
                <w:lang w:eastAsia="en-GB"/>
              </w:rPr>
            </w:pPr>
          </w:p>
        </w:tc>
      </w:tr>
      <w:tr w:rsidR="00935E21" w:rsidRPr="00ED5BF5" w14:paraId="49CE41FE" w14:textId="77777777" w:rsidTr="00741A2F">
        <w:trPr>
          <w:trHeight w:val="20"/>
        </w:trPr>
        <w:tc>
          <w:tcPr>
            <w:tcW w:w="2117" w:type="dxa"/>
            <w:tcBorders>
              <w:top w:val="nil"/>
              <w:left w:val="single" w:sz="8" w:space="0" w:color="FFFFFF"/>
              <w:bottom w:val="single" w:sz="8" w:space="0" w:color="FFFFFF"/>
              <w:right w:val="single" w:sz="8" w:space="0" w:color="FFFFFF"/>
            </w:tcBorders>
            <w:shd w:val="clear" w:color="000000" w:fill="5B9BD5"/>
            <w:noWrap/>
            <w:vAlign w:val="center"/>
            <w:hideMark/>
          </w:tcPr>
          <w:p w14:paraId="5E635154" w14:textId="77777777" w:rsidR="00935E21" w:rsidRPr="00ED5BF5" w:rsidRDefault="00935E21" w:rsidP="00741A2F">
            <w:pPr>
              <w:spacing w:after="0" w:line="240" w:lineRule="auto"/>
              <w:jc w:val="right"/>
              <w:rPr>
                <w:rFonts w:ascii="Calibri" w:eastAsia="Times New Roman" w:hAnsi="Calibri" w:cs="Calibri"/>
                <w:b/>
                <w:bCs/>
                <w:color w:val="000000"/>
                <w:sz w:val="20"/>
                <w:szCs w:val="20"/>
                <w:lang w:eastAsia="en-GB"/>
              </w:rPr>
            </w:pPr>
            <w:r w:rsidRPr="00ED5BF5">
              <w:rPr>
                <w:rFonts w:ascii="Calibri" w:eastAsia="Times New Roman" w:hAnsi="Calibri" w:cs="Calibri"/>
                <w:b/>
                <w:bCs/>
                <w:color w:val="000000"/>
                <w:sz w:val="20"/>
                <w:szCs w:val="20"/>
                <w:lang w:eastAsia="en-GB"/>
              </w:rPr>
              <w:t>week 6</w:t>
            </w:r>
          </w:p>
        </w:tc>
        <w:tc>
          <w:tcPr>
            <w:tcW w:w="1559" w:type="dxa"/>
            <w:tcBorders>
              <w:top w:val="nil"/>
              <w:left w:val="nil"/>
              <w:bottom w:val="single" w:sz="8" w:space="0" w:color="FFFFFF"/>
              <w:right w:val="single" w:sz="8" w:space="0" w:color="FFFFFF"/>
            </w:tcBorders>
            <w:shd w:val="clear" w:color="000000" w:fill="BDD6EE"/>
            <w:noWrap/>
            <w:vAlign w:val="center"/>
            <w:hideMark/>
          </w:tcPr>
          <w:p w14:paraId="2333DA5C"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145</w:t>
            </w:r>
          </w:p>
        </w:tc>
        <w:tc>
          <w:tcPr>
            <w:tcW w:w="1559" w:type="dxa"/>
            <w:tcBorders>
              <w:top w:val="nil"/>
              <w:left w:val="nil"/>
              <w:bottom w:val="single" w:sz="8" w:space="0" w:color="FFFFFF"/>
              <w:right w:val="single" w:sz="8" w:space="0" w:color="FFFFFF"/>
            </w:tcBorders>
            <w:shd w:val="clear" w:color="000000" w:fill="BDD6EE"/>
            <w:noWrap/>
            <w:vAlign w:val="center"/>
            <w:hideMark/>
          </w:tcPr>
          <w:p w14:paraId="174CC2E8"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653</w:t>
            </w:r>
          </w:p>
        </w:tc>
        <w:tc>
          <w:tcPr>
            <w:tcW w:w="1701" w:type="dxa"/>
            <w:tcBorders>
              <w:top w:val="nil"/>
              <w:left w:val="nil"/>
              <w:bottom w:val="single" w:sz="8" w:space="0" w:color="FFFFFF"/>
              <w:right w:val="single" w:sz="8" w:space="0" w:color="FFFFFF"/>
            </w:tcBorders>
            <w:shd w:val="clear" w:color="000000" w:fill="BDD6EE"/>
            <w:noWrap/>
            <w:vAlign w:val="center"/>
            <w:hideMark/>
          </w:tcPr>
          <w:p w14:paraId="76DDFCB2"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1,230</w:t>
            </w:r>
          </w:p>
        </w:tc>
        <w:tc>
          <w:tcPr>
            <w:tcW w:w="1868" w:type="dxa"/>
            <w:tcBorders>
              <w:top w:val="nil"/>
              <w:left w:val="nil"/>
              <w:bottom w:val="single" w:sz="8" w:space="0" w:color="FFFFFF"/>
              <w:right w:val="single" w:sz="8" w:space="0" w:color="FFFFFF"/>
            </w:tcBorders>
            <w:shd w:val="clear" w:color="000000" w:fill="BDD6EE"/>
            <w:noWrap/>
            <w:vAlign w:val="center"/>
            <w:hideMark/>
          </w:tcPr>
          <w:p w14:paraId="3D341E44"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2,846</w:t>
            </w:r>
          </w:p>
        </w:tc>
        <w:tc>
          <w:tcPr>
            <w:tcW w:w="1187" w:type="dxa"/>
            <w:vAlign w:val="center"/>
            <w:hideMark/>
          </w:tcPr>
          <w:p w14:paraId="1379FC3C" w14:textId="77777777" w:rsidR="00935E21" w:rsidRPr="00ED5BF5" w:rsidRDefault="00935E21" w:rsidP="00741A2F">
            <w:pPr>
              <w:spacing w:after="0" w:line="240" w:lineRule="auto"/>
              <w:rPr>
                <w:rFonts w:ascii="Times New Roman" w:eastAsia="Times New Roman" w:hAnsi="Times New Roman" w:cs="Times New Roman"/>
                <w:sz w:val="20"/>
                <w:szCs w:val="20"/>
                <w:lang w:eastAsia="en-GB"/>
              </w:rPr>
            </w:pPr>
          </w:p>
        </w:tc>
      </w:tr>
      <w:tr w:rsidR="00935E21" w:rsidRPr="00ED5BF5" w14:paraId="3B2C3016" w14:textId="77777777" w:rsidTr="00741A2F">
        <w:trPr>
          <w:trHeight w:val="20"/>
        </w:trPr>
        <w:tc>
          <w:tcPr>
            <w:tcW w:w="2117" w:type="dxa"/>
            <w:tcBorders>
              <w:top w:val="nil"/>
              <w:left w:val="single" w:sz="8" w:space="0" w:color="FFFFFF"/>
              <w:bottom w:val="single" w:sz="8" w:space="0" w:color="FFFFFF"/>
              <w:right w:val="single" w:sz="8" w:space="0" w:color="FFFFFF"/>
            </w:tcBorders>
            <w:shd w:val="clear" w:color="000000" w:fill="5B9BD5"/>
            <w:noWrap/>
            <w:vAlign w:val="center"/>
            <w:hideMark/>
          </w:tcPr>
          <w:p w14:paraId="08C68FF5" w14:textId="77777777" w:rsidR="00935E21" w:rsidRPr="00ED5BF5" w:rsidRDefault="00935E21" w:rsidP="00741A2F">
            <w:pPr>
              <w:spacing w:after="0" w:line="240" w:lineRule="auto"/>
              <w:jc w:val="right"/>
              <w:rPr>
                <w:rFonts w:ascii="Calibri" w:eastAsia="Times New Roman" w:hAnsi="Calibri" w:cs="Calibri"/>
                <w:b/>
                <w:bCs/>
                <w:color w:val="000000"/>
                <w:sz w:val="20"/>
                <w:szCs w:val="20"/>
                <w:lang w:eastAsia="en-GB"/>
              </w:rPr>
            </w:pPr>
            <w:r w:rsidRPr="00ED5BF5">
              <w:rPr>
                <w:rFonts w:ascii="Calibri" w:eastAsia="Times New Roman" w:hAnsi="Calibri" w:cs="Calibri"/>
                <w:b/>
                <w:bCs/>
                <w:color w:val="000000"/>
                <w:sz w:val="20"/>
                <w:szCs w:val="20"/>
                <w:lang w:eastAsia="en-GB"/>
              </w:rPr>
              <w:t>week 7</w:t>
            </w:r>
          </w:p>
        </w:tc>
        <w:tc>
          <w:tcPr>
            <w:tcW w:w="1559" w:type="dxa"/>
            <w:tcBorders>
              <w:top w:val="nil"/>
              <w:left w:val="nil"/>
              <w:bottom w:val="single" w:sz="8" w:space="0" w:color="FFFFFF"/>
              <w:right w:val="single" w:sz="8" w:space="0" w:color="FFFFFF"/>
            </w:tcBorders>
            <w:shd w:val="clear" w:color="000000" w:fill="BDD6EE"/>
            <w:noWrap/>
            <w:vAlign w:val="center"/>
            <w:hideMark/>
          </w:tcPr>
          <w:p w14:paraId="448D65F2"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102</w:t>
            </w:r>
          </w:p>
        </w:tc>
        <w:tc>
          <w:tcPr>
            <w:tcW w:w="1559" w:type="dxa"/>
            <w:tcBorders>
              <w:top w:val="nil"/>
              <w:left w:val="nil"/>
              <w:bottom w:val="single" w:sz="8" w:space="0" w:color="FFFFFF"/>
              <w:right w:val="single" w:sz="8" w:space="0" w:color="FFFFFF"/>
            </w:tcBorders>
            <w:shd w:val="clear" w:color="000000" w:fill="BDD6EE"/>
            <w:noWrap/>
            <w:vAlign w:val="center"/>
            <w:hideMark/>
          </w:tcPr>
          <w:p w14:paraId="7F8CDABD"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588</w:t>
            </w:r>
          </w:p>
        </w:tc>
        <w:tc>
          <w:tcPr>
            <w:tcW w:w="1701" w:type="dxa"/>
            <w:tcBorders>
              <w:top w:val="nil"/>
              <w:left w:val="nil"/>
              <w:bottom w:val="single" w:sz="8" w:space="0" w:color="FFFFFF"/>
              <w:right w:val="single" w:sz="8" w:space="0" w:color="FFFFFF"/>
            </w:tcBorders>
            <w:shd w:val="clear" w:color="000000" w:fill="BDD6EE"/>
            <w:noWrap/>
            <w:vAlign w:val="center"/>
            <w:hideMark/>
          </w:tcPr>
          <w:p w14:paraId="59B07F17"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1,230</w:t>
            </w:r>
          </w:p>
        </w:tc>
        <w:tc>
          <w:tcPr>
            <w:tcW w:w="1868" w:type="dxa"/>
            <w:tcBorders>
              <w:top w:val="nil"/>
              <w:left w:val="nil"/>
              <w:bottom w:val="single" w:sz="8" w:space="0" w:color="FFFFFF"/>
              <w:right w:val="single" w:sz="8" w:space="0" w:color="FFFFFF"/>
            </w:tcBorders>
            <w:shd w:val="clear" w:color="000000" w:fill="BDD6EE"/>
            <w:noWrap/>
            <w:vAlign w:val="center"/>
            <w:hideMark/>
          </w:tcPr>
          <w:p w14:paraId="63088E10"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3,273</w:t>
            </w:r>
          </w:p>
        </w:tc>
        <w:tc>
          <w:tcPr>
            <w:tcW w:w="1187" w:type="dxa"/>
            <w:vAlign w:val="center"/>
            <w:hideMark/>
          </w:tcPr>
          <w:p w14:paraId="5A3EED8D" w14:textId="77777777" w:rsidR="00935E21" w:rsidRPr="00ED5BF5" w:rsidRDefault="00935E21" w:rsidP="00741A2F">
            <w:pPr>
              <w:spacing w:after="0" w:line="240" w:lineRule="auto"/>
              <w:rPr>
                <w:rFonts w:ascii="Times New Roman" w:eastAsia="Times New Roman" w:hAnsi="Times New Roman" w:cs="Times New Roman"/>
                <w:sz w:val="20"/>
                <w:szCs w:val="20"/>
                <w:lang w:eastAsia="en-GB"/>
              </w:rPr>
            </w:pPr>
          </w:p>
        </w:tc>
      </w:tr>
      <w:tr w:rsidR="00935E21" w:rsidRPr="00ED5BF5" w14:paraId="0FA5640A" w14:textId="77777777" w:rsidTr="00741A2F">
        <w:trPr>
          <w:trHeight w:val="20"/>
        </w:trPr>
        <w:tc>
          <w:tcPr>
            <w:tcW w:w="2117" w:type="dxa"/>
            <w:tcBorders>
              <w:top w:val="nil"/>
              <w:left w:val="single" w:sz="8" w:space="0" w:color="FFFFFF"/>
              <w:bottom w:val="single" w:sz="8" w:space="0" w:color="FFFFFF"/>
              <w:right w:val="single" w:sz="8" w:space="0" w:color="FFFFFF"/>
            </w:tcBorders>
            <w:shd w:val="clear" w:color="000000" w:fill="5B9BD5"/>
            <w:noWrap/>
            <w:vAlign w:val="center"/>
            <w:hideMark/>
          </w:tcPr>
          <w:p w14:paraId="293D8B1E" w14:textId="77777777" w:rsidR="00935E21" w:rsidRPr="00ED5BF5" w:rsidRDefault="00935E21" w:rsidP="00741A2F">
            <w:pPr>
              <w:spacing w:after="0" w:line="240" w:lineRule="auto"/>
              <w:jc w:val="right"/>
              <w:rPr>
                <w:rFonts w:ascii="Calibri" w:eastAsia="Times New Roman" w:hAnsi="Calibri" w:cs="Calibri"/>
                <w:b/>
                <w:bCs/>
                <w:color w:val="000000"/>
                <w:sz w:val="20"/>
                <w:szCs w:val="20"/>
                <w:lang w:eastAsia="en-GB"/>
              </w:rPr>
            </w:pPr>
            <w:r w:rsidRPr="00ED5BF5">
              <w:rPr>
                <w:rFonts w:ascii="Calibri" w:eastAsia="Times New Roman" w:hAnsi="Calibri" w:cs="Calibri"/>
                <w:b/>
                <w:bCs/>
                <w:color w:val="000000"/>
                <w:sz w:val="20"/>
                <w:szCs w:val="20"/>
                <w:lang w:eastAsia="en-GB"/>
              </w:rPr>
              <w:t>week 8</w:t>
            </w:r>
          </w:p>
        </w:tc>
        <w:tc>
          <w:tcPr>
            <w:tcW w:w="1559" w:type="dxa"/>
            <w:tcBorders>
              <w:top w:val="nil"/>
              <w:left w:val="nil"/>
              <w:bottom w:val="single" w:sz="8" w:space="0" w:color="FFFFFF"/>
              <w:right w:val="single" w:sz="8" w:space="0" w:color="FFFFFF"/>
            </w:tcBorders>
            <w:shd w:val="clear" w:color="000000" w:fill="BDD6EE"/>
            <w:noWrap/>
            <w:vAlign w:val="center"/>
            <w:hideMark/>
          </w:tcPr>
          <w:p w14:paraId="390ED08C"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71</w:t>
            </w:r>
          </w:p>
        </w:tc>
        <w:tc>
          <w:tcPr>
            <w:tcW w:w="1559" w:type="dxa"/>
            <w:tcBorders>
              <w:top w:val="nil"/>
              <w:left w:val="nil"/>
              <w:bottom w:val="single" w:sz="8" w:space="0" w:color="FFFFFF"/>
              <w:right w:val="single" w:sz="8" w:space="0" w:color="FFFFFF"/>
            </w:tcBorders>
            <w:shd w:val="clear" w:color="000000" w:fill="BDD6EE"/>
            <w:noWrap/>
            <w:vAlign w:val="center"/>
            <w:hideMark/>
          </w:tcPr>
          <w:p w14:paraId="08634BC0"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529</w:t>
            </w:r>
          </w:p>
        </w:tc>
        <w:tc>
          <w:tcPr>
            <w:tcW w:w="1701" w:type="dxa"/>
            <w:tcBorders>
              <w:top w:val="nil"/>
              <w:left w:val="nil"/>
              <w:bottom w:val="single" w:sz="8" w:space="0" w:color="FFFFFF"/>
              <w:right w:val="single" w:sz="8" w:space="0" w:color="FFFFFF"/>
            </w:tcBorders>
            <w:shd w:val="clear" w:color="000000" w:fill="BDD6EE"/>
            <w:noWrap/>
            <w:vAlign w:val="center"/>
            <w:hideMark/>
          </w:tcPr>
          <w:p w14:paraId="645DC3C3"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1,230</w:t>
            </w:r>
          </w:p>
        </w:tc>
        <w:tc>
          <w:tcPr>
            <w:tcW w:w="1868" w:type="dxa"/>
            <w:tcBorders>
              <w:top w:val="nil"/>
              <w:left w:val="nil"/>
              <w:bottom w:val="single" w:sz="8" w:space="0" w:color="FFFFFF"/>
              <w:right w:val="single" w:sz="8" w:space="0" w:color="FFFFFF"/>
            </w:tcBorders>
            <w:shd w:val="clear" w:color="000000" w:fill="BDD6EE"/>
            <w:noWrap/>
            <w:vAlign w:val="center"/>
            <w:hideMark/>
          </w:tcPr>
          <w:p w14:paraId="7C2C06D3"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3,764</w:t>
            </w:r>
          </w:p>
        </w:tc>
        <w:tc>
          <w:tcPr>
            <w:tcW w:w="1187" w:type="dxa"/>
            <w:vAlign w:val="center"/>
            <w:hideMark/>
          </w:tcPr>
          <w:p w14:paraId="400EB793" w14:textId="77777777" w:rsidR="00935E21" w:rsidRPr="00ED5BF5" w:rsidRDefault="00935E21" w:rsidP="00741A2F">
            <w:pPr>
              <w:spacing w:after="0" w:line="240" w:lineRule="auto"/>
              <w:rPr>
                <w:rFonts w:ascii="Times New Roman" w:eastAsia="Times New Roman" w:hAnsi="Times New Roman" w:cs="Times New Roman"/>
                <w:sz w:val="20"/>
                <w:szCs w:val="20"/>
                <w:lang w:eastAsia="en-GB"/>
              </w:rPr>
            </w:pPr>
          </w:p>
        </w:tc>
      </w:tr>
      <w:tr w:rsidR="00935E21" w:rsidRPr="00ED5BF5" w14:paraId="3556207F" w14:textId="77777777" w:rsidTr="00741A2F">
        <w:trPr>
          <w:trHeight w:val="20"/>
        </w:trPr>
        <w:tc>
          <w:tcPr>
            <w:tcW w:w="2117" w:type="dxa"/>
            <w:tcBorders>
              <w:top w:val="nil"/>
              <w:left w:val="single" w:sz="8" w:space="0" w:color="FFFFFF"/>
              <w:bottom w:val="single" w:sz="8" w:space="0" w:color="FFFFFF"/>
              <w:right w:val="single" w:sz="8" w:space="0" w:color="FFFFFF"/>
            </w:tcBorders>
            <w:shd w:val="clear" w:color="000000" w:fill="5B9BD5"/>
            <w:noWrap/>
            <w:vAlign w:val="center"/>
            <w:hideMark/>
          </w:tcPr>
          <w:p w14:paraId="56FB7ABF" w14:textId="77777777" w:rsidR="00935E21" w:rsidRPr="00ED5BF5" w:rsidRDefault="00935E21" w:rsidP="00741A2F">
            <w:pPr>
              <w:spacing w:after="0" w:line="240" w:lineRule="auto"/>
              <w:jc w:val="right"/>
              <w:rPr>
                <w:rFonts w:ascii="Calibri" w:eastAsia="Times New Roman" w:hAnsi="Calibri" w:cs="Calibri"/>
                <w:b/>
                <w:bCs/>
                <w:color w:val="000000"/>
                <w:sz w:val="20"/>
                <w:szCs w:val="20"/>
                <w:lang w:eastAsia="en-GB"/>
              </w:rPr>
            </w:pPr>
            <w:r w:rsidRPr="00ED5BF5">
              <w:rPr>
                <w:rFonts w:ascii="Calibri" w:eastAsia="Times New Roman" w:hAnsi="Calibri" w:cs="Calibri"/>
                <w:b/>
                <w:bCs/>
                <w:color w:val="000000"/>
                <w:sz w:val="20"/>
                <w:szCs w:val="20"/>
                <w:lang w:eastAsia="en-GB"/>
              </w:rPr>
              <w:t>week 9</w:t>
            </w:r>
          </w:p>
        </w:tc>
        <w:tc>
          <w:tcPr>
            <w:tcW w:w="1559" w:type="dxa"/>
            <w:tcBorders>
              <w:top w:val="nil"/>
              <w:left w:val="nil"/>
              <w:bottom w:val="single" w:sz="8" w:space="0" w:color="FFFFFF"/>
              <w:right w:val="single" w:sz="8" w:space="0" w:color="FFFFFF"/>
            </w:tcBorders>
            <w:shd w:val="clear" w:color="000000" w:fill="BDD6EE"/>
            <w:noWrap/>
            <w:vAlign w:val="center"/>
            <w:hideMark/>
          </w:tcPr>
          <w:p w14:paraId="08A0C430"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50</w:t>
            </w:r>
          </w:p>
        </w:tc>
        <w:tc>
          <w:tcPr>
            <w:tcW w:w="1559" w:type="dxa"/>
            <w:tcBorders>
              <w:top w:val="nil"/>
              <w:left w:val="nil"/>
              <w:bottom w:val="single" w:sz="8" w:space="0" w:color="FFFFFF"/>
              <w:right w:val="single" w:sz="8" w:space="0" w:color="FFFFFF"/>
            </w:tcBorders>
            <w:shd w:val="clear" w:color="000000" w:fill="BDD6EE"/>
            <w:noWrap/>
            <w:vAlign w:val="center"/>
            <w:hideMark/>
          </w:tcPr>
          <w:p w14:paraId="1A930DE7"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476</w:t>
            </w:r>
          </w:p>
        </w:tc>
        <w:tc>
          <w:tcPr>
            <w:tcW w:w="1701" w:type="dxa"/>
            <w:tcBorders>
              <w:top w:val="nil"/>
              <w:left w:val="nil"/>
              <w:bottom w:val="single" w:sz="8" w:space="0" w:color="FFFFFF"/>
              <w:right w:val="single" w:sz="8" w:space="0" w:color="FFFFFF"/>
            </w:tcBorders>
            <w:shd w:val="clear" w:color="000000" w:fill="BDD6EE"/>
            <w:noWrap/>
            <w:vAlign w:val="center"/>
            <w:hideMark/>
          </w:tcPr>
          <w:p w14:paraId="16890DB2"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1,230</w:t>
            </w:r>
          </w:p>
        </w:tc>
        <w:tc>
          <w:tcPr>
            <w:tcW w:w="1868" w:type="dxa"/>
            <w:tcBorders>
              <w:top w:val="nil"/>
              <w:left w:val="nil"/>
              <w:bottom w:val="single" w:sz="8" w:space="0" w:color="FFFFFF"/>
              <w:right w:val="single" w:sz="8" w:space="0" w:color="FFFFFF"/>
            </w:tcBorders>
            <w:shd w:val="clear" w:color="000000" w:fill="BDD6EE"/>
            <w:noWrap/>
            <w:vAlign w:val="center"/>
            <w:hideMark/>
          </w:tcPr>
          <w:p w14:paraId="22DF10AD"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4,329</w:t>
            </w:r>
          </w:p>
        </w:tc>
        <w:tc>
          <w:tcPr>
            <w:tcW w:w="1187" w:type="dxa"/>
            <w:vAlign w:val="center"/>
            <w:hideMark/>
          </w:tcPr>
          <w:p w14:paraId="628F7A5D" w14:textId="77777777" w:rsidR="00935E21" w:rsidRPr="00ED5BF5" w:rsidRDefault="00935E21" w:rsidP="00741A2F">
            <w:pPr>
              <w:spacing w:after="0" w:line="240" w:lineRule="auto"/>
              <w:rPr>
                <w:rFonts w:ascii="Times New Roman" w:eastAsia="Times New Roman" w:hAnsi="Times New Roman" w:cs="Times New Roman"/>
                <w:sz w:val="20"/>
                <w:szCs w:val="20"/>
                <w:lang w:eastAsia="en-GB"/>
              </w:rPr>
            </w:pPr>
          </w:p>
        </w:tc>
      </w:tr>
      <w:tr w:rsidR="00935E21" w:rsidRPr="00ED5BF5" w14:paraId="4B81B988" w14:textId="77777777" w:rsidTr="00741A2F">
        <w:trPr>
          <w:trHeight w:val="20"/>
        </w:trPr>
        <w:tc>
          <w:tcPr>
            <w:tcW w:w="2117" w:type="dxa"/>
            <w:tcBorders>
              <w:top w:val="nil"/>
              <w:left w:val="single" w:sz="8" w:space="0" w:color="FFFFFF"/>
              <w:bottom w:val="single" w:sz="8" w:space="0" w:color="FFFFFF"/>
              <w:right w:val="single" w:sz="8" w:space="0" w:color="FFFFFF"/>
            </w:tcBorders>
            <w:shd w:val="clear" w:color="000000" w:fill="5B9BD5"/>
            <w:noWrap/>
            <w:vAlign w:val="center"/>
            <w:hideMark/>
          </w:tcPr>
          <w:p w14:paraId="44297264" w14:textId="77777777" w:rsidR="00935E21" w:rsidRPr="00ED5BF5" w:rsidRDefault="00935E21" w:rsidP="00741A2F">
            <w:pPr>
              <w:spacing w:after="0" w:line="240" w:lineRule="auto"/>
              <w:jc w:val="right"/>
              <w:rPr>
                <w:rFonts w:ascii="Calibri" w:eastAsia="Times New Roman" w:hAnsi="Calibri" w:cs="Calibri"/>
                <w:b/>
                <w:bCs/>
                <w:color w:val="000000"/>
                <w:sz w:val="20"/>
                <w:szCs w:val="20"/>
                <w:lang w:eastAsia="en-GB"/>
              </w:rPr>
            </w:pPr>
            <w:r w:rsidRPr="00ED5BF5">
              <w:rPr>
                <w:rFonts w:ascii="Calibri" w:eastAsia="Times New Roman" w:hAnsi="Calibri" w:cs="Calibri"/>
                <w:b/>
                <w:bCs/>
                <w:color w:val="000000"/>
                <w:sz w:val="20"/>
                <w:szCs w:val="20"/>
                <w:lang w:eastAsia="en-GB"/>
              </w:rPr>
              <w:t>week 10</w:t>
            </w:r>
          </w:p>
        </w:tc>
        <w:tc>
          <w:tcPr>
            <w:tcW w:w="1559" w:type="dxa"/>
            <w:tcBorders>
              <w:top w:val="nil"/>
              <w:left w:val="nil"/>
              <w:bottom w:val="single" w:sz="8" w:space="0" w:color="FFFFFF"/>
              <w:right w:val="single" w:sz="8" w:space="0" w:color="FFFFFF"/>
            </w:tcBorders>
            <w:shd w:val="clear" w:color="000000" w:fill="BDD6EE"/>
            <w:noWrap/>
            <w:vAlign w:val="center"/>
            <w:hideMark/>
          </w:tcPr>
          <w:p w14:paraId="05164065"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35</w:t>
            </w:r>
          </w:p>
        </w:tc>
        <w:tc>
          <w:tcPr>
            <w:tcW w:w="1559" w:type="dxa"/>
            <w:tcBorders>
              <w:top w:val="nil"/>
              <w:left w:val="nil"/>
              <w:bottom w:val="single" w:sz="8" w:space="0" w:color="FFFFFF"/>
              <w:right w:val="single" w:sz="8" w:space="0" w:color="FFFFFF"/>
            </w:tcBorders>
            <w:shd w:val="clear" w:color="000000" w:fill="BDD6EE"/>
            <w:noWrap/>
            <w:vAlign w:val="center"/>
            <w:hideMark/>
          </w:tcPr>
          <w:p w14:paraId="41B122E8"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428</w:t>
            </w:r>
          </w:p>
        </w:tc>
        <w:tc>
          <w:tcPr>
            <w:tcW w:w="1701" w:type="dxa"/>
            <w:tcBorders>
              <w:top w:val="nil"/>
              <w:left w:val="nil"/>
              <w:bottom w:val="single" w:sz="8" w:space="0" w:color="FFFFFF"/>
              <w:right w:val="single" w:sz="8" w:space="0" w:color="FFFFFF"/>
            </w:tcBorders>
            <w:shd w:val="clear" w:color="000000" w:fill="BDD6EE"/>
            <w:noWrap/>
            <w:vAlign w:val="center"/>
            <w:hideMark/>
          </w:tcPr>
          <w:p w14:paraId="4394EB4F"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1,230</w:t>
            </w:r>
          </w:p>
        </w:tc>
        <w:tc>
          <w:tcPr>
            <w:tcW w:w="1868" w:type="dxa"/>
            <w:tcBorders>
              <w:top w:val="nil"/>
              <w:left w:val="nil"/>
              <w:bottom w:val="single" w:sz="8" w:space="0" w:color="FFFFFF"/>
              <w:right w:val="single" w:sz="8" w:space="0" w:color="FFFFFF"/>
            </w:tcBorders>
            <w:shd w:val="clear" w:color="000000" w:fill="BDD6EE"/>
            <w:noWrap/>
            <w:vAlign w:val="center"/>
            <w:hideMark/>
          </w:tcPr>
          <w:p w14:paraId="4314050C"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4,978</w:t>
            </w:r>
          </w:p>
        </w:tc>
        <w:tc>
          <w:tcPr>
            <w:tcW w:w="1187" w:type="dxa"/>
            <w:vAlign w:val="center"/>
            <w:hideMark/>
          </w:tcPr>
          <w:p w14:paraId="721284E8" w14:textId="77777777" w:rsidR="00935E21" w:rsidRPr="00ED5BF5" w:rsidRDefault="00935E21" w:rsidP="00741A2F">
            <w:pPr>
              <w:spacing w:after="0" w:line="240" w:lineRule="auto"/>
              <w:rPr>
                <w:rFonts w:ascii="Times New Roman" w:eastAsia="Times New Roman" w:hAnsi="Times New Roman" w:cs="Times New Roman"/>
                <w:sz w:val="20"/>
                <w:szCs w:val="20"/>
                <w:lang w:eastAsia="en-GB"/>
              </w:rPr>
            </w:pPr>
          </w:p>
        </w:tc>
      </w:tr>
      <w:tr w:rsidR="00935E21" w:rsidRPr="00ED5BF5" w14:paraId="46BF18DC" w14:textId="77777777" w:rsidTr="00741A2F">
        <w:trPr>
          <w:trHeight w:val="20"/>
        </w:trPr>
        <w:tc>
          <w:tcPr>
            <w:tcW w:w="2117" w:type="dxa"/>
            <w:tcBorders>
              <w:top w:val="nil"/>
              <w:left w:val="single" w:sz="8" w:space="0" w:color="FFFFFF"/>
              <w:bottom w:val="single" w:sz="8" w:space="0" w:color="FFFFFF"/>
              <w:right w:val="single" w:sz="8" w:space="0" w:color="FFFFFF"/>
            </w:tcBorders>
            <w:shd w:val="clear" w:color="000000" w:fill="5B9BD5"/>
            <w:noWrap/>
            <w:vAlign w:val="center"/>
            <w:hideMark/>
          </w:tcPr>
          <w:p w14:paraId="4AB77CFC" w14:textId="77777777" w:rsidR="00935E21" w:rsidRPr="00ED5BF5" w:rsidRDefault="00935E21" w:rsidP="00741A2F">
            <w:pPr>
              <w:spacing w:after="0" w:line="240" w:lineRule="auto"/>
              <w:jc w:val="right"/>
              <w:rPr>
                <w:rFonts w:ascii="Calibri" w:eastAsia="Times New Roman" w:hAnsi="Calibri" w:cs="Calibri"/>
                <w:b/>
                <w:bCs/>
                <w:color w:val="000000"/>
                <w:sz w:val="20"/>
                <w:szCs w:val="20"/>
                <w:lang w:eastAsia="en-GB"/>
              </w:rPr>
            </w:pPr>
            <w:r w:rsidRPr="00ED5BF5">
              <w:rPr>
                <w:rFonts w:ascii="Calibri" w:eastAsia="Times New Roman" w:hAnsi="Calibri" w:cs="Calibri"/>
                <w:b/>
                <w:bCs/>
                <w:color w:val="000000"/>
                <w:sz w:val="20"/>
                <w:szCs w:val="20"/>
                <w:lang w:eastAsia="en-GB"/>
              </w:rPr>
              <w:t>week 11</w:t>
            </w:r>
          </w:p>
        </w:tc>
        <w:tc>
          <w:tcPr>
            <w:tcW w:w="1559" w:type="dxa"/>
            <w:tcBorders>
              <w:top w:val="nil"/>
              <w:left w:val="nil"/>
              <w:bottom w:val="single" w:sz="8" w:space="0" w:color="FFFFFF"/>
              <w:right w:val="single" w:sz="8" w:space="0" w:color="FFFFFF"/>
            </w:tcBorders>
            <w:shd w:val="clear" w:color="000000" w:fill="BDD6EE"/>
            <w:noWrap/>
            <w:vAlign w:val="center"/>
            <w:hideMark/>
          </w:tcPr>
          <w:p w14:paraId="7C429C92"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25</w:t>
            </w:r>
          </w:p>
        </w:tc>
        <w:tc>
          <w:tcPr>
            <w:tcW w:w="1559" w:type="dxa"/>
            <w:tcBorders>
              <w:top w:val="nil"/>
              <w:left w:val="nil"/>
              <w:bottom w:val="single" w:sz="8" w:space="0" w:color="FFFFFF"/>
              <w:right w:val="single" w:sz="8" w:space="0" w:color="FFFFFF"/>
            </w:tcBorders>
            <w:shd w:val="clear" w:color="000000" w:fill="BDD6EE"/>
            <w:noWrap/>
            <w:vAlign w:val="center"/>
            <w:hideMark/>
          </w:tcPr>
          <w:p w14:paraId="227D82C1"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385</w:t>
            </w:r>
          </w:p>
        </w:tc>
        <w:tc>
          <w:tcPr>
            <w:tcW w:w="1701" w:type="dxa"/>
            <w:tcBorders>
              <w:top w:val="nil"/>
              <w:left w:val="nil"/>
              <w:bottom w:val="single" w:sz="8" w:space="0" w:color="FFFFFF"/>
              <w:right w:val="single" w:sz="8" w:space="0" w:color="FFFFFF"/>
            </w:tcBorders>
            <w:shd w:val="clear" w:color="000000" w:fill="BDD6EE"/>
            <w:noWrap/>
            <w:vAlign w:val="center"/>
            <w:hideMark/>
          </w:tcPr>
          <w:p w14:paraId="440DE760"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1,230</w:t>
            </w:r>
          </w:p>
        </w:tc>
        <w:tc>
          <w:tcPr>
            <w:tcW w:w="1868" w:type="dxa"/>
            <w:tcBorders>
              <w:top w:val="nil"/>
              <w:left w:val="nil"/>
              <w:bottom w:val="single" w:sz="8" w:space="0" w:color="FFFFFF"/>
              <w:right w:val="single" w:sz="8" w:space="0" w:color="FFFFFF"/>
            </w:tcBorders>
            <w:shd w:val="clear" w:color="000000" w:fill="BDD6EE"/>
            <w:noWrap/>
            <w:vAlign w:val="center"/>
            <w:hideMark/>
          </w:tcPr>
          <w:p w14:paraId="64722FBB"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5,725</w:t>
            </w:r>
          </w:p>
        </w:tc>
        <w:tc>
          <w:tcPr>
            <w:tcW w:w="1187" w:type="dxa"/>
            <w:vAlign w:val="center"/>
            <w:hideMark/>
          </w:tcPr>
          <w:p w14:paraId="0B9DFB51" w14:textId="77777777" w:rsidR="00935E21" w:rsidRPr="00ED5BF5" w:rsidRDefault="00935E21" w:rsidP="00741A2F">
            <w:pPr>
              <w:spacing w:after="0" w:line="240" w:lineRule="auto"/>
              <w:rPr>
                <w:rFonts w:ascii="Times New Roman" w:eastAsia="Times New Roman" w:hAnsi="Times New Roman" w:cs="Times New Roman"/>
                <w:sz w:val="20"/>
                <w:szCs w:val="20"/>
                <w:lang w:eastAsia="en-GB"/>
              </w:rPr>
            </w:pPr>
          </w:p>
        </w:tc>
      </w:tr>
      <w:tr w:rsidR="00935E21" w:rsidRPr="00ED5BF5" w14:paraId="3B6BD7E7" w14:textId="77777777" w:rsidTr="00741A2F">
        <w:trPr>
          <w:trHeight w:val="20"/>
        </w:trPr>
        <w:tc>
          <w:tcPr>
            <w:tcW w:w="2117" w:type="dxa"/>
            <w:tcBorders>
              <w:top w:val="nil"/>
              <w:left w:val="single" w:sz="8" w:space="0" w:color="FFFFFF"/>
              <w:bottom w:val="single" w:sz="8" w:space="0" w:color="FFFFFF"/>
              <w:right w:val="single" w:sz="8" w:space="0" w:color="FFFFFF"/>
            </w:tcBorders>
            <w:shd w:val="clear" w:color="000000" w:fill="5B9BD5"/>
            <w:noWrap/>
            <w:vAlign w:val="center"/>
            <w:hideMark/>
          </w:tcPr>
          <w:p w14:paraId="2C297FDF" w14:textId="77777777" w:rsidR="00935E21" w:rsidRPr="00ED5BF5" w:rsidRDefault="00935E21" w:rsidP="00741A2F">
            <w:pPr>
              <w:spacing w:after="0" w:line="240" w:lineRule="auto"/>
              <w:jc w:val="right"/>
              <w:rPr>
                <w:rFonts w:ascii="Calibri" w:eastAsia="Times New Roman" w:hAnsi="Calibri" w:cs="Calibri"/>
                <w:b/>
                <w:bCs/>
                <w:color w:val="000000"/>
                <w:sz w:val="20"/>
                <w:szCs w:val="20"/>
                <w:lang w:eastAsia="en-GB"/>
              </w:rPr>
            </w:pPr>
            <w:r w:rsidRPr="00ED5BF5">
              <w:rPr>
                <w:rFonts w:ascii="Calibri" w:eastAsia="Times New Roman" w:hAnsi="Calibri" w:cs="Calibri"/>
                <w:b/>
                <w:bCs/>
                <w:color w:val="000000"/>
                <w:sz w:val="20"/>
                <w:szCs w:val="20"/>
                <w:lang w:eastAsia="en-GB"/>
              </w:rPr>
              <w:t>week 12</w:t>
            </w:r>
          </w:p>
        </w:tc>
        <w:tc>
          <w:tcPr>
            <w:tcW w:w="1559" w:type="dxa"/>
            <w:tcBorders>
              <w:top w:val="nil"/>
              <w:left w:val="nil"/>
              <w:bottom w:val="single" w:sz="8" w:space="0" w:color="FFFFFF"/>
              <w:right w:val="single" w:sz="8" w:space="0" w:color="FFFFFF"/>
            </w:tcBorders>
            <w:shd w:val="clear" w:color="000000" w:fill="BDD6EE"/>
            <w:noWrap/>
            <w:vAlign w:val="center"/>
            <w:hideMark/>
          </w:tcPr>
          <w:p w14:paraId="4F1B6095"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18</w:t>
            </w:r>
          </w:p>
        </w:tc>
        <w:tc>
          <w:tcPr>
            <w:tcW w:w="1559" w:type="dxa"/>
            <w:tcBorders>
              <w:top w:val="nil"/>
              <w:left w:val="nil"/>
              <w:bottom w:val="single" w:sz="8" w:space="0" w:color="FFFFFF"/>
              <w:right w:val="single" w:sz="8" w:space="0" w:color="FFFFFF"/>
            </w:tcBorders>
            <w:shd w:val="clear" w:color="000000" w:fill="BDD6EE"/>
            <w:noWrap/>
            <w:vAlign w:val="center"/>
            <w:hideMark/>
          </w:tcPr>
          <w:p w14:paraId="68551469"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347</w:t>
            </w:r>
          </w:p>
        </w:tc>
        <w:tc>
          <w:tcPr>
            <w:tcW w:w="1701" w:type="dxa"/>
            <w:tcBorders>
              <w:top w:val="nil"/>
              <w:left w:val="nil"/>
              <w:bottom w:val="single" w:sz="8" w:space="0" w:color="FFFFFF"/>
              <w:right w:val="single" w:sz="8" w:space="0" w:color="FFFFFF"/>
            </w:tcBorders>
            <w:shd w:val="clear" w:color="000000" w:fill="BDD6EE"/>
            <w:noWrap/>
            <w:vAlign w:val="center"/>
            <w:hideMark/>
          </w:tcPr>
          <w:p w14:paraId="22FCE9A5"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1,230</w:t>
            </w:r>
          </w:p>
        </w:tc>
        <w:tc>
          <w:tcPr>
            <w:tcW w:w="1868" w:type="dxa"/>
            <w:tcBorders>
              <w:top w:val="nil"/>
              <w:left w:val="nil"/>
              <w:bottom w:val="single" w:sz="8" w:space="0" w:color="FFFFFF"/>
              <w:right w:val="single" w:sz="8" w:space="0" w:color="FFFFFF"/>
            </w:tcBorders>
            <w:shd w:val="clear" w:color="000000" w:fill="BDD6EE"/>
            <w:noWrap/>
            <w:vAlign w:val="center"/>
            <w:hideMark/>
          </w:tcPr>
          <w:p w14:paraId="5B9C2F30"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6,584</w:t>
            </w:r>
          </w:p>
        </w:tc>
        <w:tc>
          <w:tcPr>
            <w:tcW w:w="1187" w:type="dxa"/>
            <w:vAlign w:val="center"/>
            <w:hideMark/>
          </w:tcPr>
          <w:p w14:paraId="11CB32E3" w14:textId="77777777" w:rsidR="00935E21" w:rsidRPr="00ED5BF5" w:rsidRDefault="00935E21" w:rsidP="00741A2F">
            <w:pPr>
              <w:spacing w:after="0" w:line="240" w:lineRule="auto"/>
              <w:rPr>
                <w:rFonts w:ascii="Times New Roman" w:eastAsia="Times New Roman" w:hAnsi="Times New Roman" w:cs="Times New Roman"/>
                <w:sz w:val="20"/>
                <w:szCs w:val="20"/>
                <w:lang w:eastAsia="en-GB"/>
              </w:rPr>
            </w:pPr>
          </w:p>
        </w:tc>
      </w:tr>
      <w:tr w:rsidR="00935E21" w:rsidRPr="00ED5BF5" w14:paraId="4BCE918E" w14:textId="77777777" w:rsidTr="00741A2F">
        <w:trPr>
          <w:trHeight w:val="20"/>
        </w:trPr>
        <w:tc>
          <w:tcPr>
            <w:tcW w:w="2117" w:type="dxa"/>
            <w:tcBorders>
              <w:top w:val="nil"/>
              <w:left w:val="single" w:sz="8" w:space="0" w:color="FFFFFF"/>
              <w:bottom w:val="single" w:sz="8" w:space="0" w:color="FFFFFF"/>
              <w:right w:val="single" w:sz="8" w:space="0" w:color="FFFFFF"/>
            </w:tcBorders>
            <w:shd w:val="clear" w:color="000000" w:fill="5B9BD5"/>
            <w:noWrap/>
            <w:vAlign w:val="center"/>
            <w:hideMark/>
          </w:tcPr>
          <w:p w14:paraId="33467D8E" w14:textId="77777777" w:rsidR="00935E21" w:rsidRPr="00ED5BF5" w:rsidRDefault="00935E21" w:rsidP="00741A2F">
            <w:pPr>
              <w:spacing w:after="0" w:line="240" w:lineRule="auto"/>
              <w:jc w:val="right"/>
              <w:rPr>
                <w:rFonts w:ascii="Calibri" w:eastAsia="Times New Roman" w:hAnsi="Calibri" w:cs="Calibri"/>
                <w:b/>
                <w:bCs/>
                <w:color w:val="000000"/>
                <w:sz w:val="20"/>
                <w:szCs w:val="20"/>
                <w:lang w:eastAsia="en-GB"/>
              </w:rPr>
            </w:pPr>
            <w:r w:rsidRPr="00ED5BF5">
              <w:rPr>
                <w:rFonts w:ascii="Calibri" w:eastAsia="Times New Roman" w:hAnsi="Calibri" w:cs="Calibri"/>
                <w:b/>
                <w:bCs/>
                <w:color w:val="000000"/>
                <w:sz w:val="20"/>
                <w:szCs w:val="20"/>
                <w:lang w:eastAsia="en-GB"/>
              </w:rPr>
              <w:t>week 13</w:t>
            </w:r>
          </w:p>
        </w:tc>
        <w:tc>
          <w:tcPr>
            <w:tcW w:w="1559" w:type="dxa"/>
            <w:tcBorders>
              <w:top w:val="nil"/>
              <w:left w:val="nil"/>
              <w:bottom w:val="single" w:sz="8" w:space="0" w:color="FFFFFF"/>
              <w:right w:val="single" w:sz="8" w:space="0" w:color="FFFFFF"/>
            </w:tcBorders>
            <w:shd w:val="clear" w:color="000000" w:fill="BDD6EE"/>
            <w:noWrap/>
            <w:vAlign w:val="center"/>
            <w:hideMark/>
          </w:tcPr>
          <w:p w14:paraId="324B72C0"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13</w:t>
            </w:r>
          </w:p>
        </w:tc>
        <w:tc>
          <w:tcPr>
            <w:tcW w:w="1559" w:type="dxa"/>
            <w:tcBorders>
              <w:top w:val="nil"/>
              <w:left w:val="nil"/>
              <w:bottom w:val="single" w:sz="8" w:space="0" w:color="FFFFFF"/>
              <w:right w:val="single" w:sz="8" w:space="0" w:color="FFFFFF"/>
            </w:tcBorders>
            <w:shd w:val="clear" w:color="000000" w:fill="BDD6EE"/>
            <w:noWrap/>
            <w:vAlign w:val="center"/>
            <w:hideMark/>
          </w:tcPr>
          <w:p w14:paraId="137DF224"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312</w:t>
            </w:r>
          </w:p>
        </w:tc>
        <w:tc>
          <w:tcPr>
            <w:tcW w:w="1701" w:type="dxa"/>
            <w:tcBorders>
              <w:top w:val="nil"/>
              <w:left w:val="nil"/>
              <w:bottom w:val="single" w:sz="8" w:space="0" w:color="FFFFFF"/>
              <w:right w:val="single" w:sz="8" w:space="0" w:color="FFFFFF"/>
            </w:tcBorders>
            <w:shd w:val="clear" w:color="000000" w:fill="BDD6EE"/>
            <w:noWrap/>
            <w:vAlign w:val="center"/>
            <w:hideMark/>
          </w:tcPr>
          <w:p w14:paraId="61BF0001"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1,230</w:t>
            </w:r>
          </w:p>
        </w:tc>
        <w:tc>
          <w:tcPr>
            <w:tcW w:w="1868" w:type="dxa"/>
            <w:tcBorders>
              <w:top w:val="nil"/>
              <w:left w:val="nil"/>
              <w:bottom w:val="single" w:sz="8" w:space="0" w:color="FFFFFF"/>
              <w:right w:val="single" w:sz="8" w:space="0" w:color="FFFFFF"/>
            </w:tcBorders>
            <w:shd w:val="clear" w:color="000000" w:fill="BDD6EE"/>
            <w:noWrap/>
            <w:vAlign w:val="center"/>
            <w:hideMark/>
          </w:tcPr>
          <w:p w14:paraId="777017A7" w14:textId="77777777" w:rsidR="00935E21" w:rsidRPr="00ED5BF5" w:rsidRDefault="00935E21" w:rsidP="00741A2F">
            <w:pPr>
              <w:spacing w:after="0" w:line="240" w:lineRule="auto"/>
              <w:jc w:val="center"/>
              <w:rPr>
                <w:rFonts w:ascii="Calibri" w:eastAsia="Times New Roman" w:hAnsi="Calibri" w:cs="Calibri"/>
                <w:color w:val="000000"/>
                <w:sz w:val="20"/>
                <w:szCs w:val="20"/>
                <w:lang w:eastAsia="en-GB"/>
              </w:rPr>
            </w:pPr>
            <w:r w:rsidRPr="00ED5BF5">
              <w:rPr>
                <w:rFonts w:ascii="Calibri" w:eastAsia="Times New Roman" w:hAnsi="Calibri" w:cs="Calibri"/>
                <w:color w:val="000000"/>
                <w:sz w:val="20"/>
                <w:szCs w:val="20"/>
                <w:lang w:eastAsia="en-GB"/>
              </w:rPr>
              <w:t>7,572</w:t>
            </w:r>
          </w:p>
        </w:tc>
        <w:tc>
          <w:tcPr>
            <w:tcW w:w="1187" w:type="dxa"/>
            <w:vAlign w:val="center"/>
            <w:hideMark/>
          </w:tcPr>
          <w:p w14:paraId="22485416" w14:textId="77777777" w:rsidR="00935E21" w:rsidRPr="00ED5BF5" w:rsidRDefault="00935E21" w:rsidP="00741A2F">
            <w:pPr>
              <w:spacing w:after="0" w:line="240" w:lineRule="auto"/>
              <w:rPr>
                <w:rFonts w:ascii="Times New Roman" w:eastAsia="Times New Roman" w:hAnsi="Times New Roman" w:cs="Times New Roman"/>
                <w:sz w:val="20"/>
                <w:szCs w:val="20"/>
                <w:lang w:eastAsia="en-GB"/>
              </w:rPr>
            </w:pPr>
          </w:p>
        </w:tc>
      </w:tr>
      <w:tr w:rsidR="00935E21" w:rsidRPr="00ED5BF5" w14:paraId="5FF5FBCB" w14:textId="77777777" w:rsidTr="00741A2F">
        <w:trPr>
          <w:trHeight w:val="20"/>
        </w:trPr>
        <w:tc>
          <w:tcPr>
            <w:tcW w:w="2117" w:type="dxa"/>
            <w:tcBorders>
              <w:top w:val="nil"/>
              <w:left w:val="single" w:sz="8" w:space="0" w:color="FFFFFF"/>
              <w:bottom w:val="single" w:sz="8" w:space="0" w:color="FFFFFF"/>
              <w:right w:val="single" w:sz="8" w:space="0" w:color="FFFFFF"/>
            </w:tcBorders>
            <w:shd w:val="clear" w:color="000000" w:fill="5B9BD5"/>
            <w:noWrap/>
            <w:vAlign w:val="center"/>
            <w:hideMark/>
          </w:tcPr>
          <w:p w14:paraId="4EB2CBF4" w14:textId="77777777" w:rsidR="00935E21" w:rsidRPr="00ED5BF5" w:rsidRDefault="00935E21" w:rsidP="00741A2F">
            <w:pPr>
              <w:spacing w:after="0" w:line="240" w:lineRule="auto"/>
              <w:rPr>
                <w:rFonts w:ascii="Calibri" w:eastAsia="Times New Roman" w:hAnsi="Calibri" w:cs="Calibri"/>
                <w:b/>
                <w:bCs/>
                <w:color w:val="000000"/>
                <w:sz w:val="20"/>
                <w:szCs w:val="20"/>
                <w:lang w:eastAsia="en-GB"/>
              </w:rPr>
            </w:pPr>
            <w:r w:rsidRPr="00ED5BF5">
              <w:rPr>
                <w:rFonts w:ascii="Calibri" w:eastAsia="Times New Roman" w:hAnsi="Calibri" w:cs="Calibri"/>
                <w:b/>
                <w:bCs/>
                <w:color w:val="000000"/>
                <w:sz w:val="20"/>
                <w:szCs w:val="20"/>
                <w:lang w:eastAsia="en-GB"/>
              </w:rPr>
              <w:t>Total Expected Deaths</w:t>
            </w:r>
          </w:p>
        </w:tc>
        <w:tc>
          <w:tcPr>
            <w:tcW w:w="1559" w:type="dxa"/>
            <w:tcBorders>
              <w:top w:val="nil"/>
              <w:left w:val="nil"/>
              <w:bottom w:val="single" w:sz="8" w:space="0" w:color="FFFFFF"/>
              <w:right w:val="single" w:sz="8" w:space="0" w:color="FFFFFF"/>
            </w:tcBorders>
            <w:shd w:val="clear" w:color="000000" w:fill="BDD6EE"/>
            <w:noWrap/>
            <w:vAlign w:val="center"/>
            <w:hideMark/>
          </w:tcPr>
          <w:p w14:paraId="3C47218A" w14:textId="77777777" w:rsidR="00935E21" w:rsidRPr="00ED5BF5" w:rsidRDefault="00935E21" w:rsidP="00741A2F">
            <w:pPr>
              <w:spacing w:after="0" w:line="240" w:lineRule="auto"/>
              <w:jc w:val="center"/>
              <w:rPr>
                <w:rFonts w:ascii="Calibri" w:eastAsia="Times New Roman" w:hAnsi="Calibri" w:cs="Calibri"/>
                <w:b/>
                <w:bCs/>
                <w:color w:val="000000"/>
                <w:sz w:val="20"/>
                <w:szCs w:val="20"/>
                <w:lang w:eastAsia="en-GB"/>
              </w:rPr>
            </w:pPr>
            <w:r w:rsidRPr="00ED5BF5">
              <w:rPr>
                <w:rFonts w:ascii="Calibri" w:eastAsia="Times New Roman" w:hAnsi="Calibri" w:cs="Calibri"/>
                <w:b/>
                <w:bCs/>
                <w:color w:val="000000"/>
                <w:sz w:val="20"/>
                <w:szCs w:val="20"/>
                <w:lang w:eastAsia="en-GB"/>
              </w:rPr>
              <w:t>2,847</w:t>
            </w:r>
          </w:p>
        </w:tc>
        <w:tc>
          <w:tcPr>
            <w:tcW w:w="1559" w:type="dxa"/>
            <w:tcBorders>
              <w:top w:val="nil"/>
              <w:left w:val="nil"/>
              <w:bottom w:val="single" w:sz="8" w:space="0" w:color="FFFFFF"/>
              <w:right w:val="single" w:sz="8" w:space="0" w:color="FFFFFF"/>
            </w:tcBorders>
            <w:shd w:val="clear" w:color="000000" w:fill="BDD6EE"/>
            <w:noWrap/>
            <w:vAlign w:val="center"/>
            <w:hideMark/>
          </w:tcPr>
          <w:p w14:paraId="0FDE7311" w14:textId="77777777" w:rsidR="00935E21" w:rsidRPr="00ED5BF5" w:rsidRDefault="00935E21" w:rsidP="00741A2F">
            <w:pPr>
              <w:spacing w:after="0" w:line="240" w:lineRule="auto"/>
              <w:jc w:val="center"/>
              <w:rPr>
                <w:rFonts w:ascii="Calibri" w:eastAsia="Times New Roman" w:hAnsi="Calibri" w:cs="Calibri"/>
                <w:b/>
                <w:bCs/>
                <w:color w:val="000000"/>
                <w:sz w:val="20"/>
                <w:szCs w:val="20"/>
                <w:lang w:eastAsia="en-GB"/>
              </w:rPr>
            </w:pPr>
            <w:r w:rsidRPr="00ED5BF5">
              <w:rPr>
                <w:rFonts w:ascii="Calibri" w:eastAsia="Times New Roman" w:hAnsi="Calibri" w:cs="Calibri"/>
                <w:b/>
                <w:bCs/>
                <w:color w:val="000000"/>
                <w:sz w:val="20"/>
                <w:szCs w:val="20"/>
                <w:lang w:eastAsia="en-GB"/>
              </w:rPr>
              <w:t>8,248</w:t>
            </w:r>
          </w:p>
        </w:tc>
        <w:tc>
          <w:tcPr>
            <w:tcW w:w="1701" w:type="dxa"/>
            <w:tcBorders>
              <w:top w:val="nil"/>
              <w:left w:val="nil"/>
              <w:bottom w:val="single" w:sz="8" w:space="0" w:color="FFFFFF"/>
              <w:right w:val="single" w:sz="8" w:space="0" w:color="FFFFFF"/>
            </w:tcBorders>
            <w:shd w:val="clear" w:color="000000" w:fill="BDD6EE"/>
            <w:noWrap/>
            <w:vAlign w:val="center"/>
            <w:hideMark/>
          </w:tcPr>
          <w:p w14:paraId="63F11509" w14:textId="77777777" w:rsidR="00935E21" w:rsidRPr="00ED5BF5" w:rsidRDefault="00935E21" w:rsidP="00741A2F">
            <w:pPr>
              <w:spacing w:after="0" w:line="240" w:lineRule="auto"/>
              <w:jc w:val="center"/>
              <w:rPr>
                <w:rFonts w:ascii="Calibri" w:eastAsia="Times New Roman" w:hAnsi="Calibri" w:cs="Calibri"/>
                <w:b/>
                <w:bCs/>
                <w:color w:val="000000"/>
                <w:sz w:val="20"/>
                <w:szCs w:val="20"/>
                <w:lang w:eastAsia="en-GB"/>
              </w:rPr>
            </w:pPr>
            <w:r w:rsidRPr="00ED5BF5">
              <w:rPr>
                <w:rFonts w:ascii="Calibri" w:eastAsia="Times New Roman" w:hAnsi="Calibri" w:cs="Calibri"/>
                <w:b/>
                <w:bCs/>
                <w:color w:val="000000"/>
                <w:sz w:val="20"/>
                <w:szCs w:val="20"/>
                <w:lang w:eastAsia="en-GB"/>
              </w:rPr>
              <w:t>15,990</w:t>
            </w:r>
          </w:p>
        </w:tc>
        <w:tc>
          <w:tcPr>
            <w:tcW w:w="1868" w:type="dxa"/>
            <w:tcBorders>
              <w:top w:val="nil"/>
              <w:left w:val="nil"/>
              <w:bottom w:val="single" w:sz="8" w:space="0" w:color="FFFFFF"/>
              <w:right w:val="single" w:sz="8" w:space="0" w:color="FFFFFF"/>
            </w:tcBorders>
            <w:shd w:val="clear" w:color="000000" w:fill="BDD6EE"/>
            <w:noWrap/>
            <w:vAlign w:val="center"/>
            <w:hideMark/>
          </w:tcPr>
          <w:p w14:paraId="32C0ED83" w14:textId="77777777" w:rsidR="00935E21" w:rsidRPr="00ED5BF5" w:rsidRDefault="00935E21" w:rsidP="00741A2F">
            <w:pPr>
              <w:spacing w:after="0" w:line="240" w:lineRule="auto"/>
              <w:jc w:val="center"/>
              <w:rPr>
                <w:rFonts w:ascii="Calibri" w:eastAsia="Times New Roman" w:hAnsi="Calibri" w:cs="Calibri"/>
                <w:b/>
                <w:bCs/>
                <w:color w:val="000000"/>
                <w:sz w:val="20"/>
                <w:szCs w:val="20"/>
                <w:lang w:eastAsia="en-GB"/>
              </w:rPr>
            </w:pPr>
            <w:r w:rsidRPr="00ED5BF5">
              <w:rPr>
                <w:rFonts w:ascii="Calibri" w:eastAsia="Times New Roman" w:hAnsi="Calibri" w:cs="Calibri"/>
                <w:b/>
                <w:bCs/>
                <w:color w:val="000000"/>
                <w:sz w:val="20"/>
                <w:szCs w:val="20"/>
                <w:lang w:eastAsia="en-GB"/>
              </w:rPr>
              <w:t>48,611</w:t>
            </w:r>
          </w:p>
        </w:tc>
        <w:tc>
          <w:tcPr>
            <w:tcW w:w="1187" w:type="dxa"/>
            <w:vAlign w:val="center"/>
            <w:hideMark/>
          </w:tcPr>
          <w:p w14:paraId="2E647C01" w14:textId="77777777" w:rsidR="00935E21" w:rsidRPr="00ED5BF5" w:rsidRDefault="00935E21" w:rsidP="00741A2F">
            <w:pPr>
              <w:spacing w:after="0" w:line="240" w:lineRule="auto"/>
              <w:rPr>
                <w:rFonts w:ascii="Times New Roman" w:eastAsia="Times New Roman" w:hAnsi="Times New Roman" w:cs="Times New Roman"/>
                <w:sz w:val="20"/>
                <w:szCs w:val="20"/>
                <w:lang w:eastAsia="en-GB"/>
              </w:rPr>
            </w:pPr>
          </w:p>
        </w:tc>
      </w:tr>
      <w:tr w:rsidR="00935E21" w:rsidRPr="00ED5BF5" w14:paraId="77A0B7E6" w14:textId="77777777" w:rsidTr="00741A2F">
        <w:trPr>
          <w:trHeight w:val="20"/>
        </w:trPr>
        <w:tc>
          <w:tcPr>
            <w:tcW w:w="3676" w:type="dxa"/>
            <w:gridSpan w:val="2"/>
            <w:tcBorders>
              <w:top w:val="single" w:sz="8" w:space="0" w:color="FFFFFF"/>
              <w:left w:val="single" w:sz="8" w:space="0" w:color="FFFFFF"/>
              <w:bottom w:val="single" w:sz="8" w:space="0" w:color="FFFFFF"/>
              <w:right w:val="single" w:sz="8" w:space="0" w:color="FFFFFF"/>
            </w:tcBorders>
            <w:shd w:val="clear" w:color="000000" w:fill="5B9BD5"/>
            <w:vAlign w:val="center"/>
            <w:hideMark/>
          </w:tcPr>
          <w:p w14:paraId="7AC974E2" w14:textId="77777777" w:rsidR="00935E21" w:rsidRPr="00ED5BF5" w:rsidRDefault="00935E21" w:rsidP="00741A2F">
            <w:pPr>
              <w:spacing w:after="0" w:line="240" w:lineRule="auto"/>
              <w:rPr>
                <w:rFonts w:ascii="Calibri" w:eastAsia="Times New Roman" w:hAnsi="Calibri" w:cs="Calibri"/>
                <w:b/>
                <w:bCs/>
                <w:color w:val="000000"/>
                <w:sz w:val="20"/>
                <w:szCs w:val="20"/>
                <w:lang w:eastAsia="en-GB"/>
              </w:rPr>
            </w:pPr>
            <w:r w:rsidRPr="00ED5BF5">
              <w:rPr>
                <w:rFonts w:ascii="Calibri" w:eastAsia="Times New Roman" w:hAnsi="Calibri" w:cs="Calibri"/>
                <w:b/>
                <w:bCs/>
                <w:color w:val="000000"/>
                <w:sz w:val="20"/>
                <w:szCs w:val="20"/>
                <w:lang w:eastAsia="en-GB"/>
              </w:rPr>
              <w:t>Additional expected deaths compared to Lockdown</w:t>
            </w:r>
          </w:p>
        </w:tc>
        <w:tc>
          <w:tcPr>
            <w:tcW w:w="1559" w:type="dxa"/>
            <w:tcBorders>
              <w:top w:val="nil"/>
              <w:left w:val="nil"/>
              <w:bottom w:val="single" w:sz="8" w:space="0" w:color="FFFFFF"/>
              <w:right w:val="single" w:sz="8" w:space="0" w:color="FFFFFF"/>
            </w:tcBorders>
            <w:shd w:val="clear" w:color="000000" w:fill="DEEAF6"/>
            <w:noWrap/>
            <w:vAlign w:val="center"/>
            <w:hideMark/>
          </w:tcPr>
          <w:p w14:paraId="1D95EFA6" w14:textId="77777777" w:rsidR="00935E21" w:rsidRPr="00ED5BF5" w:rsidRDefault="00935E21" w:rsidP="00741A2F">
            <w:pPr>
              <w:spacing w:after="0" w:line="240" w:lineRule="auto"/>
              <w:jc w:val="center"/>
              <w:rPr>
                <w:rFonts w:ascii="Calibri" w:eastAsia="Times New Roman" w:hAnsi="Calibri" w:cs="Calibri"/>
                <w:b/>
                <w:bCs/>
                <w:color w:val="000000"/>
                <w:sz w:val="20"/>
                <w:szCs w:val="20"/>
                <w:lang w:eastAsia="en-GB"/>
              </w:rPr>
            </w:pPr>
            <w:r w:rsidRPr="00ED5BF5">
              <w:rPr>
                <w:rFonts w:ascii="Calibri" w:eastAsia="Times New Roman" w:hAnsi="Calibri" w:cs="Calibri"/>
                <w:b/>
                <w:bCs/>
                <w:color w:val="000000"/>
                <w:sz w:val="20"/>
                <w:szCs w:val="20"/>
                <w:lang w:eastAsia="en-GB"/>
              </w:rPr>
              <w:t>5,401</w:t>
            </w:r>
          </w:p>
        </w:tc>
        <w:tc>
          <w:tcPr>
            <w:tcW w:w="1701" w:type="dxa"/>
            <w:tcBorders>
              <w:top w:val="nil"/>
              <w:left w:val="nil"/>
              <w:bottom w:val="single" w:sz="8" w:space="0" w:color="FFFFFF"/>
              <w:right w:val="single" w:sz="8" w:space="0" w:color="FFFFFF"/>
            </w:tcBorders>
            <w:shd w:val="clear" w:color="000000" w:fill="DEEAF6"/>
            <w:noWrap/>
            <w:vAlign w:val="center"/>
            <w:hideMark/>
          </w:tcPr>
          <w:p w14:paraId="1C177C5D" w14:textId="77777777" w:rsidR="00935E21" w:rsidRPr="00ED5BF5" w:rsidRDefault="00935E21" w:rsidP="00741A2F">
            <w:pPr>
              <w:spacing w:after="0" w:line="240" w:lineRule="auto"/>
              <w:jc w:val="center"/>
              <w:rPr>
                <w:rFonts w:ascii="Calibri" w:eastAsia="Times New Roman" w:hAnsi="Calibri" w:cs="Calibri"/>
                <w:b/>
                <w:bCs/>
                <w:color w:val="000000"/>
                <w:sz w:val="20"/>
                <w:szCs w:val="20"/>
                <w:lang w:eastAsia="en-GB"/>
              </w:rPr>
            </w:pPr>
            <w:r w:rsidRPr="00ED5BF5">
              <w:rPr>
                <w:rFonts w:ascii="Calibri" w:eastAsia="Times New Roman" w:hAnsi="Calibri" w:cs="Calibri"/>
                <w:b/>
                <w:bCs/>
                <w:color w:val="000000"/>
                <w:sz w:val="20"/>
                <w:szCs w:val="20"/>
                <w:lang w:eastAsia="en-GB"/>
              </w:rPr>
              <w:t>13,143</w:t>
            </w:r>
          </w:p>
        </w:tc>
        <w:tc>
          <w:tcPr>
            <w:tcW w:w="1868" w:type="dxa"/>
            <w:tcBorders>
              <w:top w:val="nil"/>
              <w:left w:val="nil"/>
              <w:bottom w:val="single" w:sz="8" w:space="0" w:color="FFFFFF"/>
              <w:right w:val="single" w:sz="8" w:space="0" w:color="FFFFFF"/>
            </w:tcBorders>
            <w:shd w:val="clear" w:color="000000" w:fill="DEEAF6"/>
            <w:noWrap/>
            <w:vAlign w:val="center"/>
            <w:hideMark/>
          </w:tcPr>
          <w:p w14:paraId="4C0AB315" w14:textId="77777777" w:rsidR="00935E21" w:rsidRPr="00ED5BF5" w:rsidRDefault="00935E21" w:rsidP="00741A2F">
            <w:pPr>
              <w:spacing w:after="0" w:line="240" w:lineRule="auto"/>
              <w:jc w:val="center"/>
              <w:rPr>
                <w:rFonts w:ascii="Calibri" w:eastAsia="Times New Roman" w:hAnsi="Calibri" w:cs="Calibri"/>
                <w:b/>
                <w:bCs/>
                <w:color w:val="000000"/>
                <w:sz w:val="20"/>
                <w:szCs w:val="20"/>
                <w:lang w:eastAsia="en-GB"/>
              </w:rPr>
            </w:pPr>
            <w:r w:rsidRPr="00ED5BF5">
              <w:rPr>
                <w:rFonts w:ascii="Calibri" w:eastAsia="Times New Roman" w:hAnsi="Calibri" w:cs="Calibri"/>
                <w:b/>
                <w:bCs/>
                <w:color w:val="000000"/>
                <w:sz w:val="20"/>
                <w:szCs w:val="20"/>
                <w:lang w:eastAsia="en-GB"/>
              </w:rPr>
              <w:t>45,764</w:t>
            </w:r>
          </w:p>
        </w:tc>
        <w:tc>
          <w:tcPr>
            <w:tcW w:w="1187" w:type="dxa"/>
            <w:vAlign w:val="center"/>
            <w:hideMark/>
          </w:tcPr>
          <w:p w14:paraId="5185086A" w14:textId="77777777" w:rsidR="00935E21" w:rsidRPr="00ED5BF5" w:rsidRDefault="00935E21" w:rsidP="00741A2F">
            <w:pPr>
              <w:spacing w:after="0" w:line="240" w:lineRule="auto"/>
              <w:rPr>
                <w:rFonts w:ascii="Times New Roman" w:eastAsia="Times New Roman" w:hAnsi="Times New Roman" w:cs="Times New Roman"/>
                <w:sz w:val="20"/>
                <w:szCs w:val="20"/>
                <w:lang w:eastAsia="en-GB"/>
              </w:rPr>
            </w:pPr>
          </w:p>
        </w:tc>
      </w:tr>
      <w:tr w:rsidR="00935E21" w:rsidRPr="00ED5BF5" w14:paraId="345D74D3" w14:textId="77777777" w:rsidTr="00741A2F">
        <w:trPr>
          <w:trHeight w:val="20"/>
        </w:trPr>
        <w:tc>
          <w:tcPr>
            <w:tcW w:w="3676" w:type="dxa"/>
            <w:gridSpan w:val="2"/>
            <w:tcBorders>
              <w:top w:val="single" w:sz="8" w:space="0" w:color="FFFFFF"/>
              <w:left w:val="single" w:sz="8" w:space="0" w:color="FFFFFF"/>
              <w:bottom w:val="single" w:sz="8" w:space="0" w:color="FFFFFF"/>
              <w:right w:val="single" w:sz="8" w:space="0" w:color="FFFFFF"/>
            </w:tcBorders>
            <w:shd w:val="clear" w:color="000000" w:fill="5B9BD5"/>
            <w:vAlign w:val="center"/>
            <w:hideMark/>
          </w:tcPr>
          <w:p w14:paraId="6BBBFA3F" w14:textId="2B880B01" w:rsidR="00935E21" w:rsidRPr="00ED5BF5" w:rsidRDefault="00935E21" w:rsidP="00741A2F">
            <w:pPr>
              <w:spacing w:after="0" w:line="240" w:lineRule="auto"/>
              <w:rPr>
                <w:rFonts w:ascii="Calibri" w:eastAsia="Times New Roman" w:hAnsi="Calibri" w:cs="Calibri"/>
                <w:b/>
                <w:bCs/>
                <w:color w:val="000000"/>
                <w:sz w:val="20"/>
                <w:szCs w:val="20"/>
                <w:lang w:eastAsia="en-GB"/>
              </w:rPr>
            </w:pPr>
            <w:r w:rsidRPr="00ED5BF5">
              <w:rPr>
                <w:rFonts w:ascii="Calibri" w:eastAsia="Times New Roman" w:hAnsi="Calibri" w:cs="Calibri"/>
                <w:b/>
                <w:bCs/>
                <w:color w:val="000000"/>
                <w:sz w:val="20"/>
                <w:szCs w:val="20"/>
                <w:lang w:eastAsia="en-GB"/>
              </w:rPr>
              <w:t xml:space="preserve">Cost of Easing (£ billions) - each add. death = 5 QALY </w:t>
            </w:r>
            <w:r>
              <w:rPr>
                <w:rFonts w:ascii="Calibri" w:eastAsia="Times New Roman" w:hAnsi="Calibri" w:cs="Calibri"/>
                <w:b/>
                <w:bCs/>
                <w:color w:val="000000"/>
                <w:sz w:val="20"/>
                <w:szCs w:val="20"/>
                <w:lang w:eastAsia="en-GB"/>
              </w:rPr>
              <w:t xml:space="preserve">valued at </w:t>
            </w:r>
            <w:r w:rsidRPr="00ED5BF5">
              <w:rPr>
                <w:rFonts w:ascii="Calibri" w:eastAsia="Times New Roman" w:hAnsi="Calibri" w:cs="Calibri"/>
                <w:b/>
                <w:bCs/>
                <w:color w:val="000000"/>
                <w:sz w:val="20"/>
                <w:szCs w:val="20"/>
                <w:lang w:eastAsia="en-GB"/>
              </w:rPr>
              <w:t xml:space="preserve">£30,000 </w:t>
            </w:r>
          </w:p>
        </w:tc>
        <w:tc>
          <w:tcPr>
            <w:tcW w:w="1559" w:type="dxa"/>
            <w:tcBorders>
              <w:top w:val="nil"/>
              <w:left w:val="nil"/>
              <w:bottom w:val="single" w:sz="8" w:space="0" w:color="FFFFFF"/>
              <w:right w:val="single" w:sz="8" w:space="0" w:color="FFFFFF"/>
            </w:tcBorders>
            <w:shd w:val="clear" w:color="000000" w:fill="BDD6EE"/>
            <w:noWrap/>
            <w:vAlign w:val="center"/>
            <w:hideMark/>
          </w:tcPr>
          <w:p w14:paraId="257C414B" w14:textId="77777777" w:rsidR="00935E21" w:rsidRPr="00ED5BF5" w:rsidRDefault="00935E21" w:rsidP="00741A2F">
            <w:pPr>
              <w:spacing w:after="0" w:line="240" w:lineRule="auto"/>
              <w:jc w:val="center"/>
              <w:rPr>
                <w:rFonts w:ascii="Calibri" w:eastAsia="Times New Roman" w:hAnsi="Calibri" w:cs="Calibri"/>
                <w:b/>
                <w:bCs/>
                <w:color w:val="FF0000"/>
                <w:sz w:val="20"/>
                <w:szCs w:val="20"/>
                <w:lang w:eastAsia="en-GB"/>
              </w:rPr>
            </w:pPr>
            <w:r w:rsidRPr="00ED5BF5">
              <w:rPr>
                <w:rFonts w:ascii="Calibri" w:eastAsia="Times New Roman" w:hAnsi="Calibri" w:cs="Calibri"/>
                <w:b/>
                <w:bCs/>
                <w:color w:val="FF0000"/>
                <w:sz w:val="20"/>
                <w:szCs w:val="20"/>
                <w:lang w:eastAsia="en-GB"/>
              </w:rPr>
              <w:t>£0.81</w:t>
            </w:r>
          </w:p>
        </w:tc>
        <w:tc>
          <w:tcPr>
            <w:tcW w:w="1701" w:type="dxa"/>
            <w:tcBorders>
              <w:top w:val="nil"/>
              <w:left w:val="nil"/>
              <w:bottom w:val="single" w:sz="8" w:space="0" w:color="FFFFFF"/>
              <w:right w:val="single" w:sz="8" w:space="0" w:color="FFFFFF"/>
            </w:tcBorders>
            <w:shd w:val="clear" w:color="000000" w:fill="BDD6EE"/>
            <w:noWrap/>
            <w:vAlign w:val="center"/>
            <w:hideMark/>
          </w:tcPr>
          <w:p w14:paraId="2AE19E35" w14:textId="77777777" w:rsidR="00935E21" w:rsidRPr="00ED5BF5" w:rsidRDefault="00935E21" w:rsidP="00741A2F">
            <w:pPr>
              <w:spacing w:after="0" w:line="240" w:lineRule="auto"/>
              <w:jc w:val="center"/>
              <w:rPr>
                <w:rFonts w:ascii="Calibri" w:eastAsia="Times New Roman" w:hAnsi="Calibri" w:cs="Calibri"/>
                <w:b/>
                <w:bCs/>
                <w:color w:val="FF0000"/>
                <w:sz w:val="20"/>
                <w:szCs w:val="20"/>
                <w:lang w:eastAsia="en-GB"/>
              </w:rPr>
            </w:pPr>
            <w:r w:rsidRPr="00ED5BF5">
              <w:rPr>
                <w:rFonts w:ascii="Calibri" w:eastAsia="Times New Roman" w:hAnsi="Calibri" w:cs="Calibri"/>
                <w:b/>
                <w:bCs/>
                <w:color w:val="FF0000"/>
                <w:sz w:val="20"/>
                <w:szCs w:val="20"/>
                <w:lang w:eastAsia="en-GB"/>
              </w:rPr>
              <w:t>£1.97</w:t>
            </w:r>
          </w:p>
        </w:tc>
        <w:tc>
          <w:tcPr>
            <w:tcW w:w="1868" w:type="dxa"/>
            <w:tcBorders>
              <w:top w:val="nil"/>
              <w:left w:val="nil"/>
              <w:bottom w:val="single" w:sz="8" w:space="0" w:color="FFFFFF"/>
              <w:right w:val="single" w:sz="8" w:space="0" w:color="FFFFFF"/>
            </w:tcBorders>
            <w:shd w:val="clear" w:color="000000" w:fill="BDD6EE"/>
            <w:noWrap/>
            <w:vAlign w:val="center"/>
            <w:hideMark/>
          </w:tcPr>
          <w:p w14:paraId="2C7F276E" w14:textId="77777777" w:rsidR="00935E21" w:rsidRPr="00ED5BF5" w:rsidRDefault="00935E21" w:rsidP="00741A2F">
            <w:pPr>
              <w:spacing w:after="0" w:line="240" w:lineRule="auto"/>
              <w:jc w:val="center"/>
              <w:rPr>
                <w:rFonts w:ascii="Calibri" w:eastAsia="Times New Roman" w:hAnsi="Calibri" w:cs="Calibri"/>
                <w:b/>
                <w:bCs/>
                <w:color w:val="FF0000"/>
                <w:sz w:val="20"/>
                <w:szCs w:val="20"/>
                <w:lang w:eastAsia="en-GB"/>
              </w:rPr>
            </w:pPr>
            <w:r w:rsidRPr="00ED5BF5">
              <w:rPr>
                <w:rFonts w:ascii="Calibri" w:eastAsia="Times New Roman" w:hAnsi="Calibri" w:cs="Calibri"/>
                <w:b/>
                <w:bCs/>
                <w:color w:val="FF0000"/>
                <w:sz w:val="20"/>
                <w:szCs w:val="20"/>
                <w:lang w:eastAsia="en-GB"/>
              </w:rPr>
              <w:t>£6.86</w:t>
            </w:r>
          </w:p>
        </w:tc>
        <w:tc>
          <w:tcPr>
            <w:tcW w:w="1187" w:type="dxa"/>
            <w:vAlign w:val="center"/>
            <w:hideMark/>
          </w:tcPr>
          <w:p w14:paraId="25186813" w14:textId="77777777" w:rsidR="00935E21" w:rsidRPr="00ED5BF5" w:rsidRDefault="00935E21" w:rsidP="00741A2F">
            <w:pPr>
              <w:spacing w:after="0" w:line="240" w:lineRule="auto"/>
              <w:rPr>
                <w:rFonts w:ascii="Times New Roman" w:eastAsia="Times New Roman" w:hAnsi="Times New Roman" w:cs="Times New Roman"/>
                <w:sz w:val="20"/>
                <w:szCs w:val="20"/>
                <w:lang w:eastAsia="en-GB"/>
              </w:rPr>
            </w:pPr>
          </w:p>
        </w:tc>
      </w:tr>
      <w:tr w:rsidR="00935E21" w:rsidRPr="00ED5BF5" w14:paraId="22CC83AF" w14:textId="77777777" w:rsidTr="00741A2F">
        <w:trPr>
          <w:trHeight w:val="615"/>
        </w:trPr>
        <w:tc>
          <w:tcPr>
            <w:tcW w:w="3676" w:type="dxa"/>
            <w:gridSpan w:val="2"/>
            <w:tcBorders>
              <w:top w:val="single" w:sz="8" w:space="0" w:color="FFFFFF"/>
              <w:left w:val="single" w:sz="8" w:space="0" w:color="FFFFFF"/>
              <w:bottom w:val="single" w:sz="8" w:space="0" w:color="FFFFFF"/>
              <w:right w:val="single" w:sz="8" w:space="0" w:color="FFFFFF"/>
            </w:tcBorders>
            <w:shd w:val="clear" w:color="000000" w:fill="5B9BD5"/>
            <w:vAlign w:val="center"/>
            <w:hideMark/>
          </w:tcPr>
          <w:p w14:paraId="005786EB" w14:textId="06CBDFE6" w:rsidR="00935E21" w:rsidRPr="00ED5BF5" w:rsidRDefault="00935E21" w:rsidP="00741A2F">
            <w:pPr>
              <w:spacing w:after="0" w:line="240" w:lineRule="auto"/>
              <w:rPr>
                <w:rFonts w:ascii="Calibri" w:eastAsia="Times New Roman" w:hAnsi="Calibri" w:cs="Calibri"/>
                <w:b/>
                <w:bCs/>
                <w:color w:val="000000"/>
                <w:sz w:val="20"/>
                <w:szCs w:val="20"/>
                <w:lang w:eastAsia="en-GB"/>
              </w:rPr>
            </w:pPr>
            <w:r w:rsidRPr="00ED5BF5">
              <w:rPr>
                <w:rFonts w:ascii="Calibri" w:eastAsia="Times New Roman" w:hAnsi="Calibri" w:cs="Calibri"/>
                <w:b/>
                <w:bCs/>
                <w:color w:val="000000"/>
                <w:sz w:val="20"/>
                <w:szCs w:val="20"/>
                <w:lang w:eastAsia="en-GB"/>
              </w:rPr>
              <w:t>Cost of Easing</w:t>
            </w:r>
            <w:r>
              <w:rPr>
                <w:rFonts w:ascii="Calibri" w:eastAsia="Times New Roman" w:hAnsi="Calibri" w:cs="Calibri"/>
                <w:b/>
                <w:bCs/>
                <w:color w:val="000000"/>
                <w:sz w:val="20"/>
                <w:szCs w:val="20"/>
                <w:lang w:eastAsia="en-GB"/>
              </w:rPr>
              <w:t xml:space="preserve"> </w:t>
            </w:r>
            <w:r w:rsidRPr="00ED5BF5">
              <w:rPr>
                <w:rFonts w:ascii="Calibri" w:eastAsia="Times New Roman" w:hAnsi="Calibri" w:cs="Calibri"/>
                <w:b/>
                <w:bCs/>
                <w:color w:val="000000"/>
                <w:sz w:val="20"/>
                <w:szCs w:val="20"/>
                <w:lang w:eastAsia="en-GB"/>
              </w:rPr>
              <w:t xml:space="preserve">(£ </w:t>
            </w:r>
            <w:proofErr w:type="gramStart"/>
            <w:r w:rsidRPr="00ED5BF5">
              <w:rPr>
                <w:rFonts w:ascii="Calibri" w:eastAsia="Times New Roman" w:hAnsi="Calibri" w:cs="Calibri"/>
                <w:b/>
                <w:bCs/>
                <w:color w:val="000000"/>
                <w:sz w:val="20"/>
                <w:szCs w:val="20"/>
                <w:lang w:eastAsia="en-GB"/>
              </w:rPr>
              <w:t>billions)  -</w:t>
            </w:r>
            <w:proofErr w:type="gramEnd"/>
            <w:r w:rsidRPr="00ED5BF5">
              <w:rPr>
                <w:rFonts w:ascii="Calibri" w:eastAsia="Times New Roman" w:hAnsi="Calibri" w:cs="Calibri"/>
                <w:b/>
                <w:bCs/>
                <w:color w:val="000000"/>
                <w:sz w:val="20"/>
                <w:szCs w:val="20"/>
                <w:lang w:eastAsia="en-GB"/>
              </w:rPr>
              <w:t xml:space="preserve"> each add. death = 10 QALY </w:t>
            </w:r>
            <w:r>
              <w:rPr>
                <w:rFonts w:ascii="Calibri" w:eastAsia="Times New Roman" w:hAnsi="Calibri" w:cs="Calibri"/>
                <w:b/>
                <w:bCs/>
                <w:color w:val="000000"/>
                <w:sz w:val="20"/>
                <w:szCs w:val="20"/>
                <w:lang w:eastAsia="en-GB"/>
              </w:rPr>
              <w:t xml:space="preserve">valued at </w:t>
            </w:r>
            <w:r w:rsidRPr="00ED5BF5">
              <w:rPr>
                <w:rFonts w:ascii="Calibri" w:eastAsia="Times New Roman" w:hAnsi="Calibri" w:cs="Calibri"/>
                <w:b/>
                <w:bCs/>
                <w:color w:val="000000"/>
                <w:sz w:val="20"/>
                <w:szCs w:val="20"/>
                <w:lang w:eastAsia="en-GB"/>
              </w:rPr>
              <w:t xml:space="preserve">£30,000 </w:t>
            </w:r>
          </w:p>
        </w:tc>
        <w:tc>
          <w:tcPr>
            <w:tcW w:w="1559" w:type="dxa"/>
            <w:tcBorders>
              <w:top w:val="nil"/>
              <w:left w:val="nil"/>
              <w:bottom w:val="nil"/>
              <w:right w:val="single" w:sz="8" w:space="0" w:color="FFFFFF"/>
            </w:tcBorders>
            <w:shd w:val="clear" w:color="000000" w:fill="DEEAF6"/>
            <w:noWrap/>
            <w:vAlign w:val="center"/>
            <w:hideMark/>
          </w:tcPr>
          <w:p w14:paraId="38DF84B1" w14:textId="77777777" w:rsidR="00935E21" w:rsidRPr="00ED5BF5" w:rsidRDefault="00935E21" w:rsidP="00741A2F">
            <w:pPr>
              <w:spacing w:after="0" w:line="240" w:lineRule="auto"/>
              <w:jc w:val="center"/>
              <w:rPr>
                <w:rFonts w:ascii="Calibri" w:eastAsia="Times New Roman" w:hAnsi="Calibri" w:cs="Calibri"/>
                <w:b/>
                <w:bCs/>
                <w:color w:val="FF0000"/>
                <w:sz w:val="20"/>
                <w:szCs w:val="20"/>
                <w:lang w:eastAsia="en-GB"/>
              </w:rPr>
            </w:pPr>
            <w:r w:rsidRPr="00ED5BF5">
              <w:rPr>
                <w:rFonts w:ascii="Calibri" w:eastAsia="Times New Roman" w:hAnsi="Calibri" w:cs="Calibri"/>
                <w:b/>
                <w:bCs/>
                <w:color w:val="FF0000"/>
                <w:sz w:val="20"/>
                <w:szCs w:val="20"/>
                <w:lang w:eastAsia="en-GB"/>
              </w:rPr>
              <w:t>£1.62</w:t>
            </w:r>
          </w:p>
        </w:tc>
        <w:tc>
          <w:tcPr>
            <w:tcW w:w="1701" w:type="dxa"/>
            <w:tcBorders>
              <w:top w:val="nil"/>
              <w:left w:val="nil"/>
              <w:bottom w:val="nil"/>
              <w:right w:val="single" w:sz="8" w:space="0" w:color="FFFFFF"/>
            </w:tcBorders>
            <w:shd w:val="clear" w:color="000000" w:fill="DEEAF6"/>
            <w:noWrap/>
            <w:vAlign w:val="center"/>
            <w:hideMark/>
          </w:tcPr>
          <w:p w14:paraId="71F2514B" w14:textId="77777777" w:rsidR="00935E21" w:rsidRPr="00ED5BF5" w:rsidRDefault="00935E21" w:rsidP="00741A2F">
            <w:pPr>
              <w:spacing w:after="0" w:line="240" w:lineRule="auto"/>
              <w:jc w:val="center"/>
              <w:rPr>
                <w:rFonts w:ascii="Calibri" w:eastAsia="Times New Roman" w:hAnsi="Calibri" w:cs="Calibri"/>
                <w:b/>
                <w:bCs/>
                <w:color w:val="FF0000"/>
                <w:sz w:val="20"/>
                <w:szCs w:val="20"/>
                <w:lang w:eastAsia="en-GB"/>
              </w:rPr>
            </w:pPr>
            <w:r w:rsidRPr="00ED5BF5">
              <w:rPr>
                <w:rFonts w:ascii="Calibri" w:eastAsia="Times New Roman" w:hAnsi="Calibri" w:cs="Calibri"/>
                <w:b/>
                <w:bCs/>
                <w:color w:val="FF0000"/>
                <w:sz w:val="20"/>
                <w:szCs w:val="20"/>
                <w:lang w:eastAsia="en-GB"/>
              </w:rPr>
              <w:t>£3.94</w:t>
            </w:r>
          </w:p>
        </w:tc>
        <w:tc>
          <w:tcPr>
            <w:tcW w:w="1868" w:type="dxa"/>
            <w:tcBorders>
              <w:top w:val="nil"/>
              <w:left w:val="nil"/>
              <w:bottom w:val="nil"/>
              <w:right w:val="single" w:sz="8" w:space="0" w:color="FFFFFF"/>
            </w:tcBorders>
            <w:shd w:val="clear" w:color="000000" w:fill="DEEAF6"/>
            <w:noWrap/>
            <w:vAlign w:val="center"/>
            <w:hideMark/>
          </w:tcPr>
          <w:p w14:paraId="78258E0C" w14:textId="77777777" w:rsidR="00935E21" w:rsidRPr="00ED5BF5" w:rsidRDefault="00935E21" w:rsidP="00741A2F">
            <w:pPr>
              <w:spacing w:after="0" w:line="240" w:lineRule="auto"/>
              <w:jc w:val="center"/>
              <w:rPr>
                <w:rFonts w:ascii="Calibri" w:eastAsia="Times New Roman" w:hAnsi="Calibri" w:cs="Calibri"/>
                <w:b/>
                <w:bCs/>
                <w:color w:val="FF0000"/>
                <w:sz w:val="20"/>
                <w:szCs w:val="20"/>
                <w:lang w:eastAsia="en-GB"/>
              </w:rPr>
            </w:pPr>
            <w:r w:rsidRPr="00ED5BF5">
              <w:rPr>
                <w:rFonts w:ascii="Calibri" w:eastAsia="Times New Roman" w:hAnsi="Calibri" w:cs="Calibri"/>
                <w:b/>
                <w:bCs/>
                <w:color w:val="FF0000"/>
                <w:sz w:val="20"/>
                <w:szCs w:val="20"/>
                <w:lang w:eastAsia="en-GB"/>
              </w:rPr>
              <w:t>£13.73</w:t>
            </w:r>
          </w:p>
        </w:tc>
        <w:tc>
          <w:tcPr>
            <w:tcW w:w="1187" w:type="dxa"/>
            <w:vAlign w:val="center"/>
            <w:hideMark/>
          </w:tcPr>
          <w:p w14:paraId="53C76076" w14:textId="77777777" w:rsidR="00935E21" w:rsidRPr="00ED5BF5" w:rsidRDefault="00935E21" w:rsidP="00741A2F">
            <w:pPr>
              <w:spacing w:after="0" w:line="240" w:lineRule="auto"/>
              <w:rPr>
                <w:rFonts w:ascii="Times New Roman" w:eastAsia="Times New Roman" w:hAnsi="Times New Roman" w:cs="Times New Roman"/>
                <w:sz w:val="20"/>
                <w:szCs w:val="20"/>
                <w:lang w:eastAsia="en-GB"/>
              </w:rPr>
            </w:pPr>
          </w:p>
        </w:tc>
      </w:tr>
    </w:tbl>
    <w:p w14:paraId="562462CD" w14:textId="4E3245B3" w:rsidR="000364FB" w:rsidRPr="002209F8" w:rsidRDefault="00741A2F" w:rsidP="0047328D">
      <w:pPr>
        <w:spacing w:line="240" w:lineRule="auto"/>
        <w:rPr>
          <w:sz w:val="20"/>
          <w:szCs w:val="20"/>
        </w:rPr>
      </w:pPr>
      <w:r w:rsidRPr="002209F8">
        <w:rPr>
          <w:sz w:val="20"/>
          <w:szCs w:val="20"/>
        </w:rPr>
        <w:t xml:space="preserve">Deaths </w:t>
      </w:r>
      <w:r w:rsidR="000364FB" w:rsidRPr="002209F8">
        <w:rPr>
          <w:sz w:val="20"/>
          <w:szCs w:val="20"/>
        </w:rPr>
        <w:t xml:space="preserve">are assumed to evolve week by week from the level in the week ending 12 June (1230) by a factor 0.7; 0.9; 1.0; 1.15 for the lockdown and scenarios </w:t>
      </w:r>
      <w:r w:rsidR="00E77895" w:rsidRPr="002209F8">
        <w:rPr>
          <w:sz w:val="20"/>
          <w:szCs w:val="20"/>
        </w:rPr>
        <w:t>i</w:t>
      </w:r>
      <w:r w:rsidR="000364FB" w:rsidRPr="002209F8">
        <w:rPr>
          <w:sz w:val="20"/>
          <w:szCs w:val="20"/>
        </w:rPr>
        <w:t>, ii and ii respectively.</w:t>
      </w:r>
    </w:p>
    <w:p w14:paraId="79A8CC8D" w14:textId="77777777" w:rsidR="0047328D" w:rsidRDefault="0047328D" w:rsidP="0047328D">
      <w:pPr>
        <w:spacing w:line="240" w:lineRule="auto"/>
      </w:pPr>
    </w:p>
    <w:p w14:paraId="631307B7" w14:textId="6B814AA5" w:rsidR="00556DD4" w:rsidRDefault="00556DD4" w:rsidP="00556DD4">
      <w:r>
        <w:t xml:space="preserve">Figure 5 presents the same information in a slightly different way, calculating the net costs of an extension of the lockdown relative to a policy of immediate easing. </w:t>
      </w:r>
      <w:r w:rsidR="0019049E">
        <w:t>To be clear what we are comparing here is the costs and benefits over a three months period. The two alternative</w:t>
      </w:r>
      <w:r w:rsidR="008E224B">
        <w:t xml:space="preserve"> strategies</w:t>
      </w:r>
      <w:r w:rsidR="0019049E">
        <w:t xml:space="preserve"> would leave the country in different positions </w:t>
      </w:r>
      <w:r w:rsidR="008E224B">
        <w:t xml:space="preserve">at the end of three months </w:t>
      </w:r>
      <w:r w:rsidR="0019049E">
        <w:t xml:space="preserve">– under no change to </w:t>
      </w:r>
      <w:r w:rsidR="008E224B">
        <w:t xml:space="preserve">the </w:t>
      </w:r>
      <w:r w:rsidR="0019049E">
        <w:t xml:space="preserve">lockdown the scenario </w:t>
      </w:r>
      <w:r w:rsidR="008E224B">
        <w:t xml:space="preserve">is </w:t>
      </w:r>
      <w:r w:rsidR="0019049E">
        <w:t xml:space="preserve">one with low deaths and low numbers of people </w:t>
      </w:r>
      <w:r w:rsidR="008E224B">
        <w:t xml:space="preserve">currently </w:t>
      </w:r>
      <w:r w:rsidR="0019049E">
        <w:t>infected</w:t>
      </w:r>
      <w:r w:rsidR="002209F8">
        <w:t xml:space="preserve"> at the end of three months</w:t>
      </w:r>
      <w:r w:rsidR="0019049E">
        <w:t xml:space="preserve">. Under the alternative scenarios the current </w:t>
      </w:r>
      <w:r w:rsidR="002209F8">
        <w:t>numbers o</w:t>
      </w:r>
      <w:r w:rsidR="0019049E">
        <w:t xml:space="preserve">f those infected </w:t>
      </w:r>
      <w:r w:rsidR="002209F8">
        <w:t xml:space="preserve">at the end of three months </w:t>
      </w:r>
      <w:r w:rsidR="0019049E">
        <w:t>would be greater (and under the worse scenario would be growing).</w:t>
      </w:r>
      <w:r w:rsidR="008E224B">
        <w:t xml:space="preserve"> If it was obvious that starting from the first scenario </w:t>
      </w:r>
      <w:r w:rsidR="002209F8">
        <w:t xml:space="preserve">three months ahead </w:t>
      </w:r>
      <w:r w:rsidR="008E224B">
        <w:t xml:space="preserve">(continued lockdown) was </w:t>
      </w:r>
      <w:r w:rsidR="0083357B">
        <w:t>clearly</w:t>
      </w:r>
      <w:r w:rsidR="008E224B">
        <w:t xml:space="preserve"> better than the scenarios where more people were infected (the three easing scenarios) then it would not be a complete analysis to just focus on costs and benefits over the first three months. </w:t>
      </w:r>
      <w:r w:rsidR="0019049E">
        <w:t xml:space="preserve">  </w:t>
      </w:r>
      <w:r w:rsidR="008E224B">
        <w:t>But in</w:t>
      </w:r>
      <w:r w:rsidR="00C93229">
        <w:t xml:space="preserve"> </w:t>
      </w:r>
      <w:proofErr w:type="gramStart"/>
      <w:r w:rsidR="008E224B">
        <w:t>fact</w:t>
      </w:r>
      <w:proofErr w:type="gramEnd"/>
      <w:r w:rsidR="008E224B">
        <w:t xml:space="preserve"> it is not obvious that starting from lockdown </w:t>
      </w:r>
      <w:r w:rsidR="002209F8">
        <w:t xml:space="preserve">three months ahead </w:t>
      </w:r>
      <w:r w:rsidR="008E224B">
        <w:t xml:space="preserve">with low numbers infected is better. The numbers of people who had </w:t>
      </w:r>
      <w:r w:rsidR="008E224B" w:rsidRPr="008E224B">
        <w:rPr>
          <w:i/>
        </w:rPr>
        <w:t xml:space="preserve">ever </w:t>
      </w:r>
      <w:r w:rsidR="008E224B">
        <w:t xml:space="preserve">been infected would be lower than under the other scenarios and so the susceptible population would be greater so that the impact of </w:t>
      </w:r>
      <w:r w:rsidR="008E224B" w:rsidRPr="008E224B">
        <w:rPr>
          <w:i/>
        </w:rPr>
        <w:t>then</w:t>
      </w:r>
      <w:r w:rsidR="008E224B">
        <w:t xml:space="preserve"> easing restrictions, in the absence of a vaccine, would be worse.  </w:t>
      </w:r>
    </w:p>
    <w:p w14:paraId="1AE48ADF" w14:textId="75C8C8D3" w:rsidR="00935E21" w:rsidRDefault="0083357B" w:rsidP="00935E21">
      <w:r>
        <w:t>Once</w:t>
      </w:r>
      <w:r w:rsidR="00C93229">
        <w:t xml:space="preserve"> </w:t>
      </w:r>
      <w:proofErr w:type="gramStart"/>
      <w:r>
        <w:t>again</w:t>
      </w:r>
      <w:proofErr w:type="gramEnd"/>
      <w:r>
        <w:t xml:space="preserve"> we stress that the favourable assessment of easing restrictions versus continuing with a blanket lockdown is conditional on an assumption about the value of potential extra year</w:t>
      </w:r>
      <w:r w:rsidR="00C93229">
        <w:t>s</w:t>
      </w:r>
      <w:r>
        <w:t xml:space="preserve"> o</w:t>
      </w:r>
      <w:r w:rsidR="00C93229">
        <w:t>f</w:t>
      </w:r>
      <w:r>
        <w:t xml:space="preserve"> life. But it would take a valuation of extra possible years of life massively higher than that used to guide public health decisions in the UK to mean that a continuation of lockdown plausibly looked the better strategy. </w:t>
      </w:r>
    </w:p>
    <w:p w14:paraId="0242895F" w14:textId="77777777" w:rsidR="000364FB" w:rsidRDefault="000364FB" w:rsidP="00935E21"/>
    <w:p w14:paraId="6484131C" w14:textId="545E8301" w:rsidR="00963803" w:rsidRDefault="002B1E8F" w:rsidP="00935E21">
      <w:pPr>
        <w:rPr>
          <w:b/>
        </w:rPr>
      </w:pPr>
      <w:r>
        <w:rPr>
          <w:noProof/>
        </w:rPr>
        <w:lastRenderedPageBreak/>
        <w:drawing>
          <wp:inline distT="0" distB="0" distL="0" distR="0" wp14:anchorId="76BD4F21" wp14:editId="71F78532">
            <wp:extent cx="5730239" cy="2727960"/>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5315" cy="2730376"/>
                    </a:xfrm>
                    <a:prstGeom prst="rect">
                      <a:avLst/>
                    </a:prstGeom>
                    <a:noFill/>
                    <a:ln>
                      <a:noFill/>
                    </a:ln>
                  </pic:spPr>
                </pic:pic>
              </a:graphicData>
            </a:graphic>
          </wp:inline>
        </w:drawing>
      </w:r>
    </w:p>
    <w:p w14:paraId="10B61FB7" w14:textId="5FAE0FD7" w:rsidR="000F506F" w:rsidRPr="007A1094" w:rsidRDefault="000F506F" w:rsidP="000F506F">
      <w:pPr>
        <w:spacing w:line="240" w:lineRule="auto"/>
        <w:rPr>
          <w:sz w:val="20"/>
          <w:szCs w:val="20"/>
        </w:rPr>
      </w:pPr>
      <w:r w:rsidRPr="007A1094">
        <w:rPr>
          <w:b/>
          <w:sz w:val="20"/>
          <w:szCs w:val="20"/>
        </w:rPr>
        <w:t>Figure 5</w:t>
      </w:r>
      <w:r w:rsidRPr="007A1094">
        <w:rPr>
          <w:sz w:val="20"/>
          <w:szCs w:val="20"/>
        </w:rPr>
        <w:t xml:space="preserve">: The </w:t>
      </w:r>
      <w:r w:rsidRPr="007A1094">
        <w:rPr>
          <w:b/>
          <w:sz w:val="20"/>
          <w:szCs w:val="20"/>
        </w:rPr>
        <w:t>net</w:t>
      </w:r>
      <w:r w:rsidRPr="007A1094">
        <w:rPr>
          <w:sz w:val="20"/>
          <w:szCs w:val="20"/>
        </w:rPr>
        <w:t xml:space="preserve"> extra economic costs of the lockdown relative to easing of restrictions is assumed to be £100 billion.  To that is added the cost of lives lost under lockdown. The benefits of lives not lost, relative to the easing of restrictions, is then deducted from the lockdown costs to generate a net cost figure under the three scenar</w:t>
      </w:r>
      <w:r w:rsidR="007A1094">
        <w:rPr>
          <w:sz w:val="20"/>
          <w:szCs w:val="20"/>
        </w:rPr>
        <w:t>ios. The easing scenarios are: i</w:t>
      </w:r>
      <w:r w:rsidRPr="007A1094">
        <w:rPr>
          <w:sz w:val="20"/>
          <w:szCs w:val="20"/>
        </w:rPr>
        <w:t>) deaths still decline but slower than in Lockdown</w:t>
      </w:r>
      <w:r w:rsidR="007A1094">
        <w:rPr>
          <w:sz w:val="20"/>
          <w:szCs w:val="20"/>
        </w:rPr>
        <w:t>, ii</w:t>
      </w:r>
      <w:r w:rsidRPr="007A1094">
        <w:rPr>
          <w:sz w:val="20"/>
          <w:szCs w:val="20"/>
        </w:rPr>
        <w:t>) deaths remain at</w:t>
      </w:r>
      <w:r w:rsidR="00E77895">
        <w:rPr>
          <w:sz w:val="20"/>
          <w:szCs w:val="20"/>
        </w:rPr>
        <w:t xml:space="preserve"> </w:t>
      </w:r>
      <w:r w:rsidR="007A1094">
        <w:rPr>
          <w:sz w:val="20"/>
          <w:szCs w:val="20"/>
        </w:rPr>
        <w:t xml:space="preserve">start June 2020 </w:t>
      </w:r>
      <w:r w:rsidRPr="007A1094">
        <w:rPr>
          <w:sz w:val="20"/>
          <w:szCs w:val="20"/>
        </w:rPr>
        <w:t xml:space="preserve">levels </w:t>
      </w:r>
      <w:r w:rsidR="007A1094">
        <w:rPr>
          <w:sz w:val="20"/>
          <w:szCs w:val="20"/>
        </w:rPr>
        <w:t>iii</w:t>
      </w:r>
      <w:r w:rsidRPr="007A1094">
        <w:rPr>
          <w:sz w:val="20"/>
          <w:szCs w:val="20"/>
        </w:rPr>
        <w:t xml:space="preserve">) deaths increase again back up to April </w:t>
      </w:r>
      <w:r w:rsidR="007A1094">
        <w:rPr>
          <w:sz w:val="20"/>
          <w:szCs w:val="20"/>
        </w:rPr>
        <w:t xml:space="preserve">2020 peak </w:t>
      </w:r>
      <w:r w:rsidRPr="007A1094">
        <w:rPr>
          <w:sz w:val="20"/>
          <w:szCs w:val="20"/>
        </w:rPr>
        <w:t>levels. The equivalent cost/QALY is calculated by dividing the Lockdown costs (£100 billion) by the net number of lives not lost in that scenario times the number of QALYs for each death.</w:t>
      </w:r>
    </w:p>
    <w:p w14:paraId="5A75693F" w14:textId="5911BDD8" w:rsidR="000F506F" w:rsidRDefault="000F506F" w:rsidP="00935E21">
      <w:pPr>
        <w:rPr>
          <w:b/>
        </w:rPr>
      </w:pPr>
    </w:p>
    <w:p w14:paraId="18ACF46B" w14:textId="3E296465" w:rsidR="0083357B" w:rsidRDefault="0083357B" w:rsidP="00935E21">
      <w:pPr>
        <w:rPr>
          <w:b/>
        </w:rPr>
      </w:pPr>
    </w:p>
    <w:p w14:paraId="54FD4105" w14:textId="77777777" w:rsidR="0083357B" w:rsidRDefault="0083357B" w:rsidP="00935E21">
      <w:pPr>
        <w:rPr>
          <w:b/>
        </w:rPr>
      </w:pPr>
    </w:p>
    <w:p w14:paraId="5E138987" w14:textId="54360150" w:rsidR="00935E21" w:rsidRPr="00C757CF" w:rsidRDefault="00935E21" w:rsidP="00935E21">
      <w:pPr>
        <w:rPr>
          <w:b/>
        </w:rPr>
      </w:pPr>
      <w:r w:rsidRPr="00C757CF">
        <w:rPr>
          <w:b/>
        </w:rPr>
        <w:t>Conclusion</w:t>
      </w:r>
      <w:r w:rsidR="0083357B">
        <w:rPr>
          <w:b/>
        </w:rPr>
        <w:t>s</w:t>
      </w:r>
      <w:r w:rsidRPr="00C757CF">
        <w:rPr>
          <w:b/>
        </w:rPr>
        <w:t xml:space="preserve">. </w:t>
      </w:r>
    </w:p>
    <w:p w14:paraId="77316B4C" w14:textId="1DC88024" w:rsidR="007A1094" w:rsidRDefault="003B06C0" w:rsidP="00935E21">
      <w:r>
        <w:t xml:space="preserve">We find that the costs of </w:t>
      </w:r>
      <w:r w:rsidR="002209F8">
        <w:t>the three</w:t>
      </w:r>
      <w:r w:rsidR="00A41A0E">
        <w:t>-</w:t>
      </w:r>
      <w:r w:rsidR="002209F8">
        <w:t xml:space="preserve">month </w:t>
      </w:r>
      <w:r>
        <w:t>lockdown</w:t>
      </w:r>
      <w:r w:rsidR="007A1094">
        <w:t xml:space="preserve"> in the UK</w:t>
      </w:r>
      <w:r>
        <w:t xml:space="preserve"> are </w:t>
      </w:r>
      <w:r w:rsidR="00A41A0E">
        <w:t xml:space="preserve">likely to have been high </w:t>
      </w:r>
      <w:r>
        <w:t xml:space="preserve">relative to benefits </w:t>
      </w:r>
      <w:r w:rsidR="00A41A0E">
        <w:t xml:space="preserve">so </w:t>
      </w:r>
      <w:r>
        <w:t>that a continuation of severe restrictions is unlikely to be warranted. T</w:t>
      </w:r>
      <w:r w:rsidR="00935E21">
        <w:t>here is a need to normalise how we view COVID</w:t>
      </w:r>
      <w:r w:rsidR="007A1094">
        <w:t>-19</w:t>
      </w:r>
      <w:r w:rsidR="00935E21">
        <w:t xml:space="preserve"> because its costs and risks are comparable to other health problems (such as cancer, heart problems, diabetes) where governments have made resource decisions for decades. Treating possible future COVID</w:t>
      </w:r>
      <w:r w:rsidR="007A1094">
        <w:t>-19</w:t>
      </w:r>
      <w:r w:rsidR="00935E21">
        <w:t xml:space="preserve"> deaths as if </w:t>
      </w:r>
      <w:r w:rsidR="00A41A0E">
        <w:t xml:space="preserve">little </w:t>
      </w:r>
      <w:r w:rsidR="00935E21">
        <w:t>else matters is going to lead to bad outcomes. Good decision making does not mean paying little attention to the collateral damage that comes from responding to a worst case COVID</w:t>
      </w:r>
      <w:r w:rsidR="007A1094">
        <w:t>-19</w:t>
      </w:r>
      <w:r w:rsidR="00935E21">
        <w:t xml:space="preserve"> scenario. </w:t>
      </w:r>
    </w:p>
    <w:p w14:paraId="2E8FE293" w14:textId="2FE89F86" w:rsidR="00935E21" w:rsidRDefault="00935E21" w:rsidP="00935E21">
      <w:r>
        <w:t>The lockdown is a public health policy and we have valued its impact using the tools that guide health care decision</w:t>
      </w:r>
      <w:r w:rsidR="007061E7">
        <w:t>s</w:t>
      </w:r>
      <w:r>
        <w:t xml:space="preserve"> in the UK public health system. On that basis,</w:t>
      </w:r>
      <w:r w:rsidR="00426F1D">
        <w:t xml:space="preserve"> </w:t>
      </w:r>
      <w:r>
        <w:t>and taking a wide range of scenarios of costs and benefits of severe restrictions, we find th</w:t>
      </w:r>
      <w:r w:rsidR="00B4056C">
        <w:t xml:space="preserve">at having extended the lockdown for as long as three months </w:t>
      </w:r>
      <w:r w:rsidR="00A41A0E">
        <w:t xml:space="preserve">is likely to have </w:t>
      </w:r>
      <w:r>
        <w:t>generate</w:t>
      </w:r>
      <w:r w:rsidR="00A41A0E">
        <w:t>d</w:t>
      </w:r>
      <w:r>
        <w:t xml:space="preserve"> </w:t>
      </w:r>
      <w:r w:rsidR="000F506F">
        <w:t>costs that are greater</w:t>
      </w:r>
      <w:r w:rsidR="00A41A0E">
        <w:t xml:space="preserve"> </w:t>
      </w:r>
      <w:r>
        <w:t xml:space="preserve">than likely </w:t>
      </w:r>
      <w:r w:rsidR="000F506F">
        <w:t>benefits</w:t>
      </w:r>
      <w:r>
        <w:t xml:space="preserve">. </w:t>
      </w:r>
    </w:p>
    <w:p w14:paraId="09073BFD" w14:textId="668578F4" w:rsidR="00322724" w:rsidRDefault="00322724" w:rsidP="00322724">
      <w:r>
        <w:t>Weighing up costs and benefits of maintaining general and severe restrictions is necessary. That is how decisions over a wide range of public policy issues are made – many directly concerning public health issues. While there are inevitably risks in easing restrictions there are very clear costs in not doing so - a policy of “let’s wait until things are clearer” is not reliably prudent.</w:t>
      </w:r>
    </w:p>
    <w:p w14:paraId="75951839" w14:textId="3C9860AC" w:rsidR="00322724" w:rsidRDefault="00322724" w:rsidP="00322724">
      <w:r>
        <w:t xml:space="preserve">We find that a movement away from blanket restrictions that bring large, lasting and widespread costs and towards measures targeted specifically at groups most at risk offers is now prudent. </w:t>
      </w:r>
      <w:r w:rsidR="00E77895">
        <w:t>S</w:t>
      </w:r>
      <w:r>
        <w:t xml:space="preserve">uch a policy should </w:t>
      </w:r>
      <w:r w:rsidR="00E77895">
        <w:t xml:space="preserve">probably </w:t>
      </w:r>
      <w:r>
        <w:t xml:space="preserve">have been started </w:t>
      </w:r>
      <w:r w:rsidR="007A1094">
        <w:t xml:space="preserve">before </w:t>
      </w:r>
      <w:r w:rsidR="00B4056C">
        <w:t xml:space="preserve">the end of </w:t>
      </w:r>
      <w:r w:rsidR="007A1094">
        <w:t>June 2020</w:t>
      </w:r>
      <w:r w:rsidR="00B4056C">
        <w:t xml:space="preserve">. </w:t>
      </w:r>
    </w:p>
    <w:p w14:paraId="625E3CFA" w14:textId="4B1275E7" w:rsidR="00B87F0D" w:rsidRPr="00723731" w:rsidRDefault="00935E21">
      <w:pPr>
        <w:rPr>
          <w:b/>
          <w:sz w:val="24"/>
          <w:szCs w:val="24"/>
        </w:rPr>
      </w:pPr>
      <w:r>
        <w:rPr>
          <w:b/>
          <w:sz w:val="24"/>
          <w:szCs w:val="24"/>
        </w:rPr>
        <w:lastRenderedPageBreak/>
        <w:t>R</w:t>
      </w:r>
      <w:r w:rsidR="00B87F0D" w:rsidRPr="00723731">
        <w:rPr>
          <w:b/>
          <w:sz w:val="24"/>
          <w:szCs w:val="24"/>
        </w:rPr>
        <w:t>eferences:</w:t>
      </w:r>
    </w:p>
    <w:p w14:paraId="2181845D" w14:textId="6ACE7A93" w:rsidR="009D5627" w:rsidRDefault="00E37D4D" w:rsidP="00B835A6">
      <w:pPr>
        <w:spacing w:after="120" w:line="240" w:lineRule="auto"/>
        <w:rPr>
          <w:rFonts w:ascii="Calibri" w:hAnsi="Calibri" w:cs="Calibri"/>
          <w:color w:val="202020"/>
          <w:sz w:val="20"/>
          <w:szCs w:val="20"/>
        </w:rPr>
      </w:pPr>
      <w:r>
        <w:rPr>
          <w:rFonts w:ascii="Calibri" w:hAnsi="Calibri" w:cs="Calibri"/>
          <w:color w:val="202020"/>
          <w:sz w:val="20"/>
          <w:szCs w:val="20"/>
        </w:rPr>
        <w:t xml:space="preserve">Adler, M (2020), </w:t>
      </w:r>
      <w:proofErr w:type="gramStart"/>
      <w:r>
        <w:rPr>
          <w:rFonts w:ascii="Calibri" w:hAnsi="Calibri" w:cs="Calibri"/>
          <w:color w:val="202020"/>
          <w:sz w:val="20"/>
          <w:szCs w:val="20"/>
        </w:rPr>
        <w:t xml:space="preserve">“ </w:t>
      </w:r>
      <w:r>
        <w:t>What</w:t>
      </w:r>
      <w:proofErr w:type="gramEnd"/>
      <w:r>
        <w:t xml:space="preserve"> should we spend to save lives in a pandemic? A critique of the value of statistical life</w:t>
      </w:r>
      <w:proofErr w:type="gramStart"/>
      <w:r w:rsidR="00411EAB">
        <w:t>”</w:t>
      </w:r>
      <w:r>
        <w:t xml:space="preserve">,  </w:t>
      </w:r>
      <w:proofErr w:type="spellStart"/>
      <w:r w:rsidRPr="00E37D4D">
        <w:rPr>
          <w:b/>
        </w:rPr>
        <w:t>Covid</w:t>
      </w:r>
      <w:proofErr w:type="spellEnd"/>
      <w:proofErr w:type="gramEnd"/>
      <w:r w:rsidRPr="00E37D4D">
        <w:rPr>
          <w:b/>
        </w:rPr>
        <w:t xml:space="preserve"> Economics</w:t>
      </w:r>
      <w:r>
        <w:t>, issue 33. (June).</w:t>
      </w:r>
    </w:p>
    <w:p w14:paraId="69D3A785" w14:textId="63A73AA4" w:rsidR="00D94493" w:rsidRPr="00531D2A" w:rsidRDefault="00D94493" w:rsidP="00B835A6">
      <w:pPr>
        <w:spacing w:after="120" w:line="240" w:lineRule="auto"/>
        <w:rPr>
          <w:rFonts w:ascii="Calibri" w:hAnsi="Calibri" w:cs="Calibri"/>
          <w:color w:val="202020"/>
          <w:sz w:val="20"/>
          <w:szCs w:val="20"/>
        </w:rPr>
      </w:pPr>
      <w:proofErr w:type="spellStart"/>
      <w:r w:rsidRPr="00531D2A">
        <w:rPr>
          <w:rFonts w:ascii="Calibri" w:hAnsi="Calibri" w:cs="Calibri"/>
          <w:color w:val="202020"/>
          <w:sz w:val="20"/>
          <w:szCs w:val="20"/>
        </w:rPr>
        <w:t>Sangmin</w:t>
      </w:r>
      <w:proofErr w:type="spellEnd"/>
      <w:r w:rsidRPr="00531D2A">
        <w:rPr>
          <w:rFonts w:ascii="Calibri" w:hAnsi="Calibri" w:cs="Calibri"/>
          <w:color w:val="202020"/>
          <w:sz w:val="20"/>
          <w:szCs w:val="20"/>
        </w:rPr>
        <w:t xml:space="preserve"> </w:t>
      </w:r>
      <w:proofErr w:type="spellStart"/>
      <w:r w:rsidRPr="00531D2A">
        <w:rPr>
          <w:rFonts w:ascii="Calibri" w:hAnsi="Calibri" w:cs="Calibri"/>
          <w:color w:val="202020"/>
          <w:sz w:val="20"/>
          <w:szCs w:val="20"/>
        </w:rPr>
        <w:t>Aum</w:t>
      </w:r>
      <w:proofErr w:type="spellEnd"/>
      <w:r w:rsidRPr="00531D2A">
        <w:rPr>
          <w:rFonts w:ascii="Calibri" w:hAnsi="Calibri" w:cs="Calibri"/>
          <w:color w:val="202020"/>
          <w:sz w:val="20"/>
          <w:szCs w:val="20"/>
        </w:rPr>
        <w:t xml:space="preserve">, Sang Yoon (Tim) Lee, </w:t>
      </w:r>
      <w:proofErr w:type="spellStart"/>
      <w:r w:rsidRPr="00531D2A">
        <w:rPr>
          <w:rFonts w:ascii="Calibri" w:hAnsi="Calibri" w:cs="Calibri"/>
          <w:color w:val="202020"/>
          <w:sz w:val="20"/>
          <w:szCs w:val="20"/>
        </w:rPr>
        <w:t>Yongseok</w:t>
      </w:r>
      <w:proofErr w:type="spellEnd"/>
      <w:r w:rsidRPr="00531D2A">
        <w:rPr>
          <w:rFonts w:ascii="Calibri" w:hAnsi="Calibri" w:cs="Calibri"/>
          <w:color w:val="202020"/>
          <w:sz w:val="20"/>
          <w:szCs w:val="20"/>
        </w:rPr>
        <w:t xml:space="preserve"> Shin (2020), </w:t>
      </w:r>
      <w:r w:rsidRPr="00531D2A">
        <w:rPr>
          <w:rFonts w:ascii="Calibri" w:hAnsi="Calibri" w:cs="Calibri"/>
          <w:sz w:val="20"/>
          <w:szCs w:val="20"/>
        </w:rPr>
        <w:t xml:space="preserve"> </w:t>
      </w:r>
      <w:hyperlink r:id="rId19" w:history="1">
        <w:r w:rsidRPr="00411EAB">
          <w:rPr>
            <w:rStyle w:val="Hyperlink"/>
            <w:rFonts w:ascii="Calibri" w:hAnsi="Calibri" w:cs="Calibri"/>
            <w:color w:val="auto"/>
            <w:sz w:val="20"/>
            <w:szCs w:val="20"/>
            <w:u w:val="none"/>
          </w:rPr>
          <w:t>“Doesn't Need Lockdowns to Destroy Jobs: The Effect of Local Outbreaks in Korea</w:t>
        </w:r>
      </w:hyperlink>
      <w:r w:rsidRPr="00411EAB">
        <w:rPr>
          <w:rStyle w:val="Hyperlink"/>
          <w:rFonts w:ascii="Calibri" w:hAnsi="Calibri" w:cs="Calibri"/>
          <w:color w:val="auto"/>
          <w:sz w:val="20"/>
          <w:szCs w:val="20"/>
          <w:u w:val="none"/>
        </w:rPr>
        <w:t>”</w:t>
      </w:r>
      <w:r w:rsidRPr="00531D2A">
        <w:rPr>
          <w:rStyle w:val="Strong"/>
          <w:rFonts w:ascii="Calibri" w:hAnsi="Calibri" w:cs="Calibri"/>
          <w:color w:val="202020"/>
          <w:sz w:val="20"/>
          <w:szCs w:val="20"/>
        </w:rPr>
        <w:t xml:space="preserve">, </w:t>
      </w:r>
      <w:r w:rsidRPr="00531D2A">
        <w:rPr>
          <w:rFonts w:ascii="Calibri" w:hAnsi="Calibri" w:cs="Calibri"/>
          <w:color w:val="202020"/>
          <w:sz w:val="20"/>
          <w:szCs w:val="20"/>
        </w:rPr>
        <w:t xml:space="preserve"> CEPR Discussion Paper 14822.</w:t>
      </w:r>
    </w:p>
    <w:p w14:paraId="04F321F2" w14:textId="700ACFD2" w:rsidR="00B87F0D" w:rsidRPr="00531D2A" w:rsidRDefault="0003512A" w:rsidP="00B835A6">
      <w:pPr>
        <w:spacing w:after="120" w:line="240" w:lineRule="auto"/>
        <w:rPr>
          <w:rFonts w:ascii="Calibri" w:hAnsi="Calibri" w:cs="Calibri"/>
          <w:sz w:val="20"/>
          <w:szCs w:val="20"/>
        </w:rPr>
      </w:pPr>
      <w:proofErr w:type="spellStart"/>
      <w:r w:rsidRPr="00531D2A">
        <w:rPr>
          <w:rFonts w:ascii="Calibri" w:hAnsi="Calibri" w:cs="Calibri"/>
          <w:color w:val="000000"/>
          <w:sz w:val="20"/>
          <w:szCs w:val="20"/>
          <w:shd w:val="clear" w:color="auto" w:fill="FFFFFF"/>
        </w:rPr>
        <w:t>Arulampalam</w:t>
      </w:r>
      <w:proofErr w:type="spellEnd"/>
      <w:r w:rsidRPr="00531D2A">
        <w:rPr>
          <w:rFonts w:ascii="Calibri" w:hAnsi="Calibri" w:cs="Calibri"/>
          <w:color w:val="000000"/>
          <w:sz w:val="20"/>
          <w:szCs w:val="20"/>
          <w:shd w:val="clear" w:color="auto" w:fill="FFFFFF"/>
        </w:rPr>
        <w:t>, W, P Gregg and M Gregory (2001), “Unemployment Scarring", </w:t>
      </w:r>
      <w:r w:rsidRPr="00531D2A">
        <w:rPr>
          <w:rStyle w:val="Emphasis"/>
          <w:rFonts w:ascii="Calibri" w:hAnsi="Calibri" w:cs="Calibri"/>
          <w:color w:val="000000"/>
          <w:sz w:val="20"/>
          <w:szCs w:val="20"/>
          <w:bdr w:val="none" w:sz="0" w:space="0" w:color="auto" w:frame="1"/>
          <w:shd w:val="clear" w:color="auto" w:fill="FFFFFF"/>
        </w:rPr>
        <w:t>The Economic Journal</w:t>
      </w:r>
      <w:r w:rsidRPr="00531D2A">
        <w:rPr>
          <w:rFonts w:ascii="Calibri" w:hAnsi="Calibri" w:cs="Calibri"/>
          <w:color w:val="000000"/>
          <w:sz w:val="20"/>
          <w:szCs w:val="20"/>
          <w:shd w:val="clear" w:color="auto" w:fill="FFFFFF"/>
        </w:rPr>
        <w:t> 111(475): F577-F584</w:t>
      </w:r>
    </w:p>
    <w:p w14:paraId="7957C3DA" w14:textId="7713908A" w:rsidR="00723731" w:rsidRPr="00411EAB" w:rsidRDefault="00B32CD1" w:rsidP="00B835A6">
      <w:pPr>
        <w:pStyle w:val="Heading2"/>
        <w:spacing w:before="0" w:line="240" w:lineRule="auto"/>
        <w:rPr>
          <w:rFonts w:ascii="Calibri" w:eastAsia="Times New Roman" w:hAnsi="Calibri" w:cs="Calibri"/>
          <w:color w:val="auto"/>
          <w:sz w:val="20"/>
          <w:szCs w:val="20"/>
          <w:lang w:eastAsia="en-GB"/>
        </w:rPr>
      </w:pPr>
      <w:r w:rsidRPr="00411EAB">
        <w:rPr>
          <w:rFonts w:ascii="Calibri" w:hAnsi="Calibri" w:cs="Calibri"/>
          <w:color w:val="auto"/>
          <w:sz w:val="20"/>
          <w:szCs w:val="20"/>
        </w:rPr>
        <w:t xml:space="preserve">A Beaudet, J Clegg, P </w:t>
      </w:r>
      <w:proofErr w:type="spellStart"/>
      <w:r w:rsidRPr="00411EAB">
        <w:rPr>
          <w:rFonts w:ascii="Calibri" w:hAnsi="Calibri" w:cs="Calibri"/>
          <w:color w:val="auto"/>
          <w:sz w:val="20"/>
          <w:szCs w:val="20"/>
        </w:rPr>
        <w:t>Thuresson</w:t>
      </w:r>
      <w:proofErr w:type="spellEnd"/>
      <w:r w:rsidRPr="00411EAB">
        <w:rPr>
          <w:rFonts w:ascii="Calibri" w:hAnsi="Calibri" w:cs="Calibri"/>
          <w:color w:val="auto"/>
          <w:sz w:val="20"/>
          <w:szCs w:val="20"/>
        </w:rPr>
        <w:t>, A Lloyd, P McEwan (2014)</w:t>
      </w:r>
      <w:r w:rsidR="00411EAB">
        <w:rPr>
          <w:rFonts w:ascii="Calibri" w:hAnsi="Calibri" w:cs="Calibri"/>
          <w:color w:val="auto"/>
          <w:sz w:val="20"/>
          <w:szCs w:val="20"/>
        </w:rPr>
        <w:t>,</w:t>
      </w:r>
      <w:r w:rsidRPr="00411EAB">
        <w:rPr>
          <w:rFonts w:ascii="Calibri" w:hAnsi="Calibri" w:cs="Calibri"/>
          <w:color w:val="auto"/>
          <w:sz w:val="20"/>
          <w:szCs w:val="20"/>
        </w:rPr>
        <w:t xml:space="preserve"> “Review of Utility Values for Economic</w:t>
      </w:r>
      <w:r w:rsidR="00723731" w:rsidRPr="00411EAB">
        <w:rPr>
          <w:rFonts w:ascii="Calibri" w:hAnsi="Calibri" w:cs="Calibri"/>
          <w:color w:val="auto"/>
          <w:sz w:val="20"/>
          <w:szCs w:val="20"/>
        </w:rPr>
        <w:t xml:space="preserve"> </w:t>
      </w:r>
      <w:proofErr w:type="spellStart"/>
      <w:r w:rsidRPr="00411EAB">
        <w:rPr>
          <w:rFonts w:ascii="Calibri" w:hAnsi="Calibri" w:cs="Calibri"/>
          <w:color w:val="auto"/>
          <w:sz w:val="20"/>
          <w:szCs w:val="20"/>
        </w:rPr>
        <w:t>Modeling</w:t>
      </w:r>
      <w:proofErr w:type="spellEnd"/>
      <w:r w:rsidRPr="00411EAB">
        <w:rPr>
          <w:rFonts w:ascii="Calibri" w:hAnsi="Calibri" w:cs="Calibri"/>
          <w:color w:val="auto"/>
          <w:sz w:val="20"/>
          <w:szCs w:val="20"/>
        </w:rPr>
        <w:t xml:space="preserve"> in Type 2 Diabetes”</w:t>
      </w:r>
      <w:r w:rsidR="00723731" w:rsidRPr="00411EAB">
        <w:rPr>
          <w:rFonts w:ascii="Calibri" w:hAnsi="Calibri" w:cs="Calibri"/>
          <w:color w:val="auto"/>
          <w:sz w:val="20"/>
          <w:szCs w:val="20"/>
        </w:rPr>
        <w:t xml:space="preserve">, </w:t>
      </w:r>
      <w:r w:rsidRPr="00411EAB">
        <w:rPr>
          <w:rFonts w:ascii="Calibri" w:hAnsi="Calibri" w:cs="Calibri"/>
          <w:color w:val="auto"/>
          <w:sz w:val="20"/>
          <w:szCs w:val="20"/>
        </w:rPr>
        <w:t xml:space="preserve"> </w:t>
      </w:r>
      <w:r w:rsidR="00723731" w:rsidRPr="00411EAB">
        <w:rPr>
          <w:rFonts w:ascii="Calibri" w:hAnsi="Calibri" w:cs="Calibri"/>
          <w:b/>
          <w:color w:val="auto"/>
          <w:sz w:val="20"/>
          <w:szCs w:val="20"/>
        </w:rPr>
        <w:t>Value in Health</w:t>
      </w:r>
      <w:r w:rsidR="00723731" w:rsidRPr="00411EAB">
        <w:rPr>
          <w:rFonts w:ascii="Calibri" w:hAnsi="Calibri" w:cs="Calibri"/>
          <w:color w:val="auto"/>
          <w:sz w:val="20"/>
          <w:szCs w:val="20"/>
        </w:rPr>
        <w:t xml:space="preserve">, </w:t>
      </w:r>
      <w:hyperlink r:id="rId20" w:tooltip="Go to table of contents for this volume/issue" w:history="1">
        <w:r w:rsidR="00723731" w:rsidRPr="00411EAB">
          <w:rPr>
            <w:rFonts w:ascii="Calibri" w:eastAsia="Times New Roman" w:hAnsi="Calibri" w:cs="Calibri"/>
            <w:color w:val="auto"/>
            <w:sz w:val="20"/>
            <w:szCs w:val="20"/>
            <w:u w:val="single"/>
            <w:lang w:eastAsia="en-GB"/>
          </w:rPr>
          <w:t>Volume 17, Issue 4</w:t>
        </w:r>
      </w:hyperlink>
      <w:r w:rsidR="00723731" w:rsidRPr="00411EAB">
        <w:rPr>
          <w:rFonts w:ascii="Calibri" w:eastAsia="Times New Roman" w:hAnsi="Calibri" w:cs="Calibri"/>
          <w:color w:val="auto"/>
          <w:sz w:val="20"/>
          <w:szCs w:val="20"/>
          <w:lang w:eastAsia="en-GB"/>
        </w:rPr>
        <w:t>, June 2014, Pages 462-470</w:t>
      </w:r>
    </w:p>
    <w:p w14:paraId="3BEFACD9" w14:textId="77777777" w:rsidR="00B835A6" w:rsidRDefault="00B835A6" w:rsidP="00B835A6">
      <w:pPr>
        <w:spacing w:after="120" w:line="240" w:lineRule="auto"/>
        <w:rPr>
          <w:rFonts w:ascii="Calibri" w:hAnsi="Calibri" w:cs="Calibri"/>
          <w:sz w:val="20"/>
          <w:szCs w:val="20"/>
        </w:rPr>
      </w:pPr>
    </w:p>
    <w:p w14:paraId="2F08AEE3" w14:textId="1F347EC2" w:rsidR="00D94493" w:rsidRPr="00531D2A" w:rsidRDefault="00D94493" w:rsidP="00B835A6">
      <w:pPr>
        <w:spacing w:after="120" w:line="240" w:lineRule="auto"/>
        <w:rPr>
          <w:rFonts w:ascii="Calibri" w:hAnsi="Calibri" w:cs="Calibri"/>
          <w:sz w:val="20"/>
          <w:szCs w:val="20"/>
        </w:rPr>
      </w:pPr>
      <w:proofErr w:type="spellStart"/>
      <w:r w:rsidRPr="00531D2A">
        <w:rPr>
          <w:rFonts w:ascii="Calibri" w:hAnsi="Calibri" w:cs="Calibri"/>
          <w:sz w:val="20"/>
          <w:szCs w:val="20"/>
        </w:rPr>
        <w:t>Barthélémy</w:t>
      </w:r>
      <w:proofErr w:type="spellEnd"/>
      <w:r w:rsidRPr="00531D2A">
        <w:rPr>
          <w:rFonts w:ascii="Calibri" w:hAnsi="Calibri" w:cs="Calibri"/>
          <w:sz w:val="20"/>
          <w:szCs w:val="20"/>
        </w:rPr>
        <w:t xml:space="preserve"> </w:t>
      </w:r>
      <w:proofErr w:type="spellStart"/>
      <w:r w:rsidRPr="00531D2A">
        <w:rPr>
          <w:rFonts w:ascii="Calibri" w:hAnsi="Calibri" w:cs="Calibri"/>
          <w:sz w:val="20"/>
          <w:szCs w:val="20"/>
        </w:rPr>
        <w:t>Bonadio</w:t>
      </w:r>
      <w:proofErr w:type="spellEnd"/>
      <w:r w:rsidRPr="00531D2A">
        <w:rPr>
          <w:rFonts w:ascii="Calibri" w:hAnsi="Calibri" w:cs="Calibri"/>
          <w:sz w:val="20"/>
          <w:szCs w:val="20"/>
        </w:rPr>
        <w:t xml:space="preserve">, Zhen </w:t>
      </w:r>
      <w:proofErr w:type="spellStart"/>
      <w:r w:rsidRPr="00531D2A">
        <w:rPr>
          <w:rFonts w:ascii="Calibri" w:hAnsi="Calibri" w:cs="Calibri"/>
          <w:sz w:val="20"/>
          <w:szCs w:val="20"/>
        </w:rPr>
        <w:t>Huo</w:t>
      </w:r>
      <w:proofErr w:type="spellEnd"/>
      <w:r w:rsidRPr="00531D2A">
        <w:rPr>
          <w:rFonts w:ascii="Calibri" w:hAnsi="Calibri" w:cs="Calibri"/>
          <w:sz w:val="20"/>
          <w:szCs w:val="20"/>
        </w:rPr>
        <w:t xml:space="preserve">, Andrei A. </w:t>
      </w:r>
      <w:proofErr w:type="spellStart"/>
      <w:r w:rsidRPr="00531D2A">
        <w:rPr>
          <w:rFonts w:ascii="Calibri" w:hAnsi="Calibri" w:cs="Calibri"/>
          <w:sz w:val="20"/>
          <w:szCs w:val="20"/>
        </w:rPr>
        <w:t>Levchenko</w:t>
      </w:r>
      <w:proofErr w:type="spellEnd"/>
      <w:r w:rsidRPr="00531D2A">
        <w:rPr>
          <w:rFonts w:ascii="Calibri" w:hAnsi="Calibri" w:cs="Calibri"/>
          <w:sz w:val="20"/>
          <w:szCs w:val="20"/>
        </w:rPr>
        <w:t xml:space="preserve">, Nitya </w:t>
      </w:r>
      <w:proofErr w:type="spellStart"/>
      <w:r w:rsidRPr="00531D2A">
        <w:rPr>
          <w:rFonts w:ascii="Calibri" w:hAnsi="Calibri" w:cs="Calibri"/>
          <w:sz w:val="20"/>
          <w:szCs w:val="20"/>
        </w:rPr>
        <w:t>Pandalai-Nayar</w:t>
      </w:r>
      <w:proofErr w:type="spellEnd"/>
      <w:r w:rsidRPr="00531D2A">
        <w:rPr>
          <w:rFonts w:ascii="Calibri" w:hAnsi="Calibri" w:cs="Calibri"/>
          <w:sz w:val="20"/>
          <w:szCs w:val="20"/>
        </w:rPr>
        <w:t xml:space="preserve"> (2020), “Global Supply Chains in the Pandemic</w:t>
      </w:r>
      <w:proofErr w:type="gramStart"/>
      <w:r w:rsidRPr="00531D2A">
        <w:rPr>
          <w:rFonts w:ascii="Calibri" w:hAnsi="Calibri" w:cs="Calibri"/>
          <w:sz w:val="20"/>
          <w:szCs w:val="20"/>
        </w:rPr>
        <w:t>”,  NBER</w:t>
      </w:r>
      <w:proofErr w:type="gramEnd"/>
      <w:r w:rsidRPr="00531D2A">
        <w:rPr>
          <w:rFonts w:ascii="Calibri" w:hAnsi="Calibri" w:cs="Calibri"/>
          <w:sz w:val="20"/>
          <w:szCs w:val="20"/>
        </w:rPr>
        <w:t xml:space="preserve">  Working Paper 27224, May 2020.</w:t>
      </w:r>
    </w:p>
    <w:p w14:paraId="3E8304AA" w14:textId="070C8D57" w:rsidR="00A7073D" w:rsidRPr="00531D2A" w:rsidRDefault="00A7073D" w:rsidP="00B835A6">
      <w:pPr>
        <w:spacing w:after="120" w:line="240" w:lineRule="auto"/>
        <w:rPr>
          <w:rFonts w:ascii="Calibri" w:hAnsi="Calibri" w:cs="Calibri"/>
          <w:sz w:val="20"/>
          <w:szCs w:val="20"/>
        </w:rPr>
      </w:pPr>
      <w:r w:rsidRPr="00531D2A">
        <w:rPr>
          <w:rFonts w:ascii="Calibri" w:hAnsi="Calibri" w:cs="Calibri"/>
          <w:sz w:val="20"/>
          <w:szCs w:val="20"/>
        </w:rPr>
        <w:t xml:space="preserve">Dion </w:t>
      </w:r>
      <w:proofErr w:type="spellStart"/>
      <w:r w:rsidRPr="00531D2A">
        <w:rPr>
          <w:rFonts w:ascii="Calibri" w:hAnsi="Calibri" w:cs="Calibri"/>
          <w:sz w:val="20"/>
          <w:szCs w:val="20"/>
        </w:rPr>
        <w:t>Bongaerts</w:t>
      </w:r>
      <w:proofErr w:type="spellEnd"/>
      <w:r w:rsidRPr="00531D2A">
        <w:rPr>
          <w:rFonts w:ascii="Calibri" w:hAnsi="Calibri" w:cs="Calibri"/>
          <w:sz w:val="20"/>
          <w:szCs w:val="20"/>
        </w:rPr>
        <w:t xml:space="preserve">, Francesco Mazzola and Wolf Wagner (2020), “Closed for Business”, CEPR Discussion Paper </w:t>
      </w:r>
      <w:proofErr w:type="gramStart"/>
      <w:r w:rsidRPr="00531D2A">
        <w:rPr>
          <w:rFonts w:ascii="Calibri" w:hAnsi="Calibri" w:cs="Calibri"/>
          <w:sz w:val="20"/>
          <w:szCs w:val="20"/>
        </w:rPr>
        <w:t>14814,  May</w:t>
      </w:r>
      <w:proofErr w:type="gramEnd"/>
      <w:r w:rsidRPr="00531D2A">
        <w:rPr>
          <w:rFonts w:ascii="Calibri" w:hAnsi="Calibri" w:cs="Calibri"/>
          <w:sz w:val="20"/>
          <w:szCs w:val="20"/>
        </w:rPr>
        <w:t>.</w:t>
      </w:r>
    </w:p>
    <w:p w14:paraId="55BAB3E0" w14:textId="0A7A0595" w:rsidR="00D94493" w:rsidRPr="00531D2A" w:rsidRDefault="00D94493" w:rsidP="00B835A6">
      <w:pPr>
        <w:spacing w:after="120" w:line="240" w:lineRule="auto"/>
        <w:rPr>
          <w:rFonts w:ascii="Calibri" w:hAnsi="Calibri" w:cs="Calibri"/>
          <w:color w:val="000000"/>
          <w:sz w:val="20"/>
          <w:szCs w:val="20"/>
          <w:shd w:val="clear" w:color="auto" w:fill="FFFFFF"/>
        </w:rPr>
      </w:pPr>
      <w:r w:rsidRPr="00531D2A">
        <w:rPr>
          <w:rFonts w:ascii="Calibri" w:hAnsi="Calibri" w:cs="Calibri"/>
          <w:color w:val="000000"/>
          <w:sz w:val="20"/>
          <w:szCs w:val="20"/>
          <w:shd w:val="clear" w:color="auto" w:fill="FFFFFF"/>
        </w:rPr>
        <w:t xml:space="preserve">Benjamin Born, Alexander M. Dietrich and Gernot J. Müller (2020), “Do lockdowns work? A counterfactual for Sweden”, </w:t>
      </w:r>
      <w:proofErr w:type="spellStart"/>
      <w:r w:rsidRPr="00EB05C1">
        <w:rPr>
          <w:rFonts w:ascii="Calibri" w:hAnsi="Calibri" w:cs="Calibri"/>
          <w:b/>
          <w:color w:val="000000"/>
          <w:sz w:val="20"/>
          <w:szCs w:val="20"/>
          <w:shd w:val="clear" w:color="auto" w:fill="FFFFFF"/>
        </w:rPr>
        <w:t>Covid</w:t>
      </w:r>
      <w:proofErr w:type="spellEnd"/>
      <w:r w:rsidRPr="00EB05C1">
        <w:rPr>
          <w:rFonts w:ascii="Calibri" w:hAnsi="Calibri" w:cs="Calibri"/>
          <w:b/>
          <w:color w:val="000000"/>
          <w:sz w:val="20"/>
          <w:szCs w:val="20"/>
          <w:shd w:val="clear" w:color="auto" w:fill="FFFFFF"/>
        </w:rPr>
        <w:t xml:space="preserve"> Economics</w:t>
      </w:r>
      <w:r w:rsidRPr="00531D2A">
        <w:rPr>
          <w:rFonts w:ascii="Calibri" w:hAnsi="Calibri" w:cs="Calibri"/>
          <w:color w:val="000000"/>
          <w:sz w:val="20"/>
          <w:szCs w:val="20"/>
          <w:shd w:val="clear" w:color="auto" w:fill="FFFFFF"/>
        </w:rPr>
        <w:t>, issue 16, May.</w:t>
      </w:r>
    </w:p>
    <w:p w14:paraId="4581FD15" w14:textId="14007490" w:rsidR="00987EE4" w:rsidRPr="00987EE4" w:rsidRDefault="00987EE4" w:rsidP="00B835A6">
      <w:pPr>
        <w:shd w:val="clear" w:color="auto" w:fill="FFFFFF"/>
        <w:spacing w:after="150" w:line="240" w:lineRule="auto"/>
        <w:textAlignment w:val="baseline"/>
        <w:rPr>
          <w:rFonts w:ascii="Calibri" w:eastAsia="Times New Roman" w:hAnsi="Calibri" w:cs="Calibri"/>
          <w:b/>
          <w:bCs/>
          <w:color w:val="222222"/>
          <w:sz w:val="20"/>
          <w:szCs w:val="20"/>
          <w:lang w:eastAsia="en-GB"/>
        </w:rPr>
      </w:pPr>
      <w:r w:rsidRPr="00987EE4">
        <w:rPr>
          <w:rFonts w:ascii="Calibri" w:eastAsia="Times New Roman" w:hAnsi="Calibri" w:cs="Calibri"/>
          <w:color w:val="222222"/>
          <w:sz w:val="20"/>
          <w:szCs w:val="20"/>
          <w:lang w:eastAsia="en-GB"/>
        </w:rPr>
        <w:t>Jake Bradley, Alessandro Ruggieri and Adam H. Spencer (2020) “</w:t>
      </w:r>
      <w:r w:rsidRPr="00987EE4">
        <w:rPr>
          <w:rFonts w:ascii="Calibri" w:eastAsia="Times New Roman" w:hAnsi="Calibri" w:cs="Calibri"/>
          <w:bCs/>
          <w:color w:val="222222"/>
          <w:sz w:val="20"/>
          <w:szCs w:val="20"/>
          <w:bdr w:val="none" w:sz="0" w:space="0" w:color="auto" w:frame="1"/>
          <w:lang w:eastAsia="en-GB"/>
        </w:rPr>
        <w:t xml:space="preserve">Twin Peaks: Covid-19 and the </w:t>
      </w:r>
      <w:proofErr w:type="spellStart"/>
      <w:r w:rsidRPr="00987EE4">
        <w:rPr>
          <w:rFonts w:ascii="Calibri" w:eastAsia="Times New Roman" w:hAnsi="Calibri" w:cs="Calibri"/>
          <w:bCs/>
          <w:color w:val="222222"/>
          <w:sz w:val="20"/>
          <w:szCs w:val="20"/>
          <w:bdr w:val="none" w:sz="0" w:space="0" w:color="auto" w:frame="1"/>
          <w:lang w:eastAsia="en-GB"/>
        </w:rPr>
        <w:t>Labor</w:t>
      </w:r>
      <w:proofErr w:type="spellEnd"/>
      <w:r w:rsidRPr="00987EE4">
        <w:rPr>
          <w:rFonts w:ascii="Calibri" w:eastAsia="Times New Roman" w:hAnsi="Calibri" w:cs="Calibri"/>
          <w:bCs/>
          <w:color w:val="222222"/>
          <w:sz w:val="20"/>
          <w:szCs w:val="20"/>
          <w:bdr w:val="none" w:sz="0" w:space="0" w:color="auto" w:frame="1"/>
          <w:lang w:eastAsia="en-GB"/>
        </w:rPr>
        <w:t xml:space="preserve"> Market</w:t>
      </w:r>
      <w:r>
        <w:rPr>
          <w:rFonts w:ascii="Calibri" w:eastAsia="Times New Roman" w:hAnsi="Calibri" w:cs="Calibri"/>
          <w:bCs/>
          <w:color w:val="222222"/>
          <w:sz w:val="20"/>
          <w:szCs w:val="20"/>
          <w:bdr w:val="none" w:sz="0" w:space="0" w:color="auto" w:frame="1"/>
          <w:lang w:eastAsia="en-GB"/>
        </w:rPr>
        <w:t>”</w:t>
      </w:r>
      <w:r w:rsidRPr="00987EE4">
        <w:rPr>
          <w:rFonts w:ascii="Calibri" w:eastAsia="Times New Roman" w:hAnsi="Calibri" w:cs="Calibri"/>
          <w:bCs/>
          <w:color w:val="222222"/>
          <w:sz w:val="20"/>
          <w:szCs w:val="20"/>
          <w:bdr w:val="none" w:sz="0" w:space="0" w:color="auto" w:frame="1"/>
          <w:lang w:eastAsia="en-GB"/>
        </w:rPr>
        <w:t>,</w:t>
      </w:r>
      <w:r w:rsidRPr="00987EE4">
        <w:rPr>
          <w:rFonts w:ascii="Calibri" w:eastAsia="Times New Roman" w:hAnsi="Calibri" w:cs="Calibri"/>
          <w:b/>
          <w:bCs/>
          <w:color w:val="222222"/>
          <w:sz w:val="20"/>
          <w:szCs w:val="20"/>
          <w:bdr w:val="none" w:sz="0" w:space="0" w:color="auto" w:frame="1"/>
          <w:lang w:eastAsia="en-GB"/>
        </w:rPr>
        <w:t xml:space="preserve"> </w:t>
      </w:r>
      <w:proofErr w:type="spellStart"/>
      <w:r w:rsidRPr="00987EE4">
        <w:rPr>
          <w:rFonts w:ascii="Calibri" w:eastAsia="Times New Roman" w:hAnsi="Calibri" w:cs="Calibri"/>
          <w:b/>
          <w:bCs/>
          <w:color w:val="222222"/>
          <w:sz w:val="20"/>
          <w:szCs w:val="20"/>
          <w:bdr w:val="none" w:sz="0" w:space="0" w:color="auto" w:frame="1"/>
          <w:lang w:eastAsia="en-GB"/>
        </w:rPr>
        <w:t>Covid</w:t>
      </w:r>
      <w:proofErr w:type="spellEnd"/>
      <w:r w:rsidRPr="00987EE4">
        <w:rPr>
          <w:rFonts w:ascii="Calibri" w:eastAsia="Times New Roman" w:hAnsi="Calibri" w:cs="Calibri"/>
          <w:b/>
          <w:bCs/>
          <w:color w:val="222222"/>
          <w:sz w:val="20"/>
          <w:szCs w:val="20"/>
          <w:bdr w:val="none" w:sz="0" w:space="0" w:color="auto" w:frame="1"/>
          <w:lang w:eastAsia="en-GB"/>
        </w:rPr>
        <w:t xml:space="preserve"> Economics, </w:t>
      </w:r>
      <w:r w:rsidRPr="00987EE4">
        <w:rPr>
          <w:rFonts w:ascii="Calibri" w:eastAsia="Times New Roman" w:hAnsi="Calibri" w:cs="Calibri"/>
          <w:bCs/>
          <w:color w:val="222222"/>
          <w:sz w:val="20"/>
          <w:szCs w:val="20"/>
          <w:bdr w:val="none" w:sz="0" w:space="0" w:color="auto" w:frame="1"/>
          <w:lang w:eastAsia="en-GB"/>
        </w:rPr>
        <w:t>issue 29, June</w:t>
      </w:r>
      <w:r w:rsidRPr="00987EE4">
        <w:rPr>
          <w:rFonts w:ascii="Calibri" w:eastAsia="Times New Roman" w:hAnsi="Calibri" w:cs="Calibri"/>
          <w:b/>
          <w:bCs/>
          <w:color w:val="222222"/>
          <w:sz w:val="20"/>
          <w:szCs w:val="20"/>
          <w:bdr w:val="none" w:sz="0" w:space="0" w:color="auto" w:frame="1"/>
          <w:lang w:eastAsia="en-GB"/>
        </w:rPr>
        <w:t xml:space="preserve">. </w:t>
      </w:r>
    </w:p>
    <w:p w14:paraId="439FA4FE" w14:textId="10E0C4B8" w:rsidR="00531D2A" w:rsidRPr="00531D2A" w:rsidRDefault="00531D2A" w:rsidP="00B835A6">
      <w:pPr>
        <w:spacing w:after="120" w:line="240" w:lineRule="auto"/>
        <w:rPr>
          <w:rFonts w:ascii="Calibri" w:hAnsi="Calibri" w:cs="Calibri"/>
          <w:sz w:val="20"/>
          <w:szCs w:val="20"/>
        </w:rPr>
      </w:pPr>
      <w:r w:rsidRPr="00531D2A">
        <w:rPr>
          <w:rFonts w:ascii="Calibri" w:hAnsi="Calibri" w:cs="Calibri"/>
          <w:sz w:val="20"/>
          <w:szCs w:val="20"/>
        </w:rPr>
        <w:t>Clarke P, Gray A, Holman R. (2002) “Estimating utility values for health states of type 2 diabetic patients using the EQ-5D (UKPDS 62)”. Med Decision Making. 22: pages 340-349</w:t>
      </w:r>
    </w:p>
    <w:p w14:paraId="1A53E10B" w14:textId="1226590D" w:rsidR="00D94493" w:rsidRPr="00531D2A" w:rsidRDefault="00D94493" w:rsidP="00B835A6">
      <w:pPr>
        <w:spacing w:after="120" w:line="240" w:lineRule="auto"/>
        <w:rPr>
          <w:rFonts w:ascii="Calibri" w:hAnsi="Calibri" w:cs="Calibri"/>
          <w:sz w:val="20"/>
          <w:szCs w:val="20"/>
        </w:rPr>
      </w:pPr>
      <w:r w:rsidRPr="00531D2A">
        <w:rPr>
          <w:rFonts w:ascii="Calibri" w:hAnsi="Calibri" w:cs="Calibri"/>
          <w:sz w:val="20"/>
          <w:szCs w:val="20"/>
        </w:rPr>
        <w:t xml:space="preserve">Olivier </w:t>
      </w:r>
      <w:proofErr w:type="spellStart"/>
      <w:r w:rsidRPr="00531D2A">
        <w:rPr>
          <w:rFonts w:ascii="Calibri" w:hAnsi="Calibri" w:cs="Calibri"/>
          <w:sz w:val="20"/>
          <w:szCs w:val="20"/>
        </w:rPr>
        <w:t>Coibion</w:t>
      </w:r>
      <w:proofErr w:type="spellEnd"/>
      <w:r w:rsidRPr="00531D2A">
        <w:rPr>
          <w:rFonts w:ascii="Calibri" w:hAnsi="Calibri" w:cs="Calibri"/>
          <w:sz w:val="20"/>
          <w:szCs w:val="20"/>
        </w:rPr>
        <w:t xml:space="preserve">, </w:t>
      </w:r>
      <w:proofErr w:type="spellStart"/>
      <w:r w:rsidRPr="00531D2A">
        <w:rPr>
          <w:rFonts w:ascii="Calibri" w:hAnsi="Calibri" w:cs="Calibri"/>
          <w:sz w:val="20"/>
          <w:szCs w:val="20"/>
        </w:rPr>
        <w:t>Yuriy</w:t>
      </w:r>
      <w:proofErr w:type="spellEnd"/>
      <w:r w:rsidRPr="00531D2A">
        <w:rPr>
          <w:rFonts w:ascii="Calibri" w:hAnsi="Calibri" w:cs="Calibri"/>
          <w:sz w:val="20"/>
          <w:szCs w:val="20"/>
        </w:rPr>
        <w:t xml:space="preserve"> </w:t>
      </w:r>
      <w:proofErr w:type="spellStart"/>
      <w:r w:rsidRPr="00531D2A">
        <w:rPr>
          <w:rFonts w:ascii="Calibri" w:hAnsi="Calibri" w:cs="Calibri"/>
          <w:sz w:val="20"/>
          <w:szCs w:val="20"/>
        </w:rPr>
        <w:t>Gorodnichenko</w:t>
      </w:r>
      <w:proofErr w:type="spellEnd"/>
      <w:r w:rsidRPr="00531D2A">
        <w:rPr>
          <w:rFonts w:ascii="Calibri" w:hAnsi="Calibri" w:cs="Calibri"/>
          <w:sz w:val="20"/>
          <w:szCs w:val="20"/>
        </w:rPr>
        <w:t xml:space="preserve"> and Michael Weber (2020</w:t>
      </w:r>
      <w:r w:rsidR="00411EAB">
        <w:rPr>
          <w:rFonts w:ascii="Calibri" w:hAnsi="Calibri" w:cs="Calibri"/>
          <w:sz w:val="20"/>
          <w:szCs w:val="20"/>
        </w:rPr>
        <w:t>, a</w:t>
      </w:r>
      <w:r w:rsidRPr="00531D2A">
        <w:rPr>
          <w:rFonts w:ascii="Calibri" w:hAnsi="Calibri" w:cs="Calibri"/>
          <w:sz w:val="20"/>
          <w:szCs w:val="20"/>
        </w:rPr>
        <w:t>), “</w:t>
      </w:r>
      <w:proofErr w:type="spellStart"/>
      <w:r w:rsidRPr="00531D2A">
        <w:rPr>
          <w:rFonts w:ascii="Calibri" w:hAnsi="Calibri" w:cs="Calibri"/>
          <w:sz w:val="20"/>
          <w:szCs w:val="20"/>
        </w:rPr>
        <w:t>Labor</w:t>
      </w:r>
      <w:proofErr w:type="spellEnd"/>
      <w:r w:rsidRPr="00531D2A">
        <w:rPr>
          <w:rFonts w:ascii="Calibri" w:hAnsi="Calibri" w:cs="Calibri"/>
          <w:sz w:val="20"/>
          <w:szCs w:val="20"/>
        </w:rPr>
        <w:t xml:space="preserve"> markets during the Covid-19 crisis: A preliminary view”, </w:t>
      </w:r>
      <w:proofErr w:type="spellStart"/>
      <w:r w:rsidRPr="00531D2A">
        <w:rPr>
          <w:rFonts w:ascii="Calibri" w:hAnsi="Calibri" w:cs="Calibri"/>
          <w:b/>
          <w:sz w:val="20"/>
          <w:szCs w:val="20"/>
        </w:rPr>
        <w:t>Covid</w:t>
      </w:r>
      <w:proofErr w:type="spellEnd"/>
      <w:r w:rsidRPr="00531D2A">
        <w:rPr>
          <w:rFonts w:ascii="Calibri" w:hAnsi="Calibri" w:cs="Calibri"/>
          <w:b/>
          <w:sz w:val="20"/>
          <w:szCs w:val="20"/>
        </w:rPr>
        <w:t xml:space="preserve"> Economics</w:t>
      </w:r>
      <w:r w:rsidRPr="00531D2A">
        <w:rPr>
          <w:rFonts w:ascii="Calibri" w:hAnsi="Calibri" w:cs="Calibri"/>
          <w:sz w:val="20"/>
          <w:szCs w:val="20"/>
        </w:rPr>
        <w:t xml:space="preserve">, </w:t>
      </w:r>
      <w:proofErr w:type="spellStart"/>
      <w:r w:rsidRPr="00531D2A">
        <w:rPr>
          <w:rFonts w:ascii="Calibri" w:hAnsi="Calibri" w:cs="Calibri"/>
          <w:sz w:val="20"/>
          <w:szCs w:val="20"/>
        </w:rPr>
        <w:t>vol</w:t>
      </w:r>
      <w:proofErr w:type="spellEnd"/>
      <w:r w:rsidRPr="00531D2A">
        <w:rPr>
          <w:rFonts w:ascii="Calibri" w:hAnsi="Calibri" w:cs="Calibri"/>
          <w:sz w:val="20"/>
          <w:szCs w:val="20"/>
        </w:rPr>
        <w:t xml:space="preserve"> 21. May 2020, a.</w:t>
      </w:r>
    </w:p>
    <w:p w14:paraId="1EED1DE4" w14:textId="2420CB6D" w:rsidR="00D94493" w:rsidRDefault="00D94493" w:rsidP="00B835A6">
      <w:pPr>
        <w:spacing w:after="120" w:line="240" w:lineRule="auto"/>
        <w:rPr>
          <w:rFonts w:ascii="Calibri" w:hAnsi="Calibri" w:cs="Calibri"/>
          <w:sz w:val="20"/>
          <w:szCs w:val="20"/>
        </w:rPr>
      </w:pPr>
      <w:r w:rsidRPr="00531D2A">
        <w:rPr>
          <w:rFonts w:ascii="Calibri" w:hAnsi="Calibri" w:cs="Calibri"/>
          <w:sz w:val="20"/>
          <w:szCs w:val="20"/>
        </w:rPr>
        <w:t xml:space="preserve">Olivier </w:t>
      </w:r>
      <w:proofErr w:type="spellStart"/>
      <w:r w:rsidRPr="00531D2A">
        <w:rPr>
          <w:rFonts w:ascii="Calibri" w:hAnsi="Calibri" w:cs="Calibri"/>
          <w:sz w:val="20"/>
          <w:szCs w:val="20"/>
        </w:rPr>
        <w:t>Coibion</w:t>
      </w:r>
      <w:proofErr w:type="spellEnd"/>
      <w:r w:rsidRPr="00531D2A">
        <w:rPr>
          <w:rFonts w:ascii="Calibri" w:hAnsi="Calibri" w:cs="Calibri"/>
          <w:sz w:val="20"/>
          <w:szCs w:val="20"/>
        </w:rPr>
        <w:t xml:space="preserve">, </w:t>
      </w:r>
      <w:proofErr w:type="spellStart"/>
      <w:r w:rsidRPr="00531D2A">
        <w:rPr>
          <w:rFonts w:ascii="Calibri" w:hAnsi="Calibri" w:cs="Calibri"/>
          <w:sz w:val="20"/>
          <w:szCs w:val="20"/>
        </w:rPr>
        <w:t>Yuriy</w:t>
      </w:r>
      <w:proofErr w:type="spellEnd"/>
      <w:r w:rsidRPr="00531D2A">
        <w:rPr>
          <w:rFonts w:ascii="Calibri" w:hAnsi="Calibri" w:cs="Calibri"/>
          <w:sz w:val="20"/>
          <w:szCs w:val="20"/>
        </w:rPr>
        <w:t xml:space="preserve"> </w:t>
      </w:r>
      <w:proofErr w:type="spellStart"/>
      <w:r w:rsidRPr="00531D2A">
        <w:rPr>
          <w:rFonts w:ascii="Calibri" w:hAnsi="Calibri" w:cs="Calibri"/>
          <w:sz w:val="20"/>
          <w:szCs w:val="20"/>
        </w:rPr>
        <w:t>Gorodnichenko</w:t>
      </w:r>
      <w:proofErr w:type="spellEnd"/>
      <w:r w:rsidRPr="00531D2A">
        <w:rPr>
          <w:rFonts w:ascii="Calibri" w:hAnsi="Calibri" w:cs="Calibri"/>
          <w:sz w:val="20"/>
          <w:szCs w:val="20"/>
        </w:rPr>
        <w:t xml:space="preserve"> and Michael Weber (2020</w:t>
      </w:r>
      <w:r w:rsidR="00411EAB">
        <w:rPr>
          <w:rFonts w:ascii="Calibri" w:hAnsi="Calibri" w:cs="Calibri"/>
          <w:sz w:val="20"/>
          <w:szCs w:val="20"/>
        </w:rPr>
        <w:t>, b</w:t>
      </w:r>
      <w:r w:rsidRPr="00531D2A">
        <w:rPr>
          <w:rFonts w:ascii="Calibri" w:hAnsi="Calibri" w:cs="Calibri"/>
          <w:sz w:val="20"/>
          <w:szCs w:val="20"/>
        </w:rPr>
        <w:t xml:space="preserve">), “The cost of the COVID-19 crisis: Lockdowns, macroeconomic expectations, and consumer spending”, </w:t>
      </w:r>
      <w:proofErr w:type="spellStart"/>
      <w:r w:rsidRPr="00531D2A">
        <w:rPr>
          <w:rFonts w:ascii="Calibri" w:hAnsi="Calibri" w:cs="Calibri"/>
          <w:b/>
          <w:sz w:val="20"/>
          <w:szCs w:val="20"/>
        </w:rPr>
        <w:t>Covid</w:t>
      </w:r>
      <w:proofErr w:type="spellEnd"/>
      <w:r w:rsidRPr="00531D2A">
        <w:rPr>
          <w:rFonts w:ascii="Calibri" w:hAnsi="Calibri" w:cs="Calibri"/>
          <w:b/>
          <w:sz w:val="20"/>
          <w:szCs w:val="20"/>
        </w:rPr>
        <w:t xml:space="preserve"> Economics</w:t>
      </w:r>
      <w:r w:rsidRPr="00531D2A">
        <w:rPr>
          <w:rFonts w:ascii="Calibri" w:hAnsi="Calibri" w:cs="Calibri"/>
          <w:sz w:val="20"/>
          <w:szCs w:val="20"/>
        </w:rPr>
        <w:t>, issue 20, May.</w:t>
      </w:r>
    </w:p>
    <w:p w14:paraId="51E26140" w14:textId="05028894" w:rsidR="00A61899" w:rsidRPr="00A61899" w:rsidRDefault="00A61899" w:rsidP="00B835A6">
      <w:pPr>
        <w:spacing w:line="240" w:lineRule="auto"/>
        <w:rPr>
          <w:rFonts w:ascii="Calibri" w:hAnsi="Calibri" w:cs="Calibri"/>
          <w:sz w:val="20"/>
          <w:szCs w:val="20"/>
        </w:rPr>
      </w:pPr>
      <w:r w:rsidRPr="00A61899">
        <w:t xml:space="preserve">Martin J. </w:t>
      </w:r>
      <w:proofErr w:type="spellStart"/>
      <w:r w:rsidRPr="00A61899">
        <w:t>Conyon</w:t>
      </w:r>
      <w:proofErr w:type="spellEnd"/>
      <w:r w:rsidRPr="00A61899">
        <w:t xml:space="preserve">, </w:t>
      </w:r>
      <w:proofErr w:type="spellStart"/>
      <w:r w:rsidRPr="00A61899">
        <w:t>Lerong</w:t>
      </w:r>
      <w:proofErr w:type="spellEnd"/>
      <w:r w:rsidRPr="00A61899">
        <w:t xml:space="preserve"> He and Steen Thomsen (2020), “Lockdowns and COVID-19 deaths in Scandinavia”, </w:t>
      </w:r>
      <w:proofErr w:type="spellStart"/>
      <w:r w:rsidRPr="00041189">
        <w:rPr>
          <w:b/>
        </w:rPr>
        <w:t>Covid</w:t>
      </w:r>
      <w:proofErr w:type="spellEnd"/>
      <w:r w:rsidRPr="00041189">
        <w:rPr>
          <w:b/>
        </w:rPr>
        <w:t xml:space="preserve"> Economics</w:t>
      </w:r>
      <w:r w:rsidRPr="00A61899">
        <w:t xml:space="preserve">, issue 26, pages 17-42. </w:t>
      </w:r>
    </w:p>
    <w:p w14:paraId="3EF752D9" w14:textId="416E3801" w:rsidR="00B87F0D" w:rsidRPr="00531D2A" w:rsidRDefault="00F935C5" w:rsidP="00B835A6">
      <w:pPr>
        <w:spacing w:line="240" w:lineRule="auto"/>
        <w:rPr>
          <w:rFonts w:ascii="Calibri" w:hAnsi="Calibri" w:cs="Calibri"/>
          <w:sz w:val="20"/>
          <w:szCs w:val="20"/>
        </w:rPr>
      </w:pPr>
      <w:proofErr w:type="spellStart"/>
      <w:r w:rsidRPr="00531D2A">
        <w:rPr>
          <w:rFonts w:ascii="Calibri" w:hAnsi="Calibri" w:cs="Calibri"/>
          <w:sz w:val="20"/>
          <w:szCs w:val="20"/>
        </w:rPr>
        <w:t>Pragyan</w:t>
      </w:r>
      <w:proofErr w:type="spellEnd"/>
      <w:r w:rsidRPr="00531D2A">
        <w:rPr>
          <w:rFonts w:ascii="Calibri" w:hAnsi="Calibri" w:cs="Calibri"/>
          <w:sz w:val="20"/>
          <w:szCs w:val="20"/>
        </w:rPr>
        <w:t xml:space="preserve"> Deb, Davide </w:t>
      </w:r>
      <w:proofErr w:type="spellStart"/>
      <w:r w:rsidRPr="00531D2A">
        <w:rPr>
          <w:rFonts w:ascii="Calibri" w:hAnsi="Calibri" w:cs="Calibri"/>
          <w:sz w:val="20"/>
          <w:szCs w:val="20"/>
        </w:rPr>
        <w:t>Furceri</w:t>
      </w:r>
      <w:proofErr w:type="spellEnd"/>
      <w:r w:rsidRPr="00531D2A">
        <w:rPr>
          <w:rFonts w:ascii="Calibri" w:hAnsi="Calibri" w:cs="Calibri"/>
          <w:sz w:val="20"/>
          <w:szCs w:val="20"/>
        </w:rPr>
        <w:t xml:space="preserve">, Jonathan D. </w:t>
      </w:r>
      <w:proofErr w:type="spellStart"/>
      <w:r w:rsidRPr="00531D2A">
        <w:rPr>
          <w:rFonts w:ascii="Calibri" w:hAnsi="Calibri" w:cs="Calibri"/>
          <w:sz w:val="20"/>
          <w:szCs w:val="20"/>
        </w:rPr>
        <w:t>Ostry</w:t>
      </w:r>
      <w:proofErr w:type="spellEnd"/>
      <w:r w:rsidRPr="00531D2A">
        <w:rPr>
          <w:rFonts w:ascii="Calibri" w:hAnsi="Calibri" w:cs="Calibri"/>
          <w:sz w:val="20"/>
          <w:szCs w:val="20"/>
        </w:rPr>
        <w:t xml:space="preserve"> and </w:t>
      </w:r>
      <w:proofErr w:type="spellStart"/>
      <w:r w:rsidRPr="00531D2A">
        <w:rPr>
          <w:rFonts w:ascii="Calibri" w:hAnsi="Calibri" w:cs="Calibri"/>
          <w:sz w:val="20"/>
          <w:szCs w:val="20"/>
        </w:rPr>
        <w:t>Nour</w:t>
      </w:r>
      <w:proofErr w:type="spellEnd"/>
      <w:r w:rsidRPr="00531D2A">
        <w:rPr>
          <w:rFonts w:ascii="Calibri" w:hAnsi="Calibri" w:cs="Calibri"/>
          <w:sz w:val="20"/>
          <w:szCs w:val="20"/>
        </w:rPr>
        <w:t xml:space="preserve"> </w:t>
      </w:r>
      <w:proofErr w:type="spellStart"/>
      <w:r w:rsidRPr="00531D2A">
        <w:rPr>
          <w:rFonts w:ascii="Calibri" w:hAnsi="Calibri" w:cs="Calibri"/>
          <w:sz w:val="20"/>
          <w:szCs w:val="20"/>
        </w:rPr>
        <w:t>Tawk</w:t>
      </w:r>
      <w:proofErr w:type="spellEnd"/>
      <w:r w:rsidRPr="00531D2A">
        <w:rPr>
          <w:rFonts w:ascii="Calibri" w:hAnsi="Calibri" w:cs="Calibri"/>
          <w:sz w:val="20"/>
          <w:szCs w:val="20"/>
        </w:rPr>
        <w:t xml:space="preserve"> (2020</w:t>
      </w:r>
      <w:r w:rsidR="007F3405">
        <w:rPr>
          <w:rFonts w:ascii="Calibri" w:hAnsi="Calibri" w:cs="Calibri"/>
          <w:sz w:val="20"/>
          <w:szCs w:val="20"/>
        </w:rPr>
        <w:t>, a</w:t>
      </w:r>
      <w:r w:rsidRPr="00531D2A">
        <w:rPr>
          <w:rFonts w:ascii="Calibri" w:hAnsi="Calibri" w:cs="Calibri"/>
          <w:sz w:val="20"/>
          <w:szCs w:val="20"/>
        </w:rPr>
        <w:t xml:space="preserve">), </w:t>
      </w:r>
      <w:r w:rsidR="00B87F0D" w:rsidRPr="00531D2A">
        <w:rPr>
          <w:rFonts w:ascii="Calibri" w:hAnsi="Calibri" w:cs="Calibri"/>
          <w:sz w:val="20"/>
          <w:szCs w:val="20"/>
        </w:rPr>
        <w:t>“The economic effects of Covid-19 containment measures</w:t>
      </w:r>
      <w:proofErr w:type="gramStart"/>
      <w:r w:rsidR="00B87F0D" w:rsidRPr="00531D2A">
        <w:rPr>
          <w:rFonts w:ascii="Calibri" w:hAnsi="Calibri" w:cs="Calibri"/>
          <w:sz w:val="20"/>
          <w:szCs w:val="20"/>
        </w:rPr>
        <w:t>”,.</w:t>
      </w:r>
      <w:proofErr w:type="gramEnd"/>
      <w:r w:rsidR="00B87F0D" w:rsidRPr="00531D2A">
        <w:rPr>
          <w:rFonts w:ascii="Calibri" w:hAnsi="Calibri" w:cs="Calibri"/>
          <w:sz w:val="20"/>
          <w:szCs w:val="20"/>
        </w:rPr>
        <w:t xml:space="preserve"> </w:t>
      </w:r>
      <w:proofErr w:type="spellStart"/>
      <w:r w:rsidR="00B87F0D" w:rsidRPr="00411EAB">
        <w:rPr>
          <w:rFonts w:ascii="Calibri" w:hAnsi="Calibri" w:cs="Calibri"/>
          <w:b/>
          <w:sz w:val="20"/>
          <w:szCs w:val="20"/>
        </w:rPr>
        <w:t>Covid</w:t>
      </w:r>
      <w:proofErr w:type="spellEnd"/>
      <w:r w:rsidR="00B87F0D" w:rsidRPr="00411EAB">
        <w:rPr>
          <w:rFonts w:ascii="Calibri" w:hAnsi="Calibri" w:cs="Calibri"/>
          <w:b/>
          <w:sz w:val="20"/>
          <w:szCs w:val="20"/>
        </w:rPr>
        <w:t xml:space="preserve"> Economics</w:t>
      </w:r>
      <w:r w:rsidR="00B87F0D" w:rsidRPr="00531D2A">
        <w:rPr>
          <w:rFonts w:ascii="Calibri" w:hAnsi="Calibri" w:cs="Calibri"/>
          <w:sz w:val="20"/>
          <w:szCs w:val="20"/>
        </w:rPr>
        <w:t xml:space="preserve">, CEPR, </w:t>
      </w:r>
      <w:proofErr w:type="spellStart"/>
      <w:r w:rsidR="00B87F0D" w:rsidRPr="00531D2A">
        <w:rPr>
          <w:rFonts w:ascii="Calibri" w:hAnsi="Calibri" w:cs="Calibri"/>
          <w:sz w:val="20"/>
          <w:szCs w:val="20"/>
        </w:rPr>
        <w:t>vol</w:t>
      </w:r>
      <w:proofErr w:type="spellEnd"/>
      <w:r w:rsidR="00B87F0D" w:rsidRPr="00531D2A">
        <w:rPr>
          <w:rFonts w:ascii="Calibri" w:hAnsi="Calibri" w:cs="Calibri"/>
          <w:sz w:val="20"/>
          <w:szCs w:val="20"/>
        </w:rPr>
        <w:t xml:space="preserve"> 24. </w:t>
      </w:r>
      <w:r w:rsidR="00664EC3" w:rsidRPr="00531D2A">
        <w:rPr>
          <w:rFonts w:ascii="Calibri" w:hAnsi="Calibri" w:cs="Calibri"/>
          <w:sz w:val="20"/>
          <w:szCs w:val="20"/>
        </w:rPr>
        <w:t>May</w:t>
      </w:r>
    </w:p>
    <w:p w14:paraId="18BE99DA" w14:textId="662F9D64" w:rsidR="00A946DE" w:rsidRDefault="00A946DE" w:rsidP="00B835A6">
      <w:pPr>
        <w:spacing w:after="120" w:line="240" w:lineRule="auto"/>
        <w:rPr>
          <w:rFonts w:ascii="Calibri" w:hAnsi="Calibri" w:cs="Calibri"/>
          <w:sz w:val="20"/>
          <w:szCs w:val="20"/>
        </w:rPr>
      </w:pPr>
      <w:r>
        <w:t xml:space="preserve">Deb P., </w:t>
      </w:r>
      <w:proofErr w:type="spellStart"/>
      <w:r>
        <w:t>Furceri</w:t>
      </w:r>
      <w:proofErr w:type="spellEnd"/>
      <w:r>
        <w:t xml:space="preserve"> D., </w:t>
      </w:r>
      <w:proofErr w:type="spellStart"/>
      <w:r>
        <w:t>Ostry</w:t>
      </w:r>
      <w:proofErr w:type="spellEnd"/>
      <w:r>
        <w:t xml:space="preserve"> J., and </w:t>
      </w:r>
      <w:proofErr w:type="spellStart"/>
      <w:r>
        <w:t>Tawk</w:t>
      </w:r>
      <w:proofErr w:type="spellEnd"/>
      <w:r>
        <w:t xml:space="preserve"> N. (2020</w:t>
      </w:r>
      <w:r w:rsidR="007F3405">
        <w:t>, b</w:t>
      </w:r>
      <w:r>
        <w:t xml:space="preserve">). </w:t>
      </w:r>
      <w:r w:rsidR="007F3405">
        <w:t>“</w:t>
      </w:r>
      <w:r>
        <w:t>The Effects of Containment Measures on the COVID-19 Pandemic</w:t>
      </w:r>
      <w:r w:rsidR="007F3405">
        <w:t>”</w:t>
      </w:r>
      <w:r>
        <w:t xml:space="preserve">. </w:t>
      </w:r>
      <w:proofErr w:type="spellStart"/>
      <w:r w:rsidRPr="00411EAB">
        <w:rPr>
          <w:b/>
        </w:rPr>
        <w:t>Covid</w:t>
      </w:r>
      <w:proofErr w:type="spellEnd"/>
      <w:r w:rsidRPr="00411EAB">
        <w:rPr>
          <w:b/>
        </w:rPr>
        <w:t xml:space="preserve"> Economics</w:t>
      </w:r>
      <w:r w:rsidR="007F3405">
        <w:rPr>
          <w:b/>
          <w:i/>
        </w:rPr>
        <w:t xml:space="preserve">, </w:t>
      </w:r>
      <w:r w:rsidR="007F3405" w:rsidRPr="007F3405">
        <w:t xml:space="preserve">CEPR </w:t>
      </w:r>
      <w:proofErr w:type="spellStart"/>
      <w:r w:rsidR="007F3405" w:rsidRPr="007F3405">
        <w:t>vol</w:t>
      </w:r>
      <w:proofErr w:type="spellEnd"/>
      <w:r w:rsidR="007F3405" w:rsidRPr="007F3405">
        <w:t xml:space="preserve"> 19</w:t>
      </w:r>
      <w:r w:rsidR="007F3405">
        <w:rPr>
          <w:b/>
          <w:i/>
        </w:rPr>
        <w:t xml:space="preserve">, </w:t>
      </w:r>
      <w:r>
        <w:t>pp.53-86.</w:t>
      </w:r>
    </w:p>
    <w:p w14:paraId="2752B4CE" w14:textId="6E0AE4D0" w:rsidR="00A7073D" w:rsidRPr="00531D2A" w:rsidRDefault="00531D2A" w:rsidP="00B835A6">
      <w:pPr>
        <w:spacing w:after="120" w:line="240" w:lineRule="auto"/>
        <w:rPr>
          <w:rFonts w:ascii="Calibri" w:hAnsi="Calibri" w:cs="Calibri"/>
          <w:sz w:val="20"/>
          <w:szCs w:val="20"/>
        </w:rPr>
      </w:pPr>
      <w:r w:rsidRPr="00531D2A">
        <w:rPr>
          <w:rFonts w:ascii="Calibri" w:hAnsi="Calibri" w:cs="Calibri"/>
          <w:sz w:val="20"/>
          <w:szCs w:val="20"/>
        </w:rPr>
        <w:t xml:space="preserve">Oscar </w:t>
      </w:r>
      <w:r w:rsidR="00A7073D" w:rsidRPr="00531D2A">
        <w:rPr>
          <w:rFonts w:ascii="Calibri" w:hAnsi="Calibri" w:cs="Calibri"/>
          <w:sz w:val="20"/>
          <w:szCs w:val="20"/>
        </w:rPr>
        <w:t xml:space="preserve">Dimdore-Miles and </w:t>
      </w:r>
      <w:r w:rsidRPr="00531D2A">
        <w:rPr>
          <w:rFonts w:ascii="Calibri" w:hAnsi="Calibri" w:cs="Calibri"/>
          <w:sz w:val="20"/>
          <w:szCs w:val="20"/>
        </w:rPr>
        <w:t xml:space="preserve">David </w:t>
      </w:r>
      <w:r w:rsidR="00A7073D" w:rsidRPr="00531D2A">
        <w:rPr>
          <w:rFonts w:ascii="Calibri" w:hAnsi="Calibri" w:cs="Calibri"/>
          <w:sz w:val="20"/>
          <w:szCs w:val="20"/>
        </w:rPr>
        <w:t xml:space="preserve">Miles (2020), “Assessing the Spread of the Novel Coronavirus </w:t>
      </w:r>
      <w:proofErr w:type="gramStart"/>
      <w:r w:rsidR="00A7073D" w:rsidRPr="00531D2A">
        <w:rPr>
          <w:rFonts w:ascii="Calibri" w:hAnsi="Calibri" w:cs="Calibri"/>
          <w:sz w:val="20"/>
          <w:szCs w:val="20"/>
        </w:rPr>
        <w:t>In</w:t>
      </w:r>
      <w:proofErr w:type="gramEnd"/>
      <w:r w:rsidR="00A7073D" w:rsidRPr="00531D2A">
        <w:rPr>
          <w:rFonts w:ascii="Calibri" w:hAnsi="Calibri" w:cs="Calibri"/>
          <w:sz w:val="20"/>
          <w:szCs w:val="20"/>
        </w:rPr>
        <w:t xml:space="preserve"> The Absence of Mass Testing”, </w:t>
      </w:r>
      <w:proofErr w:type="spellStart"/>
      <w:r w:rsidR="00A7073D" w:rsidRPr="00E90C2A">
        <w:rPr>
          <w:rFonts w:ascii="Calibri" w:hAnsi="Calibri" w:cs="Calibri"/>
          <w:b/>
          <w:sz w:val="20"/>
          <w:szCs w:val="20"/>
        </w:rPr>
        <w:t>Covid</w:t>
      </w:r>
      <w:proofErr w:type="spellEnd"/>
      <w:r w:rsidR="00A7073D" w:rsidRPr="00E90C2A">
        <w:rPr>
          <w:rFonts w:ascii="Calibri" w:hAnsi="Calibri" w:cs="Calibri"/>
          <w:b/>
          <w:sz w:val="20"/>
          <w:szCs w:val="20"/>
        </w:rPr>
        <w:t xml:space="preserve"> Economics</w:t>
      </w:r>
      <w:r w:rsidR="00A7073D" w:rsidRPr="00531D2A">
        <w:rPr>
          <w:rFonts w:ascii="Calibri" w:hAnsi="Calibri" w:cs="Calibri"/>
          <w:sz w:val="20"/>
          <w:szCs w:val="20"/>
        </w:rPr>
        <w:t>, issue 16, pages 161-176, May.</w:t>
      </w:r>
    </w:p>
    <w:p w14:paraId="7BC18FB5" w14:textId="77777777" w:rsidR="00A7073D" w:rsidRPr="00531D2A" w:rsidRDefault="00A7073D" w:rsidP="00B835A6">
      <w:pPr>
        <w:spacing w:after="120" w:line="240" w:lineRule="auto"/>
        <w:rPr>
          <w:rFonts w:ascii="Calibri" w:hAnsi="Calibri" w:cs="Calibri"/>
          <w:sz w:val="20"/>
          <w:szCs w:val="20"/>
        </w:rPr>
      </w:pPr>
      <w:r w:rsidRPr="00531D2A">
        <w:rPr>
          <w:rFonts w:ascii="Calibri" w:hAnsi="Calibri" w:cs="Calibri"/>
          <w:sz w:val="20"/>
          <w:szCs w:val="20"/>
        </w:rPr>
        <w:t xml:space="preserve">Ferguson et al (2020), “Impact of non-pharmaceutical interventions (NPIs) to reduce COVID- 19 mortality and healthcare demand”, Imperial College COVID 19 Response team report, 16 March 2020. </w:t>
      </w:r>
    </w:p>
    <w:p w14:paraId="562C3E27" w14:textId="77777777" w:rsidR="007B073E" w:rsidRPr="00531D2A" w:rsidRDefault="007B073E" w:rsidP="00B835A6">
      <w:pPr>
        <w:spacing w:line="240" w:lineRule="auto"/>
        <w:rPr>
          <w:rFonts w:ascii="Calibri" w:hAnsi="Calibri" w:cs="Calibri"/>
          <w:sz w:val="20"/>
          <w:szCs w:val="20"/>
        </w:rPr>
      </w:pPr>
      <w:r w:rsidRPr="00531D2A">
        <w:rPr>
          <w:rFonts w:ascii="Calibri" w:hAnsi="Calibri" w:cs="Calibri"/>
          <w:sz w:val="20"/>
          <w:szCs w:val="20"/>
        </w:rPr>
        <w:t xml:space="preserve">Karl J. </w:t>
      </w:r>
      <w:proofErr w:type="spellStart"/>
      <w:r w:rsidRPr="00531D2A">
        <w:rPr>
          <w:rFonts w:ascii="Calibri" w:hAnsi="Calibri" w:cs="Calibri"/>
          <w:sz w:val="20"/>
          <w:szCs w:val="20"/>
        </w:rPr>
        <w:t>Friston</w:t>
      </w:r>
      <w:proofErr w:type="spellEnd"/>
      <w:r w:rsidRPr="00531D2A">
        <w:rPr>
          <w:rFonts w:ascii="Calibri" w:hAnsi="Calibri" w:cs="Calibri"/>
          <w:sz w:val="20"/>
          <w:szCs w:val="20"/>
        </w:rPr>
        <w:t xml:space="preserve"> , Thomas Parr , Peter </w:t>
      </w:r>
      <w:proofErr w:type="spellStart"/>
      <w:r w:rsidRPr="00531D2A">
        <w:rPr>
          <w:rFonts w:ascii="Calibri" w:hAnsi="Calibri" w:cs="Calibri"/>
          <w:sz w:val="20"/>
          <w:szCs w:val="20"/>
        </w:rPr>
        <w:t>Zeidman</w:t>
      </w:r>
      <w:proofErr w:type="spellEnd"/>
      <w:r w:rsidRPr="00531D2A">
        <w:rPr>
          <w:rFonts w:ascii="Calibri" w:hAnsi="Calibri" w:cs="Calibri"/>
          <w:sz w:val="20"/>
          <w:szCs w:val="20"/>
        </w:rPr>
        <w:t xml:space="preserve"> , Adeel </w:t>
      </w:r>
      <w:proofErr w:type="spellStart"/>
      <w:r w:rsidRPr="00531D2A">
        <w:rPr>
          <w:rFonts w:ascii="Calibri" w:hAnsi="Calibri" w:cs="Calibri"/>
          <w:sz w:val="20"/>
          <w:szCs w:val="20"/>
        </w:rPr>
        <w:t>Razi</w:t>
      </w:r>
      <w:proofErr w:type="spellEnd"/>
      <w:r w:rsidRPr="00531D2A">
        <w:rPr>
          <w:rFonts w:ascii="Calibri" w:hAnsi="Calibri" w:cs="Calibri"/>
          <w:sz w:val="20"/>
          <w:szCs w:val="20"/>
        </w:rPr>
        <w:t xml:space="preserve"> , Guillaume </w:t>
      </w:r>
      <w:proofErr w:type="spellStart"/>
      <w:r w:rsidRPr="00531D2A">
        <w:rPr>
          <w:rFonts w:ascii="Calibri" w:hAnsi="Calibri" w:cs="Calibri"/>
          <w:sz w:val="20"/>
          <w:szCs w:val="20"/>
        </w:rPr>
        <w:t>Flandin</w:t>
      </w:r>
      <w:proofErr w:type="spellEnd"/>
      <w:r w:rsidRPr="00531D2A">
        <w:rPr>
          <w:rFonts w:ascii="Calibri" w:hAnsi="Calibri" w:cs="Calibri"/>
          <w:sz w:val="20"/>
          <w:szCs w:val="20"/>
        </w:rPr>
        <w:t xml:space="preserve"> , Jean </w:t>
      </w:r>
      <w:proofErr w:type="spellStart"/>
      <w:r w:rsidRPr="00531D2A">
        <w:rPr>
          <w:rFonts w:ascii="Calibri" w:hAnsi="Calibri" w:cs="Calibri"/>
          <w:sz w:val="20"/>
          <w:szCs w:val="20"/>
        </w:rPr>
        <w:t>Daunizeau</w:t>
      </w:r>
      <w:proofErr w:type="spellEnd"/>
      <w:r w:rsidRPr="00531D2A">
        <w:rPr>
          <w:rFonts w:ascii="Calibri" w:hAnsi="Calibri" w:cs="Calibri"/>
          <w:sz w:val="20"/>
          <w:szCs w:val="20"/>
        </w:rPr>
        <w:t xml:space="preserve"> , Oliver J. Hulme, Alexander J. </w:t>
      </w:r>
      <w:proofErr w:type="spellStart"/>
      <w:r w:rsidRPr="00531D2A">
        <w:rPr>
          <w:rFonts w:ascii="Calibri" w:hAnsi="Calibri" w:cs="Calibri"/>
          <w:sz w:val="20"/>
          <w:szCs w:val="20"/>
        </w:rPr>
        <w:t>Billig</w:t>
      </w:r>
      <w:proofErr w:type="spellEnd"/>
      <w:r w:rsidRPr="00531D2A">
        <w:rPr>
          <w:rFonts w:ascii="Calibri" w:hAnsi="Calibri" w:cs="Calibri"/>
          <w:sz w:val="20"/>
          <w:szCs w:val="20"/>
        </w:rPr>
        <w:t xml:space="preserve"> , Vladimir Litvak , Rosalyn J. Moran , Cathy J. Price and Christian Lambert (2020) “Dynamic Causal Modelling of </w:t>
      </w:r>
      <w:proofErr w:type="spellStart"/>
      <w:r w:rsidRPr="00531D2A">
        <w:rPr>
          <w:rFonts w:ascii="Calibri" w:hAnsi="Calibri" w:cs="Calibri"/>
          <w:sz w:val="20"/>
          <w:szCs w:val="20"/>
        </w:rPr>
        <w:t>Covid</w:t>
      </w:r>
      <w:proofErr w:type="spellEnd"/>
      <w:r w:rsidRPr="00531D2A">
        <w:rPr>
          <w:rFonts w:ascii="Calibri" w:hAnsi="Calibri" w:cs="Calibri"/>
          <w:sz w:val="20"/>
          <w:szCs w:val="20"/>
        </w:rPr>
        <w:t xml:space="preserve"> 19”, Technical Report available at </w:t>
      </w:r>
      <w:hyperlink r:id="rId21" w:history="1">
        <w:r w:rsidRPr="00531D2A">
          <w:rPr>
            <w:rStyle w:val="Hyperlink"/>
            <w:rFonts w:ascii="Calibri" w:hAnsi="Calibri" w:cs="Calibri"/>
            <w:sz w:val="20"/>
            <w:szCs w:val="20"/>
          </w:rPr>
          <w:t>https://arxiv.org/ftp/arxiv/papers/2004/2004.04463.pdf</w:t>
        </w:r>
      </w:hyperlink>
    </w:p>
    <w:p w14:paraId="26F7B996" w14:textId="15DA8F8E" w:rsidR="00D94493" w:rsidRPr="00531D2A" w:rsidRDefault="00D94493" w:rsidP="00B835A6">
      <w:pPr>
        <w:spacing w:after="120" w:line="240" w:lineRule="auto"/>
        <w:rPr>
          <w:rFonts w:ascii="Calibri" w:hAnsi="Calibri" w:cs="Calibri"/>
          <w:sz w:val="20"/>
          <w:szCs w:val="20"/>
        </w:rPr>
      </w:pPr>
      <w:r w:rsidRPr="00531D2A">
        <w:rPr>
          <w:rFonts w:ascii="Calibri" w:hAnsi="Calibri" w:cs="Calibri"/>
          <w:sz w:val="20"/>
          <w:szCs w:val="20"/>
        </w:rPr>
        <w:t>Joshua R. Goldstein and Ronald D. Lee (2020), “Demographic Perspectives on Mortality of COVID-19 and other Pandemics”, NBER Working Paper 27043.</w:t>
      </w:r>
    </w:p>
    <w:p w14:paraId="58AB160B" w14:textId="6169B72A" w:rsidR="00A90C62" w:rsidRDefault="00A90C62" w:rsidP="00B835A6">
      <w:pPr>
        <w:spacing w:after="120" w:line="240" w:lineRule="auto"/>
        <w:rPr>
          <w:rFonts w:ascii="Calibri" w:hAnsi="Calibri" w:cs="Calibri"/>
          <w:sz w:val="20"/>
          <w:szCs w:val="20"/>
        </w:rPr>
      </w:pPr>
      <w:r>
        <w:t xml:space="preserve">Charles Gottlieb, Jan </w:t>
      </w:r>
      <w:proofErr w:type="spellStart"/>
      <w:r>
        <w:t>Grobovšek</w:t>
      </w:r>
      <w:proofErr w:type="spellEnd"/>
      <w:r>
        <w:t xml:space="preserve">, Markus </w:t>
      </w:r>
      <w:proofErr w:type="spellStart"/>
      <w:r>
        <w:t>Poschke</w:t>
      </w:r>
      <w:proofErr w:type="spellEnd"/>
      <w:r>
        <w:t xml:space="preserve"> and Fernando </w:t>
      </w:r>
      <w:proofErr w:type="spellStart"/>
      <w:r>
        <w:t>Saltie</w:t>
      </w:r>
      <w:proofErr w:type="spellEnd"/>
      <w:r>
        <w:t xml:space="preserve"> (2020) “Lockdown Accounting” </w:t>
      </w:r>
      <w:proofErr w:type="spellStart"/>
      <w:r w:rsidRPr="00A90C62">
        <w:rPr>
          <w:b/>
        </w:rPr>
        <w:t>Covid</w:t>
      </w:r>
      <w:proofErr w:type="spellEnd"/>
      <w:r w:rsidRPr="00A90C62">
        <w:rPr>
          <w:b/>
        </w:rPr>
        <w:t xml:space="preserve"> Economics</w:t>
      </w:r>
      <w:r>
        <w:t>, issue 31 (June).</w:t>
      </w:r>
    </w:p>
    <w:p w14:paraId="3DDA1335" w14:textId="45C2AE72" w:rsidR="00C43F64" w:rsidRDefault="00F935C5" w:rsidP="00B835A6">
      <w:pPr>
        <w:spacing w:after="120" w:line="240" w:lineRule="auto"/>
        <w:rPr>
          <w:rFonts w:ascii="Calibri" w:hAnsi="Calibri" w:cs="Calibri"/>
          <w:sz w:val="20"/>
          <w:szCs w:val="20"/>
        </w:rPr>
      </w:pPr>
      <w:r w:rsidRPr="00531D2A">
        <w:rPr>
          <w:rFonts w:ascii="Calibri" w:hAnsi="Calibri" w:cs="Calibri"/>
          <w:sz w:val="20"/>
          <w:szCs w:val="20"/>
        </w:rPr>
        <w:t xml:space="preserve">Dirk Krueger, Harald Uhlig and </w:t>
      </w:r>
      <w:proofErr w:type="spellStart"/>
      <w:r w:rsidRPr="00531D2A">
        <w:rPr>
          <w:rFonts w:ascii="Calibri" w:hAnsi="Calibri" w:cs="Calibri"/>
          <w:sz w:val="20"/>
          <w:szCs w:val="20"/>
        </w:rPr>
        <w:t>Taojun</w:t>
      </w:r>
      <w:proofErr w:type="spellEnd"/>
      <w:r w:rsidRPr="00531D2A">
        <w:rPr>
          <w:rFonts w:ascii="Calibri" w:hAnsi="Calibri" w:cs="Calibri"/>
          <w:sz w:val="20"/>
          <w:szCs w:val="20"/>
        </w:rPr>
        <w:t xml:space="preserve"> </w:t>
      </w:r>
      <w:proofErr w:type="spellStart"/>
      <w:proofErr w:type="gramStart"/>
      <w:r w:rsidRPr="00531D2A">
        <w:rPr>
          <w:rFonts w:ascii="Calibri" w:hAnsi="Calibri" w:cs="Calibri"/>
          <w:sz w:val="20"/>
          <w:szCs w:val="20"/>
        </w:rPr>
        <w:t>Xie</w:t>
      </w:r>
      <w:proofErr w:type="spellEnd"/>
      <w:r w:rsidRPr="00531D2A">
        <w:rPr>
          <w:rFonts w:ascii="Calibri" w:hAnsi="Calibri" w:cs="Calibri"/>
          <w:sz w:val="20"/>
          <w:szCs w:val="20"/>
        </w:rPr>
        <w:t xml:space="preserve">  (</w:t>
      </w:r>
      <w:proofErr w:type="gramEnd"/>
      <w:r w:rsidRPr="00531D2A">
        <w:rPr>
          <w:rFonts w:ascii="Calibri" w:hAnsi="Calibri" w:cs="Calibri"/>
          <w:sz w:val="20"/>
          <w:szCs w:val="20"/>
        </w:rPr>
        <w:t xml:space="preserve">2020), </w:t>
      </w:r>
      <w:r w:rsidR="00664EC3" w:rsidRPr="00531D2A">
        <w:rPr>
          <w:rFonts w:ascii="Calibri" w:hAnsi="Calibri" w:cs="Calibri"/>
          <w:sz w:val="20"/>
          <w:szCs w:val="20"/>
        </w:rPr>
        <w:t xml:space="preserve">“Macroeconomic dynamics and reallocation in an epidemic”, </w:t>
      </w:r>
      <w:proofErr w:type="spellStart"/>
      <w:r w:rsidR="00664EC3" w:rsidRPr="00531D2A">
        <w:rPr>
          <w:rFonts w:ascii="Calibri" w:hAnsi="Calibri" w:cs="Calibri"/>
          <w:b/>
          <w:sz w:val="20"/>
          <w:szCs w:val="20"/>
        </w:rPr>
        <w:t>Covid</w:t>
      </w:r>
      <w:proofErr w:type="spellEnd"/>
      <w:r w:rsidR="00664EC3" w:rsidRPr="00531D2A">
        <w:rPr>
          <w:rFonts w:ascii="Calibri" w:hAnsi="Calibri" w:cs="Calibri"/>
          <w:b/>
          <w:sz w:val="20"/>
          <w:szCs w:val="20"/>
        </w:rPr>
        <w:t xml:space="preserve"> Economics</w:t>
      </w:r>
      <w:r w:rsidR="00664EC3" w:rsidRPr="00531D2A">
        <w:rPr>
          <w:rFonts w:ascii="Calibri" w:hAnsi="Calibri" w:cs="Calibri"/>
          <w:sz w:val="20"/>
          <w:szCs w:val="20"/>
        </w:rPr>
        <w:t xml:space="preserve">, </w:t>
      </w:r>
      <w:proofErr w:type="spellStart"/>
      <w:r w:rsidR="00664EC3" w:rsidRPr="00531D2A">
        <w:rPr>
          <w:rFonts w:ascii="Calibri" w:hAnsi="Calibri" w:cs="Calibri"/>
          <w:sz w:val="20"/>
          <w:szCs w:val="20"/>
        </w:rPr>
        <w:t>vol</w:t>
      </w:r>
      <w:proofErr w:type="spellEnd"/>
      <w:r w:rsidR="00664EC3" w:rsidRPr="00531D2A">
        <w:rPr>
          <w:rFonts w:ascii="Calibri" w:hAnsi="Calibri" w:cs="Calibri"/>
          <w:sz w:val="20"/>
          <w:szCs w:val="20"/>
        </w:rPr>
        <w:t xml:space="preserve"> 5,  April 2020. </w:t>
      </w:r>
    </w:p>
    <w:p w14:paraId="4D4BA8BE" w14:textId="37D80482" w:rsidR="008F0FEB" w:rsidRPr="00531D2A" w:rsidRDefault="0003263B" w:rsidP="00B835A6">
      <w:pPr>
        <w:spacing w:after="120" w:line="240" w:lineRule="auto"/>
        <w:rPr>
          <w:rFonts w:ascii="Calibri" w:hAnsi="Calibri" w:cs="Calibri"/>
          <w:sz w:val="20"/>
          <w:szCs w:val="20"/>
        </w:rPr>
      </w:pPr>
      <w:r>
        <w:rPr>
          <w:rFonts w:ascii="Calibri" w:hAnsi="Calibri" w:cs="Calibri"/>
          <w:sz w:val="20"/>
          <w:szCs w:val="20"/>
        </w:rPr>
        <w:lastRenderedPageBreak/>
        <w:t xml:space="preserve">Richard </w:t>
      </w:r>
      <w:r w:rsidR="008F0FEB">
        <w:rPr>
          <w:rFonts w:ascii="Calibri" w:hAnsi="Calibri" w:cs="Calibri"/>
          <w:sz w:val="20"/>
          <w:szCs w:val="20"/>
        </w:rPr>
        <w:t>Lay</w:t>
      </w:r>
      <w:r>
        <w:rPr>
          <w:rFonts w:ascii="Calibri" w:hAnsi="Calibri" w:cs="Calibri"/>
          <w:sz w:val="20"/>
          <w:szCs w:val="20"/>
        </w:rPr>
        <w:t xml:space="preserve">ard, Andrew </w:t>
      </w:r>
      <w:r w:rsidRPr="0003263B">
        <w:rPr>
          <w:rFonts w:ascii="Calibri" w:hAnsi="Calibri" w:cs="Calibri"/>
          <w:sz w:val="20"/>
          <w:szCs w:val="20"/>
        </w:rPr>
        <w:t>Clark</w:t>
      </w:r>
      <w:r>
        <w:rPr>
          <w:rFonts w:ascii="Calibri" w:hAnsi="Calibri" w:cs="Calibri"/>
          <w:sz w:val="20"/>
          <w:szCs w:val="20"/>
        </w:rPr>
        <w:t xml:space="preserve">, </w:t>
      </w:r>
      <w:r w:rsidRPr="0003263B">
        <w:rPr>
          <w:rFonts w:ascii="Calibri" w:hAnsi="Calibri" w:cs="Calibri"/>
          <w:sz w:val="20"/>
          <w:szCs w:val="20"/>
        </w:rPr>
        <w:t>Jan-Emmanuel De Neve</w:t>
      </w:r>
      <w:r>
        <w:rPr>
          <w:rFonts w:ascii="Calibri" w:hAnsi="Calibri" w:cs="Calibri"/>
          <w:sz w:val="20"/>
          <w:szCs w:val="20"/>
        </w:rPr>
        <w:t>,</w:t>
      </w:r>
      <w:r w:rsidRPr="0003263B">
        <w:rPr>
          <w:rFonts w:ascii="Calibri" w:hAnsi="Calibri" w:cs="Calibri"/>
          <w:sz w:val="20"/>
          <w:szCs w:val="20"/>
        </w:rPr>
        <w:t xml:space="preserve"> Christian Krekel</w:t>
      </w:r>
      <w:r>
        <w:rPr>
          <w:rFonts w:ascii="Calibri" w:hAnsi="Calibri" w:cs="Calibri"/>
          <w:sz w:val="20"/>
          <w:szCs w:val="20"/>
        </w:rPr>
        <w:t xml:space="preserve">, </w:t>
      </w:r>
      <w:r w:rsidRPr="0003263B">
        <w:rPr>
          <w:rFonts w:ascii="Calibri" w:hAnsi="Calibri" w:cs="Calibri"/>
          <w:sz w:val="20"/>
          <w:szCs w:val="20"/>
        </w:rPr>
        <w:t xml:space="preserve">Daisy </w:t>
      </w:r>
      <w:proofErr w:type="spellStart"/>
      <w:r w:rsidRPr="0003263B">
        <w:rPr>
          <w:rFonts w:ascii="Calibri" w:hAnsi="Calibri" w:cs="Calibri"/>
          <w:sz w:val="20"/>
          <w:szCs w:val="20"/>
        </w:rPr>
        <w:t>Fancourt</w:t>
      </w:r>
      <w:proofErr w:type="spellEnd"/>
      <w:r>
        <w:rPr>
          <w:rFonts w:ascii="Calibri" w:hAnsi="Calibri" w:cs="Calibri"/>
          <w:sz w:val="20"/>
          <w:szCs w:val="20"/>
        </w:rPr>
        <w:t xml:space="preserve">, </w:t>
      </w:r>
      <w:r w:rsidRPr="0003263B">
        <w:rPr>
          <w:rFonts w:ascii="Calibri" w:hAnsi="Calibri" w:cs="Calibri"/>
          <w:sz w:val="20"/>
          <w:szCs w:val="20"/>
        </w:rPr>
        <w:t>Nancy Hey</w:t>
      </w:r>
      <w:r>
        <w:rPr>
          <w:rFonts w:ascii="Calibri" w:hAnsi="Calibri" w:cs="Calibri"/>
          <w:sz w:val="20"/>
          <w:szCs w:val="20"/>
        </w:rPr>
        <w:t xml:space="preserve"> and </w:t>
      </w:r>
      <w:r w:rsidRPr="0003263B">
        <w:rPr>
          <w:rFonts w:ascii="Calibri" w:hAnsi="Calibri" w:cs="Calibri"/>
          <w:sz w:val="20"/>
          <w:szCs w:val="20"/>
        </w:rPr>
        <w:t>Gus O’Donnell</w:t>
      </w:r>
      <w:r>
        <w:rPr>
          <w:rFonts w:ascii="Calibri" w:hAnsi="Calibri" w:cs="Calibri"/>
          <w:sz w:val="20"/>
          <w:szCs w:val="20"/>
        </w:rPr>
        <w:t xml:space="preserve"> (2020) “</w:t>
      </w:r>
      <w:r w:rsidRPr="0003263B">
        <w:rPr>
          <w:rFonts w:ascii="Calibri" w:hAnsi="Calibri" w:cs="Calibri"/>
          <w:sz w:val="20"/>
          <w:szCs w:val="20"/>
        </w:rPr>
        <w:t>When to release the lockdown: A wellbeing framework for analysing costs and benefits</w:t>
      </w:r>
      <w:r>
        <w:rPr>
          <w:rFonts w:ascii="Calibri" w:hAnsi="Calibri" w:cs="Calibri"/>
          <w:sz w:val="20"/>
          <w:szCs w:val="20"/>
        </w:rPr>
        <w:t xml:space="preserve">”, </w:t>
      </w:r>
      <w:proofErr w:type="spellStart"/>
      <w:r>
        <w:rPr>
          <w:rFonts w:ascii="Calibri" w:hAnsi="Calibri" w:cs="Calibri"/>
          <w:sz w:val="20"/>
          <w:szCs w:val="20"/>
        </w:rPr>
        <w:t>Center</w:t>
      </w:r>
      <w:proofErr w:type="spellEnd"/>
      <w:r>
        <w:rPr>
          <w:rFonts w:ascii="Calibri" w:hAnsi="Calibri" w:cs="Calibri"/>
          <w:sz w:val="20"/>
          <w:szCs w:val="20"/>
        </w:rPr>
        <w:t xml:space="preserve"> for Economic Performance at the LSE, Occasional paper 49. </w:t>
      </w:r>
    </w:p>
    <w:p w14:paraId="3A7A9A96" w14:textId="77777777" w:rsidR="007B073E" w:rsidRPr="00531D2A" w:rsidRDefault="007B073E" w:rsidP="00B835A6">
      <w:pPr>
        <w:spacing w:after="120" w:line="240" w:lineRule="auto"/>
        <w:rPr>
          <w:rFonts w:ascii="Calibri" w:hAnsi="Calibri" w:cs="Calibri"/>
          <w:color w:val="0000FF"/>
          <w:sz w:val="20"/>
          <w:szCs w:val="20"/>
          <w:u w:val="single"/>
        </w:rPr>
      </w:pPr>
      <w:r w:rsidRPr="00531D2A">
        <w:rPr>
          <w:rFonts w:ascii="Calibri" w:hAnsi="Calibri" w:cs="Calibri"/>
          <w:sz w:val="20"/>
          <w:szCs w:val="20"/>
        </w:rPr>
        <w:t xml:space="preserve">Michael Levitt (2020) “The Corona Chronologies” available at:  </w:t>
      </w:r>
      <w:r w:rsidRPr="00531D2A">
        <w:rPr>
          <w:rFonts w:ascii="Calibri" w:hAnsi="Calibri" w:cs="Calibri"/>
          <w:b/>
          <w:sz w:val="20"/>
          <w:szCs w:val="20"/>
        </w:rPr>
        <w:t>“</w:t>
      </w:r>
      <w:hyperlink r:id="rId22" w:history="1">
        <w:r w:rsidRPr="00531D2A">
          <w:rPr>
            <w:rFonts w:ascii="Calibri" w:hAnsi="Calibri" w:cs="Calibri"/>
            <w:color w:val="0000FF"/>
            <w:sz w:val="20"/>
            <w:szCs w:val="20"/>
            <w:u w:val="single"/>
          </w:rPr>
          <w:t>https://www.dropbox.com/s/r4gxdvlcnrxet1i/1.The_Corona_Chronologies.%20Part%20I%20-%20China.%20Part%20II.%20Rest_of_World_Michael_Levitt%2CStanford_r.pdf?dl=0</w:t>
        </w:r>
      </w:hyperlink>
    </w:p>
    <w:p w14:paraId="73F1252A" w14:textId="77777777" w:rsidR="00A7073D" w:rsidRPr="00531D2A" w:rsidRDefault="00A7073D" w:rsidP="00B835A6">
      <w:pPr>
        <w:spacing w:after="120" w:line="240" w:lineRule="auto"/>
        <w:rPr>
          <w:rFonts w:ascii="Calibri" w:hAnsi="Calibri" w:cs="Calibri"/>
          <w:sz w:val="20"/>
          <w:szCs w:val="20"/>
        </w:rPr>
      </w:pPr>
      <w:r w:rsidRPr="00531D2A">
        <w:rPr>
          <w:rFonts w:ascii="Calibri" w:hAnsi="Calibri" w:cs="Calibri"/>
          <w:sz w:val="20"/>
          <w:szCs w:val="20"/>
        </w:rPr>
        <w:t xml:space="preserve">José  </w:t>
      </w:r>
      <w:proofErr w:type="spellStart"/>
      <w:r w:rsidRPr="00531D2A">
        <w:rPr>
          <w:rFonts w:ascii="Calibri" w:hAnsi="Calibri" w:cs="Calibri"/>
          <w:sz w:val="20"/>
          <w:szCs w:val="20"/>
        </w:rPr>
        <w:t>Lourenço</w:t>
      </w:r>
      <w:proofErr w:type="spellEnd"/>
      <w:r w:rsidRPr="00531D2A">
        <w:rPr>
          <w:rFonts w:ascii="Calibri" w:hAnsi="Calibri" w:cs="Calibri"/>
          <w:sz w:val="20"/>
          <w:szCs w:val="20"/>
        </w:rPr>
        <w:t xml:space="preserve">​​,  Robert  Paton​​,  Mahan  </w:t>
      </w:r>
      <w:proofErr w:type="spellStart"/>
      <w:r w:rsidRPr="00531D2A">
        <w:rPr>
          <w:rFonts w:ascii="Calibri" w:hAnsi="Calibri" w:cs="Calibri"/>
          <w:sz w:val="20"/>
          <w:szCs w:val="20"/>
        </w:rPr>
        <w:t>Ghafari</w:t>
      </w:r>
      <w:proofErr w:type="spellEnd"/>
      <w:r w:rsidRPr="00531D2A">
        <w:rPr>
          <w:rFonts w:ascii="Calibri" w:hAnsi="Calibri" w:cs="Calibri"/>
          <w:sz w:val="20"/>
          <w:szCs w:val="20"/>
        </w:rPr>
        <w:t xml:space="preserve">​​,  Moritz  Kraemer​,  Craig  Thompson​​,  Peter  Simmonds​​, Paul </w:t>
      </w:r>
      <w:proofErr w:type="spellStart"/>
      <w:r w:rsidRPr="00531D2A">
        <w:rPr>
          <w:rFonts w:ascii="Calibri" w:hAnsi="Calibri" w:cs="Calibri"/>
          <w:sz w:val="20"/>
          <w:szCs w:val="20"/>
        </w:rPr>
        <w:t>Klenerman</w:t>
      </w:r>
      <w:proofErr w:type="spellEnd"/>
      <w:r w:rsidRPr="00531D2A">
        <w:rPr>
          <w:rFonts w:ascii="Calibri" w:hAnsi="Calibri" w:cs="Calibri"/>
          <w:sz w:val="20"/>
          <w:szCs w:val="20"/>
        </w:rPr>
        <w:t xml:space="preserve">​​, Sunetra Gupta (2020), “Fundamental principles of epidemic spread highlight the immediate need for large-scale serological surveys to assess the stage of the SARS-CoV-2 epidemic “, </w:t>
      </w:r>
      <w:proofErr w:type="spellStart"/>
      <w:r w:rsidRPr="00531D2A">
        <w:rPr>
          <w:rFonts w:ascii="Calibri" w:hAnsi="Calibri" w:cs="Calibri"/>
          <w:sz w:val="20"/>
          <w:szCs w:val="20"/>
        </w:rPr>
        <w:t>medRxiv</w:t>
      </w:r>
      <w:proofErr w:type="spellEnd"/>
      <w:r w:rsidRPr="00531D2A">
        <w:rPr>
          <w:rFonts w:ascii="Calibri" w:hAnsi="Calibri" w:cs="Calibri"/>
          <w:sz w:val="20"/>
          <w:szCs w:val="20"/>
        </w:rPr>
        <w:t xml:space="preserve"> preprint </w:t>
      </w:r>
      <w:proofErr w:type="spellStart"/>
      <w:r w:rsidRPr="00531D2A">
        <w:rPr>
          <w:rFonts w:ascii="Calibri" w:hAnsi="Calibri" w:cs="Calibri"/>
          <w:sz w:val="20"/>
          <w:szCs w:val="20"/>
        </w:rPr>
        <w:t>doi</w:t>
      </w:r>
      <w:proofErr w:type="spellEnd"/>
      <w:r w:rsidRPr="00531D2A">
        <w:rPr>
          <w:rFonts w:ascii="Calibri" w:hAnsi="Calibri" w:cs="Calibri"/>
          <w:sz w:val="20"/>
          <w:szCs w:val="20"/>
        </w:rPr>
        <w:t xml:space="preserve">: </w:t>
      </w:r>
      <w:hyperlink r:id="rId23" w:history="1">
        <w:r w:rsidRPr="00531D2A">
          <w:rPr>
            <w:rStyle w:val="Hyperlink"/>
            <w:rFonts w:ascii="Calibri" w:hAnsi="Calibri" w:cs="Calibri"/>
            <w:sz w:val="20"/>
            <w:szCs w:val="20"/>
          </w:rPr>
          <w:t>https://doi.org/10.1101/2020.03.24.20042291</w:t>
        </w:r>
      </w:hyperlink>
      <w:r w:rsidRPr="00531D2A">
        <w:rPr>
          <w:rFonts w:ascii="Calibri" w:hAnsi="Calibri" w:cs="Calibri"/>
          <w:sz w:val="20"/>
          <w:szCs w:val="20"/>
        </w:rPr>
        <w:t>, March 2020.</w:t>
      </w:r>
    </w:p>
    <w:p w14:paraId="64190F03" w14:textId="226AA9DB" w:rsidR="00655FD3" w:rsidRPr="00655FD3" w:rsidRDefault="00F41061" w:rsidP="00B835A6">
      <w:pPr>
        <w:pStyle w:val="Heading1"/>
        <w:spacing w:before="105" w:after="150" w:line="240" w:lineRule="auto"/>
        <w:rPr>
          <w:rFonts w:ascii="Georgia" w:eastAsia="Times New Roman" w:hAnsi="Georgia" w:cs="Arial"/>
          <w:color w:val="222222"/>
          <w:sz w:val="20"/>
          <w:szCs w:val="20"/>
        </w:rPr>
      </w:pPr>
      <w:r w:rsidRPr="00655FD3">
        <w:rPr>
          <w:rFonts w:ascii="Calibri" w:hAnsi="Calibri" w:cs="Calibri"/>
          <w:sz w:val="20"/>
          <w:szCs w:val="20"/>
        </w:rPr>
        <w:t>J P Morgan (2020)</w:t>
      </w:r>
      <w:r w:rsidR="00655FD3" w:rsidRPr="00655FD3">
        <w:rPr>
          <w:rFonts w:ascii="Calibri" w:hAnsi="Calibri" w:cs="Calibri"/>
          <w:sz w:val="20"/>
          <w:szCs w:val="20"/>
        </w:rPr>
        <w:t xml:space="preserve"> “</w:t>
      </w:r>
      <w:r w:rsidR="00655FD3" w:rsidRPr="00655FD3">
        <w:rPr>
          <w:rFonts w:asciiTheme="minorHAnsi" w:eastAsia="Times New Roman" w:hAnsiTheme="minorHAnsi" w:cstheme="minorHAnsi"/>
          <w:bCs/>
          <w:color w:val="222222"/>
          <w:sz w:val="20"/>
          <w:szCs w:val="20"/>
        </w:rPr>
        <w:t>Sweden's approach to COVID-19: some early comparisons”, June 25</w:t>
      </w:r>
      <w:r w:rsidR="00655FD3" w:rsidRPr="00655FD3">
        <w:rPr>
          <w:rFonts w:asciiTheme="minorHAnsi" w:eastAsia="Times New Roman" w:hAnsiTheme="minorHAnsi" w:cstheme="minorHAnsi"/>
          <w:bCs/>
          <w:color w:val="222222"/>
          <w:sz w:val="20"/>
          <w:szCs w:val="20"/>
          <w:vertAlign w:val="superscript"/>
        </w:rPr>
        <w:t>th</w:t>
      </w:r>
      <w:r w:rsidR="00655FD3" w:rsidRPr="00655FD3">
        <w:rPr>
          <w:rFonts w:asciiTheme="minorHAnsi" w:eastAsia="Times New Roman" w:hAnsiTheme="minorHAnsi" w:cstheme="minorHAnsi"/>
          <w:bCs/>
          <w:color w:val="222222"/>
          <w:sz w:val="20"/>
          <w:szCs w:val="20"/>
        </w:rPr>
        <w:t xml:space="preserve"> report by David Mackie, Li</w:t>
      </w:r>
      <w:r w:rsidR="00655FD3">
        <w:rPr>
          <w:rFonts w:asciiTheme="minorHAnsi" w:eastAsia="Times New Roman" w:hAnsiTheme="minorHAnsi" w:cstheme="minorHAnsi"/>
          <w:bCs/>
          <w:color w:val="222222"/>
          <w:sz w:val="20"/>
          <w:szCs w:val="20"/>
        </w:rPr>
        <w:t>s</w:t>
      </w:r>
      <w:r w:rsidR="00655FD3" w:rsidRPr="00655FD3">
        <w:rPr>
          <w:rFonts w:asciiTheme="minorHAnsi" w:eastAsia="Times New Roman" w:hAnsiTheme="minorHAnsi" w:cstheme="minorHAnsi"/>
          <w:bCs/>
          <w:color w:val="222222"/>
          <w:sz w:val="20"/>
          <w:szCs w:val="20"/>
        </w:rPr>
        <w:t xml:space="preserve">a </w:t>
      </w:r>
      <w:proofErr w:type="spellStart"/>
      <w:r w:rsidR="00655FD3" w:rsidRPr="00655FD3">
        <w:rPr>
          <w:rFonts w:asciiTheme="minorHAnsi" w:eastAsia="Times New Roman" w:hAnsiTheme="minorHAnsi" w:cstheme="minorHAnsi"/>
          <w:bCs/>
          <w:color w:val="222222"/>
          <w:sz w:val="20"/>
          <w:szCs w:val="20"/>
        </w:rPr>
        <w:t>Alexandersson</w:t>
      </w:r>
      <w:proofErr w:type="spellEnd"/>
      <w:r w:rsidR="00655FD3" w:rsidRPr="00655FD3">
        <w:rPr>
          <w:rFonts w:asciiTheme="minorHAnsi" w:eastAsia="Times New Roman" w:hAnsiTheme="minorHAnsi" w:cstheme="minorHAnsi"/>
          <w:bCs/>
          <w:color w:val="222222"/>
          <w:sz w:val="20"/>
          <w:szCs w:val="20"/>
        </w:rPr>
        <w:t xml:space="preserve"> and Alan Monks.</w:t>
      </w:r>
      <w:r w:rsidR="00655FD3" w:rsidRPr="00655FD3">
        <w:rPr>
          <w:rFonts w:asciiTheme="minorHAnsi" w:eastAsia="Times New Roman" w:hAnsiTheme="minorHAnsi" w:cstheme="minorHAnsi"/>
          <w:b/>
          <w:bCs/>
          <w:color w:val="222222"/>
          <w:sz w:val="20"/>
          <w:szCs w:val="20"/>
        </w:rPr>
        <w:t xml:space="preserve"> </w:t>
      </w:r>
    </w:p>
    <w:p w14:paraId="346D8971" w14:textId="402CFE2F" w:rsidR="00EC298F" w:rsidRDefault="00EC298F" w:rsidP="00B835A6">
      <w:pPr>
        <w:spacing w:after="120" w:line="240" w:lineRule="auto"/>
        <w:rPr>
          <w:rFonts w:ascii="Calibri" w:hAnsi="Calibri" w:cs="Calibri"/>
          <w:sz w:val="20"/>
          <w:szCs w:val="20"/>
        </w:rPr>
      </w:pPr>
      <w:r w:rsidRPr="00EC298F">
        <w:rPr>
          <w:rFonts w:ascii="Calibri" w:hAnsi="Calibri" w:cs="Calibri"/>
          <w:sz w:val="20"/>
          <w:szCs w:val="20"/>
        </w:rPr>
        <w:t xml:space="preserve">Murphy, Kevin M. and Robert H. </w:t>
      </w:r>
      <w:proofErr w:type="spellStart"/>
      <w:r w:rsidRPr="00EC298F">
        <w:rPr>
          <w:rFonts w:ascii="Calibri" w:hAnsi="Calibri" w:cs="Calibri"/>
          <w:sz w:val="20"/>
          <w:szCs w:val="20"/>
        </w:rPr>
        <w:t>Topel</w:t>
      </w:r>
      <w:proofErr w:type="spellEnd"/>
      <w:r w:rsidRPr="00EC298F">
        <w:rPr>
          <w:rFonts w:ascii="Calibri" w:hAnsi="Calibri" w:cs="Calibri"/>
          <w:sz w:val="20"/>
          <w:szCs w:val="20"/>
        </w:rPr>
        <w:t xml:space="preserve">. "The Value </w:t>
      </w:r>
      <w:r>
        <w:rPr>
          <w:rFonts w:ascii="Calibri" w:hAnsi="Calibri" w:cs="Calibri"/>
          <w:sz w:val="20"/>
          <w:szCs w:val="20"/>
        </w:rPr>
        <w:t>o</w:t>
      </w:r>
      <w:r w:rsidRPr="00EC298F">
        <w:rPr>
          <w:rFonts w:ascii="Calibri" w:hAnsi="Calibri" w:cs="Calibri"/>
          <w:sz w:val="20"/>
          <w:szCs w:val="20"/>
        </w:rPr>
        <w:t xml:space="preserve">f Health </w:t>
      </w:r>
      <w:r w:rsidR="00A35B1D">
        <w:rPr>
          <w:rFonts w:ascii="Calibri" w:hAnsi="Calibri" w:cs="Calibri"/>
          <w:sz w:val="20"/>
          <w:szCs w:val="20"/>
        </w:rPr>
        <w:t>a</w:t>
      </w:r>
      <w:r w:rsidRPr="00EC298F">
        <w:rPr>
          <w:rFonts w:ascii="Calibri" w:hAnsi="Calibri" w:cs="Calibri"/>
          <w:sz w:val="20"/>
          <w:szCs w:val="20"/>
        </w:rPr>
        <w:t xml:space="preserve">nd Longevity," </w:t>
      </w:r>
      <w:r w:rsidRPr="00A35B1D">
        <w:rPr>
          <w:rFonts w:ascii="Calibri" w:hAnsi="Calibri" w:cs="Calibri"/>
          <w:b/>
          <w:sz w:val="20"/>
          <w:szCs w:val="20"/>
        </w:rPr>
        <w:t>Journal of Political Economy</w:t>
      </w:r>
      <w:r w:rsidRPr="00EC298F">
        <w:rPr>
          <w:rFonts w:ascii="Calibri" w:hAnsi="Calibri" w:cs="Calibri"/>
          <w:sz w:val="20"/>
          <w:szCs w:val="20"/>
        </w:rPr>
        <w:t>, 2006, v114 (No. 5, Oct), 871-904.</w:t>
      </w:r>
    </w:p>
    <w:p w14:paraId="71516D6A" w14:textId="3C701F4C" w:rsidR="007B073E" w:rsidRPr="00531D2A" w:rsidRDefault="007B073E" w:rsidP="00B835A6">
      <w:pPr>
        <w:spacing w:after="120" w:line="240" w:lineRule="auto"/>
        <w:rPr>
          <w:rFonts w:ascii="Calibri" w:hAnsi="Calibri" w:cs="Calibri"/>
          <w:sz w:val="20"/>
          <w:szCs w:val="20"/>
        </w:rPr>
      </w:pPr>
      <w:r w:rsidRPr="00531D2A">
        <w:rPr>
          <w:rFonts w:ascii="Calibri" w:hAnsi="Calibri" w:cs="Calibri"/>
          <w:sz w:val="20"/>
          <w:szCs w:val="20"/>
        </w:rPr>
        <w:t>NICE (2013), “How NICE measures value for money in relation to public health interventions”, Published: 1 September 2013 at: nice.org.uk/guidance/lgb10</w:t>
      </w:r>
    </w:p>
    <w:p w14:paraId="082BCD9C" w14:textId="77777777" w:rsidR="00825CC8" w:rsidRPr="00531D2A" w:rsidRDefault="009E2563" w:rsidP="00B835A6">
      <w:pPr>
        <w:pStyle w:val="Heading1"/>
        <w:spacing w:before="0" w:after="120" w:line="240" w:lineRule="auto"/>
        <w:textAlignment w:val="baseline"/>
        <w:rPr>
          <w:rFonts w:ascii="Calibri" w:eastAsia="Times New Roman" w:hAnsi="Calibri" w:cs="Calibri"/>
          <w:bCs/>
          <w:color w:val="auto"/>
          <w:sz w:val="20"/>
          <w:szCs w:val="20"/>
          <w:bdr w:val="none" w:sz="0" w:space="0" w:color="auto" w:frame="1"/>
          <w:lang w:eastAsia="en-GB"/>
        </w:rPr>
      </w:pPr>
      <w:hyperlink r:id="rId24" w:history="1">
        <w:r w:rsidR="00F935C5" w:rsidRPr="00531D2A">
          <w:rPr>
            <w:rFonts w:ascii="Calibri" w:eastAsia="Times New Roman" w:hAnsi="Calibri" w:cs="Calibri"/>
            <w:bCs/>
            <w:color w:val="auto"/>
            <w:sz w:val="20"/>
            <w:szCs w:val="20"/>
            <w:bdr w:val="none" w:sz="0" w:space="0" w:color="auto" w:frame="1"/>
            <w:lang w:eastAsia="en-GB"/>
          </w:rPr>
          <w:t>Carol Propper</w:t>
        </w:r>
      </w:hyperlink>
      <w:r w:rsidR="00F935C5" w:rsidRPr="00531D2A">
        <w:rPr>
          <w:rFonts w:ascii="Calibri" w:eastAsia="Times New Roman" w:hAnsi="Calibri" w:cs="Calibri"/>
          <w:color w:val="auto"/>
          <w:sz w:val="20"/>
          <w:szCs w:val="20"/>
          <w:lang w:eastAsia="en-GB"/>
        </w:rPr>
        <w:t>, </w:t>
      </w:r>
      <w:hyperlink r:id="rId25" w:history="1">
        <w:r w:rsidR="00F935C5" w:rsidRPr="00531D2A">
          <w:rPr>
            <w:rFonts w:ascii="Calibri" w:eastAsia="Times New Roman" w:hAnsi="Calibri" w:cs="Calibri"/>
            <w:bCs/>
            <w:color w:val="auto"/>
            <w:sz w:val="20"/>
            <w:szCs w:val="20"/>
            <w:bdr w:val="none" w:sz="0" w:space="0" w:color="auto" w:frame="1"/>
            <w:lang w:eastAsia="en-GB"/>
          </w:rPr>
          <w:t>George Stoye</w:t>
        </w:r>
      </w:hyperlink>
      <w:r w:rsidR="00F935C5" w:rsidRPr="00531D2A">
        <w:rPr>
          <w:rFonts w:ascii="Calibri" w:eastAsia="Times New Roman" w:hAnsi="Calibri" w:cs="Calibri"/>
          <w:color w:val="auto"/>
          <w:sz w:val="20"/>
          <w:szCs w:val="20"/>
          <w:lang w:eastAsia="en-GB"/>
        </w:rPr>
        <w:t> and </w:t>
      </w:r>
      <w:hyperlink r:id="rId26" w:history="1">
        <w:r w:rsidR="00F935C5" w:rsidRPr="00531D2A">
          <w:rPr>
            <w:rFonts w:ascii="Calibri" w:eastAsia="Times New Roman" w:hAnsi="Calibri" w:cs="Calibri"/>
            <w:bCs/>
            <w:color w:val="auto"/>
            <w:sz w:val="20"/>
            <w:szCs w:val="20"/>
            <w:bdr w:val="none" w:sz="0" w:space="0" w:color="auto" w:frame="1"/>
            <w:lang w:eastAsia="en-GB"/>
          </w:rPr>
          <w:t>Ben Zaranko</w:t>
        </w:r>
      </w:hyperlink>
      <w:r w:rsidR="00F935C5" w:rsidRPr="00531D2A">
        <w:rPr>
          <w:rFonts w:ascii="Calibri" w:eastAsia="Times New Roman" w:hAnsi="Calibri" w:cs="Calibri"/>
          <w:bCs/>
          <w:color w:val="auto"/>
          <w:kern w:val="36"/>
          <w:sz w:val="20"/>
          <w:szCs w:val="20"/>
          <w:lang w:eastAsia="en-GB"/>
        </w:rPr>
        <w:t xml:space="preserve"> (2020), </w:t>
      </w:r>
      <w:r w:rsidR="003049E1" w:rsidRPr="00531D2A">
        <w:rPr>
          <w:rFonts w:ascii="Calibri" w:eastAsia="Times New Roman" w:hAnsi="Calibri" w:cs="Calibri"/>
          <w:bCs/>
          <w:color w:val="auto"/>
          <w:kern w:val="36"/>
          <w:sz w:val="20"/>
          <w:szCs w:val="20"/>
          <w:lang w:eastAsia="en-GB"/>
        </w:rPr>
        <w:t>“The wider impacts of the coronavirus pandemic on the NHS”,</w:t>
      </w:r>
      <w:r w:rsidR="003049E1" w:rsidRPr="00531D2A">
        <w:rPr>
          <w:rFonts w:ascii="Calibri" w:eastAsia="Times New Roman" w:hAnsi="Calibri" w:cs="Calibri"/>
          <w:bCs/>
          <w:color w:val="auto"/>
          <w:sz w:val="20"/>
          <w:szCs w:val="20"/>
          <w:bdr w:val="none" w:sz="0" w:space="0" w:color="auto" w:frame="1"/>
          <w:lang w:eastAsia="en-GB"/>
        </w:rPr>
        <w:t xml:space="preserve"> IFS briefing (available at </w:t>
      </w:r>
      <w:hyperlink r:id="rId27" w:history="1">
        <w:r w:rsidR="0053779C" w:rsidRPr="00531D2A">
          <w:rPr>
            <w:rFonts w:ascii="Calibri" w:eastAsiaTheme="minorHAnsi" w:hAnsi="Calibri" w:cs="Calibri"/>
            <w:color w:val="0000FF"/>
            <w:sz w:val="20"/>
            <w:szCs w:val="20"/>
            <w:u w:val="single"/>
          </w:rPr>
          <w:t>https://www.ifs.org.uk/publications/14798</w:t>
        </w:r>
      </w:hyperlink>
      <w:r w:rsidR="003049E1" w:rsidRPr="00531D2A">
        <w:rPr>
          <w:rFonts w:ascii="Calibri" w:eastAsia="Times New Roman" w:hAnsi="Calibri" w:cs="Calibri"/>
          <w:bCs/>
          <w:color w:val="auto"/>
          <w:sz w:val="20"/>
          <w:szCs w:val="20"/>
          <w:bdr w:val="none" w:sz="0" w:space="0" w:color="auto" w:frame="1"/>
          <w:lang w:eastAsia="en-GB"/>
        </w:rPr>
        <w:t>), April 2020.</w:t>
      </w:r>
    </w:p>
    <w:p w14:paraId="6E129E85" w14:textId="77777777" w:rsidR="007B073E" w:rsidRPr="00531D2A" w:rsidRDefault="007B073E" w:rsidP="00B835A6">
      <w:pPr>
        <w:spacing w:after="120" w:line="240" w:lineRule="auto"/>
        <w:rPr>
          <w:rFonts w:ascii="Calibri" w:hAnsi="Calibri" w:cs="Calibri"/>
          <w:sz w:val="20"/>
          <w:szCs w:val="20"/>
        </w:rPr>
      </w:pPr>
      <w:r w:rsidRPr="00531D2A">
        <w:rPr>
          <w:rFonts w:ascii="Calibri" w:hAnsi="Calibri" w:cs="Calibri"/>
          <w:sz w:val="20"/>
          <w:szCs w:val="20"/>
        </w:rPr>
        <w:t>Mike Stedman, Mark Davies, Mark Lunt, Arpana Verma, Simon G. Anderson and Adrian H Heald (2020</w:t>
      </w:r>
      <w:proofErr w:type="gramStart"/>
      <w:r w:rsidRPr="00531D2A">
        <w:rPr>
          <w:rFonts w:ascii="Calibri" w:hAnsi="Calibri" w:cs="Calibri"/>
          <w:sz w:val="20"/>
          <w:szCs w:val="20"/>
        </w:rPr>
        <w:t>),  “</w:t>
      </w:r>
      <w:proofErr w:type="gramEnd"/>
      <w:r w:rsidRPr="00531D2A">
        <w:rPr>
          <w:rFonts w:ascii="Calibri" w:hAnsi="Calibri" w:cs="Calibri"/>
          <w:sz w:val="20"/>
          <w:szCs w:val="20"/>
        </w:rPr>
        <w:t xml:space="preserve">A phased approach to unlocking during the COVID-19 pandemic – Lessons from trend analysis “, forthcoming </w:t>
      </w:r>
      <w:r w:rsidRPr="00A35B1D">
        <w:rPr>
          <w:rFonts w:ascii="Calibri" w:hAnsi="Calibri" w:cs="Calibri"/>
          <w:b/>
          <w:sz w:val="20"/>
          <w:szCs w:val="20"/>
        </w:rPr>
        <w:t>International Journal of Clinical Practice.</w:t>
      </w:r>
      <w:r w:rsidRPr="00531D2A">
        <w:rPr>
          <w:rFonts w:ascii="Calibri" w:hAnsi="Calibri" w:cs="Calibri"/>
          <w:sz w:val="20"/>
          <w:szCs w:val="20"/>
        </w:rPr>
        <w:t xml:space="preserve"> </w:t>
      </w:r>
    </w:p>
    <w:p w14:paraId="5CCCDA49" w14:textId="442978D6" w:rsidR="0003512A" w:rsidRPr="00531D2A" w:rsidRDefault="0003512A" w:rsidP="00B835A6">
      <w:pPr>
        <w:spacing w:after="120" w:line="240" w:lineRule="auto"/>
        <w:rPr>
          <w:rFonts w:ascii="Calibri" w:hAnsi="Calibri" w:cs="Calibri"/>
          <w:color w:val="000000"/>
          <w:sz w:val="20"/>
          <w:szCs w:val="20"/>
          <w:shd w:val="clear" w:color="auto" w:fill="FFFFFF"/>
        </w:rPr>
      </w:pPr>
      <w:proofErr w:type="spellStart"/>
      <w:r w:rsidRPr="00531D2A">
        <w:rPr>
          <w:rFonts w:ascii="Calibri" w:hAnsi="Calibri" w:cs="Calibri"/>
          <w:color w:val="000000"/>
          <w:sz w:val="20"/>
          <w:szCs w:val="20"/>
          <w:shd w:val="clear" w:color="auto" w:fill="FFFFFF"/>
        </w:rPr>
        <w:t>Tumino</w:t>
      </w:r>
      <w:proofErr w:type="spellEnd"/>
      <w:r w:rsidRPr="00531D2A">
        <w:rPr>
          <w:rFonts w:ascii="Calibri" w:hAnsi="Calibri" w:cs="Calibri"/>
          <w:color w:val="000000"/>
          <w:sz w:val="20"/>
          <w:szCs w:val="20"/>
          <w:shd w:val="clear" w:color="auto" w:fill="FFFFFF"/>
        </w:rPr>
        <w:t>, A (2015), “The scarring effect of unemployment from the early ‘90s to the Great Recession”, Institute for Economic and Social Research Working Paper 2015-5.</w:t>
      </w:r>
    </w:p>
    <w:p w14:paraId="122BF805" w14:textId="19201855" w:rsidR="00B14D97" w:rsidRPr="00531D2A" w:rsidRDefault="00B14D97" w:rsidP="00B835A6">
      <w:pPr>
        <w:spacing w:after="120" w:line="240" w:lineRule="auto"/>
        <w:rPr>
          <w:rFonts w:ascii="Calibri" w:hAnsi="Calibri" w:cs="Calibri"/>
          <w:sz w:val="20"/>
          <w:szCs w:val="20"/>
        </w:rPr>
      </w:pPr>
      <w:r w:rsidRPr="00531D2A">
        <w:rPr>
          <w:rFonts w:ascii="Calibri" w:hAnsi="Calibri" w:cs="Calibri"/>
          <w:sz w:val="20"/>
          <w:szCs w:val="20"/>
        </w:rPr>
        <w:t xml:space="preserve">Jonathan </w:t>
      </w:r>
      <w:proofErr w:type="spellStart"/>
      <w:r w:rsidRPr="00531D2A">
        <w:rPr>
          <w:rFonts w:ascii="Calibri" w:hAnsi="Calibri" w:cs="Calibri"/>
          <w:sz w:val="20"/>
          <w:szCs w:val="20"/>
        </w:rPr>
        <w:t>Valabhji</w:t>
      </w:r>
      <w:proofErr w:type="spellEnd"/>
      <w:r w:rsidRPr="00531D2A">
        <w:rPr>
          <w:rFonts w:ascii="Calibri" w:hAnsi="Calibri" w:cs="Calibri"/>
          <w:sz w:val="20"/>
          <w:szCs w:val="20"/>
        </w:rPr>
        <w:t xml:space="preserve">,  Naomi Holman, Peter Knighton , </w:t>
      </w:r>
      <w:proofErr w:type="spellStart"/>
      <w:r w:rsidRPr="00531D2A">
        <w:rPr>
          <w:rFonts w:ascii="Calibri" w:hAnsi="Calibri" w:cs="Calibri"/>
          <w:sz w:val="20"/>
          <w:szCs w:val="20"/>
        </w:rPr>
        <w:t>Partha</w:t>
      </w:r>
      <w:proofErr w:type="spellEnd"/>
      <w:r w:rsidRPr="00531D2A">
        <w:rPr>
          <w:rFonts w:ascii="Calibri" w:hAnsi="Calibri" w:cs="Calibri"/>
          <w:sz w:val="20"/>
          <w:szCs w:val="20"/>
        </w:rPr>
        <w:t xml:space="preserve"> Kar, Jackie O’Keefe, Matt Curley, Andy Weaver, Emma Barron, Chirag </w:t>
      </w:r>
      <w:proofErr w:type="spellStart"/>
      <w:r w:rsidRPr="00531D2A">
        <w:rPr>
          <w:rFonts w:ascii="Calibri" w:hAnsi="Calibri" w:cs="Calibri"/>
          <w:sz w:val="20"/>
          <w:szCs w:val="20"/>
        </w:rPr>
        <w:t>Bakhai</w:t>
      </w:r>
      <w:proofErr w:type="spellEnd"/>
      <w:r w:rsidRPr="00531D2A">
        <w:rPr>
          <w:rFonts w:ascii="Calibri" w:hAnsi="Calibri" w:cs="Calibri"/>
          <w:sz w:val="20"/>
          <w:szCs w:val="20"/>
        </w:rPr>
        <w:t xml:space="preserve">, Kamlesh </w:t>
      </w:r>
      <w:proofErr w:type="spellStart"/>
      <w:r w:rsidRPr="00531D2A">
        <w:rPr>
          <w:rFonts w:ascii="Calibri" w:hAnsi="Calibri" w:cs="Calibri"/>
          <w:sz w:val="20"/>
          <w:szCs w:val="20"/>
        </w:rPr>
        <w:t>Khunti</w:t>
      </w:r>
      <w:proofErr w:type="spellEnd"/>
      <w:r w:rsidRPr="00531D2A">
        <w:rPr>
          <w:rFonts w:ascii="Calibri" w:hAnsi="Calibri" w:cs="Calibri"/>
          <w:sz w:val="20"/>
          <w:szCs w:val="20"/>
        </w:rPr>
        <w:t>, Nick Wareham, Naveed Sattar, Bob Young (2020)</w:t>
      </w:r>
      <w:r w:rsidR="00A35B1D">
        <w:rPr>
          <w:rFonts w:ascii="Calibri" w:hAnsi="Calibri" w:cs="Calibri"/>
          <w:sz w:val="20"/>
          <w:szCs w:val="20"/>
        </w:rPr>
        <w:t>,</w:t>
      </w:r>
      <w:r w:rsidRPr="00531D2A">
        <w:rPr>
          <w:rFonts w:ascii="Calibri" w:hAnsi="Calibri" w:cs="Calibri"/>
          <w:sz w:val="20"/>
          <w:szCs w:val="20"/>
        </w:rPr>
        <w:t xml:space="preserve"> “ Type 1 and Type 2 diabetes and COVID-19 related mortality in England: a cohort study in people with diabetes”, </w:t>
      </w:r>
      <w:proofErr w:type="spellStart"/>
      <w:r w:rsidRPr="00531D2A">
        <w:rPr>
          <w:rFonts w:ascii="Calibri" w:hAnsi="Calibri" w:cs="Calibri"/>
          <w:sz w:val="20"/>
          <w:szCs w:val="20"/>
        </w:rPr>
        <w:t>pre print</w:t>
      </w:r>
      <w:proofErr w:type="spellEnd"/>
      <w:r w:rsidRPr="00531D2A">
        <w:rPr>
          <w:rFonts w:ascii="Calibri" w:hAnsi="Calibri" w:cs="Calibri"/>
          <w:sz w:val="20"/>
          <w:szCs w:val="20"/>
        </w:rPr>
        <w:t xml:space="preserve"> available at </w:t>
      </w:r>
      <w:hyperlink r:id="rId28" w:history="1">
        <w:r w:rsidRPr="00531D2A">
          <w:rPr>
            <w:rFonts w:ascii="Calibri" w:hAnsi="Calibri" w:cs="Calibri"/>
            <w:color w:val="0000FF"/>
            <w:sz w:val="20"/>
            <w:szCs w:val="20"/>
            <w:u w:val="single"/>
          </w:rPr>
          <w:t>https://www.england.nhs.uk/wp-content/uploads/2020/05/Valabhji-COVID-19-and-Diabetes-Paper-2-Full-Manuscript.pdf</w:t>
        </w:r>
      </w:hyperlink>
    </w:p>
    <w:p w14:paraId="43D1CA77" w14:textId="69DF363B" w:rsidR="00EC298F" w:rsidRDefault="00EC298F" w:rsidP="00B835A6">
      <w:pPr>
        <w:pStyle w:val="NormalWeb"/>
        <w:spacing w:line="240" w:lineRule="auto"/>
        <w:rPr>
          <w:rFonts w:ascii="Calibri" w:hAnsi="Calibri" w:cs="Calibri"/>
          <w:sz w:val="20"/>
          <w:szCs w:val="20"/>
        </w:rPr>
      </w:pPr>
      <w:proofErr w:type="spellStart"/>
      <w:r w:rsidRPr="00EC298F">
        <w:rPr>
          <w:rFonts w:ascii="Calibri" w:hAnsi="Calibri" w:cs="Calibri"/>
          <w:sz w:val="20"/>
          <w:szCs w:val="20"/>
        </w:rPr>
        <w:t>Viscusi</w:t>
      </w:r>
      <w:proofErr w:type="spellEnd"/>
      <w:r w:rsidRPr="00EC298F">
        <w:rPr>
          <w:rFonts w:ascii="Calibri" w:hAnsi="Calibri" w:cs="Calibri"/>
          <w:sz w:val="20"/>
          <w:szCs w:val="20"/>
        </w:rPr>
        <w:t xml:space="preserve">, W. Kip (2018) </w:t>
      </w:r>
      <w:r w:rsidRPr="00EC298F">
        <w:rPr>
          <w:rFonts w:ascii="Calibri" w:hAnsi="Calibri" w:cs="Calibri"/>
          <w:i/>
          <w:sz w:val="20"/>
          <w:szCs w:val="20"/>
        </w:rPr>
        <w:t>Pricing Lives: Guideposts for a Safer Society</w:t>
      </w:r>
      <w:r>
        <w:rPr>
          <w:rFonts w:ascii="Calibri" w:hAnsi="Calibri" w:cs="Calibri"/>
          <w:sz w:val="20"/>
          <w:szCs w:val="20"/>
        </w:rPr>
        <w:t>,</w:t>
      </w:r>
      <w:r w:rsidRPr="00EC298F">
        <w:rPr>
          <w:rFonts w:ascii="Calibri" w:hAnsi="Calibri" w:cs="Calibri"/>
          <w:sz w:val="20"/>
          <w:szCs w:val="20"/>
        </w:rPr>
        <w:t xml:space="preserve"> Princeton University Press</w:t>
      </w:r>
    </w:p>
    <w:p w14:paraId="1D60075E" w14:textId="678A6857" w:rsidR="00EC298F" w:rsidRDefault="00EC298F" w:rsidP="00B835A6">
      <w:pPr>
        <w:pStyle w:val="NormalWeb"/>
        <w:spacing w:line="240" w:lineRule="auto"/>
        <w:rPr>
          <w:rFonts w:ascii="Calibri" w:hAnsi="Calibri" w:cs="Calibri"/>
          <w:sz w:val="20"/>
          <w:szCs w:val="20"/>
        </w:rPr>
      </w:pPr>
      <w:proofErr w:type="spellStart"/>
      <w:r w:rsidRPr="00EC298F">
        <w:rPr>
          <w:rFonts w:ascii="Calibri" w:hAnsi="Calibri" w:cs="Calibri"/>
          <w:sz w:val="20"/>
          <w:szCs w:val="20"/>
        </w:rPr>
        <w:t>Viscusi</w:t>
      </w:r>
      <w:proofErr w:type="spellEnd"/>
      <w:r w:rsidRPr="00EC298F">
        <w:rPr>
          <w:rFonts w:ascii="Calibri" w:hAnsi="Calibri" w:cs="Calibri"/>
          <w:sz w:val="20"/>
          <w:szCs w:val="20"/>
        </w:rPr>
        <w:t xml:space="preserve">, W. Kip (2020) “Pricing the lives saved by coronavirus </w:t>
      </w:r>
      <w:proofErr w:type="gramStart"/>
      <w:r w:rsidRPr="00EC298F">
        <w:rPr>
          <w:rFonts w:ascii="Calibri" w:hAnsi="Calibri" w:cs="Calibri"/>
          <w:sz w:val="20"/>
          <w:szCs w:val="20"/>
        </w:rPr>
        <w:t>policies”  New</w:t>
      </w:r>
      <w:proofErr w:type="gramEnd"/>
      <w:r w:rsidRPr="00EC298F">
        <w:rPr>
          <w:rFonts w:ascii="Calibri" w:hAnsi="Calibri" w:cs="Calibri"/>
          <w:sz w:val="20"/>
          <w:szCs w:val="20"/>
        </w:rPr>
        <w:t xml:space="preserve"> IZA World of </w:t>
      </w:r>
      <w:proofErr w:type="spellStart"/>
      <w:r w:rsidRPr="00EC298F">
        <w:rPr>
          <w:rFonts w:ascii="Calibri" w:hAnsi="Calibri" w:cs="Calibri"/>
          <w:sz w:val="20"/>
          <w:szCs w:val="20"/>
        </w:rPr>
        <w:t>Labor</w:t>
      </w:r>
      <w:proofErr w:type="spellEnd"/>
      <w:r w:rsidRPr="00EC298F">
        <w:rPr>
          <w:rFonts w:ascii="Calibri" w:hAnsi="Calibri" w:cs="Calibri"/>
          <w:sz w:val="20"/>
          <w:szCs w:val="20"/>
        </w:rPr>
        <w:t xml:space="preserve"> commentaries on the coronavirus crisis, MARCH 27, 2020 https://wol.iza.org/opinions</w:t>
      </w:r>
    </w:p>
    <w:p w14:paraId="7BE5368F" w14:textId="080755D4" w:rsidR="007B073E" w:rsidRPr="00B26DB5" w:rsidRDefault="007B073E" w:rsidP="00B835A6">
      <w:pPr>
        <w:pStyle w:val="NormalWeb"/>
        <w:spacing w:line="240" w:lineRule="auto"/>
        <w:rPr>
          <w:rFonts w:ascii="Calibri" w:hAnsi="Calibri" w:cs="Calibri"/>
          <w:sz w:val="22"/>
          <w:szCs w:val="22"/>
        </w:rPr>
      </w:pPr>
      <w:r w:rsidRPr="00531D2A">
        <w:rPr>
          <w:rFonts w:ascii="Calibri" w:hAnsi="Calibri" w:cs="Calibri"/>
          <w:sz w:val="20"/>
          <w:szCs w:val="20"/>
        </w:rPr>
        <w:t xml:space="preserve">T. Wieland (2020) “Flatten the Curve! </w:t>
      </w:r>
      <w:proofErr w:type="spellStart"/>
      <w:r w:rsidRPr="00531D2A">
        <w:rPr>
          <w:rFonts w:ascii="Calibri" w:hAnsi="Calibri" w:cs="Calibri"/>
          <w:sz w:val="20"/>
          <w:szCs w:val="20"/>
        </w:rPr>
        <w:t>Modeling</w:t>
      </w:r>
      <w:proofErr w:type="spellEnd"/>
      <w:r w:rsidRPr="00531D2A">
        <w:rPr>
          <w:rFonts w:ascii="Calibri" w:hAnsi="Calibri" w:cs="Calibri"/>
          <w:sz w:val="20"/>
          <w:szCs w:val="20"/>
        </w:rPr>
        <w:t xml:space="preserve"> SARS-CoV-2/COVID-19 Growth in Germany on the County Level”, </w:t>
      </w:r>
      <w:proofErr w:type="spellStart"/>
      <w:r w:rsidRPr="00531D2A">
        <w:rPr>
          <w:rFonts w:ascii="Calibri" w:hAnsi="Calibri" w:cs="Calibri"/>
          <w:sz w:val="20"/>
          <w:szCs w:val="20"/>
        </w:rPr>
        <w:t>pre print</w:t>
      </w:r>
      <w:proofErr w:type="spellEnd"/>
      <w:r w:rsidRPr="00531D2A">
        <w:rPr>
          <w:rFonts w:ascii="Calibri" w:hAnsi="Calibri" w:cs="Calibri"/>
          <w:sz w:val="20"/>
          <w:szCs w:val="20"/>
        </w:rPr>
        <w:t xml:space="preserve"> available at </w:t>
      </w:r>
      <w:r w:rsidRPr="00531D2A">
        <w:rPr>
          <w:rFonts w:ascii="Calibri" w:hAnsi="Calibri" w:cs="Calibri"/>
          <w:sz w:val="20"/>
          <w:szCs w:val="20"/>
        </w:rPr>
        <w:br/>
      </w:r>
      <w:hyperlink r:id="rId29" w:history="1">
        <w:r w:rsidRPr="00531D2A">
          <w:rPr>
            <w:rStyle w:val="Hyperlink"/>
            <w:rFonts w:ascii="Calibri" w:hAnsi="Calibri" w:cs="Calibri"/>
            <w:sz w:val="20"/>
            <w:szCs w:val="20"/>
          </w:rPr>
          <w:t>https://www.medrxiv.org/content/10.1101/2020.05.14.20101667v2</w:t>
        </w:r>
      </w:hyperlink>
    </w:p>
    <w:p w14:paraId="291483CE" w14:textId="28B223A2" w:rsidR="007B073E" w:rsidRDefault="007B073E" w:rsidP="00B835A6">
      <w:pPr>
        <w:spacing w:after="120" w:line="240" w:lineRule="auto"/>
        <w:rPr>
          <w:rFonts w:cstheme="minorHAnsi"/>
          <w:sz w:val="20"/>
          <w:szCs w:val="20"/>
        </w:rPr>
      </w:pPr>
    </w:p>
    <w:sectPr w:rsidR="007B073E">
      <w:footerReference w:type="defaul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431B78" w14:textId="77777777" w:rsidR="009E2563" w:rsidRDefault="009E2563" w:rsidP="00A50D79">
      <w:pPr>
        <w:spacing w:after="0" w:line="240" w:lineRule="auto"/>
      </w:pPr>
      <w:r>
        <w:separator/>
      </w:r>
    </w:p>
  </w:endnote>
  <w:endnote w:type="continuationSeparator" w:id="0">
    <w:p w14:paraId="784F21DC" w14:textId="77777777" w:rsidR="009E2563" w:rsidRDefault="009E2563" w:rsidP="00A50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0891301"/>
      <w:docPartObj>
        <w:docPartGallery w:val="Page Numbers (Bottom of Page)"/>
        <w:docPartUnique/>
      </w:docPartObj>
    </w:sdtPr>
    <w:sdtEndPr>
      <w:rPr>
        <w:noProof/>
      </w:rPr>
    </w:sdtEndPr>
    <w:sdtContent>
      <w:p w14:paraId="3FCFA311" w14:textId="3B7230C3" w:rsidR="009E2563" w:rsidRDefault="009E256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11377D" w14:textId="77777777" w:rsidR="009E2563" w:rsidRDefault="009E25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46EDD4" w14:textId="77777777" w:rsidR="009E2563" w:rsidRDefault="009E2563" w:rsidP="00A50D79">
      <w:pPr>
        <w:spacing w:after="0" w:line="240" w:lineRule="auto"/>
      </w:pPr>
      <w:r>
        <w:separator/>
      </w:r>
    </w:p>
  </w:footnote>
  <w:footnote w:type="continuationSeparator" w:id="0">
    <w:p w14:paraId="50A5A80F" w14:textId="77777777" w:rsidR="009E2563" w:rsidRDefault="009E2563" w:rsidP="00A50D79">
      <w:pPr>
        <w:spacing w:after="0" w:line="240" w:lineRule="auto"/>
      </w:pPr>
      <w:r>
        <w:continuationSeparator/>
      </w:r>
    </w:p>
  </w:footnote>
  <w:footnote w:id="1">
    <w:p w14:paraId="041358AB" w14:textId="23296C23" w:rsidR="009E2563" w:rsidRDefault="009E2563">
      <w:pPr>
        <w:pStyle w:val="FootnoteText"/>
      </w:pPr>
      <w:r>
        <w:rPr>
          <w:rStyle w:val="FootnoteReference"/>
        </w:rPr>
        <w:footnoteRef/>
      </w:r>
      <w:r>
        <w:t xml:space="preserve"> Professor of economics, Imperial College London, d.miles@imperial.ac.uk</w:t>
      </w:r>
    </w:p>
  </w:footnote>
  <w:footnote w:id="2">
    <w:p w14:paraId="5FDAD30E" w14:textId="2B6D4EE6" w:rsidR="009E2563" w:rsidRDefault="009E2563">
      <w:pPr>
        <w:pStyle w:val="FootnoteText"/>
      </w:pPr>
      <w:r>
        <w:rPr>
          <w:rStyle w:val="FootnoteReference"/>
        </w:rPr>
        <w:footnoteRef/>
      </w:r>
      <w:r>
        <w:t xml:space="preserve"> RES Consortium, </w:t>
      </w:r>
      <w:r w:rsidRPr="00042F2E">
        <w:t>mstedman@resconsortium.com</w:t>
      </w:r>
    </w:p>
  </w:footnote>
  <w:footnote w:id="3">
    <w:p w14:paraId="7AEC2B34" w14:textId="59A5894C" w:rsidR="009E2563" w:rsidRDefault="009E2563">
      <w:pPr>
        <w:pStyle w:val="FootnoteText"/>
      </w:pPr>
      <w:r>
        <w:rPr>
          <w:rStyle w:val="FootnoteReference"/>
        </w:rPr>
        <w:footnoteRef/>
      </w:r>
      <w:r>
        <w:t xml:space="preserve"> </w:t>
      </w:r>
      <w:r w:rsidRPr="00042F2E">
        <w:t>The University of Manchester, The School of Medicine</w:t>
      </w:r>
      <w:r>
        <w:t>, a</w:t>
      </w:r>
      <w:r w:rsidRPr="00042F2E">
        <w:t>drian.</w:t>
      </w:r>
      <w:r>
        <w:t>h</w:t>
      </w:r>
      <w:r w:rsidRPr="00042F2E">
        <w:t>eald@</w:t>
      </w:r>
      <w:r>
        <w:t>manchester.ac.uk</w:t>
      </w:r>
    </w:p>
  </w:footnote>
  <w:footnote w:id="4">
    <w:p w14:paraId="280C0EDA" w14:textId="0CC03BB3" w:rsidR="009E2563" w:rsidRDefault="009E2563">
      <w:pPr>
        <w:pStyle w:val="FootnoteText"/>
      </w:pPr>
      <w:r>
        <w:rPr>
          <w:rStyle w:val="FootnoteReference"/>
        </w:rPr>
        <w:footnoteRef/>
      </w:r>
      <w:r>
        <w:t xml:space="preserve"> It is possible that serology testing for past COVID 19 infection based on the presence of antibodies are not picking up cases where the infected had very few symptoms and not identifying others who are nonetheless not susceptible to the virus.   </w:t>
      </w:r>
    </w:p>
  </w:footnote>
  <w:footnote w:id="5">
    <w:p w14:paraId="5D782DA6" w14:textId="5D7C91D6" w:rsidR="009E2563" w:rsidRDefault="009E2563">
      <w:pPr>
        <w:pStyle w:val="FootnoteText"/>
      </w:pPr>
      <w:r>
        <w:rPr>
          <w:rStyle w:val="FootnoteReference"/>
        </w:rPr>
        <w:footnoteRef/>
      </w:r>
      <w:r>
        <w:t xml:space="preserve"> </w:t>
      </w:r>
      <w:hyperlink r:id="rId1" w:history="1">
        <w:r w:rsidRPr="00F355A5">
          <w:rPr>
            <w:color w:val="0000FF"/>
            <w:sz w:val="22"/>
            <w:szCs w:val="22"/>
            <w:u w:val="single"/>
          </w:rPr>
          <w:t>https://www.ft.com/content/a26fbf7e-48f8-11ea-aeb3-955839e06441</w:t>
        </w:r>
      </w:hyperlink>
    </w:p>
  </w:footnote>
  <w:footnote w:id="6">
    <w:p w14:paraId="1193202E" w14:textId="7A263032" w:rsidR="009E2563" w:rsidRDefault="009E2563">
      <w:pPr>
        <w:pStyle w:val="FootnoteText"/>
      </w:pPr>
      <w:r>
        <w:rPr>
          <w:rStyle w:val="FootnoteReference"/>
        </w:rPr>
        <w:footnoteRef/>
      </w:r>
      <w:r>
        <w:t xml:space="preserve"> </w:t>
      </w:r>
      <w:hyperlink r:id="rId2" w:history="1">
        <w:r>
          <w:rPr>
            <w:rStyle w:val="Hyperlink"/>
            <w:rFonts w:eastAsia="Times New Roman"/>
          </w:rPr>
          <w:t>http://www.pulsetoday.co.uk/clinical/clinical-specialties/respiratory-/gp-urgent-cancer-referrals-decline-by-more-than-70-as-fewer-patients-come-forward/20040662.article</w:t>
        </w:r>
      </w:hyperlink>
    </w:p>
  </w:footnote>
  <w:footnote w:id="7">
    <w:p w14:paraId="0C2F390C" w14:textId="1E6E076C" w:rsidR="009E2563" w:rsidRDefault="009E2563">
      <w:pPr>
        <w:pStyle w:val="FootnoteText"/>
      </w:pPr>
      <w:r>
        <w:rPr>
          <w:rStyle w:val="FootnoteReference"/>
        </w:rPr>
        <w:footnoteRef/>
      </w:r>
      <w:r>
        <w:t xml:space="preserve"> </w:t>
      </w:r>
      <w:hyperlink r:id="rId3" w:history="1">
        <w:r>
          <w:rPr>
            <w:rStyle w:val="Hyperlink"/>
          </w:rPr>
          <w:t>https://www.england.nhs.uk/statistics/statistical-work-areas/hospital-activity/monthly-hospital-activity/mar-data/</w:t>
        </w:r>
      </w:hyperlink>
      <w:r>
        <w:t>.</w:t>
      </w:r>
    </w:p>
  </w:footnote>
  <w:footnote w:id="8">
    <w:p w14:paraId="5B845420" w14:textId="20437E86" w:rsidR="009E2563" w:rsidRDefault="009E2563">
      <w:pPr>
        <w:pStyle w:val="FootnoteText"/>
      </w:pPr>
      <w:r>
        <w:rPr>
          <w:rStyle w:val="FootnoteReference"/>
        </w:rPr>
        <w:footnoteRef/>
      </w:r>
      <w:r>
        <w:t xml:space="preserve"> (</w:t>
      </w:r>
      <w:hyperlink r:id="rId4" w:history="1">
        <w:r>
          <w:rPr>
            <w:rStyle w:val="Hyperlink"/>
          </w:rPr>
          <w:t>https://digital.nhs.uk/data-and-information/publications/statistical/appointments-in-general-practice/april-2020</w:t>
        </w:r>
      </w:hyperlink>
    </w:p>
  </w:footnote>
  <w:footnote w:id="9">
    <w:p w14:paraId="7BB9EEA9" w14:textId="77777777" w:rsidR="009E2563" w:rsidRDefault="009E2563" w:rsidP="002608AC">
      <w:pPr>
        <w:pStyle w:val="FootnoteText"/>
      </w:pPr>
      <w:r>
        <w:rPr>
          <w:rStyle w:val="FootnoteReference"/>
        </w:rPr>
        <w:footnoteRef/>
      </w:r>
      <w:r>
        <w:t xml:space="preserve"> Using </w:t>
      </w:r>
      <w:r w:rsidRPr="00593068">
        <w:t xml:space="preserve">ONS </w:t>
      </w:r>
      <w:r>
        <w:t>L</w:t>
      </w:r>
      <w:r w:rsidRPr="00593068">
        <w:t>ife Tables based on the normal mortality rates for each cardinal age and gender</w:t>
      </w:r>
      <w:r>
        <w:t>:</w:t>
      </w:r>
      <w:r w:rsidRPr="00593068">
        <w:t xml:space="preserve"> (</w:t>
      </w:r>
      <w:hyperlink r:id="rId5" w:history="1">
        <w:r w:rsidRPr="00593068">
          <w:rPr>
            <w:color w:val="0563C1" w:themeColor="hyperlink"/>
            <w:u w:val="single"/>
          </w:rPr>
          <w:t>https://www.ons.gov.uk/peoplepopulationandcommunity/birthsdeathsandmarriages/lifeexpectancies/datasets/nationallifetablesunitedkingdomreferencetables</w:t>
        </w:r>
      </w:hyperlink>
    </w:p>
  </w:footnote>
  <w:footnote w:id="10">
    <w:p w14:paraId="2966DF64" w14:textId="77777777" w:rsidR="009E2563" w:rsidRDefault="009E2563" w:rsidP="000262C0">
      <w:pPr>
        <w:pStyle w:val="FootnoteText"/>
      </w:pPr>
      <w:r>
        <w:rPr>
          <w:rStyle w:val="FootnoteReference"/>
        </w:rPr>
        <w:footnoteRef/>
      </w:r>
      <w:r>
        <w:t xml:space="preserve"> Their </w:t>
      </w:r>
      <w:r w:rsidRPr="00593068">
        <w:t>mortality study</w:t>
      </w:r>
      <w:r>
        <w:t xml:space="preserve"> is available at </w:t>
      </w:r>
      <w:hyperlink r:id="rId6" w:history="1">
        <w:r w:rsidRPr="00593068">
          <w:rPr>
            <w:color w:val="0563C1" w:themeColor="hyperlink"/>
            <w:u w:val="single"/>
          </w:rPr>
          <w:t>https://digital.nhs.uk/data-and-information/publications/statistical/national-diabetes-audit/report-2--complications-and-mortality-2017-18</w:t>
        </w:r>
      </w:hyperlink>
      <w:r w:rsidRPr="00593068">
        <w:t xml:space="preserve"> </w:t>
      </w:r>
    </w:p>
  </w:footnote>
  <w:footnote w:id="11">
    <w:p w14:paraId="15E0D9E7" w14:textId="3321D229" w:rsidR="009E2563" w:rsidRDefault="009E2563" w:rsidP="00242EF2">
      <w:pPr>
        <w:pStyle w:val="FootnoteText"/>
      </w:pPr>
      <w:r>
        <w:rPr>
          <w:rStyle w:val="FootnoteReference"/>
        </w:rPr>
        <w:footnoteRef/>
      </w:r>
      <w:r>
        <w:t xml:space="preserve"> </w:t>
      </w:r>
      <w:r w:rsidRPr="0003512A">
        <w:rPr>
          <w:rFonts w:cstheme="minorHAnsi"/>
        </w:rPr>
        <w:t xml:space="preserve">In </w:t>
      </w:r>
      <w:proofErr w:type="gramStart"/>
      <w:r w:rsidRPr="0003512A">
        <w:rPr>
          <w:rFonts w:cstheme="minorHAnsi"/>
        </w:rPr>
        <w:t>fact</w:t>
      </w:r>
      <w:proofErr w:type="gramEnd"/>
      <w:r w:rsidRPr="0003512A">
        <w:rPr>
          <w:rFonts w:cstheme="minorHAnsi"/>
        </w:rPr>
        <w:t xml:space="preserve"> the lasting effects of job losses </w:t>
      </w:r>
      <w:r>
        <w:rPr>
          <w:rFonts w:cstheme="minorHAnsi"/>
        </w:rPr>
        <w:t xml:space="preserve">in the UK </w:t>
      </w:r>
      <w:r w:rsidRPr="0003512A">
        <w:rPr>
          <w:rFonts w:cstheme="minorHAnsi"/>
        </w:rPr>
        <w:t xml:space="preserve">seem very substantial. </w:t>
      </w:r>
      <w:r w:rsidRPr="0003512A">
        <w:rPr>
          <w:rFonts w:cstheme="minorHAnsi"/>
          <w:color w:val="000000"/>
          <w:shd w:val="clear" w:color="auto" w:fill="FFFFFF"/>
        </w:rPr>
        <w:t>Typical estimates are of a lasting wage penalty from unemployment of 8-10% and an employment penalty of 6-9% (</w:t>
      </w:r>
      <w:proofErr w:type="spellStart"/>
      <w:r w:rsidRPr="0003512A">
        <w:rPr>
          <w:rFonts w:cstheme="minorHAnsi"/>
          <w:color w:val="000000"/>
          <w:shd w:val="clear" w:color="auto" w:fill="FFFFFF"/>
        </w:rPr>
        <w:t>Arulam</w:t>
      </w:r>
      <w:r>
        <w:rPr>
          <w:rFonts w:cstheme="minorHAnsi"/>
          <w:color w:val="000000"/>
          <w:shd w:val="clear" w:color="auto" w:fill="FFFFFF"/>
        </w:rPr>
        <w:t>palam</w:t>
      </w:r>
      <w:proofErr w:type="spellEnd"/>
      <w:r>
        <w:rPr>
          <w:rFonts w:cstheme="minorHAnsi"/>
          <w:color w:val="000000"/>
          <w:shd w:val="clear" w:color="auto" w:fill="FFFFFF"/>
        </w:rPr>
        <w:t xml:space="preserve"> et al. 2003, </w:t>
      </w:r>
      <w:proofErr w:type="spellStart"/>
      <w:r>
        <w:rPr>
          <w:rFonts w:cstheme="minorHAnsi"/>
          <w:color w:val="000000"/>
          <w:shd w:val="clear" w:color="auto" w:fill="FFFFFF"/>
        </w:rPr>
        <w:t>Tumino</w:t>
      </w:r>
      <w:proofErr w:type="spellEnd"/>
      <w:r>
        <w:rPr>
          <w:rFonts w:cstheme="minorHAnsi"/>
          <w:color w:val="000000"/>
          <w:shd w:val="clear" w:color="auto" w:fill="FFFFFF"/>
        </w:rPr>
        <w:t xml:space="preserve"> 2015).</w:t>
      </w:r>
      <w:r w:rsidRPr="0003512A">
        <w:rPr>
          <w:rFonts w:cstheme="minorHAnsi"/>
          <w:color w:val="000000"/>
          <w:shd w:val="clear" w:color="auto" w:fill="FFFFFF"/>
        </w:rPr>
        <w:t xml:space="preserve"> The impacts are particularly severe for young people.</w:t>
      </w:r>
    </w:p>
  </w:footnote>
  <w:footnote w:id="12">
    <w:p w14:paraId="6E14396C" w14:textId="29BB4D8E" w:rsidR="009E2563" w:rsidRPr="003049E1" w:rsidRDefault="009E2563" w:rsidP="007E7A15">
      <w:pPr>
        <w:pStyle w:val="Heading1"/>
        <w:spacing w:line="240" w:lineRule="auto"/>
        <w:textAlignment w:val="baseline"/>
        <w:rPr>
          <w:rFonts w:ascii="Arial" w:eastAsia="Times New Roman" w:hAnsi="Arial" w:cs="Arial"/>
          <w:sz w:val="24"/>
          <w:szCs w:val="24"/>
          <w:lang w:eastAsia="en-GB"/>
        </w:rPr>
      </w:pPr>
      <w:r>
        <w:rPr>
          <w:rStyle w:val="FootnoteReference"/>
        </w:rPr>
        <w:footnoteRef/>
      </w:r>
      <w:r>
        <w:t xml:space="preserve"> </w:t>
      </w:r>
      <w:r>
        <w:rPr>
          <w:rFonts w:ascii="Arial" w:hAnsi="Arial" w:cs="Arial"/>
          <w:color w:val="000000"/>
        </w:rPr>
        <w:t> </w:t>
      </w:r>
      <w:r w:rsidRPr="003049E1">
        <w:rPr>
          <w:rFonts w:ascii="Calibri" w:hAnsi="Calibri" w:cs="Calibri"/>
          <w:color w:val="000000"/>
          <w:sz w:val="20"/>
          <w:szCs w:val="20"/>
        </w:rPr>
        <w:t>Recent work by, among others, Carol Propper, professor of economics at Imperial College</w:t>
      </w:r>
      <w:r>
        <w:rPr>
          <w:rFonts w:ascii="Calibri" w:hAnsi="Calibri" w:cs="Calibri"/>
          <w:color w:val="000000"/>
          <w:sz w:val="20"/>
          <w:szCs w:val="20"/>
        </w:rPr>
        <w:t>,</w:t>
      </w:r>
      <w:r w:rsidRPr="003049E1">
        <w:rPr>
          <w:rFonts w:ascii="Calibri" w:hAnsi="Calibri" w:cs="Calibri"/>
          <w:color w:val="000000"/>
          <w:sz w:val="20"/>
          <w:szCs w:val="20"/>
        </w:rPr>
        <w:t xml:space="preserve"> and researchers at the I</w:t>
      </w:r>
      <w:r>
        <w:rPr>
          <w:rFonts w:ascii="Calibri" w:hAnsi="Calibri" w:cs="Calibri"/>
          <w:color w:val="000000"/>
          <w:sz w:val="20"/>
          <w:szCs w:val="20"/>
        </w:rPr>
        <w:t xml:space="preserve">nstitute for Fiscal Studies (IFS) </w:t>
      </w:r>
      <w:r w:rsidRPr="003049E1">
        <w:rPr>
          <w:rFonts w:ascii="Calibri" w:hAnsi="Calibri" w:cs="Calibri"/>
          <w:color w:val="000000"/>
          <w:sz w:val="20"/>
          <w:szCs w:val="20"/>
        </w:rPr>
        <w:t>suggests that the relatively modest increases in unemployment associated with the 2008-09 financial crisis may have resulted in 900,000 more people of working age suffering from chronic health problems. See</w:t>
      </w:r>
      <w:r>
        <w:rPr>
          <w:rFonts w:ascii="Calibri" w:hAnsi="Calibri" w:cs="Calibri"/>
          <w:color w:val="000000"/>
          <w:sz w:val="20"/>
          <w:szCs w:val="20"/>
        </w:rPr>
        <w:t xml:space="preserve"> </w:t>
      </w:r>
      <w:r w:rsidRPr="003C009A">
        <w:rPr>
          <w:rFonts w:asciiTheme="minorHAnsi" w:eastAsia="Times New Roman" w:hAnsiTheme="minorHAnsi" w:cstheme="minorHAnsi"/>
          <w:bCs/>
          <w:color w:val="000000"/>
          <w:kern w:val="36"/>
          <w:sz w:val="20"/>
          <w:szCs w:val="20"/>
          <w:lang w:eastAsia="en-GB"/>
        </w:rPr>
        <w:t>Propper et al (2020).</w:t>
      </w:r>
    </w:p>
    <w:p w14:paraId="18EBE184" w14:textId="77777777" w:rsidR="009E2563" w:rsidRDefault="009E2563" w:rsidP="00242EF2">
      <w:pPr>
        <w:pStyle w:val="FootnoteText"/>
      </w:pPr>
      <w:r>
        <w:rPr>
          <w:rFonts w:cstheme="minorHAnsi"/>
          <w:color w:val="000000"/>
        </w:rPr>
        <w:t xml:space="preserve"> </w:t>
      </w:r>
    </w:p>
  </w:footnote>
  <w:footnote w:id="13">
    <w:p w14:paraId="2C375368" w14:textId="77777777" w:rsidR="009E2563" w:rsidRPr="00B56227" w:rsidRDefault="009E2563" w:rsidP="007E7A15">
      <w:pPr>
        <w:pStyle w:val="NormalWeb"/>
        <w:spacing w:after="0" w:line="240" w:lineRule="auto"/>
        <w:textAlignment w:val="baseline"/>
        <w:rPr>
          <w:rFonts w:asciiTheme="minorHAnsi" w:eastAsia="Times New Roman" w:hAnsiTheme="minorHAnsi" w:cstheme="minorHAnsi"/>
          <w:color w:val="000000"/>
          <w:sz w:val="20"/>
          <w:szCs w:val="20"/>
          <w:lang w:eastAsia="en-GB"/>
        </w:rPr>
      </w:pPr>
      <w:r>
        <w:rPr>
          <w:rStyle w:val="FootnoteReference"/>
        </w:rPr>
        <w:footnoteRef/>
      </w:r>
      <w:r>
        <w:t xml:space="preserve"> </w:t>
      </w:r>
      <w:r w:rsidRPr="00B56227">
        <w:rPr>
          <w:rFonts w:asciiTheme="minorHAnsi" w:hAnsiTheme="minorHAnsi" w:cstheme="minorHAnsi"/>
          <w:sz w:val="20"/>
          <w:szCs w:val="20"/>
        </w:rPr>
        <w:t>Such costs are likely to be significant. Paul Johnson, Director of the IFS, in an article from late May said</w:t>
      </w:r>
      <w:r>
        <w:rPr>
          <w:rFonts w:asciiTheme="minorHAnsi" w:hAnsiTheme="minorHAnsi" w:cstheme="minorHAnsi"/>
          <w:sz w:val="20"/>
          <w:szCs w:val="20"/>
        </w:rPr>
        <w:t>:</w:t>
      </w:r>
      <w:r w:rsidRPr="00B56227">
        <w:rPr>
          <w:rFonts w:asciiTheme="minorHAnsi" w:hAnsiTheme="minorHAnsi" w:cstheme="minorHAnsi"/>
          <w:sz w:val="20"/>
          <w:szCs w:val="20"/>
        </w:rPr>
        <w:t xml:space="preserve"> “</w:t>
      </w:r>
      <w:r w:rsidRPr="00B56227">
        <w:rPr>
          <w:rFonts w:asciiTheme="minorHAnsi" w:eastAsia="Times New Roman" w:hAnsiTheme="minorHAnsi" w:cstheme="minorHAnsi"/>
          <w:color w:val="000000"/>
          <w:sz w:val="20"/>
          <w:szCs w:val="20"/>
          <w:lang w:eastAsia="en-GB"/>
        </w:rPr>
        <w:t>Younger generations “will pay a heavy price for our response to this virus”. So say </w:t>
      </w:r>
      <w:hyperlink r:id="rId7" w:history="1">
        <w:r w:rsidRPr="00B56227">
          <w:rPr>
            <w:rFonts w:asciiTheme="minorHAnsi" w:eastAsia="Times New Roman" w:hAnsiTheme="minorHAnsi" w:cstheme="minorHAnsi"/>
            <w:color w:val="336750"/>
            <w:sz w:val="20"/>
            <w:szCs w:val="20"/>
            <w:u w:val="single"/>
            <w:bdr w:val="none" w:sz="0" w:space="0" w:color="auto" w:frame="1"/>
            <w:lang w:eastAsia="en-GB"/>
          </w:rPr>
          <w:t xml:space="preserve">Anna </w:t>
        </w:r>
        <w:proofErr w:type="spellStart"/>
        <w:r w:rsidRPr="00B56227">
          <w:rPr>
            <w:rFonts w:asciiTheme="minorHAnsi" w:eastAsia="Times New Roman" w:hAnsiTheme="minorHAnsi" w:cstheme="minorHAnsi"/>
            <w:color w:val="336750"/>
            <w:sz w:val="20"/>
            <w:szCs w:val="20"/>
            <w:u w:val="single"/>
            <w:bdr w:val="none" w:sz="0" w:space="0" w:color="auto" w:frame="1"/>
            <w:lang w:eastAsia="en-GB"/>
          </w:rPr>
          <w:t>Vignoles</w:t>
        </w:r>
        <w:proofErr w:type="spellEnd"/>
        <w:r w:rsidRPr="00B56227">
          <w:rPr>
            <w:rFonts w:asciiTheme="minorHAnsi" w:eastAsia="Times New Roman" w:hAnsiTheme="minorHAnsi" w:cstheme="minorHAnsi"/>
            <w:color w:val="336750"/>
            <w:sz w:val="20"/>
            <w:szCs w:val="20"/>
            <w:u w:val="single"/>
            <w:bdr w:val="none" w:sz="0" w:space="0" w:color="auto" w:frame="1"/>
            <w:lang w:eastAsia="en-GB"/>
          </w:rPr>
          <w:t xml:space="preserve"> and Simon Burgess</w:t>
        </w:r>
      </w:hyperlink>
      <w:r w:rsidRPr="00B56227">
        <w:rPr>
          <w:rFonts w:asciiTheme="minorHAnsi" w:eastAsia="Times New Roman" w:hAnsiTheme="minorHAnsi" w:cstheme="minorHAnsi"/>
          <w:color w:val="000000"/>
          <w:sz w:val="20"/>
          <w:szCs w:val="20"/>
          <w:lang w:eastAsia="en-GB"/>
        </w:rPr>
        <w:t>, perhaps Britain’s foremost authorities on the economics of education. They are right, and we should be worried.</w:t>
      </w:r>
      <w:r>
        <w:rPr>
          <w:rFonts w:asciiTheme="minorHAnsi" w:eastAsia="Times New Roman" w:hAnsiTheme="minorHAnsi" w:cstheme="minorHAnsi"/>
          <w:color w:val="000000"/>
          <w:sz w:val="20"/>
          <w:szCs w:val="20"/>
          <w:lang w:eastAsia="en-GB"/>
        </w:rPr>
        <w:t xml:space="preserve"> </w:t>
      </w:r>
      <w:r w:rsidRPr="00B56227">
        <w:rPr>
          <w:rFonts w:asciiTheme="minorHAnsi" w:eastAsia="Times New Roman" w:hAnsiTheme="minorHAnsi" w:cstheme="minorHAnsi"/>
          <w:color w:val="000000"/>
          <w:sz w:val="20"/>
          <w:szCs w:val="20"/>
          <w:lang w:eastAsia="en-GB"/>
        </w:rPr>
        <w:t>They are talking about the effects of school closures on children’s education and about the effects of the deepest recession in history on the job and earnings prospects of those young people entering the labour market this year. These effects will be damaging, long-lasting and felt much more acutely by those who are already disadvantaged.” (The Times, May 26</w:t>
      </w:r>
      <w:r w:rsidRPr="00B56227">
        <w:rPr>
          <w:rFonts w:asciiTheme="minorHAnsi" w:eastAsia="Times New Roman" w:hAnsiTheme="minorHAnsi" w:cstheme="minorHAnsi"/>
          <w:color w:val="000000"/>
          <w:sz w:val="20"/>
          <w:szCs w:val="20"/>
          <w:vertAlign w:val="superscript"/>
          <w:lang w:eastAsia="en-GB"/>
        </w:rPr>
        <w:t>th</w:t>
      </w:r>
      <w:r w:rsidRPr="00B56227">
        <w:rPr>
          <w:rFonts w:asciiTheme="minorHAnsi" w:eastAsia="Times New Roman" w:hAnsiTheme="minorHAnsi" w:cstheme="minorHAnsi"/>
          <w:color w:val="000000"/>
          <w:sz w:val="20"/>
          <w:szCs w:val="20"/>
          <w:lang w:eastAsia="en-GB"/>
        </w:rPr>
        <w:t>)</w:t>
      </w:r>
    </w:p>
    <w:p w14:paraId="61877713" w14:textId="77777777" w:rsidR="009E2563" w:rsidRDefault="009E2563" w:rsidP="00242EF2">
      <w:pPr>
        <w:pStyle w:val="FootnoteText"/>
      </w:pPr>
    </w:p>
  </w:footnote>
  <w:footnote w:id="14">
    <w:p w14:paraId="3FBFA4DA" w14:textId="4D57A4C2" w:rsidR="009E2563" w:rsidRDefault="009E2563">
      <w:pPr>
        <w:pStyle w:val="FootnoteText"/>
      </w:pPr>
      <w:r>
        <w:rPr>
          <w:rStyle w:val="FootnoteReference"/>
        </w:rPr>
        <w:footnoteRef/>
      </w:r>
      <w:r>
        <w:t xml:space="preserve"> Layard et al have a </w:t>
      </w:r>
      <w:r w:rsidRPr="00FA7CB1">
        <w:rPr>
          <w:b/>
          <w:i/>
        </w:rPr>
        <w:t>central</w:t>
      </w:r>
      <w:r>
        <w:t xml:space="preserve"> estimate of the total lost GDP from a lockdown that was lifted at the end of June of 22.8%; if the lockdown lasted one month longer their central estimate is that the total cumulative loss of GDP would be 29.4%. Gottlieb et al (2020) conclude that “Overall, a realistic lockdown policy implies GDP losses of 20-25% on an annualized basis”</w:t>
      </w:r>
    </w:p>
  </w:footnote>
  <w:footnote w:id="15">
    <w:p w14:paraId="7D27FD4D" w14:textId="6859EAF8" w:rsidR="009E2563" w:rsidRDefault="009E2563" w:rsidP="0019049E">
      <w:pPr>
        <w:spacing w:line="240" w:lineRule="auto"/>
      </w:pPr>
      <w:r>
        <w:rPr>
          <w:rStyle w:val="FootnoteReference"/>
        </w:rPr>
        <w:footnoteRef/>
      </w:r>
      <w:r>
        <w:t xml:space="preserve">  </w:t>
      </w:r>
      <w:r w:rsidRPr="0019049E">
        <w:rPr>
          <w:sz w:val="20"/>
          <w:szCs w:val="20"/>
        </w:rPr>
        <w:t xml:space="preserve">In an annex they say that they would use a value for a QALY that is 25 times greater than the NHS guideline level. To use figures this high would seem to imply that the health system in the UK should have massively more resources – not just higher by 10% or 20% above its current level but </w:t>
      </w:r>
      <w:proofErr w:type="gramStart"/>
      <w:r w:rsidRPr="0019049E">
        <w:rPr>
          <w:sz w:val="20"/>
          <w:szCs w:val="20"/>
        </w:rPr>
        <w:t>so as to</w:t>
      </w:r>
      <w:proofErr w:type="gramEnd"/>
      <w:r w:rsidRPr="0019049E">
        <w:rPr>
          <w:sz w:val="20"/>
          <w:szCs w:val="20"/>
        </w:rPr>
        <w:t xml:space="preserve"> take </w:t>
      </w:r>
      <w:r>
        <w:rPr>
          <w:sz w:val="20"/>
          <w:szCs w:val="20"/>
        </w:rPr>
        <w:t xml:space="preserve">spending to </w:t>
      </w:r>
      <w:r w:rsidRPr="0019049E">
        <w:rPr>
          <w:sz w:val="20"/>
          <w:szCs w:val="20"/>
        </w:rPr>
        <w:t>a vastly greater share of GDP. If that really reflected how people value potential years of life saved one would need to ask why the political system has never generated a level of health spending anywhere near those levels, either in the UK or any other country.</w:t>
      </w:r>
      <w:r>
        <w:t xml:space="preserve"> One would also need to ask why private health spending in the UK is not greatly higher than 1.5% of GDP. </w:t>
      </w:r>
    </w:p>
    <w:p w14:paraId="45044066" w14:textId="335A9043" w:rsidR="009E2563" w:rsidRDefault="009E2563">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27DB7"/>
    <w:multiLevelType w:val="hybridMultilevel"/>
    <w:tmpl w:val="313AC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7908BB"/>
    <w:multiLevelType w:val="hybridMultilevel"/>
    <w:tmpl w:val="24F89C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3E01D6"/>
    <w:multiLevelType w:val="hybridMultilevel"/>
    <w:tmpl w:val="F3941C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357A6A"/>
    <w:multiLevelType w:val="hybridMultilevel"/>
    <w:tmpl w:val="EE446C08"/>
    <w:lvl w:ilvl="0" w:tplc="E940E840">
      <w:start w:val="1"/>
      <w:numFmt w:val="decimal"/>
      <w:lvlText w:val="%1."/>
      <w:lvlJc w:val="left"/>
      <w:pPr>
        <w:ind w:left="360" w:hanging="360"/>
      </w:pPr>
      <w:rPr>
        <w:rFonts w:asciiTheme="minorHAnsi" w:eastAsia="Times New Roman" w:hAnsiTheme="minorHAnsi" w:cstheme="minorBidi"/>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 w15:restartNumberingAfterBreak="0">
    <w:nsid w:val="20E8266D"/>
    <w:multiLevelType w:val="hybridMultilevel"/>
    <w:tmpl w:val="7F52030A"/>
    <w:lvl w:ilvl="0" w:tplc="2ADA6476">
      <w:start w:val="3"/>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A0213AF"/>
    <w:multiLevelType w:val="hybridMultilevel"/>
    <w:tmpl w:val="B4302D3C"/>
    <w:lvl w:ilvl="0" w:tplc="E64691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56A2729"/>
    <w:multiLevelType w:val="hybridMultilevel"/>
    <w:tmpl w:val="12664728"/>
    <w:lvl w:ilvl="0" w:tplc="0809001B">
      <w:start w:val="1"/>
      <w:numFmt w:val="lowerRoman"/>
      <w:lvlText w:val="%1."/>
      <w:lvlJc w:val="right"/>
      <w:pPr>
        <w:ind w:left="1077" w:hanging="360"/>
      </w:pPr>
    </w:lvl>
    <w:lvl w:ilvl="1" w:tplc="08090019">
      <w:start w:val="1"/>
      <w:numFmt w:val="lowerLetter"/>
      <w:lvlText w:val="%2."/>
      <w:lvlJc w:val="left"/>
      <w:pPr>
        <w:ind w:left="1797" w:hanging="360"/>
      </w:pPr>
    </w:lvl>
    <w:lvl w:ilvl="2" w:tplc="0809001B">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7" w15:restartNumberingAfterBreak="0">
    <w:nsid w:val="560005AF"/>
    <w:multiLevelType w:val="hybridMultilevel"/>
    <w:tmpl w:val="935CCF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AA95E12"/>
    <w:multiLevelType w:val="hybridMultilevel"/>
    <w:tmpl w:val="239C88FA"/>
    <w:lvl w:ilvl="0" w:tplc="4574CA1E">
      <w:start w:val="1"/>
      <w:numFmt w:val="decimal"/>
      <w:lvlText w:val="%1."/>
      <w:lvlJc w:val="left"/>
      <w:pPr>
        <w:ind w:left="720" w:hanging="360"/>
      </w:pPr>
      <w:rPr>
        <w:rFonts w:asciiTheme="minorHAnsi" w:eastAsia="Times New Roman" w:hAnsiTheme="minorHAnsi" w:cstheme="minorBidi"/>
      </w:rPr>
    </w:lvl>
    <w:lvl w:ilvl="1" w:tplc="0809000F">
      <w:start w:val="1"/>
      <w:numFmt w:val="decimal"/>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70D85BD5"/>
    <w:multiLevelType w:val="hybridMultilevel"/>
    <w:tmpl w:val="EE446C08"/>
    <w:lvl w:ilvl="0" w:tplc="E940E840">
      <w:start w:val="1"/>
      <w:numFmt w:val="decimal"/>
      <w:lvlText w:val="%1."/>
      <w:lvlJc w:val="left"/>
      <w:pPr>
        <w:ind w:left="360" w:hanging="360"/>
      </w:pPr>
      <w:rPr>
        <w:rFonts w:asciiTheme="minorHAnsi" w:eastAsia="Times New Roman" w:hAnsiTheme="minorHAnsi" w:cstheme="minorBidi"/>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num w:numId="1">
    <w:abstractNumId w:val="7"/>
  </w:num>
  <w:num w:numId="2">
    <w:abstractNumId w:val="1"/>
  </w:num>
  <w:num w:numId="3">
    <w:abstractNumId w:val="5"/>
  </w:num>
  <w:num w:numId="4">
    <w:abstractNumId w:val="2"/>
  </w:num>
  <w:num w:numId="5">
    <w:abstractNumId w:val="4"/>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OysDC1MLMwMjE0MjRS0lEKTi0uzszPAykwrgUAt8AvLSwAAAA="/>
  </w:docVars>
  <w:rsids>
    <w:rsidRoot w:val="00C43F64"/>
    <w:rsid w:val="00015D8E"/>
    <w:rsid w:val="00021961"/>
    <w:rsid w:val="00021AE2"/>
    <w:rsid w:val="000262C0"/>
    <w:rsid w:val="0003263B"/>
    <w:rsid w:val="00032D3E"/>
    <w:rsid w:val="0003512A"/>
    <w:rsid w:val="000364FB"/>
    <w:rsid w:val="00041189"/>
    <w:rsid w:val="00042F2E"/>
    <w:rsid w:val="000453D6"/>
    <w:rsid w:val="00045951"/>
    <w:rsid w:val="00050840"/>
    <w:rsid w:val="00050E9B"/>
    <w:rsid w:val="00054529"/>
    <w:rsid w:val="00077FD7"/>
    <w:rsid w:val="000838D6"/>
    <w:rsid w:val="00085068"/>
    <w:rsid w:val="000855AB"/>
    <w:rsid w:val="000A1792"/>
    <w:rsid w:val="000A79BF"/>
    <w:rsid w:val="000B7530"/>
    <w:rsid w:val="000C02F4"/>
    <w:rsid w:val="000C1483"/>
    <w:rsid w:val="000C426F"/>
    <w:rsid w:val="000E3E89"/>
    <w:rsid w:val="000E5036"/>
    <w:rsid w:val="000E7B50"/>
    <w:rsid w:val="000F506F"/>
    <w:rsid w:val="000F5F77"/>
    <w:rsid w:val="00100A08"/>
    <w:rsid w:val="0012478F"/>
    <w:rsid w:val="0013305D"/>
    <w:rsid w:val="00136210"/>
    <w:rsid w:val="00136A83"/>
    <w:rsid w:val="00150417"/>
    <w:rsid w:val="00155A90"/>
    <w:rsid w:val="00157DA8"/>
    <w:rsid w:val="001635B3"/>
    <w:rsid w:val="00171A04"/>
    <w:rsid w:val="00174C70"/>
    <w:rsid w:val="0017633A"/>
    <w:rsid w:val="00181652"/>
    <w:rsid w:val="0019049E"/>
    <w:rsid w:val="00190E18"/>
    <w:rsid w:val="001D29DB"/>
    <w:rsid w:val="001E69FF"/>
    <w:rsid w:val="001E7944"/>
    <w:rsid w:val="001F501A"/>
    <w:rsid w:val="0020480A"/>
    <w:rsid w:val="00207D0F"/>
    <w:rsid w:val="002121AA"/>
    <w:rsid w:val="0021710A"/>
    <w:rsid w:val="002209F8"/>
    <w:rsid w:val="00221D6D"/>
    <w:rsid w:val="00221EAE"/>
    <w:rsid w:val="00230F5B"/>
    <w:rsid w:val="00242B6F"/>
    <w:rsid w:val="00242DFF"/>
    <w:rsid w:val="00242EF2"/>
    <w:rsid w:val="002567E7"/>
    <w:rsid w:val="002608AC"/>
    <w:rsid w:val="00265895"/>
    <w:rsid w:val="00265921"/>
    <w:rsid w:val="002716E5"/>
    <w:rsid w:val="00291717"/>
    <w:rsid w:val="00294595"/>
    <w:rsid w:val="002A39E7"/>
    <w:rsid w:val="002B1E8F"/>
    <w:rsid w:val="002B3469"/>
    <w:rsid w:val="002B37DD"/>
    <w:rsid w:val="002B7ECF"/>
    <w:rsid w:val="002C04DF"/>
    <w:rsid w:val="002C3BA5"/>
    <w:rsid w:val="002C4903"/>
    <w:rsid w:val="002D1D9A"/>
    <w:rsid w:val="002E2FBE"/>
    <w:rsid w:val="002F1A89"/>
    <w:rsid w:val="00302390"/>
    <w:rsid w:val="003049E1"/>
    <w:rsid w:val="0031243F"/>
    <w:rsid w:val="00322724"/>
    <w:rsid w:val="00335226"/>
    <w:rsid w:val="00335847"/>
    <w:rsid w:val="003375B2"/>
    <w:rsid w:val="003472CB"/>
    <w:rsid w:val="00355BB9"/>
    <w:rsid w:val="00355CD2"/>
    <w:rsid w:val="00357AF5"/>
    <w:rsid w:val="00362324"/>
    <w:rsid w:val="003629D1"/>
    <w:rsid w:val="00367211"/>
    <w:rsid w:val="00375EBD"/>
    <w:rsid w:val="00376D0D"/>
    <w:rsid w:val="00385BE4"/>
    <w:rsid w:val="003920C9"/>
    <w:rsid w:val="003B06C0"/>
    <w:rsid w:val="003B6987"/>
    <w:rsid w:val="003C009A"/>
    <w:rsid w:val="003C5BD2"/>
    <w:rsid w:val="003E37D8"/>
    <w:rsid w:val="003E4883"/>
    <w:rsid w:val="003F17FE"/>
    <w:rsid w:val="003F2CF5"/>
    <w:rsid w:val="00407CBA"/>
    <w:rsid w:val="00407F0E"/>
    <w:rsid w:val="00411EAB"/>
    <w:rsid w:val="004249AA"/>
    <w:rsid w:val="00426F1D"/>
    <w:rsid w:val="00430AFE"/>
    <w:rsid w:val="00432D18"/>
    <w:rsid w:val="00446B4C"/>
    <w:rsid w:val="00453F15"/>
    <w:rsid w:val="00460593"/>
    <w:rsid w:val="0046115A"/>
    <w:rsid w:val="0046144C"/>
    <w:rsid w:val="00470674"/>
    <w:rsid w:val="0047328D"/>
    <w:rsid w:val="00480007"/>
    <w:rsid w:val="00486DE0"/>
    <w:rsid w:val="004A1794"/>
    <w:rsid w:val="004A388B"/>
    <w:rsid w:val="004B33AB"/>
    <w:rsid w:val="004C30FE"/>
    <w:rsid w:val="004E693B"/>
    <w:rsid w:val="00501498"/>
    <w:rsid w:val="00502C01"/>
    <w:rsid w:val="00502FFE"/>
    <w:rsid w:val="00504DF4"/>
    <w:rsid w:val="00511291"/>
    <w:rsid w:val="00514B80"/>
    <w:rsid w:val="00522521"/>
    <w:rsid w:val="00531D2A"/>
    <w:rsid w:val="0053779C"/>
    <w:rsid w:val="00556DD4"/>
    <w:rsid w:val="00557559"/>
    <w:rsid w:val="00560952"/>
    <w:rsid w:val="005668FB"/>
    <w:rsid w:val="00572343"/>
    <w:rsid w:val="00572F40"/>
    <w:rsid w:val="00573E9B"/>
    <w:rsid w:val="00580168"/>
    <w:rsid w:val="005871AF"/>
    <w:rsid w:val="00593068"/>
    <w:rsid w:val="00593681"/>
    <w:rsid w:val="005B5994"/>
    <w:rsid w:val="005E22BD"/>
    <w:rsid w:val="005F0502"/>
    <w:rsid w:val="005F1247"/>
    <w:rsid w:val="00611E55"/>
    <w:rsid w:val="00622405"/>
    <w:rsid w:val="00626913"/>
    <w:rsid w:val="006334FD"/>
    <w:rsid w:val="006465A4"/>
    <w:rsid w:val="00651CC7"/>
    <w:rsid w:val="00653C57"/>
    <w:rsid w:val="00655FD3"/>
    <w:rsid w:val="00657F67"/>
    <w:rsid w:val="00664EC3"/>
    <w:rsid w:val="0066564F"/>
    <w:rsid w:val="00675CA3"/>
    <w:rsid w:val="00675F7C"/>
    <w:rsid w:val="0067743C"/>
    <w:rsid w:val="0068072C"/>
    <w:rsid w:val="00693446"/>
    <w:rsid w:val="006965B0"/>
    <w:rsid w:val="006A1716"/>
    <w:rsid w:val="006B1EFF"/>
    <w:rsid w:val="006B6AF4"/>
    <w:rsid w:val="006E25E9"/>
    <w:rsid w:val="006E405C"/>
    <w:rsid w:val="006E74BD"/>
    <w:rsid w:val="006F0560"/>
    <w:rsid w:val="006F3713"/>
    <w:rsid w:val="00704B6B"/>
    <w:rsid w:val="007061E7"/>
    <w:rsid w:val="007064C5"/>
    <w:rsid w:val="00723731"/>
    <w:rsid w:val="00735894"/>
    <w:rsid w:val="00741A2F"/>
    <w:rsid w:val="00742C3F"/>
    <w:rsid w:val="007500C1"/>
    <w:rsid w:val="00753B22"/>
    <w:rsid w:val="00761093"/>
    <w:rsid w:val="007613C0"/>
    <w:rsid w:val="00773699"/>
    <w:rsid w:val="00775F87"/>
    <w:rsid w:val="0077765B"/>
    <w:rsid w:val="00782E88"/>
    <w:rsid w:val="0078306D"/>
    <w:rsid w:val="00783935"/>
    <w:rsid w:val="00792976"/>
    <w:rsid w:val="00796E35"/>
    <w:rsid w:val="007A1094"/>
    <w:rsid w:val="007A6BD5"/>
    <w:rsid w:val="007B073E"/>
    <w:rsid w:val="007B6631"/>
    <w:rsid w:val="007C0CF9"/>
    <w:rsid w:val="007C1074"/>
    <w:rsid w:val="007C228D"/>
    <w:rsid w:val="007C41AE"/>
    <w:rsid w:val="007C4BBA"/>
    <w:rsid w:val="007D4C7A"/>
    <w:rsid w:val="007E7A15"/>
    <w:rsid w:val="007F264A"/>
    <w:rsid w:val="007F3405"/>
    <w:rsid w:val="00801EF3"/>
    <w:rsid w:val="00825CC8"/>
    <w:rsid w:val="0083357B"/>
    <w:rsid w:val="008428FE"/>
    <w:rsid w:val="00851D30"/>
    <w:rsid w:val="00854AEB"/>
    <w:rsid w:val="00856439"/>
    <w:rsid w:val="00860808"/>
    <w:rsid w:val="00876B3A"/>
    <w:rsid w:val="0087772D"/>
    <w:rsid w:val="00884D9C"/>
    <w:rsid w:val="00886C5B"/>
    <w:rsid w:val="008904E8"/>
    <w:rsid w:val="0089371B"/>
    <w:rsid w:val="00897494"/>
    <w:rsid w:val="008A138B"/>
    <w:rsid w:val="008B709F"/>
    <w:rsid w:val="008E224B"/>
    <w:rsid w:val="008E2BE4"/>
    <w:rsid w:val="008E3180"/>
    <w:rsid w:val="008E4E9B"/>
    <w:rsid w:val="008F0FEB"/>
    <w:rsid w:val="008F2B2E"/>
    <w:rsid w:val="008F2B31"/>
    <w:rsid w:val="008F4CC0"/>
    <w:rsid w:val="009002B6"/>
    <w:rsid w:val="00903009"/>
    <w:rsid w:val="009039F3"/>
    <w:rsid w:val="0092335F"/>
    <w:rsid w:val="00935B69"/>
    <w:rsid w:val="00935E21"/>
    <w:rsid w:val="009413BB"/>
    <w:rsid w:val="00946AEE"/>
    <w:rsid w:val="00946D35"/>
    <w:rsid w:val="00950D6E"/>
    <w:rsid w:val="0095233D"/>
    <w:rsid w:val="009525AE"/>
    <w:rsid w:val="00957254"/>
    <w:rsid w:val="009607E9"/>
    <w:rsid w:val="00963803"/>
    <w:rsid w:val="009770F0"/>
    <w:rsid w:val="00981BC9"/>
    <w:rsid w:val="009828D1"/>
    <w:rsid w:val="00987EE4"/>
    <w:rsid w:val="009911AC"/>
    <w:rsid w:val="009C46D8"/>
    <w:rsid w:val="009C7DC1"/>
    <w:rsid w:val="009D5627"/>
    <w:rsid w:val="009E2563"/>
    <w:rsid w:val="009E365F"/>
    <w:rsid w:val="009E588D"/>
    <w:rsid w:val="009F6C0A"/>
    <w:rsid w:val="00A07C0B"/>
    <w:rsid w:val="00A1216F"/>
    <w:rsid w:val="00A15F91"/>
    <w:rsid w:val="00A16A19"/>
    <w:rsid w:val="00A21567"/>
    <w:rsid w:val="00A35B1D"/>
    <w:rsid w:val="00A41A0E"/>
    <w:rsid w:val="00A46953"/>
    <w:rsid w:val="00A50D79"/>
    <w:rsid w:val="00A565C1"/>
    <w:rsid w:val="00A57C8B"/>
    <w:rsid w:val="00A60688"/>
    <w:rsid w:val="00A61899"/>
    <w:rsid w:val="00A7073D"/>
    <w:rsid w:val="00A738E9"/>
    <w:rsid w:val="00A804DE"/>
    <w:rsid w:val="00A80BBA"/>
    <w:rsid w:val="00A81242"/>
    <w:rsid w:val="00A847B8"/>
    <w:rsid w:val="00A90C62"/>
    <w:rsid w:val="00A946DE"/>
    <w:rsid w:val="00A94E1F"/>
    <w:rsid w:val="00A94E35"/>
    <w:rsid w:val="00AA1E11"/>
    <w:rsid w:val="00AA77C4"/>
    <w:rsid w:val="00AC38C7"/>
    <w:rsid w:val="00AD506E"/>
    <w:rsid w:val="00AF6175"/>
    <w:rsid w:val="00AF7AE3"/>
    <w:rsid w:val="00B0621D"/>
    <w:rsid w:val="00B14D97"/>
    <w:rsid w:val="00B26DB5"/>
    <w:rsid w:val="00B32CD1"/>
    <w:rsid w:val="00B36396"/>
    <w:rsid w:val="00B370A4"/>
    <w:rsid w:val="00B4056C"/>
    <w:rsid w:val="00B52055"/>
    <w:rsid w:val="00B56227"/>
    <w:rsid w:val="00B66D4C"/>
    <w:rsid w:val="00B73EE1"/>
    <w:rsid w:val="00B8013F"/>
    <w:rsid w:val="00B835A6"/>
    <w:rsid w:val="00B87F0D"/>
    <w:rsid w:val="00B92947"/>
    <w:rsid w:val="00BB19D6"/>
    <w:rsid w:val="00BC2669"/>
    <w:rsid w:val="00BC6360"/>
    <w:rsid w:val="00BC69EB"/>
    <w:rsid w:val="00BD7E23"/>
    <w:rsid w:val="00BE2AF9"/>
    <w:rsid w:val="00BF213B"/>
    <w:rsid w:val="00BF3743"/>
    <w:rsid w:val="00BF63A2"/>
    <w:rsid w:val="00C069E1"/>
    <w:rsid w:val="00C2088D"/>
    <w:rsid w:val="00C2209C"/>
    <w:rsid w:val="00C340E6"/>
    <w:rsid w:val="00C3518F"/>
    <w:rsid w:val="00C37DFD"/>
    <w:rsid w:val="00C40993"/>
    <w:rsid w:val="00C43F64"/>
    <w:rsid w:val="00C4533E"/>
    <w:rsid w:val="00C45C9C"/>
    <w:rsid w:val="00C55598"/>
    <w:rsid w:val="00C55C15"/>
    <w:rsid w:val="00C62604"/>
    <w:rsid w:val="00C667CF"/>
    <w:rsid w:val="00C6757A"/>
    <w:rsid w:val="00C757CF"/>
    <w:rsid w:val="00C91D57"/>
    <w:rsid w:val="00C93229"/>
    <w:rsid w:val="00CA2BD8"/>
    <w:rsid w:val="00CB2698"/>
    <w:rsid w:val="00CC54F2"/>
    <w:rsid w:val="00CE2242"/>
    <w:rsid w:val="00CE71FA"/>
    <w:rsid w:val="00D02B5A"/>
    <w:rsid w:val="00D15BC9"/>
    <w:rsid w:val="00D224CD"/>
    <w:rsid w:val="00D306B1"/>
    <w:rsid w:val="00D320AB"/>
    <w:rsid w:val="00D32D1B"/>
    <w:rsid w:val="00D65C34"/>
    <w:rsid w:val="00D7033D"/>
    <w:rsid w:val="00D8199B"/>
    <w:rsid w:val="00D93E86"/>
    <w:rsid w:val="00D94493"/>
    <w:rsid w:val="00DA4909"/>
    <w:rsid w:val="00DB2C02"/>
    <w:rsid w:val="00DB3787"/>
    <w:rsid w:val="00DB3811"/>
    <w:rsid w:val="00DC52C8"/>
    <w:rsid w:val="00DC7A9D"/>
    <w:rsid w:val="00DD6C04"/>
    <w:rsid w:val="00DE0E6D"/>
    <w:rsid w:val="00E1243A"/>
    <w:rsid w:val="00E16895"/>
    <w:rsid w:val="00E21158"/>
    <w:rsid w:val="00E23ED6"/>
    <w:rsid w:val="00E3390D"/>
    <w:rsid w:val="00E36EB4"/>
    <w:rsid w:val="00E37144"/>
    <w:rsid w:val="00E37D4D"/>
    <w:rsid w:val="00E41756"/>
    <w:rsid w:val="00E45C28"/>
    <w:rsid w:val="00E5245B"/>
    <w:rsid w:val="00E57E29"/>
    <w:rsid w:val="00E71001"/>
    <w:rsid w:val="00E77895"/>
    <w:rsid w:val="00E82EDE"/>
    <w:rsid w:val="00E86460"/>
    <w:rsid w:val="00E87C2D"/>
    <w:rsid w:val="00E90C2A"/>
    <w:rsid w:val="00E91B11"/>
    <w:rsid w:val="00E94C63"/>
    <w:rsid w:val="00E94F6E"/>
    <w:rsid w:val="00EA1D25"/>
    <w:rsid w:val="00EA327A"/>
    <w:rsid w:val="00EA3AB4"/>
    <w:rsid w:val="00EA3DA5"/>
    <w:rsid w:val="00EA6160"/>
    <w:rsid w:val="00EA725E"/>
    <w:rsid w:val="00EB05C1"/>
    <w:rsid w:val="00EB4E00"/>
    <w:rsid w:val="00EC287D"/>
    <w:rsid w:val="00EC298F"/>
    <w:rsid w:val="00ED7075"/>
    <w:rsid w:val="00EE0F46"/>
    <w:rsid w:val="00EE4675"/>
    <w:rsid w:val="00EF0723"/>
    <w:rsid w:val="00F0349B"/>
    <w:rsid w:val="00F12629"/>
    <w:rsid w:val="00F16757"/>
    <w:rsid w:val="00F255DB"/>
    <w:rsid w:val="00F355A5"/>
    <w:rsid w:val="00F41061"/>
    <w:rsid w:val="00F501CD"/>
    <w:rsid w:val="00F6395A"/>
    <w:rsid w:val="00F64300"/>
    <w:rsid w:val="00F65B3B"/>
    <w:rsid w:val="00F70112"/>
    <w:rsid w:val="00F72304"/>
    <w:rsid w:val="00F7254D"/>
    <w:rsid w:val="00F72AAE"/>
    <w:rsid w:val="00F9005E"/>
    <w:rsid w:val="00F935C5"/>
    <w:rsid w:val="00F94973"/>
    <w:rsid w:val="00F94DFC"/>
    <w:rsid w:val="00FA7CB1"/>
    <w:rsid w:val="00FB356F"/>
    <w:rsid w:val="00FB35FE"/>
    <w:rsid w:val="00FB77B3"/>
    <w:rsid w:val="00FC51DA"/>
    <w:rsid w:val="00FE1912"/>
    <w:rsid w:val="00FE5229"/>
    <w:rsid w:val="00FF5977"/>
    <w:rsid w:val="00FF5F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902DE"/>
  <w15:chartTrackingRefBased/>
  <w15:docId w15:val="{4135EAF9-EF70-49E1-8721-0237C954C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49E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2373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43F64"/>
    <w:rPr>
      <w:b/>
      <w:bCs/>
    </w:rPr>
  </w:style>
  <w:style w:type="character" w:styleId="Hyperlink">
    <w:name w:val="Hyperlink"/>
    <w:basedOn w:val="DefaultParagraphFont"/>
    <w:uiPriority w:val="99"/>
    <w:unhideWhenUsed/>
    <w:rsid w:val="00C43F64"/>
    <w:rPr>
      <w:color w:val="0000FF"/>
      <w:u w:val="single"/>
    </w:rPr>
  </w:style>
  <w:style w:type="paragraph" w:styleId="ListParagraph">
    <w:name w:val="List Paragraph"/>
    <w:basedOn w:val="Normal"/>
    <w:uiPriority w:val="34"/>
    <w:qFormat/>
    <w:rsid w:val="00A50D79"/>
    <w:pPr>
      <w:ind w:left="720"/>
      <w:contextualSpacing/>
    </w:pPr>
  </w:style>
  <w:style w:type="paragraph" w:styleId="FootnoteText">
    <w:name w:val="footnote text"/>
    <w:basedOn w:val="Normal"/>
    <w:link w:val="FootnoteTextChar"/>
    <w:uiPriority w:val="99"/>
    <w:semiHidden/>
    <w:unhideWhenUsed/>
    <w:rsid w:val="00A50D7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50D79"/>
    <w:rPr>
      <w:sz w:val="20"/>
      <w:szCs w:val="20"/>
    </w:rPr>
  </w:style>
  <w:style w:type="character" w:styleId="FootnoteReference">
    <w:name w:val="footnote reference"/>
    <w:basedOn w:val="DefaultParagraphFont"/>
    <w:uiPriority w:val="99"/>
    <w:semiHidden/>
    <w:unhideWhenUsed/>
    <w:rsid w:val="00A50D79"/>
    <w:rPr>
      <w:vertAlign w:val="superscript"/>
    </w:rPr>
  </w:style>
  <w:style w:type="paragraph" w:styleId="Header">
    <w:name w:val="header"/>
    <w:basedOn w:val="Normal"/>
    <w:link w:val="HeaderChar"/>
    <w:uiPriority w:val="99"/>
    <w:unhideWhenUsed/>
    <w:rsid w:val="00E91B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1B11"/>
  </w:style>
  <w:style w:type="paragraph" w:styleId="Footer">
    <w:name w:val="footer"/>
    <w:basedOn w:val="Normal"/>
    <w:link w:val="FooterChar"/>
    <w:uiPriority w:val="99"/>
    <w:unhideWhenUsed/>
    <w:rsid w:val="00E91B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1B11"/>
  </w:style>
  <w:style w:type="paragraph" w:styleId="NormalWeb">
    <w:name w:val="Normal (Web)"/>
    <w:basedOn w:val="Normal"/>
    <w:uiPriority w:val="99"/>
    <w:unhideWhenUsed/>
    <w:rsid w:val="00B56227"/>
    <w:rPr>
      <w:rFonts w:ascii="Times New Roman" w:hAnsi="Times New Roman" w:cs="Times New Roman"/>
      <w:sz w:val="24"/>
      <w:szCs w:val="24"/>
    </w:rPr>
  </w:style>
  <w:style w:type="character" w:customStyle="1" w:styleId="Heading1Char">
    <w:name w:val="Heading 1 Char"/>
    <w:basedOn w:val="DefaultParagraphFont"/>
    <w:link w:val="Heading1"/>
    <w:uiPriority w:val="9"/>
    <w:rsid w:val="003049E1"/>
    <w:rPr>
      <w:rFonts w:asciiTheme="majorHAnsi" w:eastAsiaTheme="majorEastAsia" w:hAnsiTheme="majorHAnsi" w:cstheme="majorBidi"/>
      <w:color w:val="2F5496" w:themeColor="accent1" w:themeShade="BF"/>
      <w:sz w:val="32"/>
      <w:szCs w:val="32"/>
    </w:rPr>
  </w:style>
  <w:style w:type="character" w:styleId="Emphasis">
    <w:name w:val="Emphasis"/>
    <w:basedOn w:val="DefaultParagraphFont"/>
    <w:uiPriority w:val="20"/>
    <w:qFormat/>
    <w:rsid w:val="0003512A"/>
    <w:rPr>
      <w:i/>
      <w:iCs/>
    </w:rPr>
  </w:style>
  <w:style w:type="character" w:styleId="FollowedHyperlink">
    <w:name w:val="FollowedHyperlink"/>
    <w:basedOn w:val="DefaultParagraphFont"/>
    <w:uiPriority w:val="99"/>
    <w:semiHidden/>
    <w:unhideWhenUsed/>
    <w:rsid w:val="0087772D"/>
    <w:rPr>
      <w:color w:val="954F72" w:themeColor="followedHyperlink"/>
      <w:u w:val="single"/>
    </w:rPr>
  </w:style>
  <w:style w:type="table" w:styleId="TableGrid">
    <w:name w:val="Table Grid"/>
    <w:basedOn w:val="TableNormal"/>
    <w:uiPriority w:val="39"/>
    <w:rsid w:val="00242D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3180"/>
    <w:rPr>
      <w:color w:val="808080"/>
      <w:shd w:val="clear" w:color="auto" w:fill="E6E6E6"/>
    </w:rPr>
  </w:style>
  <w:style w:type="table" w:styleId="ListTable3-Accent5">
    <w:name w:val="List Table 3 Accent 5"/>
    <w:basedOn w:val="TableNormal"/>
    <w:uiPriority w:val="48"/>
    <w:rsid w:val="0059306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GridTable5Dark-Accent5">
    <w:name w:val="Grid Table 5 Dark Accent 5"/>
    <w:basedOn w:val="TableNormal"/>
    <w:uiPriority w:val="50"/>
    <w:rsid w:val="0077765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character" w:customStyle="1" w:styleId="Heading2Char">
    <w:name w:val="Heading 2 Char"/>
    <w:basedOn w:val="DefaultParagraphFont"/>
    <w:link w:val="Heading2"/>
    <w:uiPriority w:val="9"/>
    <w:rsid w:val="00723731"/>
    <w:rPr>
      <w:rFonts w:asciiTheme="majorHAnsi" w:eastAsiaTheme="majorEastAsia" w:hAnsiTheme="majorHAnsi" w:cstheme="majorBidi"/>
      <w:color w:val="2F5496" w:themeColor="accent1" w:themeShade="BF"/>
      <w:sz w:val="26"/>
      <w:szCs w:val="26"/>
    </w:rPr>
  </w:style>
  <w:style w:type="table" w:customStyle="1" w:styleId="ListTable3-Accent51">
    <w:name w:val="List Table 3 - Accent 51"/>
    <w:basedOn w:val="TableNormal"/>
    <w:next w:val="ListTable3-Accent5"/>
    <w:uiPriority w:val="48"/>
    <w:rsid w:val="0012478F"/>
    <w:pPr>
      <w:spacing w:after="0" w:line="240" w:lineRule="auto"/>
    </w:pPr>
    <w:tblPr>
      <w:tblStyleRowBandSize w:val="1"/>
      <w:tblStyleColBandSize w:val="1"/>
      <w:tblInd w:w="0" w:type="nil"/>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paragraph" w:styleId="BalloonText">
    <w:name w:val="Balloon Text"/>
    <w:basedOn w:val="Normal"/>
    <w:link w:val="BalloonTextChar"/>
    <w:uiPriority w:val="99"/>
    <w:semiHidden/>
    <w:unhideWhenUsed/>
    <w:rsid w:val="00A618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18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254465">
      <w:bodyDiv w:val="1"/>
      <w:marLeft w:val="0"/>
      <w:marRight w:val="0"/>
      <w:marTop w:val="0"/>
      <w:marBottom w:val="0"/>
      <w:divBdr>
        <w:top w:val="none" w:sz="0" w:space="0" w:color="auto"/>
        <w:left w:val="none" w:sz="0" w:space="0" w:color="auto"/>
        <w:bottom w:val="none" w:sz="0" w:space="0" w:color="auto"/>
        <w:right w:val="none" w:sz="0" w:space="0" w:color="auto"/>
      </w:divBdr>
      <w:divsChild>
        <w:div w:id="240141674">
          <w:marLeft w:val="0"/>
          <w:marRight w:val="0"/>
          <w:marTop w:val="0"/>
          <w:marBottom w:val="0"/>
          <w:divBdr>
            <w:top w:val="none" w:sz="0" w:space="0" w:color="auto"/>
            <w:left w:val="none" w:sz="0" w:space="0" w:color="auto"/>
            <w:bottom w:val="none" w:sz="0" w:space="0" w:color="auto"/>
            <w:right w:val="none" w:sz="0" w:space="0" w:color="auto"/>
          </w:divBdr>
        </w:div>
      </w:divsChild>
    </w:div>
    <w:div w:id="590436526">
      <w:bodyDiv w:val="1"/>
      <w:marLeft w:val="0"/>
      <w:marRight w:val="0"/>
      <w:marTop w:val="0"/>
      <w:marBottom w:val="0"/>
      <w:divBdr>
        <w:top w:val="none" w:sz="0" w:space="0" w:color="auto"/>
        <w:left w:val="none" w:sz="0" w:space="0" w:color="auto"/>
        <w:bottom w:val="none" w:sz="0" w:space="0" w:color="auto"/>
        <w:right w:val="none" w:sz="0" w:space="0" w:color="auto"/>
      </w:divBdr>
    </w:div>
    <w:div w:id="958147840">
      <w:bodyDiv w:val="1"/>
      <w:marLeft w:val="0"/>
      <w:marRight w:val="0"/>
      <w:marTop w:val="0"/>
      <w:marBottom w:val="0"/>
      <w:divBdr>
        <w:top w:val="none" w:sz="0" w:space="0" w:color="auto"/>
        <w:left w:val="none" w:sz="0" w:space="0" w:color="auto"/>
        <w:bottom w:val="none" w:sz="0" w:space="0" w:color="auto"/>
        <w:right w:val="none" w:sz="0" w:space="0" w:color="auto"/>
      </w:divBdr>
    </w:div>
    <w:div w:id="980961148">
      <w:bodyDiv w:val="1"/>
      <w:marLeft w:val="0"/>
      <w:marRight w:val="0"/>
      <w:marTop w:val="0"/>
      <w:marBottom w:val="0"/>
      <w:divBdr>
        <w:top w:val="none" w:sz="0" w:space="0" w:color="auto"/>
        <w:left w:val="none" w:sz="0" w:space="0" w:color="auto"/>
        <w:bottom w:val="none" w:sz="0" w:space="0" w:color="auto"/>
        <w:right w:val="none" w:sz="0" w:space="0" w:color="auto"/>
      </w:divBdr>
    </w:div>
    <w:div w:id="1240290591">
      <w:bodyDiv w:val="1"/>
      <w:marLeft w:val="0"/>
      <w:marRight w:val="0"/>
      <w:marTop w:val="0"/>
      <w:marBottom w:val="0"/>
      <w:divBdr>
        <w:top w:val="none" w:sz="0" w:space="0" w:color="auto"/>
        <w:left w:val="none" w:sz="0" w:space="0" w:color="auto"/>
        <w:bottom w:val="none" w:sz="0" w:space="0" w:color="auto"/>
        <w:right w:val="none" w:sz="0" w:space="0" w:color="auto"/>
      </w:divBdr>
    </w:div>
    <w:div w:id="1374309759">
      <w:bodyDiv w:val="1"/>
      <w:marLeft w:val="0"/>
      <w:marRight w:val="0"/>
      <w:marTop w:val="0"/>
      <w:marBottom w:val="0"/>
      <w:divBdr>
        <w:top w:val="none" w:sz="0" w:space="0" w:color="auto"/>
        <w:left w:val="none" w:sz="0" w:space="0" w:color="auto"/>
        <w:bottom w:val="none" w:sz="0" w:space="0" w:color="auto"/>
        <w:right w:val="none" w:sz="0" w:space="0" w:color="auto"/>
      </w:divBdr>
    </w:div>
    <w:div w:id="1577786510">
      <w:bodyDiv w:val="1"/>
      <w:marLeft w:val="0"/>
      <w:marRight w:val="0"/>
      <w:marTop w:val="0"/>
      <w:marBottom w:val="0"/>
      <w:divBdr>
        <w:top w:val="none" w:sz="0" w:space="0" w:color="auto"/>
        <w:left w:val="none" w:sz="0" w:space="0" w:color="auto"/>
        <w:bottom w:val="none" w:sz="0" w:space="0" w:color="auto"/>
        <w:right w:val="none" w:sz="0" w:space="0" w:color="auto"/>
      </w:divBdr>
    </w:div>
    <w:div w:id="1673871714">
      <w:bodyDiv w:val="1"/>
      <w:marLeft w:val="0"/>
      <w:marRight w:val="0"/>
      <w:marTop w:val="0"/>
      <w:marBottom w:val="0"/>
      <w:divBdr>
        <w:top w:val="none" w:sz="0" w:space="0" w:color="auto"/>
        <w:left w:val="none" w:sz="0" w:space="0" w:color="auto"/>
        <w:bottom w:val="none" w:sz="0" w:space="0" w:color="auto"/>
        <w:right w:val="none" w:sz="0" w:space="0" w:color="auto"/>
      </w:divBdr>
    </w:div>
    <w:div w:id="1674987808">
      <w:bodyDiv w:val="1"/>
      <w:marLeft w:val="0"/>
      <w:marRight w:val="0"/>
      <w:marTop w:val="0"/>
      <w:marBottom w:val="0"/>
      <w:divBdr>
        <w:top w:val="none" w:sz="0" w:space="0" w:color="auto"/>
        <w:left w:val="none" w:sz="0" w:space="0" w:color="auto"/>
        <w:bottom w:val="none" w:sz="0" w:space="0" w:color="auto"/>
        <w:right w:val="none" w:sz="0" w:space="0" w:color="auto"/>
      </w:divBdr>
    </w:div>
    <w:div w:id="1691834307">
      <w:bodyDiv w:val="1"/>
      <w:marLeft w:val="0"/>
      <w:marRight w:val="0"/>
      <w:marTop w:val="0"/>
      <w:marBottom w:val="0"/>
      <w:divBdr>
        <w:top w:val="none" w:sz="0" w:space="0" w:color="auto"/>
        <w:left w:val="none" w:sz="0" w:space="0" w:color="auto"/>
        <w:bottom w:val="none" w:sz="0" w:space="0" w:color="auto"/>
        <w:right w:val="none" w:sz="0" w:space="0" w:color="auto"/>
      </w:divBdr>
      <w:divsChild>
        <w:div w:id="41490934">
          <w:marLeft w:val="0"/>
          <w:marRight w:val="0"/>
          <w:marTop w:val="300"/>
          <w:marBottom w:val="150"/>
          <w:divBdr>
            <w:top w:val="none" w:sz="0" w:space="0" w:color="auto"/>
            <w:left w:val="none" w:sz="0" w:space="0" w:color="auto"/>
            <w:bottom w:val="none" w:sz="0" w:space="0" w:color="auto"/>
            <w:right w:val="none" w:sz="0" w:space="0" w:color="auto"/>
          </w:divBdr>
        </w:div>
        <w:div w:id="65149409">
          <w:marLeft w:val="0"/>
          <w:marRight w:val="975"/>
          <w:marTop w:val="0"/>
          <w:marBottom w:val="0"/>
          <w:divBdr>
            <w:top w:val="none" w:sz="0" w:space="0" w:color="auto"/>
            <w:left w:val="none" w:sz="0" w:space="0" w:color="auto"/>
            <w:bottom w:val="none" w:sz="0" w:space="0" w:color="auto"/>
            <w:right w:val="none" w:sz="0" w:space="0" w:color="auto"/>
          </w:divBdr>
          <w:divsChild>
            <w:div w:id="1916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456976">
      <w:bodyDiv w:val="1"/>
      <w:marLeft w:val="0"/>
      <w:marRight w:val="0"/>
      <w:marTop w:val="0"/>
      <w:marBottom w:val="0"/>
      <w:divBdr>
        <w:top w:val="none" w:sz="0" w:space="0" w:color="auto"/>
        <w:left w:val="none" w:sz="0" w:space="0" w:color="auto"/>
        <w:bottom w:val="none" w:sz="0" w:space="0" w:color="auto"/>
        <w:right w:val="none" w:sz="0" w:space="0" w:color="auto"/>
      </w:divBdr>
    </w:div>
    <w:div w:id="1842818396">
      <w:bodyDiv w:val="1"/>
      <w:marLeft w:val="0"/>
      <w:marRight w:val="0"/>
      <w:marTop w:val="0"/>
      <w:marBottom w:val="0"/>
      <w:divBdr>
        <w:top w:val="none" w:sz="0" w:space="0" w:color="auto"/>
        <w:left w:val="none" w:sz="0" w:space="0" w:color="auto"/>
        <w:bottom w:val="none" w:sz="0" w:space="0" w:color="auto"/>
        <w:right w:val="none" w:sz="0" w:space="0" w:color="auto"/>
      </w:divBdr>
    </w:div>
    <w:div w:id="1919707414">
      <w:bodyDiv w:val="1"/>
      <w:marLeft w:val="0"/>
      <w:marRight w:val="0"/>
      <w:marTop w:val="0"/>
      <w:marBottom w:val="0"/>
      <w:divBdr>
        <w:top w:val="none" w:sz="0" w:space="0" w:color="auto"/>
        <w:left w:val="none" w:sz="0" w:space="0" w:color="auto"/>
        <w:bottom w:val="none" w:sz="0" w:space="0" w:color="auto"/>
        <w:right w:val="none" w:sz="0" w:space="0" w:color="auto"/>
      </w:divBdr>
    </w:div>
    <w:div w:id="2118134634">
      <w:bodyDiv w:val="1"/>
      <w:marLeft w:val="0"/>
      <w:marRight w:val="0"/>
      <w:marTop w:val="0"/>
      <w:marBottom w:val="0"/>
      <w:divBdr>
        <w:top w:val="none" w:sz="0" w:space="0" w:color="auto"/>
        <w:left w:val="none" w:sz="0" w:space="0" w:color="auto"/>
        <w:bottom w:val="none" w:sz="0" w:space="0" w:color="auto"/>
        <w:right w:val="none" w:sz="0" w:space="0" w:color="auto"/>
      </w:divBdr>
    </w:div>
    <w:div w:id="2141682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tiff"/><Relationship Id="rId18" Type="http://schemas.openxmlformats.org/officeDocument/2006/relationships/image" Target="media/image5.tiff"/><Relationship Id="rId26" Type="http://schemas.openxmlformats.org/officeDocument/2006/relationships/hyperlink" Target="https://www.ifs.org.uk/people/profile/4078" TargetMode="External"/><Relationship Id="rId3" Type="http://schemas.openxmlformats.org/officeDocument/2006/relationships/customXml" Target="../customXml/item3.xml"/><Relationship Id="rId21" Type="http://schemas.openxmlformats.org/officeDocument/2006/relationships/hyperlink" Target="https://arxiv.org/ftp/arxiv/papers/2004/2004.04463.pdf" TargetMode="External"/><Relationship Id="rId7" Type="http://schemas.openxmlformats.org/officeDocument/2006/relationships/settings" Target="settings.xml"/><Relationship Id="rId12" Type="http://schemas.openxmlformats.org/officeDocument/2006/relationships/hyperlink" Target="https://ourworldindata.org/coronavirus" TargetMode="External"/><Relationship Id="rId17" Type="http://schemas.openxmlformats.org/officeDocument/2006/relationships/hyperlink" Target="https://www.bsg.ox.ac.uk/research/research-projects/coronavirus-government-response-tracker" TargetMode="External"/><Relationship Id="rId25" Type="http://schemas.openxmlformats.org/officeDocument/2006/relationships/hyperlink" Target="https://www.ifs.org.uk/people/profile/532" TargetMode="External"/><Relationship Id="rId2" Type="http://schemas.openxmlformats.org/officeDocument/2006/relationships/customXml" Target="../customXml/item2.xml"/><Relationship Id="rId16" Type="http://schemas.openxmlformats.org/officeDocument/2006/relationships/image" Target="media/image4.tiff"/><Relationship Id="rId20" Type="http://schemas.openxmlformats.org/officeDocument/2006/relationships/hyperlink" Target="https://www.sciencedirect.com/science/journal/10983015/17/4" TargetMode="External"/><Relationship Id="rId29" Type="http://schemas.openxmlformats.org/officeDocument/2006/relationships/hyperlink" Target="https://www.medrxiv.org/content/10.1101/2020.05.14.20101667v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24" Type="http://schemas.openxmlformats.org/officeDocument/2006/relationships/hyperlink" Target="https://www.ifs.org.uk/people/profile/3754"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mortality.org" TargetMode="External"/><Relationship Id="rId23" Type="http://schemas.openxmlformats.org/officeDocument/2006/relationships/hyperlink" Target="https://doi.org/10.1101/2020.03.24.20042291" TargetMode="External"/><Relationship Id="rId28" Type="http://schemas.openxmlformats.org/officeDocument/2006/relationships/hyperlink" Target="https://www.england.nhs.uk/wp-content/uploads/2020/05/Valabhji-COVID-19-and-Diabetes-Paper-2-Full-Manuscript.pdf" TargetMode="External"/><Relationship Id="rId10" Type="http://schemas.openxmlformats.org/officeDocument/2006/relationships/endnotes" Target="endnotes.xml"/><Relationship Id="rId19" Type="http://schemas.openxmlformats.org/officeDocument/2006/relationships/hyperlink" Target="https://cepr.us10.list-manage.com/track/click?u=bb253d28cb05d3719c9e0c960&amp;id=ac65841ae9&amp;e=e379e9e2d6"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tiff"/><Relationship Id="rId22" Type="http://schemas.openxmlformats.org/officeDocument/2006/relationships/hyperlink" Target="https://www.dropbox.com/s/r4gxdvlcnrxet1i/1.The_Corona_Chronologies.%20Part%20I%20-%20China.%20Part%20II.%20Rest_of_World_Michael_Levitt%2CStanford_r.pdf?dl=0" TargetMode="External"/><Relationship Id="rId27" Type="http://schemas.openxmlformats.org/officeDocument/2006/relationships/hyperlink" Target="https://www.ifs.org.uk/publications/14798" TargetMode="External"/><Relationship Id="rId30"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england.nhs.uk/statistics/statistical-work-areas/hospital-activity/monthly-hospital-activity/mar-data/" TargetMode="External"/><Relationship Id="rId7" Type="http://schemas.openxmlformats.org/officeDocument/2006/relationships/hyperlink" Target="https://blogs.ucl.ac.uk/cepeo/2020/05/22/the-covid-19-crisis-and-educational-inequality/" TargetMode="External"/><Relationship Id="rId2" Type="http://schemas.openxmlformats.org/officeDocument/2006/relationships/hyperlink" Target="http://www.pulsetoday.co.uk/clinical/clinical-specialties/respiratory-/gp-urgent-cancer-referrals-decline-by-more-than-70-as-fewer-patients-come-forward/20040662.article" TargetMode="External"/><Relationship Id="rId1" Type="http://schemas.openxmlformats.org/officeDocument/2006/relationships/hyperlink" Target="https://www.ft.com/content/a26fbf7e-48f8-11ea-aeb3-955839e06441" TargetMode="External"/><Relationship Id="rId6" Type="http://schemas.openxmlformats.org/officeDocument/2006/relationships/hyperlink" Target="https://digital.nhs.uk/data-and-information/publications/statistical/national-diabetes-audit/report-2--complications-and-mortality-2017-18" TargetMode="External"/><Relationship Id="rId5" Type="http://schemas.openxmlformats.org/officeDocument/2006/relationships/hyperlink" Target="https://www.ons.gov.uk/peoplepopulationandcommunity/birthsdeathsandmarriages/lifeexpectancies/datasets/nationallifetablesunitedkingdomreferencetables" TargetMode="External"/><Relationship Id="rId4" Type="http://schemas.openxmlformats.org/officeDocument/2006/relationships/hyperlink" Target="https://digital.nhs.uk/data-and-information/publications/statistical/appointments-in-general-practice/april-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91CC75529FAA34B987F048466488DEE" ma:contentTypeVersion="13" ma:contentTypeDescription="Create a new document." ma:contentTypeScope="" ma:versionID="50d1727be19c5e60321d1325469655ba">
  <xsd:schema xmlns:xsd="http://www.w3.org/2001/XMLSchema" xmlns:xs="http://www.w3.org/2001/XMLSchema" xmlns:p="http://schemas.microsoft.com/office/2006/metadata/properties" xmlns:ns3="aa581938-aaa6-48f1-a8e7-9621bfb675f9" xmlns:ns4="d8630c02-d2e0-4840-9905-f8c4ead66a0b" targetNamespace="http://schemas.microsoft.com/office/2006/metadata/properties" ma:root="true" ma:fieldsID="bde1f3b839314874d9a1dc98eb47e22a" ns3:_="" ns4:_="">
    <xsd:import namespace="aa581938-aaa6-48f1-a8e7-9621bfb675f9"/>
    <xsd:import namespace="d8630c02-d2e0-4840-9905-f8c4ead66a0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581938-aaa6-48f1-a8e7-9621bfb675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630c02-d2e0-4840-9905-f8c4ead66a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2DA124-9705-4778-978B-03AC1F7C9CB4}">
  <ds:schemaRefs>
    <ds:schemaRef ds:uri="http://schemas.microsoft.com/sharepoint/v3/contenttype/forms"/>
  </ds:schemaRefs>
</ds:datastoreItem>
</file>

<file path=customXml/itemProps2.xml><?xml version="1.0" encoding="utf-8"?>
<ds:datastoreItem xmlns:ds="http://schemas.openxmlformats.org/officeDocument/2006/customXml" ds:itemID="{B54B5D67-6986-4242-B0A2-7A6040A4A14F}">
  <ds:schemaRefs>
    <ds:schemaRef ds:uri="http://schemas.microsoft.com/office/2006/documentManagement/types"/>
    <ds:schemaRef ds:uri="d8630c02-d2e0-4840-9905-f8c4ead66a0b"/>
    <ds:schemaRef ds:uri="http://purl.org/dc/dcmitype/"/>
    <ds:schemaRef ds:uri="http://schemas.microsoft.com/office/infopath/2007/PartnerControls"/>
    <ds:schemaRef ds:uri="http://purl.org/dc/elements/1.1/"/>
    <ds:schemaRef ds:uri="http://schemas.microsoft.com/office/2006/metadata/properties"/>
    <ds:schemaRef ds:uri="aa581938-aaa6-48f1-a8e7-9621bfb675f9"/>
    <ds:schemaRef ds:uri="http://purl.org/dc/term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2E96715A-9298-48AA-A0CC-E09CA82D3B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581938-aaa6-48f1-a8e7-9621bfb675f9"/>
    <ds:schemaRef ds:uri="d8630c02-d2e0-4840-9905-f8c4ead66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F82723-1338-4233-A0BE-7A6AECF5F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21</Pages>
  <Words>9124</Words>
  <Characters>52013</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Miles</dc:creator>
  <cp:keywords/>
  <dc:description/>
  <cp:lastModifiedBy>David Miles</cp:lastModifiedBy>
  <cp:revision>11</cp:revision>
  <dcterms:created xsi:type="dcterms:W3CDTF">2020-07-02T09:12:00Z</dcterms:created>
  <dcterms:modified xsi:type="dcterms:W3CDTF">2020-07-03T08:23:00Z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0x010100091CC75529FAA34B987F048466488DEE</vt:lpwstr>
  </property>
</Properties>
</file>