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110740677"/>
        <w:docPartObj>
          <w:docPartGallery w:val="Cover Pages"/>
          <w:docPartUnique/>
        </w:docPartObj>
      </w:sdtPr>
      <w:sdtEndPr>
        <w:rPr>
          <w:rFonts w:ascii="Calibri" w:hAnsi="Calibri"/>
          <w:b/>
          <w:sz w:val="32"/>
          <w:szCs w:val="28"/>
          <w:lang w:val="en-US"/>
        </w:rPr>
      </w:sdtEndPr>
      <w:sdtContent>
        <w:p w14:paraId="598770AB" w14:textId="279216AF" w:rsidR="005316DF" w:rsidRPr="007F6D00" w:rsidRDefault="00B531B2" w:rsidP="005316DF">
          <w:pPr>
            <w:jc w:val="center"/>
            <w:rPr>
              <w:rFonts w:ascii="Calibri" w:hAnsi="Calibri"/>
              <w:b/>
              <w:sz w:val="32"/>
              <w:szCs w:val="28"/>
              <w:lang w:val="en-US"/>
            </w:rPr>
          </w:pPr>
          <w:r>
            <w:rPr>
              <w:rFonts w:ascii="Calibri" w:hAnsi="Calibri"/>
              <w:b/>
              <w:sz w:val="32"/>
              <w:szCs w:val="28"/>
              <w:lang w:val="en-US"/>
            </w:rPr>
            <w:t>Mortality of the Severely</w:t>
          </w:r>
          <w:r w:rsidR="005316DF">
            <w:rPr>
              <w:rFonts w:ascii="Calibri" w:hAnsi="Calibri"/>
              <w:b/>
              <w:sz w:val="32"/>
              <w:szCs w:val="28"/>
              <w:lang w:val="en-US"/>
            </w:rPr>
            <w:t xml:space="preserve"> O</w:t>
          </w:r>
          <w:r w:rsidR="005316DF" w:rsidRPr="007F6D00">
            <w:rPr>
              <w:rFonts w:ascii="Calibri" w:hAnsi="Calibri"/>
              <w:b/>
              <w:sz w:val="32"/>
              <w:szCs w:val="28"/>
              <w:lang w:val="en-US"/>
            </w:rPr>
            <w:t xml:space="preserve">bese: </w:t>
          </w:r>
        </w:p>
        <w:p w14:paraId="3BFA326D" w14:textId="77777777" w:rsidR="005316DF" w:rsidRPr="007F6D00" w:rsidRDefault="005316DF" w:rsidP="005316DF">
          <w:pPr>
            <w:jc w:val="center"/>
            <w:rPr>
              <w:rFonts w:ascii="Calibri" w:hAnsi="Calibri"/>
              <w:b/>
              <w:sz w:val="32"/>
              <w:szCs w:val="28"/>
              <w:lang w:val="en-US"/>
            </w:rPr>
          </w:pPr>
          <w:r w:rsidRPr="007F6D00">
            <w:rPr>
              <w:rFonts w:ascii="Calibri" w:hAnsi="Calibri"/>
              <w:b/>
              <w:sz w:val="32"/>
              <w:szCs w:val="28"/>
              <w:lang w:val="en-US"/>
            </w:rPr>
            <w:t xml:space="preserve">A </w:t>
          </w:r>
          <w:r>
            <w:rPr>
              <w:rFonts w:ascii="Calibri" w:hAnsi="Calibri"/>
              <w:b/>
              <w:sz w:val="32"/>
              <w:szCs w:val="28"/>
              <w:lang w:val="en-US"/>
            </w:rPr>
            <w:t>Population S</w:t>
          </w:r>
          <w:r w:rsidRPr="007F6D00">
            <w:rPr>
              <w:rFonts w:ascii="Calibri" w:hAnsi="Calibri"/>
              <w:b/>
              <w:sz w:val="32"/>
              <w:szCs w:val="28"/>
              <w:lang w:val="en-US"/>
            </w:rPr>
            <w:t>tudy</w:t>
          </w:r>
        </w:p>
        <w:p w14:paraId="086D656E" w14:textId="77777777" w:rsidR="005316DF" w:rsidRPr="007F6D00" w:rsidRDefault="005316DF" w:rsidP="005316DF">
          <w:pPr>
            <w:jc w:val="center"/>
            <w:rPr>
              <w:rFonts w:ascii="Calibri" w:hAnsi="Calibri"/>
              <w:sz w:val="28"/>
              <w:lang w:val="en-US"/>
            </w:rPr>
          </w:pPr>
        </w:p>
        <w:p w14:paraId="67D8DAAA" w14:textId="77777777" w:rsidR="005316DF" w:rsidRPr="007F6D00" w:rsidRDefault="005316DF" w:rsidP="005316DF">
          <w:pPr>
            <w:spacing w:line="480" w:lineRule="auto"/>
            <w:jc w:val="center"/>
            <w:rPr>
              <w:rFonts w:ascii="Calibri" w:hAnsi="Calibri" w:cs="Arial"/>
              <w:sz w:val="22"/>
              <w:szCs w:val="22"/>
              <w:lang w:val="en-US"/>
            </w:rPr>
          </w:pPr>
          <w:r w:rsidRPr="007F6D00">
            <w:rPr>
              <w:rFonts w:ascii="Calibri" w:hAnsi="Calibri" w:cs="Arial"/>
              <w:sz w:val="22"/>
              <w:szCs w:val="22"/>
              <w:lang w:val="en-US"/>
            </w:rPr>
            <w:t>Osama Moussa MRCS, Simon Erridge BSc, Swathikan Chidambaram BSc,</w:t>
          </w:r>
        </w:p>
        <w:p w14:paraId="0549A452" w14:textId="36EB60F8" w:rsidR="005316DF" w:rsidRPr="007F6D00" w:rsidRDefault="005316DF" w:rsidP="005316DF">
          <w:pPr>
            <w:spacing w:line="480" w:lineRule="auto"/>
            <w:jc w:val="center"/>
            <w:rPr>
              <w:rFonts w:ascii="Calibri" w:hAnsi="Calibri" w:cs="Arial"/>
              <w:sz w:val="22"/>
              <w:szCs w:val="22"/>
              <w:lang w:val="en-US"/>
            </w:rPr>
          </w:pPr>
          <w:r w:rsidRPr="007F6D00">
            <w:rPr>
              <w:rFonts w:ascii="Calibri" w:hAnsi="Calibri" w:cs="Arial"/>
              <w:sz w:val="22"/>
              <w:szCs w:val="22"/>
              <w:lang w:val="en-US"/>
            </w:rPr>
            <w:t xml:space="preserve">Paul Ziprin MD FRCS, </w:t>
          </w:r>
          <w:r w:rsidR="00DE7C2B">
            <w:rPr>
              <w:rFonts w:ascii="Calibri" w:hAnsi="Calibri" w:cs="Arial"/>
              <w:sz w:val="22"/>
              <w:szCs w:val="22"/>
              <w:lang w:val="en-US"/>
            </w:rPr>
            <w:t xml:space="preserve">Ara Darzi </w:t>
          </w:r>
          <w:r w:rsidR="00DE7C2B" w:rsidRPr="003413EA">
            <w:rPr>
              <w:rFonts w:ascii="Calibri" w:hAnsi="Calibri" w:cs="Arial"/>
              <w:sz w:val="22"/>
              <w:szCs w:val="22"/>
            </w:rPr>
            <w:t>MD, FRCS, FACS, FMedSci</w:t>
          </w:r>
          <w:r w:rsidR="00DE7C2B">
            <w:rPr>
              <w:rFonts w:ascii="Calibri" w:hAnsi="Calibri" w:cs="Arial"/>
              <w:sz w:val="22"/>
              <w:szCs w:val="22"/>
            </w:rPr>
            <w:t xml:space="preserve">, </w:t>
          </w:r>
          <w:r w:rsidRPr="007F6D00">
            <w:rPr>
              <w:rFonts w:ascii="Calibri" w:hAnsi="Calibri" w:cs="Arial"/>
              <w:sz w:val="22"/>
              <w:szCs w:val="22"/>
              <w:lang w:val="en-US"/>
            </w:rPr>
            <w:t>Sanjay Purkayastha MD FRCS</w:t>
          </w:r>
        </w:p>
        <w:p w14:paraId="75319B3A" w14:textId="77777777" w:rsidR="005316DF" w:rsidRPr="007F6D00" w:rsidRDefault="005316DF" w:rsidP="005316DF">
          <w:pPr>
            <w:spacing w:line="480" w:lineRule="auto"/>
            <w:rPr>
              <w:rFonts w:ascii="Calibri" w:hAnsi="Calibri" w:cs="Arial"/>
              <w:sz w:val="22"/>
              <w:szCs w:val="22"/>
              <w:lang w:val="en-US"/>
            </w:rPr>
          </w:pPr>
          <w:r w:rsidRPr="007F6D00">
            <w:rPr>
              <w:rFonts w:ascii="Calibri" w:hAnsi="Calibri" w:cs="Arial"/>
              <w:sz w:val="22"/>
              <w:szCs w:val="22"/>
              <w:lang w:val="en-US"/>
            </w:rPr>
            <w:t>Department of Surgery and Cancer, Imperial College London, UK</w:t>
          </w:r>
        </w:p>
        <w:p w14:paraId="0B1CFE2E" w14:textId="77777777" w:rsidR="005316DF" w:rsidRPr="007F6D00" w:rsidRDefault="005316DF" w:rsidP="005316DF">
          <w:pPr>
            <w:spacing w:line="480" w:lineRule="auto"/>
            <w:rPr>
              <w:rFonts w:ascii="Calibri" w:hAnsi="Calibri" w:cs="Arial"/>
              <w:sz w:val="22"/>
              <w:szCs w:val="22"/>
              <w:lang w:val="en-US"/>
            </w:rPr>
          </w:pPr>
        </w:p>
        <w:p w14:paraId="724FD2CB" w14:textId="77777777" w:rsidR="005316DF" w:rsidRPr="007F6D00" w:rsidRDefault="005316DF" w:rsidP="005316DF">
          <w:pPr>
            <w:spacing w:line="480" w:lineRule="auto"/>
            <w:jc w:val="both"/>
            <w:rPr>
              <w:rFonts w:ascii="Calibri" w:hAnsi="Calibri" w:cs="Arial"/>
              <w:sz w:val="22"/>
              <w:szCs w:val="22"/>
              <w:lang w:val="en-US"/>
            </w:rPr>
          </w:pPr>
        </w:p>
        <w:p w14:paraId="7B56BCC3" w14:textId="77777777" w:rsidR="005316DF" w:rsidRPr="007F6D00"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Correspondence to:</w:t>
          </w:r>
        </w:p>
        <w:p w14:paraId="49949155" w14:textId="77777777" w:rsidR="005316DF" w:rsidRPr="007F6D00"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Osama M Moussa</w:t>
          </w:r>
        </w:p>
        <w:p w14:paraId="63983388" w14:textId="77777777" w:rsidR="005316DF" w:rsidRPr="007F6D00"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 xml:space="preserve">Division of Surgery, Department of Surgery &amp; Cancer, Imperial College London, Academic Surgical Unit, 10th Floor QEQM, St Mary’s Hospital, South Wharf Road, London, W2 1NY. </w:t>
          </w:r>
        </w:p>
        <w:p w14:paraId="60FDD773" w14:textId="77777777" w:rsidR="005316DF" w:rsidRPr="007F6D00"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Email: o.moussa@imperial.ac.uk</w:t>
          </w:r>
        </w:p>
        <w:p w14:paraId="053F37F7" w14:textId="77777777" w:rsidR="005316DF" w:rsidRPr="007F6D00"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Fax: +44 (0) 203 312 6309</w:t>
          </w:r>
        </w:p>
        <w:p w14:paraId="6552A265" w14:textId="77777777" w:rsidR="005316DF" w:rsidRPr="007F6D00"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Phone: +44 (0) 203 312 6666</w:t>
          </w:r>
        </w:p>
        <w:p w14:paraId="2E2CE837" w14:textId="77777777" w:rsidR="005316DF" w:rsidRPr="007F6D00" w:rsidRDefault="005316DF" w:rsidP="005316DF">
          <w:pPr>
            <w:spacing w:line="480" w:lineRule="auto"/>
            <w:jc w:val="both"/>
            <w:rPr>
              <w:rFonts w:ascii="Calibri" w:hAnsi="Calibri" w:cs="Arial"/>
              <w:szCs w:val="22"/>
              <w:lang w:val="en-US"/>
            </w:rPr>
          </w:pPr>
        </w:p>
        <w:p w14:paraId="0BD55290" w14:textId="77777777" w:rsidR="005316DF" w:rsidRPr="007F6D00"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 xml:space="preserve">All authors have read and approved the final manuscript. </w:t>
          </w:r>
        </w:p>
        <w:p w14:paraId="11CD03DB" w14:textId="77777777" w:rsidR="005316DF" w:rsidRDefault="005316DF" w:rsidP="005316DF">
          <w:pPr>
            <w:spacing w:line="480" w:lineRule="auto"/>
            <w:jc w:val="both"/>
            <w:rPr>
              <w:rFonts w:ascii="Calibri" w:hAnsi="Calibri" w:cs="Arial"/>
              <w:sz w:val="22"/>
              <w:szCs w:val="22"/>
              <w:lang w:val="en-US"/>
            </w:rPr>
          </w:pPr>
          <w:r w:rsidRPr="007F6D00">
            <w:rPr>
              <w:rFonts w:ascii="Calibri" w:hAnsi="Calibri" w:cs="Arial"/>
              <w:sz w:val="22"/>
              <w:szCs w:val="22"/>
              <w:lang w:val="en-US"/>
            </w:rPr>
            <w:t>Funding: The authors have read the journal’s guidelines on finances and have no conflicts of interest to disclose.</w:t>
          </w:r>
        </w:p>
        <w:p w14:paraId="01199C1D" w14:textId="056012A6" w:rsidR="005316DF" w:rsidRPr="007F6D00" w:rsidRDefault="005316DF" w:rsidP="005316DF">
          <w:pPr>
            <w:spacing w:line="480" w:lineRule="auto"/>
            <w:jc w:val="both"/>
            <w:rPr>
              <w:rFonts w:ascii="Calibri" w:hAnsi="Calibri" w:cs="Arial"/>
              <w:sz w:val="22"/>
              <w:szCs w:val="22"/>
              <w:lang w:val="en-US"/>
            </w:rPr>
          </w:pPr>
          <w:r>
            <w:rPr>
              <w:rFonts w:ascii="Calibri" w:hAnsi="Calibri" w:cs="Arial"/>
              <w:sz w:val="22"/>
              <w:szCs w:val="22"/>
              <w:lang w:val="en-US"/>
            </w:rPr>
            <w:t>Word Count:</w:t>
          </w:r>
          <w:r w:rsidR="00862C08">
            <w:rPr>
              <w:rFonts w:ascii="Calibri" w:hAnsi="Calibri" w:cs="Arial"/>
              <w:sz w:val="22"/>
              <w:szCs w:val="22"/>
              <w:lang w:val="en-US"/>
            </w:rPr>
            <w:t xml:space="preserve"> 2,370</w:t>
          </w:r>
        </w:p>
        <w:p w14:paraId="6F4CFE26" w14:textId="6BE2AB4C" w:rsidR="005316DF" w:rsidRDefault="005316DF">
          <w:pPr>
            <w:rPr>
              <w:rFonts w:ascii="Calibri" w:hAnsi="Calibri"/>
              <w:b/>
              <w:sz w:val="32"/>
              <w:szCs w:val="28"/>
              <w:lang w:val="en-US"/>
            </w:rPr>
          </w:pPr>
          <w:r>
            <w:rPr>
              <w:noProof/>
              <w:lang w:val="en-US"/>
            </w:rPr>
            <mc:AlternateContent>
              <mc:Choice Requires="wpg">
                <w:drawing>
                  <wp:anchor distT="0" distB="0" distL="114300" distR="114300" simplePos="0" relativeHeight="251664384" behindDoc="0" locked="0" layoutInCell="1" allowOverlap="1" wp14:anchorId="2E2DA180" wp14:editId="71D27E3D">
                    <wp:simplePos x="0" y="0"/>
                    <wp:positionH relativeFrom="column">
                      <wp:posOffset>4629150</wp:posOffset>
                    </wp:positionH>
                    <wp:positionV relativeFrom="paragraph">
                      <wp:posOffset>-4898390</wp:posOffset>
                    </wp:positionV>
                    <wp:extent cx="1819275" cy="771525"/>
                    <wp:effectExtent l="6350" t="3810" r="3175" b="0"/>
                    <wp:wrapNone/>
                    <wp:docPr id="8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771525"/>
                              <a:chOff x="8895" y="1230"/>
                              <a:chExt cx="2865" cy="1215"/>
                            </a:xfrm>
                          </wpg:grpSpPr>
                          <wps:wsp>
                            <wps:cNvPr id="81" name="Text Box 16"/>
                            <wps:cNvSpPr txBox="1">
                              <a:spLocks noChangeArrowheads="1"/>
                            </wps:cNvSpPr>
                            <wps:spPr bwMode="auto">
                              <a:xfrm>
                                <a:off x="10290" y="1230"/>
                                <a:ext cx="1470" cy="12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23682DB" w14:textId="77777777" w:rsidR="0023678E" w:rsidRDefault="0023678E">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82" name="AutoShape 17"/>
                            <wps:cNvCnPr>
                              <a:cxnSpLocks noChangeShapeType="1"/>
                            </wps:cNvCnPr>
                            <wps:spPr bwMode="auto">
                              <a:xfrm>
                                <a:off x="10290" y="1590"/>
                                <a:ext cx="0" cy="630"/>
                              </a:xfrm>
                              <a:prstGeom prst="straightConnector1">
                                <a:avLst/>
                              </a:prstGeom>
                              <a:noFill/>
                              <a:ln w="19050">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3" name="Text Box 18"/>
                            <wps:cNvSpPr txBox="1">
                              <a:spLocks noChangeArrowheads="1"/>
                            </wps:cNvSpPr>
                            <wps:spPr bwMode="auto">
                              <a:xfrm>
                                <a:off x="8895" y="1455"/>
                                <a:ext cx="1365" cy="6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70717D3" w14:textId="77777777" w:rsidR="0023678E" w:rsidRDefault="0023678E">
                                  <w:pPr>
                                    <w:jc w:val="right"/>
                                    <w:rPr>
                                      <w:rFonts w:ascii="Calibri" w:hAnsi="Calibri"/>
                                      <w:b/>
                                      <w:color w:val="FFFFFF"/>
                                      <w:sz w:val="32"/>
                                      <w:szCs w:val="32"/>
                                    </w:rPr>
                                  </w:pPr>
                                  <w:r>
                                    <w:rPr>
                                      <w:rFonts w:ascii="Calibri" w:hAnsi="Calibri"/>
                                      <w:b/>
                                      <w:color w:val="FFFFFF"/>
                                      <w:sz w:val="32"/>
                                      <w:szCs w:val="32"/>
                                    </w:rPr>
                                    <w:t>Fall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2DA180" id="Group 15" o:spid="_x0000_s1026" style="position:absolute;margin-left:364.5pt;margin-top:-385.7pt;width:143.25pt;height:60.75pt;z-index:251664384" coordorigin="8895,1230" coordsize="2865,121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">
                    <v:shapetype id="_x0000_t202" coordsize="21600,21600" o:spt="202" path="m,l,21600r21600,l21600,xe">
                      <v:stroke joinstyle="miter"/>
                      <v:path gradientshapeok="t" o:connecttype="rect"/>
                    </v:shapetype>
                    <v:shape id="Text Box 16" o:spid="_x0000_s1027" type="#_x0000_t202" style="position:absolute;left:10290;top:1230;width:1470;height:12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" filled="f" stroked="f">
                      <v:textbox>
                        <w:txbxContent>
                          <w:p w14:paraId="223682DB" w14:textId="77777777" w:rsidR="0023678E" w:rsidRDefault="0023678E">
                            <w:pPr>
                              <w:rPr>
                                <w:color w:val="FFFFFF"/>
                                <w:sz w:val="92"/>
                                <w:szCs w:val="92"/>
                              </w:rPr>
                            </w:pPr>
                            <w:r>
                              <w:rPr>
                                <w:color w:val="FFFFFF"/>
                                <w:sz w:val="92"/>
                                <w:szCs w:val="92"/>
                              </w:rPr>
                              <w:t>08</w:t>
                            </w:r>
                          </w:p>
                        </w:txbxContent>
                      </v:textbox>
                    </v:shape>
                    <v:shapetype id="_x0000_t32" coordsize="21600,21600" o:spt="32" o:oned="t" path="m,l21600,21600e" filled="f">
                      <v:path arrowok="t" fillok="f" o:connecttype="none"/>
                      <o:lock v:ext="edit" shapetype="t"/>
                    </v:shapetype>
                    <v:shape id="AutoShape 17" o:spid="_x0000_s1028" type="#_x0000_t32" style="position:absolute;left:10290;top:1590;width:0;height:63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" strokecolor="white" strokeweight="1.5pt"/>
                    <v:shape id="Text Box 18" o:spid="_x0000_s1029" type="#_x0000_t202" style="position:absolute;left:8895;top:1455;width:1365;height:6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" filled="f" stroked="f">
                      <v:textbox>
                        <w:txbxContent>
                          <w:p w14:paraId="570717D3" w14:textId="77777777" w:rsidR="0023678E" w:rsidRDefault="0023678E">
                            <w:pPr>
                              <w:jc w:val="right"/>
                              <w:rPr>
                                <w:rFonts w:ascii="Calibri" w:hAnsi="Calibri"/>
                                <w:b/>
                                <w:color w:val="FFFFFF"/>
                                <w:sz w:val="32"/>
                                <w:szCs w:val="32"/>
                              </w:rPr>
                            </w:pPr>
                            <w:r>
                              <w:rPr>
                                <w:rFonts w:ascii="Calibri" w:hAnsi="Calibri"/>
                                <w:b/>
                                <w:color w:val="FFFFFF"/>
                                <w:sz w:val="32"/>
                                <w:szCs w:val="32"/>
                              </w:rPr>
                              <w:t>Fall</w:t>
                            </w:r>
                          </w:p>
                        </w:txbxContent>
                      </v:textbox>
                    </v:shape>
                  </v:group>
                </w:pict>
              </mc:Fallback>
            </mc:AlternateContent>
          </w:r>
          <w:r>
            <w:rPr>
              <w:rFonts w:ascii="Calibri" w:hAnsi="Calibri"/>
              <w:b/>
              <w:sz w:val="32"/>
              <w:szCs w:val="28"/>
              <w:lang w:val="en-US"/>
            </w:rPr>
            <w:br w:type="page"/>
          </w:r>
        </w:p>
      </w:sdtContent>
    </w:sdt>
    <w:p w14:paraId="1D75D749" w14:textId="77777777" w:rsidR="00A465E9" w:rsidRPr="007F6D00" w:rsidRDefault="00A465E9" w:rsidP="002E73B7">
      <w:pPr>
        <w:spacing w:before="300" w:after="120"/>
        <w:jc w:val="both"/>
        <w:rPr>
          <w:rFonts w:ascii="Calibri" w:hAnsi="Calibri" w:cs="Arial"/>
          <w:b/>
          <w:sz w:val="28"/>
          <w:szCs w:val="28"/>
          <w:lang w:val="en-US"/>
        </w:rPr>
      </w:pPr>
      <w:r w:rsidRPr="007F6D00">
        <w:rPr>
          <w:rFonts w:ascii="Calibri" w:hAnsi="Calibri" w:cs="Arial"/>
          <w:b/>
          <w:sz w:val="28"/>
          <w:szCs w:val="28"/>
          <w:lang w:val="en-US"/>
        </w:rPr>
        <w:lastRenderedPageBreak/>
        <w:t>Abstract</w:t>
      </w:r>
    </w:p>
    <w:p w14:paraId="11A506A8" w14:textId="12860B80" w:rsidR="0068229B" w:rsidRPr="007F6D00" w:rsidRDefault="0068229B" w:rsidP="0068229B">
      <w:pPr>
        <w:spacing w:before="300" w:after="120" w:line="480" w:lineRule="auto"/>
        <w:jc w:val="both"/>
        <w:rPr>
          <w:rFonts w:ascii="Calibri" w:hAnsi="Calibri" w:cs="Arial"/>
          <w:sz w:val="24"/>
          <w:szCs w:val="28"/>
          <w:lang w:val="en-US"/>
        </w:rPr>
      </w:pPr>
      <w:r w:rsidRPr="007F6D00">
        <w:rPr>
          <w:rFonts w:ascii="Calibri" w:hAnsi="Calibri" w:cs="Arial"/>
          <w:b/>
          <w:sz w:val="24"/>
          <w:szCs w:val="28"/>
          <w:lang w:val="en-US"/>
        </w:rPr>
        <w:t xml:space="preserve">Background: </w:t>
      </w:r>
      <w:r w:rsidRPr="007F6D00">
        <w:rPr>
          <w:rFonts w:ascii="Calibri" w:hAnsi="Calibri" w:cs="Arial"/>
          <w:sz w:val="24"/>
          <w:szCs w:val="28"/>
          <w:lang w:val="en-US"/>
        </w:rPr>
        <w:t xml:space="preserve">Patients who are </w:t>
      </w:r>
      <w:r w:rsidR="0023678E" w:rsidRPr="0023678E">
        <w:rPr>
          <w:rFonts w:ascii="Calibri" w:hAnsi="Calibri" w:cs="Arial"/>
          <w:strike/>
          <w:sz w:val="24"/>
          <w:szCs w:val="28"/>
          <w:highlight w:val="yellow"/>
          <w:lang w:val="en-US"/>
        </w:rPr>
        <w:t xml:space="preserve">morbidly </w:t>
      </w:r>
      <w:r w:rsidR="0023678E" w:rsidRPr="0023678E">
        <w:rPr>
          <w:rFonts w:ascii="Calibri" w:hAnsi="Calibri" w:cs="Arial"/>
          <w:sz w:val="24"/>
          <w:szCs w:val="28"/>
          <w:highlight w:val="yellow"/>
          <w:lang w:val="en-US"/>
        </w:rPr>
        <w:t>severely</w:t>
      </w:r>
      <w:r w:rsidRPr="0023678E">
        <w:rPr>
          <w:rFonts w:ascii="Calibri" w:hAnsi="Calibri" w:cs="Arial"/>
          <w:sz w:val="24"/>
          <w:szCs w:val="28"/>
          <w:highlight w:val="yellow"/>
          <w:lang w:val="en-US"/>
        </w:rPr>
        <w:t xml:space="preserve"> obese</w:t>
      </w:r>
      <w:r w:rsidRPr="007F6D00">
        <w:rPr>
          <w:rFonts w:ascii="Calibri" w:hAnsi="Calibri" w:cs="Arial"/>
          <w:sz w:val="24"/>
          <w:szCs w:val="28"/>
          <w:lang w:val="en-US"/>
        </w:rPr>
        <w:t xml:space="preserve"> (BMI≥35kg/m2) are at increased risk of all-cause mortality as a result of metabolic </w:t>
      </w:r>
      <w:r w:rsidR="001171D0" w:rsidRPr="007F6D00">
        <w:rPr>
          <w:rFonts w:ascii="Calibri" w:hAnsi="Calibri" w:cs="Arial"/>
          <w:sz w:val="24"/>
          <w:szCs w:val="28"/>
          <w:lang w:val="en-US"/>
        </w:rPr>
        <w:t>sequelae</w:t>
      </w:r>
      <w:r w:rsidRPr="007F6D00">
        <w:rPr>
          <w:rFonts w:ascii="Calibri" w:hAnsi="Calibri" w:cs="Arial"/>
          <w:sz w:val="24"/>
          <w:szCs w:val="28"/>
          <w:lang w:val="en-US"/>
        </w:rPr>
        <w:t xml:space="preserve"> including: </w:t>
      </w:r>
      <w:r w:rsidR="007F6D00" w:rsidRPr="007F6D00">
        <w:rPr>
          <w:rFonts w:ascii="Calibri" w:hAnsi="Calibri" w:cs="Arial"/>
          <w:sz w:val="24"/>
          <w:szCs w:val="28"/>
          <w:lang w:val="en-US"/>
        </w:rPr>
        <w:t>hyperlipidemia</w:t>
      </w:r>
      <w:r w:rsidRPr="007F6D00">
        <w:rPr>
          <w:rFonts w:ascii="Calibri" w:hAnsi="Calibri" w:cs="Arial"/>
          <w:sz w:val="24"/>
          <w:szCs w:val="28"/>
          <w:lang w:val="en-US"/>
        </w:rPr>
        <w:t xml:space="preserve">, hypertension and diabetes. Bariatric surgery has been shown to reduce the severity of the metabolic complications of obesity. This study aimed to </w:t>
      </w:r>
      <w:r w:rsidR="007F6D00" w:rsidRPr="007F6D00">
        <w:rPr>
          <w:rFonts w:ascii="Calibri" w:hAnsi="Calibri" w:cs="Arial"/>
          <w:sz w:val="24"/>
          <w:szCs w:val="28"/>
          <w:lang w:val="en-US"/>
        </w:rPr>
        <w:t>analyze</w:t>
      </w:r>
      <w:r w:rsidR="006A59E5">
        <w:rPr>
          <w:rFonts w:ascii="Calibri" w:hAnsi="Calibri" w:cs="Arial"/>
          <w:sz w:val="24"/>
          <w:szCs w:val="28"/>
          <w:lang w:val="en-US"/>
        </w:rPr>
        <w:t xml:space="preserve"> the Clinical Practice Research D</w:t>
      </w:r>
      <w:r w:rsidRPr="007F6D00">
        <w:rPr>
          <w:rFonts w:ascii="Calibri" w:hAnsi="Calibri" w:cs="Arial"/>
          <w:sz w:val="24"/>
          <w:szCs w:val="28"/>
          <w:lang w:val="en-US"/>
        </w:rPr>
        <w:t>atalink (CPRD) to identify</w:t>
      </w:r>
      <w:r w:rsidR="00F94F9C" w:rsidRPr="007F6D00">
        <w:rPr>
          <w:rFonts w:ascii="Calibri" w:hAnsi="Calibri" w:cs="Arial"/>
          <w:sz w:val="24"/>
          <w:szCs w:val="28"/>
          <w:lang w:val="en-US"/>
        </w:rPr>
        <w:t xml:space="preserve"> the prognostic factors</w:t>
      </w:r>
      <w:r w:rsidRPr="007F6D00">
        <w:rPr>
          <w:rFonts w:ascii="Calibri" w:hAnsi="Calibri" w:cs="Arial"/>
          <w:sz w:val="24"/>
          <w:szCs w:val="28"/>
          <w:lang w:val="en-US"/>
        </w:rPr>
        <w:t xml:space="preserve"> of all-cause mortality in the </w:t>
      </w:r>
      <w:r w:rsidR="0023678E" w:rsidRPr="0023678E">
        <w:rPr>
          <w:rFonts w:ascii="Calibri" w:hAnsi="Calibri" w:cs="Arial"/>
          <w:strike/>
          <w:sz w:val="24"/>
          <w:szCs w:val="28"/>
          <w:highlight w:val="yellow"/>
          <w:lang w:val="en-US"/>
        </w:rPr>
        <w:t>morbidly</w:t>
      </w:r>
      <w:r w:rsidR="0023678E" w:rsidRPr="0023678E">
        <w:rPr>
          <w:rFonts w:ascii="Calibri" w:hAnsi="Calibri" w:cs="Arial"/>
          <w:sz w:val="24"/>
          <w:szCs w:val="28"/>
          <w:highlight w:val="yellow"/>
          <w:lang w:val="en-US"/>
        </w:rPr>
        <w:t xml:space="preserve"> severely</w:t>
      </w:r>
      <w:r w:rsidRPr="0023678E">
        <w:rPr>
          <w:rFonts w:ascii="Calibri" w:hAnsi="Calibri" w:cs="Arial"/>
          <w:sz w:val="24"/>
          <w:szCs w:val="28"/>
          <w:highlight w:val="yellow"/>
          <w:lang w:val="en-US"/>
        </w:rPr>
        <w:t xml:space="preserve"> obese.</w:t>
      </w:r>
    </w:p>
    <w:p w14:paraId="43220BE1" w14:textId="7D44F6BD" w:rsidR="0068229B" w:rsidRPr="007F6D00" w:rsidRDefault="0068229B" w:rsidP="0068229B">
      <w:pPr>
        <w:spacing w:before="300" w:after="120" w:line="480" w:lineRule="auto"/>
        <w:jc w:val="both"/>
        <w:rPr>
          <w:rFonts w:ascii="Calibri" w:hAnsi="Calibri" w:cs="Arial"/>
          <w:sz w:val="24"/>
          <w:szCs w:val="28"/>
          <w:lang w:val="en-US"/>
        </w:rPr>
      </w:pPr>
      <w:r w:rsidRPr="007F6D00">
        <w:rPr>
          <w:rFonts w:ascii="Calibri" w:hAnsi="Calibri" w:cs="Arial"/>
          <w:b/>
          <w:sz w:val="24"/>
          <w:szCs w:val="28"/>
          <w:lang w:val="en-US"/>
        </w:rPr>
        <w:t>Method:</w:t>
      </w:r>
      <w:r w:rsidRPr="007F6D00">
        <w:rPr>
          <w:rFonts w:ascii="Calibri" w:hAnsi="Calibri" w:cs="Arial"/>
          <w:sz w:val="24"/>
          <w:szCs w:val="28"/>
          <w:lang w:val="en-US"/>
        </w:rPr>
        <w:t xml:space="preserve"> A case-controlled analysis was carried out of patients with a BMI≥35kg/m2 from the </w:t>
      </w:r>
      <w:r w:rsidRPr="00D04D75">
        <w:rPr>
          <w:rFonts w:ascii="Calibri" w:hAnsi="Calibri" w:cs="Arial"/>
          <w:sz w:val="24"/>
          <w:szCs w:val="28"/>
          <w:highlight w:val="yellow"/>
          <w:lang w:val="en-US"/>
        </w:rPr>
        <w:t>CPRD</w:t>
      </w:r>
      <w:r w:rsidR="0029491B">
        <w:rPr>
          <w:rFonts w:ascii="Calibri" w:hAnsi="Calibri" w:cs="Arial"/>
          <w:sz w:val="24"/>
          <w:szCs w:val="28"/>
          <w:highlight w:val="yellow"/>
          <w:lang w:val="en-US"/>
        </w:rPr>
        <w:t>, a UK</w:t>
      </w:r>
      <w:r w:rsidR="00D04D75" w:rsidRPr="00D04D75">
        <w:rPr>
          <w:rFonts w:ascii="Calibri" w:hAnsi="Calibri" w:cs="Arial"/>
          <w:sz w:val="24"/>
          <w:szCs w:val="28"/>
          <w:highlight w:val="yellow"/>
          <w:lang w:val="en-US"/>
        </w:rPr>
        <w:t xml:space="preserve"> database </w:t>
      </w:r>
      <w:r w:rsidR="0029491B">
        <w:rPr>
          <w:rFonts w:ascii="Calibri" w:hAnsi="Calibri" w:cs="Arial"/>
          <w:sz w:val="24"/>
          <w:szCs w:val="28"/>
          <w:highlight w:val="yellow"/>
          <w:lang w:val="en-US"/>
        </w:rPr>
        <w:t>of primary care clinics</w:t>
      </w:r>
      <w:r w:rsidRPr="00D04D75">
        <w:rPr>
          <w:rFonts w:ascii="Calibri" w:hAnsi="Calibri" w:cs="Arial"/>
          <w:sz w:val="24"/>
          <w:szCs w:val="28"/>
          <w:highlight w:val="yellow"/>
          <w:lang w:val="en-US"/>
        </w:rPr>
        <w:t>.</w:t>
      </w:r>
      <w:r w:rsidRPr="007F6D00">
        <w:rPr>
          <w:rFonts w:ascii="Calibri" w:hAnsi="Calibri" w:cs="Arial"/>
          <w:sz w:val="24"/>
          <w:szCs w:val="28"/>
          <w:lang w:val="en-US"/>
        </w:rPr>
        <w:t xml:space="preserve"> Clinicopathological characteristics at baseline diagnosis were extracted. Cases of all-cause mortality were identified as a clinical endpoint</w:t>
      </w:r>
      <w:r w:rsidR="00F94F9C" w:rsidRPr="007F6D00">
        <w:rPr>
          <w:rFonts w:ascii="Calibri" w:hAnsi="Calibri" w:cs="Arial"/>
          <w:sz w:val="24"/>
          <w:szCs w:val="28"/>
          <w:lang w:val="en-US"/>
        </w:rPr>
        <w:t>.</w:t>
      </w:r>
      <w:r w:rsidRPr="007F6D00">
        <w:rPr>
          <w:rFonts w:ascii="Calibri" w:hAnsi="Calibri" w:cs="Arial"/>
          <w:sz w:val="24"/>
          <w:szCs w:val="28"/>
          <w:lang w:val="en-US"/>
        </w:rPr>
        <w:t xml:space="preserve"> A cox proportional hazard model was used to calculate hazard ratios (HRs) for different patient factors. A p-value&lt;0.050 was defined as significant.</w:t>
      </w:r>
    </w:p>
    <w:p w14:paraId="70A9EF3B" w14:textId="4F5D1315" w:rsidR="0068229B" w:rsidRPr="007F6D00" w:rsidRDefault="0068229B" w:rsidP="0068229B">
      <w:pPr>
        <w:spacing w:before="300" w:after="120" w:line="480" w:lineRule="auto"/>
        <w:jc w:val="both"/>
        <w:rPr>
          <w:rFonts w:ascii="Calibri" w:hAnsi="Calibri" w:cs="Arial"/>
          <w:sz w:val="24"/>
          <w:szCs w:val="28"/>
          <w:lang w:val="en-US"/>
        </w:rPr>
      </w:pPr>
      <w:r w:rsidRPr="007F6D00">
        <w:rPr>
          <w:rFonts w:ascii="Calibri" w:hAnsi="Calibri" w:cs="Arial"/>
          <w:b/>
          <w:sz w:val="24"/>
          <w:szCs w:val="28"/>
          <w:lang w:val="en-US"/>
        </w:rPr>
        <w:t>Results:</w:t>
      </w:r>
      <w:r w:rsidRPr="007F6D00">
        <w:rPr>
          <w:rFonts w:ascii="Calibri" w:hAnsi="Calibri" w:cs="Arial"/>
          <w:sz w:val="24"/>
          <w:szCs w:val="28"/>
          <w:lang w:val="en-US"/>
        </w:rPr>
        <w:t xml:space="preserve"> 187,061 </w:t>
      </w:r>
      <w:r w:rsidR="00F94F9C" w:rsidRPr="007F6D00">
        <w:rPr>
          <w:rFonts w:ascii="Calibri" w:hAnsi="Calibri" w:cs="Arial"/>
          <w:sz w:val="24"/>
          <w:szCs w:val="28"/>
          <w:lang w:val="en-US"/>
        </w:rPr>
        <w:t xml:space="preserve">records </w:t>
      </w:r>
      <w:r w:rsidRPr="007F6D00">
        <w:rPr>
          <w:rFonts w:ascii="Calibri" w:hAnsi="Calibri" w:cs="Arial"/>
          <w:sz w:val="24"/>
          <w:szCs w:val="28"/>
          <w:lang w:val="en-US"/>
        </w:rPr>
        <w:t>were identified for analysis. Median follow-up time was 98.0</w:t>
      </w:r>
      <w:r w:rsidR="003F1DFA" w:rsidRPr="007F6D00">
        <w:rPr>
          <w:rFonts w:ascii="Calibri" w:hAnsi="Calibri" w:cs="Arial"/>
          <w:sz w:val="24"/>
          <w:szCs w:val="28"/>
          <w:lang w:val="en-US"/>
        </w:rPr>
        <w:t xml:space="preserve"> months</w:t>
      </w:r>
      <w:r w:rsidR="00F94F9C" w:rsidRPr="007F6D00">
        <w:rPr>
          <w:rFonts w:ascii="Calibri" w:hAnsi="Calibri" w:cs="Arial"/>
          <w:sz w:val="24"/>
          <w:szCs w:val="28"/>
          <w:lang w:val="en-US"/>
        </w:rPr>
        <w:t xml:space="preserve"> </w:t>
      </w:r>
      <w:r w:rsidR="007F6D00" w:rsidRPr="00DA1032">
        <w:rPr>
          <w:rFonts w:ascii="Calibri" w:hAnsi="Calibri" w:cs="Arial"/>
          <w:sz w:val="24"/>
          <w:szCs w:val="28"/>
          <w:highlight w:val="yellow"/>
          <w:lang w:val="en-US"/>
        </w:rPr>
        <w:t>(range:3</w:t>
      </w:r>
      <w:r w:rsidRPr="00DA1032">
        <w:rPr>
          <w:rFonts w:ascii="Calibri" w:hAnsi="Calibri" w:cs="Arial"/>
          <w:sz w:val="24"/>
          <w:szCs w:val="28"/>
          <w:highlight w:val="yellow"/>
          <w:lang w:val="en-US"/>
        </w:rPr>
        <w:t>.0-</w:t>
      </w:r>
      <w:r w:rsidR="001171D0" w:rsidRPr="00DA1032">
        <w:rPr>
          <w:rFonts w:ascii="Calibri" w:hAnsi="Calibri" w:cs="Arial"/>
          <w:strike/>
          <w:sz w:val="24"/>
          <w:szCs w:val="28"/>
          <w:highlight w:val="yellow"/>
          <w:lang w:val="en-US"/>
        </w:rPr>
        <w:t>500</w:t>
      </w:r>
      <w:r w:rsidRPr="00DA1032">
        <w:rPr>
          <w:rFonts w:ascii="Calibri" w:hAnsi="Calibri" w:cs="Arial"/>
          <w:strike/>
          <w:sz w:val="24"/>
          <w:szCs w:val="28"/>
          <w:highlight w:val="yellow"/>
          <w:lang w:val="en-US"/>
        </w:rPr>
        <w:t>.0</w:t>
      </w:r>
      <w:r w:rsidR="00DA1032" w:rsidRPr="00DA1032">
        <w:rPr>
          <w:rFonts w:ascii="Calibri" w:hAnsi="Calibri" w:cs="Arial"/>
          <w:strike/>
          <w:sz w:val="24"/>
          <w:szCs w:val="28"/>
          <w:highlight w:val="yellow"/>
          <w:lang w:val="en-US"/>
        </w:rPr>
        <w:t xml:space="preserve"> </w:t>
      </w:r>
      <w:r w:rsidR="00DA1032" w:rsidRPr="00DA1032">
        <w:rPr>
          <w:rFonts w:ascii="Calibri" w:hAnsi="Calibri" w:cs="Arial"/>
          <w:sz w:val="24"/>
          <w:szCs w:val="28"/>
          <w:highlight w:val="yellow"/>
          <w:lang w:val="en-US"/>
        </w:rPr>
        <w:t>1095.0</w:t>
      </w:r>
      <w:r w:rsidR="003F1DFA" w:rsidRPr="00DA1032">
        <w:rPr>
          <w:rFonts w:ascii="Calibri" w:hAnsi="Calibri" w:cs="Arial"/>
          <w:sz w:val="24"/>
          <w:szCs w:val="28"/>
          <w:highlight w:val="yellow"/>
          <w:lang w:val="en-US"/>
        </w:rPr>
        <w:t>)</w:t>
      </w:r>
      <w:r w:rsidRPr="00DA1032">
        <w:rPr>
          <w:rFonts w:ascii="Calibri" w:hAnsi="Calibri" w:cs="Arial"/>
          <w:sz w:val="24"/>
          <w:szCs w:val="28"/>
          <w:highlight w:val="yellow"/>
          <w:lang w:val="en-US"/>
        </w:rPr>
        <w:t>.</w:t>
      </w:r>
      <w:r w:rsidRPr="007F6D00">
        <w:rPr>
          <w:rFonts w:ascii="Calibri" w:hAnsi="Calibri" w:cs="Arial"/>
          <w:sz w:val="24"/>
          <w:szCs w:val="28"/>
          <w:lang w:val="en-US"/>
        </w:rPr>
        <w:t xml:space="preserve"> 8,655(4.6%) were identified as having died over the study period. The median time from baseline obesity diagnosis until death was 137.0</w:t>
      </w:r>
      <w:r w:rsidR="003F1DFA" w:rsidRPr="007F6D00">
        <w:rPr>
          <w:rFonts w:ascii="Calibri" w:hAnsi="Calibri" w:cs="Arial"/>
          <w:sz w:val="24"/>
          <w:szCs w:val="28"/>
          <w:lang w:val="en-US"/>
        </w:rPr>
        <w:t xml:space="preserve"> months </w:t>
      </w:r>
      <w:r w:rsidRPr="007F6D00">
        <w:rPr>
          <w:rFonts w:ascii="Calibri" w:hAnsi="Calibri" w:cs="Arial"/>
          <w:sz w:val="24"/>
          <w:szCs w:val="28"/>
          <w:lang w:val="en-US"/>
        </w:rPr>
        <w:t>(range: 3.0-628.7</w:t>
      </w:r>
      <w:r w:rsidR="00F94F9C" w:rsidRPr="007F6D00">
        <w:rPr>
          <w:rFonts w:ascii="Calibri" w:hAnsi="Calibri" w:cs="Arial"/>
          <w:sz w:val="24"/>
          <w:szCs w:val="28"/>
          <w:lang w:val="en-US"/>
        </w:rPr>
        <w:t>)</w:t>
      </w:r>
      <w:r w:rsidRPr="007F6D00">
        <w:rPr>
          <w:rFonts w:ascii="Calibri" w:hAnsi="Calibri" w:cs="Arial"/>
          <w:sz w:val="24"/>
          <w:szCs w:val="28"/>
          <w:lang w:val="en-US"/>
        </w:rPr>
        <w:t>. Multivariate analysis found bariatric surgery to be associated with reduced risk of all-cause mortality</w:t>
      </w:r>
      <w:r w:rsidR="00DA1032">
        <w:rPr>
          <w:rFonts w:ascii="Calibri" w:hAnsi="Calibri" w:cs="Arial"/>
          <w:sz w:val="24"/>
          <w:szCs w:val="28"/>
          <w:lang w:val="en-US"/>
        </w:rPr>
        <w:t xml:space="preserve"> </w:t>
      </w:r>
      <w:r w:rsidR="00DA1032" w:rsidRPr="006A59E5">
        <w:rPr>
          <w:rFonts w:ascii="Calibri" w:hAnsi="Calibri" w:cs="Arial"/>
          <w:sz w:val="24"/>
          <w:szCs w:val="28"/>
          <w:highlight w:val="yellow"/>
          <w:lang w:val="en-US"/>
        </w:rPr>
        <w:t>(HR:0.487;p&lt;0.001)</w:t>
      </w:r>
      <w:r w:rsidR="006A59E5">
        <w:rPr>
          <w:rFonts w:ascii="Calibri" w:hAnsi="Calibri" w:cs="Arial"/>
          <w:sz w:val="24"/>
          <w:szCs w:val="28"/>
          <w:highlight w:val="yellow"/>
          <w:lang w:val="en-US"/>
        </w:rPr>
        <w:t>.</w:t>
      </w:r>
      <w:r w:rsidRPr="006A59E5">
        <w:rPr>
          <w:rFonts w:ascii="Calibri" w:hAnsi="Calibri" w:cs="Arial"/>
          <w:sz w:val="24"/>
          <w:szCs w:val="28"/>
          <w:highlight w:val="yellow"/>
          <w:lang w:val="en-US"/>
        </w:rPr>
        <w:t xml:space="preserve"> </w:t>
      </w:r>
      <w:r w:rsidRPr="006A59E5">
        <w:rPr>
          <w:rFonts w:ascii="Calibri" w:hAnsi="Calibri" w:cs="Arial"/>
          <w:strike/>
          <w:sz w:val="24"/>
          <w:szCs w:val="28"/>
          <w:highlight w:val="yellow"/>
          <w:lang w:val="en-US"/>
        </w:rPr>
        <w:t>(HR:0</w:t>
      </w:r>
      <w:r w:rsidRPr="00DA1032">
        <w:rPr>
          <w:rFonts w:ascii="Calibri" w:hAnsi="Calibri" w:cs="Arial"/>
          <w:strike/>
          <w:sz w:val="24"/>
          <w:szCs w:val="28"/>
          <w:highlight w:val="yellow"/>
          <w:lang w:val="en-US"/>
        </w:rPr>
        <w:t>.502;p&lt;0.001).</w:t>
      </w:r>
      <w:r w:rsidRPr="007F6D00">
        <w:rPr>
          <w:rFonts w:ascii="Calibri" w:hAnsi="Calibri" w:cs="Arial"/>
          <w:sz w:val="24"/>
          <w:szCs w:val="28"/>
          <w:lang w:val="en-US"/>
        </w:rPr>
        <w:t xml:space="preserve"> The following were associated with increased risk of death: males</w:t>
      </w:r>
      <w:r w:rsidR="00DA1032">
        <w:rPr>
          <w:rFonts w:ascii="Calibri" w:hAnsi="Calibri" w:cs="Arial"/>
          <w:sz w:val="24"/>
          <w:szCs w:val="28"/>
          <w:lang w:val="en-US"/>
        </w:rPr>
        <w:t xml:space="preserve"> </w:t>
      </w:r>
      <w:r w:rsidR="00DA1032" w:rsidRPr="006A59E5">
        <w:rPr>
          <w:rFonts w:ascii="Calibri" w:hAnsi="Calibri" w:cs="Arial"/>
          <w:sz w:val="24"/>
          <w:szCs w:val="28"/>
          <w:highlight w:val="yellow"/>
          <w:lang w:val="en-US"/>
        </w:rPr>
        <w:t>(HR:1.805;p&lt;0.001)</w:t>
      </w:r>
      <w:r w:rsidRPr="006A59E5">
        <w:rPr>
          <w:rFonts w:ascii="Calibri" w:hAnsi="Calibri" w:cs="Arial"/>
          <w:sz w:val="24"/>
          <w:szCs w:val="28"/>
          <w:highlight w:val="yellow"/>
          <w:lang w:val="en-US"/>
        </w:rPr>
        <w:t xml:space="preserve"> </w:t>
      </w:r>
      <w:r w:rsidRPr="006A59E5">
        <w:rPr>
          <w:rFonts w:ascii="Calibri" w:hAnsi="Calibri" w:cs="Arial"/>
          <w:strike/>
          <w:sz w:val="24"/>
          <w:szCs w:val="28"/>
          <w:highlight w:val="yellow"/>
          <w:lang w:val="en-US"/>
        </w:rPr>
        <w:t>(HR</w:t>
      </w:r>
      <w:r w:rsidRPr="00DA1032">
        <w:rPr>
          <w:rFonts w:ascii="Calibri" w:hAnsi="Calibri" w:cs="Arial"/>
          <w:strike/>
          <w:sz w:val="24"/>
          <w:szCs w:val="28"/>
          <w:highlight w:val="yellow"/>
          <w:lang w:val="en-US"/>
        </w:rPr>
        <w:t>:1.777;p&lt;0.</w:t>
      </w:r>
      <w:r w:rsidR="00D32D75" w:rsidRPr="00DA1032">
        <w:rPr>
          <w:rFonts w:ascii="Calibri" w:hAnsi="Calibri" w:cs="Arial"/>
          <w:strike/>
          <w:sz w:val="24"/>
          <w:szCs w:val="28"/>
          <w:highlight w:val="yellow"/>
          <w:lang w:val="en-US"/>
        </w:rPr>
        <w:t>001),</w:t>
      </w:r>
      <w:r w:rsidR="00D32D75" w:rsidRPr="00DA1032">
        <w:rPr>
          <w:rFonts w:ascii="Calibri" w:hAnsi="Calibri" w:cs="Arial"/>
          <w:strike/>
          <w:sz w:val="24"/>
          <w:szCs w:val="28"/>
          <w:lang w:val="en-US"/>
        </w:rPr>
        <w:t xml:space="preserve"> </w:t>
      </w:r>
      <w:r w:rsidR="00D32D75">
        <w:rPr>
          <w:rFonts w:ascii="Calibri" w:hAnsi="Calibri" w:cs="Arial"/>
          <w:sz w:val="24"/>
          <w:szCs w:val="28"/>
          <w:lang w:val="en-US"/>
        </w:rPr>
        <w:t>BMI≥60</w:t>
      </w:r>
      <w:r w:rsidR="00DA1032">
        <w:rPr>
          <w:rFonts w:ascii="Calibri" w:hAnsi="Calibri" w:cs="Arial"/>
          <w:sz w:val="24"/>
          <w:szCs w:val="28"/>
          <w:lang w:val="en-US"/>
        </w:rPr>
        <w:t xml:space="preserve"> </w:t>
      </w:r>
      <w:r w:rsidR="00DA1032" w:rsidRPr="006A59E5">
        <w:rPr>
          <w:rFonts w:ascii="Calibri" w:hAnsi="Calibri" w:cs="Arial"/>
          <w:sz w:val="24"/>
          <w:szCs w:val="28"/>
          <w:highlight w:val="yellow"/>
          <w:lang w:val="en-US"/>
        </w:rPr>
        <w:t>(HR:2.541;p&lt;0.001),</w:t>
      </w:r>
      <w:r w:rsidR="00D32D75" w:rsidRPr="006A59E5">
        <w:rPr>
          <w:rFonts w:ascii="Calibri" w:hAnsi="Calibri" w:cs="Arial"/>
          <w:sz w:val="24"/>
          <w:szCs w:val="28"/>
          <w:highlight w:val="yellow"/>
          <w:lang w:val="en-US"/>
        </w:rPr>
        <w:t xml:space="preserve"> </w:t>
      </w:r>
      <w:r w:rsidR="00D32D75" w:rsidRPr="006A59E5">
        <w:rPr>
          <w:rFonts w:ascii="Calibri" w:hAnsi="Calibri" w:cs="Arial"/>
          <w:strike/>
          <w:sz w:val="24"/>
          <w:szCs w:val="28"/>
          <w:highlight w:val="yellow"/>
          <w:lang w:val="en-US"/>
        </w:rPr>
        <w:t>(HR</w:t>
      </w:r>
      <w:r w:rsidR="00D32D75" w:rsidRPr="00DA1032">
        <w:rPr>
          <w:rFonts w:ascii="Calibri" w:hAnsi="Calibri" w:cs="Arial"/>
          <w:strike/>
          <w:sz w:val="24"/>
          <w:szCs w:val="28"/>
          <w:highlight w:val="yellow"/>
          <w:lang w:val="en-US"/>
        </w:rPr>
        <w:t>:2.477;p&lt;0.001),</w:t>
      </w:r>
      <w:r w:rsidRPr="007F6D00">
        <w:rPr>
          <w:rFonts w:ascii="Calibri" w:hAnsi="Calibri" w:cs="Arial"/>
          <w:sz w:val="24"/>
          <w:szCs w:val="28"/>
          <w:lang w:val="en-US"/>
        </w:rPr>
        <w:t xml:space="preserve"> </w:t>
      </w:r>
      <w:r w:rsidRPr="00DA1032">
        <w:rPr>
          <w:rFonts w:ascii="Calibri" w:hAnsi="Calibri" w:cs="Arial"/>
          <w:strike/>
          <w:sz w:val="24"/>
          <w:szCs w:val="28"/>
          <w:highlight w:val="yellow"/>
          <w:lang w:val="en-US"/>
        </w:rPr>
        <w:t>Char</w:t>
      </w:r>
      <w:r w:rsidR="00D32D75" w:rsidRPr="00DA1032">
        <w:rPr>
          <w:rFonts w:ascii="Calibri" w:hAnsi="Calibri" w:cs="Arial"/>
          <w:strike/>
          <w:sz w:val="24"/>
          <w:szCs w:val="28"/>
          <w:highlight w:val="yellow"/>
          <w:lang w:val="en-US"/>
        </w:rPr>
        <w:t>lson score&gt;3 (HR:1.833;p&lt;0.001),</w:t>
      </w:r>
      <w:r w:rsidRPr="007F6D00">
        <w:rPr>
          <w:rFonts w:ascii="Calibri" w:hAnsi="Calibri" w:cs="Arial"/>
          <w:sz w:val="24"/>
          <w:szCs w:val="28"/>
          <w:lang w:val="en-US"/>
        </w:rPr>
        <w:t xml:space="preserve"> hypertension</w:t>
      </w:r>
      <w:r w:rsidR="00DA1032">
        <w:rPr>
          <w:rFonts w:ascii="Calibri" w:hAnsi="Calibri" w:cs="Arial"/>
          <w:sz w:val="24"/>
          <w:szCs w:val="28"/>
          <w:lang w:val="en-US"/>
        </w:rPr>
        <w:t xml:space="preserve"> </w:t>
      </w:r>
      <w:r w:rsidR="00DA1032" w:rsidRPr="006A59E5">
        <w:rPr>
          <w:rFonts w:ascii="Calibri" w:hAnsi="Calibri" w:cs="Arial"/>
          <w:sz w:val="24"/>
          <w:szCs w:val="28"/>
          <w:highlight w:val="yellow"/>
          <w:lang w:val="en-US"/>
        </w:rPr>
        <w:t>(HR:2.108;p&lt;0.001),</w:t>
      </w:r>
      <w:r w:rsidRPr="006A59E5">
        <w:rPr>
          <w:rFonts w:ascii="Calibri" w:hAnsi="Calibri" w:cs="Arial"/>
          <w:sz w:val="24"/>
          <w:szCs w:val="28"/>
          <w:highlight w:val="yellow"/>
          <w:lang w:val="en-US"/>
        </w:rPr>
        <w:t xml:space="preserve"> </w:t>
      </w:r>
      <w:r w:rsidRPr="006A59E5">
        <w:rPr>
          <w:rFonts w:ascii="Calibri" w:hAnsi="Calibri" w:cs="Arial"/>
          <w:strike/>
          <w:sz w:val="24"/>
          <w:szCs w:val="28"/>
          <w:highlight w:val="yellow"/>
          <w:lang w:val="en-US"/>
        </w:rPr>
        <w:t>(HR</w:t>
      </w:r>
      <w:r w:rsidRPr="00DA1032">
        <w:rPr>
          <w:rFonts w:ascii="Calibri" w:hAnsi="Calibri" w:cs="Arial"/>
          <w:strike/>
          <w:sz w:val="24"/>
          <w:szCs w:val="28"/>
          <w:highlight w:val="yellow"/>
          <w:lang w:val="en-US"/>
        </w:rPr>
        <w:t>:2.080;p&lt;0.001),</w:t>
      </w:r>
      <w:r w:rsidR="00DA1032">
        <w:rPr>
          <w:rFonts w:ascii="Calibri" w:hAnsi="Calibri" w:cs="Arial"/>
          <w:sz w:val="24"/>
          <w:szCs w:val="28"/>
          <w:lang w:val="en-US"/>
        </w:rPr>
        <w:t xml:space="preserve"> </w:t>
      </w:r>
      <w:r w:rsidRPr="007F6D00">
        <w:rPr>
          <w:rFonts w:ascii="Calibri" w:hAnsi="Calibri" w:cs="Arial"/>
          <w:sz w:val="24"/>
          <w:szCs w:val="28"/>
          <w:lang w:val="en-US"/>
        </w:rPr>
        <w:t>diabetes</w:t>
      </w:r>
      <w:r w:rsidR="00DA1032">
        <w:rPr>
          <w:rFonts w:ascii="Calibri" w:hAnsi="Calibri" w:cs="Arial"/>
          <w:sz w:val="24"/>
          <w:szCs w:val="28"/>
          <w:lang w:val="en-US"/>
        </w:rPr>
        <w:t xml:space="preserve"> </w:t>
      </w:r>
      <w:r w:rsidR="00DA1032" w:rsidRPr="006A59E5">
        <w:rPr>
          <w:rFonts w:ascii="Calibri" w:hAnsi="Calibri" w:cs="Arial"/>
          <w:sz w:val="24"/>
          <w:szCs w:val="28"/>
          <w:highlight w:val="yellow"/>
          <w:lang w:val="en-US"/>
        </w:rPr>
        <w:t>(HR:2.766;p&lt;0.001),</w:t>
      </w:r>
      <w:r w:rsidRPr="007F6D00">
        <w:rPr>
          <w:rFonts w:ascii="Calibri" w:hAnsi="Calibri" w:cs="Arial"/>
          <w:sz w:val="24"/>
          <w:szCs w:val="28"/>
          <w:lang w:val="en-US"/>
        </w:rPr>
        <w:t xml:space="preserve"> </w:t>
      </w:r>
      <w:r w:rsidRPr="00DA1032">
        <w:rPr>
          <w:rFonts w:ascii="Calibri" w:hAnsi="Calibri" w:cs="Arial"/>
          <w:strike/>
          <w:sz w:val="24"/>
          <w:szCs w:val="28"/>
          <w:highlight w:val="yellow"/>
          <w:lang w:val="en-US"/>
        </w:rPr>
        <w:t>(HR:2.142;p&lt;0.001</w:t>
      </w:r>
      <w:r w:rsidRPr="00DA1032">
        <w:rPr>
          <w:rFonts w:ascii="Calibri" w:hAnsi="Calibri" w:cs="Arial"/>
          <w:sz w:val="24"/>
          <w:szCs w:val="28"/>
          <w:highlight w:val="yellow"/>
          <w:lang w:val="en-US"/>
        </w:rPr>
        <w:t>)</w:t>
      </w:r>
      <w:r w:rsidR="00D32D75" w:rsidRPr="00DA1032">
        <w:rPr>
          <w:rFonts w:ascii="Calibri" w:hAnsi="Calibri" w:cs="Arial"/>
          <w:sz w:val="24"/>
          <w:szCs w:val="28"/>
          <w:highlight w:val="yellow"/>
          <w:lang w:val="en-US"/>
        </w:rPr>
        <w:t>,</w:t>
      </w:r>
      <w:r w:rsidRPr="007F6D00">
        <w:rPr>
          <w:rFonts w:ascii="Calibri" w:hAnsi="Calibri" w:cs="Arial"/>
          <w:sz w:val="24"/>
          <w:szCs w:val="28"/>
          <w:lang w:val="en-US"/>
        </w:rPr>
        <w:t xml:space="preserve"> and </w:t>
      </w:r>
      <w:r w:rsidR="007F6D00" w:rsidRPr="007F6D00">
        <w:rPr>
          <w:rFonts w:ascii="Calibri" w:hAnsi="Calibri" w:cs="Arial"/>
          <w:sz w:val="24"/>
          <w:szCs w:val="28"/>
          <w:lang w:val="en-US"/>
        </w:rPr>
        <w:t>hyperlipidemia</w:t>
      </w:r>
      <w:r w:rsidR="00DA1032">
        <w:rPr>
          <w:rFonts w:ascii="Calibri" w:hAnsi="Calibri" w:cs="Arial"/>
          <w:sz w:val="24"/>
          <w:szCs w:val="28"/>
          <w:lang w:val="en-US"/>
        </w:rPr>
        <w:t xml:space="preserve"> (HR:1.641;p&lt;0.001).</w:t>
      </w:r>
      <w:r w:rsidRPr="007F6D00">
        <w:rPr>
          <w:rFonts w:ascii="Calibri" w:hAnsi="Calibri" w:cs="Arial"/>
          <w:sz w:val="24"/>
          <w:szCs w:val="28"/>
          <w:lang w:val="en-US"/>
        </w:rPr>
        <w:t xml:space="preserve"> </w:t>
      </w:r>
      <w:r w:rsidRPr="00DA1032">
        <w:rPr>
          <w:rFonts w:ascii="Calibri" w:hAnsi="Calibri" w:cs="Arial"/>
          <w:strike/>
          <w:sz w:val="24"/>
          <w:szCs w:val="28"/>
          <w:highlight w:val="yellow"/>
          <w:lang w:val="en-US"/>
        </w:rPr>
        <w:t>(HR:1.743;p&lt;0.001).</w:t>
      </w:r>
    </w:p>
    <w:p w14:paraId="424BACCF" w14:textId="5E1A6B9D" w:rsidR="0068229B" w:rsidRPr="007F6D00" w:rsidRDefault="0068229B" w:rsidP="0068229B">
      <w:pPr>
        <w:spacing w:before="300" w:after="120" w:line="480" w:lineRule="auto"/>
        <w:jc w:val="both"/>
        <w:rPr>
          <w:rFonts w:ascii="Calibri" w:hAnsi="Calibri" w:cs="Arial"/>
          <w:sz w:val="24"/>
          <w:szCs w:val="28"/>
          <w:lang w:val="en-US"/>
        </w:rPr>
      </w:pPr>
      <w:r w:rsidRPr="007F6D00">
        <w:rPr>
          <w:rFonts w:ascii="Calibri" w:hAnsi="Calibri" w:cs="Arial"/>
          <w:b/>
          <w:sz w:val="24"/>
          <w:szCs w:val="28"/>
          <w:lang w:val="en-US"/>
        </w:rPr>
        <w:lastRenderedPageBreak/>
        <w:t>Conclusion:</w:t>
      </w:r>
      <w:r w:rsidR="004B3BD7" w:rsidRPr="007F6D00">
        <w:rPr>
          <w:rFonts w:ascii="Calibri" w:hAnsi="Calibri" w:cs="Arial"/>
          <w:sz w:val="24"/>
          <w:szCs w:val="28"/>
          <w:lang w:val="en-US"/>
        </w:rPr>
        <w:t xml:space="preserve"> </w:t>
      </w:r>
      <w:r w:rsidRPr="007F6D00">
        <w:rPr>
          <w:rFonts w:ascii="Calibri" w:hAnsi="Calibri" w:cs="Arial"/>
          <w:sz w:val="24"/>
          <w:szCs w:val="28"/>
          <w:lang w:val="en-US"/>
        </w:rPr>
        <w:t>Factors such as high BMI</w:t>
      </w:r>
      <w:r w:rsidR="006A59E5">
        <w:rPr>
          <w:rFonts w:ascii="Calibri" w:hAnsi="Calibri" w:cs="Arial"/>
          <w:sz w:val="24"/>
          <w:szCs w:val="28"/>
          <w:lang w:val="en-US"/>
        </w:rPr>
        <w:t>,</w:t>
      </w:r>
      <w:r w:rsidR="00B349C6" w:rsidRPr="007F6D00">
        <w:rPr>
          <w:rFonts w:ascii="Calibri" w:hAnsi="Calibri" w:cs="Arial"/>
          <w:sz w:val="24"/>
          <w:szCs w:val="28"/>
          <w:lang w:val="en-US"/>
        </w:rPr>
        <w:t xml:space="preserve"> </w:t>
      </w:r>
      <w:r w:rsidR="00B349C6" w:rsidRPr="00DA1032">
        <w:rPr>
          <w:rFonts w:ascii="Calibri" w:hAnsi="Calibri" w:cs="Arial"/>
          <w:strike/>
          <w:sz w:val="24"/>
          <w:szCs w:val="28"/>
          <w:highlight w:val="yellow"/>
          <w:lang w:val="en-US"/>
        </w:rPr>
        <w:t>(≥55)</w:t>
      </w:r>
      <w:r w:rsidR="00B349C6" w:rsidRPr="00DA1032">
        <w:rPr>
          <w:rFonts w:ascii="Calibri" w:hAnsi="Calibri" w:cs="Arial"/>
          <w:sz w:val="24"/>
          <w:szCs w:val="28"/>
          <w:highlight w:val="yellow"/>
          <w:lang w:val="en-US"/>
        </w:rPr>
        <w:t>,</w:t>
      </w:r>
      <w:r w:rsidRPr="007F6D00">
        <w:rPr>
          <w:rFonts w:ascii="Calibri" w:hAnsi="Calibri" w:cs="Arial"/>
          <w:sz w:val="24"/>
          <w:szCs w:val="28"/>
          <w:lang w:val="en-US"/>
        </w:rPr>
        <w:t xml:space="preserve"> diabetes, </w:t>
      </w:r>
      <w:r w:rsidR="007F6D00" w:rsidRPr="007F6D00">
        <w:rPr>
          <w:rFonts w:ascii="Calibri" w:hAnsi="Calibri" w:cs="Arial"/>
          <w:sz w:val="24"/>
          <w:szCs w:val="28"/>
          <w:lang w:val="en-US"/>
        </w:rPr>
        <w:t>hyperlipidemia</w:t>
      </w:r>
      <w:r w:rsidRPr="007F6D00">
        <w:rPr>
          <w:rFonts w:ascii="Calibri" w:hAnsi="Calibri" w:cs="Arial"/>
          <w:sz w:val="24"/>
          <w:szCs w:val="28"/>
          <w:lang w:val="en-US"/>
        </w:rPr>
        <w:t xml:space="preserve"> and hypertension at first diagnosis of </w:t>
      </w:r>
      <w:r w:rsidRPr="0023678E">
        <w:rPr>
          <w:rFonts w:ascii="Calibri" w:hAnsi="Calibri" w:cs="Arial"/>
          <w:strike/>
          <w:sz w:val="24"/>
          <w:szCs w:val="28"/>
          <w:highlight w:val="yellow"/>
          <w:lang w:val="en-US"/>
        </w:rPr>
        <w:t>morbid</w:t>
      </w:r>
      <w:r w:rsidRPr="007F6D00">
        <w:rPr>
          <w:rFonts w:ascii="Calibri" w:hAnsi="Calibri" w:cs="Arial"/>
          <w:sz w:val="24"/>
          <w:szCs w:val="28"/>
          <w:lang w:val="en-US"/>
        </w:rPr>
        <w:t xml:space="preserve"> </w:t>
      </w:r>
      <w:r w:rsidR="0023678E" w:rsidRPr="0023678E">
        <w:rPr>
          <w:rFonts w:ascii="Calibri" w:hAnsi="Calibri" w:cs="Arial"/>
          <w:sz w:val="24"/>
          <w:szCs w:val="28"/>
          <w:highlight w:val="yellow"/>
          <w:lang w:val="en-US"/>
        </w:rPr>
        <w:t>severe</w:t>
      </w:r>
      <w:r w:rsidR="0023678E">
        <w:rPr>
          <w:rFonts w:ascii="Calibri" w:hAnsi="Calibri" w:cs="Arial"/>
          <w:sz w:val="24"/>
          <w:szCs w:val="28"/>
          <w:lang w:val="en-US"/>
        </w:rPr>
        <w:t xml:space="preserve"> </w:t>
      </w:r>
      <w:r w:rsidRPr="007F6D00">
        <w:rPr>
          <w:rFonts w:ascii="Calibri" w:hAnsi="Calibri" w:cs="Arial"/>
          <w:sz w:val="24"/>
          <w:szCs w:val="28"/>
          <w:lang w:val="en-US"/>
        </w:rPr>
        <w:t>obesity were each independently associated with an increased risk of death. Bariatric surgery was shown to be associated with reduced risk of all-cause mortality</w:t>
      </w:r>
      <w:r w:rsidR="003F1DFA" w:rsidRPr="007F6D00">
        <w:rPr>
          <w:rFonts w:ascii="Calibri" w:hAnsi="Calibri" w:cs="Arial"/>
          <w:sz w:val="24"/>
          <w:szCs w:val="28"/>
          <w:lang w:val="en-US"/>
        </w:rPr>
        <w:t>.</w:t>
      </w:r>
      <w:r w:rsidRPr="007F6D00">
        <w:rPr>
          <w:rFonts w:ascii="Calibri" w:hAnsi="Calibri" w:cs="Arial"/>
          <w:sz w:val="24"/>
          <w:szCs w:val="28"/>
          <w:lang w:val="en-US"/>
        </w:rPr>
        <w:t xml:space="preserve"> Improving access to bariatric surgery and public health campaigns can improve the prognosis of </w:t>
      </w:r>
      <w:r w:rsidR="0023678E" w:rsidRPr="0023678E">
        <w:rPr>
          <w:rFonts w:ascii="Calibri" w:hAnsi="Calibri" w:cs="Arial"/>
          <w:strike/>
          <w:sz w:val="24"/>
          <w:szCs w:val="28"/>
          <w:highlight w:val="yellow"/>
          <w:lang w:val="en-US"/>
        </w:rPr>
        <w:t>morbidly</w:t>
      </w:r>
      <w:r w:rsidR="0023678E" w:rsidRPr="0023678E">
        <w:rPr>
          <w:rFonts w:ascii="Calibri" w:hAnsi="Calibri" w:cs="Arial"/>
          <w:sz w:val="24"/>
          <w:szCs w:val="28"/>
          <w:highlight w:val="yellow"/>
          <w:lang w:val="en-US"/>
        </w:rPr>
        <w:t xml:space="preserve"> severely</w:t>
      </w:r>
      <w:r w:rsidRPr="007F6D00">
        <w:rPr>
          <w:rFonts w:ascii="Calibri" w:hAnsi="Calibri" w:cs="Arial"/>
          <w:sz w:val="24"/>
          <w:szCs w:val="28"/>
          <w:lang w:val="en-US"/>
        </w:rPr>
        <w:t xml:space="preserve"> obese patients.</w:t>
      </w:r>
    </w:p>
    <w:p w14:paraId="22DEE244" w14:textId="77777777" w:rsidR="001158E0" w:rsidRPr="007F6D00" w:rsidRDefault="001158E0" w:rsidP="00A465E9">
      <w:pPr>
        <w:spacing w:before="300" w:after="120" w:line="480" w:lineRule="auto"/>
        <w:jc w:val="both"/>
        <w:rPr>
          <w:rFonts w:ascii="Calibri" w:hAnsi="Calibri" w:cs="Arial"/>
          <w:sz w:val="36"/>
          <w:szCs w:val="28"/>
          <w:lang w:val="en-US"/>
        </w:rPr>
      </w:pPr>
    </w:p>
    <w:p w14:paraId="2F38B408" w14:textId="77777777" w:rsidR="00A465E9" w:rsidRPr="007F6D00" w:rsidRDefault="00A465E9">
      <w:pPr>
        <w:rPr>
          <w:rFonts w:ascii="Calibri" w:hAnsi="Calibri"/>
          <w:sz w:val="24"/>
          <w:lang w:val="en-US"/>
        </w:rPr>
      </w:pPr>
    </w:p>
    <w:p w14:paraId="7BD741FE" w14:textId="77777777" w:rsidR="008F557A" w:rsidRPr="007F6D00" w:rsidRDefault="008F557A">
      <w:pPr>
        <w:rPr>
          <w:rFonts w:ascii="Calibri" w:hAnsi="Calibri"/>
          <w:sz w:val="24"/>
          <w:lang w:val="en-US"/>
        </w:rPr>
      </w:pPr>
    </w:p>
    <w:p w14:paraId="0C0BA8D5" w14:textId="77777777" w:rsidR="008F557A" w:rsidRPr="007F6D00" w:rsidRDefault="008F557A">
      <w:pPr>
        <w:rPr>
          <w:rFonts w:ascii="Calibri" w:hAnsi="Calibri"/>
          <w:sz w:val="24"/>
          <w:lang w:val="en-US"/>
        </w:rPr>
      </w:pPr>
    </w:p>
    <w:p w14:paraId="3658BB16" w14:textId="77777777" w:rsidR="008F557A" w:rsidRPr="007F6D00" w:rsidRDefault="008F557A">
      <w:pPr>
        <w:rPr>
          <w:rFonts w:ascii="Calibri" w:hAnsi="Calibri"/>
          <w:sz w:val="24"/>
          <w:lang w:val="en-US"/>
        </w:rPr>
      </w:pPr>
    </w:p>
    <w:p w14:paraId="050E0E51" w14:textId="77777777" w:rsidR="008F557A" w:rsidRPr="007F6D00" w:rsidRDefault="008F557A">
      <w:pPr>
        <w:rPr>
          <w:rFonts w:ascii="Calibri" w:hAnsi="Calibri"/>
          <w:sz w:val="24"/>
          <w:lang w:val="en-US"/>
        </w:rPr>
      </w:pPr>
    </w:p>
    <w:p w14:paraId="0747EC4E" w14:textId="77777777" w:rsidR="008F557A" w:rsidRPr="007F6D00" w:rsidRDefault="008F557A">
      <w:pPr>
        <w:rPr>
          <w:rFonts w:ascii="Calibri" w:hAnsi="Calibri"/>
          <w:sz w:val="24"/>
          <w:lang w:val="en-US"/>
        </w:rPr>
      </w:pPr>
    </w:p>
    <w:p w14:paraId="6D412C9F" w14:textId="77777777" w:rsidR="008F557A" w:rsidRPr="007F6D00" w:rsidRDefault="008F557A">
      <w:pPr>
        <w:rPr>
          <w:rFonts w:ascii="Calibri" w:hAnsi="Calibri"/>
          <w:sz w:val="24"/>
          <w:lang w:val="en-US"/>
        </w:rPr>
      </w:pPr>
    </w:p>
    <w:p w14:paraId="7859CA1E" w14:textId="77777777" w:rsidR="008F557A" w:rsidRPr="007F6D00" w:rsidRDefault="008F557A">
      <w:pPr>
        <w:rPr>
          <w:rFonts w:ascii="Calibri" w:hAnsi="Calibri"/>
          <w:sz w:val="24"/>
          <w:lang w:val="en-US"/>
        </w:rPr>
      </w:pPr>
    </w:p>
    <w:p w14:paraId="27ABD291" w14:textId="77777777" w:rsidR="008F557A" w:rsidRPr="007F6D00" w:rsidRDefault="008F557A">
      <w:pPr>
        <w:rPr>
          <w:rFonts w:ascii="Calibri" w:hAnsi="Calibri"/>
          <w:sz w:val="24"/>
          <w:lang w:val="en-US"/>
        </w:rPr>
      </w:pPr>
    </w:p>
    <w:p w14:paraId="05B9CD49" w14:textId="77777777" w:rsidR="008F557A" w:rsidRPr="007F6D00" w:rsidRDefault="008F557A">
      <w:pPr>
        <w:rPr>
          <w:rFonts w:ascii="Calibri" w:hAnsi="Calibri"/>
          <w:sz w:val="24"/>
          <w:lang w:val="en-US"/>
        </w:rPr>
      </w:pPr>
    </w:p>
    <w:p w14:paraId="44051D5F" w14:textId="77777777" w:rsidR="008F557A" w:rsidRPr="007F6D00" w:rsidRDefault="008F557A">
      <w:pPr>
        <w:rPr>
          <w:rFonts w:ascii="Calibri" w:hAnsi="Calibri"/>
          <w:sz w:val="24"/>
          <w:lang w:val="en-US"/>
        </w:rPr>
      </w:pPr>
    </w:p>
    <w:p w14:paraId="134493AA" w14:textId="77777777" w:rsidR="008F557A" w:rsidRPr="007F6D00" w:rsidRDefault="008F557A">
      <w:pPr>
        <w:rPr>
          <w:rFonts w:ascii="Calibri" w:hAnsi="Calibri"/>
          <w:sz w:val="24"/>
          <w:lang w:val="en-US"/>
        </w:rPr>
      </w:pPr>
    </w:p>
    <w:p w14:paraId="48E1A58B" w14:textId="77777777" w:rsidR="008F557A" w:rsidRPr="007F6D00" w:rsidRDefault="008F557A">
      <w:pPr>
        <w:rPr>
          <w:rFonts w:ascii="Calibri" w:hAnsi="Calibri"/>
          <w:sz w:val="24"/>
          <w:lang w:val="en-US"/>
        </w:rPr>
      </w:pPr>
    </w:p>
    <w:p w14:paraId="13989599" w14:textId="77777777" w:rsidR="008F557A" w:rsidRPr="007F6D00" w:rsidRDefault="008F557A">
      <w:pPr>
        <w:rPr>
          <w:rFonts w:ascii="Calibri" w:hAnsi="Calibri"/>
          <w:sz w:val="24"/>
          <w:lang w:val="en-US"/>
        </w:rPr>
      </w:pPr>
    </w:p>
    <w:p w14:paraId="5FAFC8BA" w14:textId="77777777" w:rsidR="008F557A" w:rsidRPr="007F6D00" w:rsidRDefault="008F557A">
      <w:pPr>
        <w:rPr>
          <w:rFonts w:ascii="Calibri" w:hAnsi="Calibri"/>
          <w:sz w:val="24"/>
          <w:lang w:val="en-US"/>
        </w:rPr>
      </w:pPr>
    </w:p>
    <w:p w14:paraId="75B45F9C" w14:textId="77777777" w:rsidR="008F557A" w:rsidRPr="007F6D00" w:rsidRDefault="008F557A">
      <w:pPr>
        <w:rPr>
          <w:rFonts w:ascii="Calibri" w:hAnsi="Calibri"/>
          <w:sz w:val="24"/>
          <w:lang w:val="en-US"/>
        </w:rPr>
      </w:pPr>
    </w:p>
    <w:p w14:paraId="23C4CDEC" w14:textId="77777777" w:rsidR="008F557A" w:rsidRPr="007F6D00" w:rsidRDefault="008F557A">
      <w:pPr>
        <w:rPr>
          <w:rFonts w:ascii="Calibri" w:hAnsi="Calibri"/>
          <w:sz w:val="24"/>
          <w:lang w:val="en-US"/>
        </w:rPr>
      </w:pPr>
    </w:p>
    <w:p w14:paraId="501CA017" w14:textId="77777777" w:rsidR="008F557A" w:rsidRPr="007F6D00" w:rsidRDefault="008F557A">
      <w:pPr>
        <w:rPr>
          <w:rFonts w:ascii="Calibri" w:hAnsi="Calibri"/>
          <w:sz w:val="24"/>
          <w:lang w:val="en-US"/>
        </w:rPr>
      </w:pPr>
    </w:p>
    <w:p w14:paraId="75366586" w14:textId="77777777" w:rsidR="008F557A" w:rsidRPr="007F6D00" w:rsidRDefault="008F557A">
      <w:pPr>
        <w:rPr>
          <w:rFonts w:ascii="Calibri" w:hAnsi="Calibri"/>
          <w:sz w:val="24"/>
          <w:lang w:val="en-US"/>
        </w:rPr>
      </w:pPr>
    </w:p>
    <w:p w14:paraId="42E1B759" w14:textId="77777777" w:rsidR="008F557A" w:rsidRPr="007F6D00" w:rsidRDefault="008F557A">
      <w:pPr>
        <w:rPr>
          <w:rFonts w:ascii="Calibri" w:hAnsi="Calibri"/>
          <w:sz w:val="24"/>
          <w:lang w:val="en-US"/>
        </w:rPr>
      </w:pPr>
    </w:p>
    <w:p w14:paraId="684399EF" w14:textId="77777777" w:rsidR="008F557A" w:rsidRPr="007F6D00" w:rsidRDefault="008F557A">
      <w:pPr>
        <w:rPr>
          <w:rFonts w:ascii="Calibri" w:hAnsi="Calibri"/>
          <w:sz w:val="24"/>
          <w:lang w:val="en-US"/>
        </w:rPr>
      </w:pPr>
    </w:p>
    <w:p w14:paraId="04756668" w14:textId="77777777" w:rsidR="008F557A" w:rsidRPr="007F6D00" w:rsidRDefault="008F557A">
      <w:pPr>
        <w:rPr>
          <w:rFonts w:ascii="Calibri" w:hAnsi="Calibri"/>
          <w:sz w:val="24"/>
          <w:lang w:val="en-US"/>
        </w:rPr>
      </w:pPr>
    </w:p>
    <w:p w14:paraId="26E64B92" w14:textId="77777777" w:rsidR="008F557A" w:rsidRPr="007F6D00" w:rsidRDefault="008F557A">
      <w:pPr>
        <w:rPr>
          <w:rFonts w:ascii="Calibri" w:hAnsi="Calibri"/>
          <w:sz w:val="24"/>
          <w:lang w:val="en-US"/>
        </w:rPr>
      </w:pPr>
    </w:p>
    <w:p w14:paraId="6BEDE4D2" w14:textId="77777777" w:rsidR="008F557A" w:rsidRPr="007F6D00" w:rsidRDefault="008F557A">
      <w:pPr>
        <w:rPr>
          <w:rFonts w:ascii="Calibri" w:hAnsi="Calibri"/>
          <w:sz w:val="24"/>
          <w:lang w:val="en-US"/>
        </w:rPr>
      </w:pPr>
    </w:p>
    <w:p w14:paraId="207042C1" w14:textId="77777777" w:rsidR="008F557A" w:rsidRPr="007F6D00" w:rsidRDefault="008F557A">
      <w:pPr>
        <w:rPr>
          <w:rFonts w:ascii="Calibri" w:hAnsi="Calibri"/>
          <w:sz w:val="24"/>
          <w:lang w:val="en-US"/>
        </w:rPr>
      </w:pPr>
    </w:p>
    <w:p w14:paraId="0DBDA056" w14:textId="77777777" w:rsidR="008F557A" w:rsidRPr="007F6D00" w:rsidRDefault="008F557A">
      <w:pPr>
        <w:rPr>
          <w:rFonts w:ascii="Calibri" w:hAnsi="Calibri"/>
          <w:sz w:val="24"/>
          <w:lang w:val="en-US"/>
        </w:rPr>
      </w:pPr>
    </w:p>
    <w:p w14:paraId="3EBCBBE3" w14:textId="77777777" w:rsidR="008F557A" w:rsidRPr="007F6D00" w:rsidRDefault="008F557A">
      <w:pPr>
        <w:rPr>
          <w:rFonts w:ascii="Calibri" w:hAnsi="Calibri"/>
          <w:sz w:val="24"/>
          <w:lang w:val="en-US"/>
        </w:rPr>
      </w:pPr>
    </w:p>
    <w:p w14:paraId="6980D997" w14:textId="77777777" w:rsidR="008F557A" w:rsidRPr="007F6D00" w:rsidRDefault="008F557A">
      <w:pPr>
        <w:rPr>
          <w:rFonts w:ascii="Calibri" w:hAnsi="Calibri"/>
          <w:sz w:val="24"/>
          <w:lang w:val="en-US"/>
        </w:rPr>
      </w:pPr>
    </w:p>
    <w:p w14:paraId="0F2865CD" w14:textId="77777777" w:rsidR="008F557A" w:rsidRPr="007F6D00" w:rsidRDefault="008F557A">
      <w:pPr>
        <w:rPr>
          <w:rFonts w:ascii="Calibri" w:hAnsi="Calibri"/>
          <w:sz w:val="24"/>
          <w:lang w:val="en-US"/>
        </w:rPr>
      </w:pPr>
    </w:p>
    <w:p w14:paraId="1BD62B30" w14:textId="77777777" w:rsidR="008F557A" w:rsidRPr="007F6D00" w:rsidRDefault="008F557A">
      <w:pPr>
        <w:rPr>
          <w:rFonts w:ascii="Calibri" w:hAnsi="Calibri"/>
          <w:sz w:val="24"/>
          <w:lang w:val="en-US"/>
        </w:rPr>
      </w:pPr>
    </w:p>
    <w:p w14:paraId="02438F62" w14:textId="77777777" w:rsidR="008F557A" w:rsidRPr="007F6D00" w:rsidRDefault="008F557A">
      <w:pPr>
        <w:rPr>
          <w:rFonts w:ascii="Calibri" w:hAnsi="Calibri"/>
          <w:sz w:val="24"/>
          <w:lang w:val="en-US"/>
        </w:rPr>
      </w:pPr>
    </w:p>
    <w:p w14:paraId="74E045E4" w14:textId="77777777" w:rsidR="008F557A" w:rsidRPr="007F6D00" w:rsidRDefault="008F557A">
      <w:pPr>
        <w:rPr>
          <w:rFonts w:ascii="Calibri" w:hAnsi="Calibri"/>
          <w:sz w:val="24"/>
          <w:lang w:val="en-US"/>
        </w:rPr>
      </w:pPr>
    </w:p>
    <w:p w14:paraId="5AE62ADF" w14:textId="77777777" w:rsidR="008F557A" w:rsidRPr="007F6D00" w:rsidRDefault="008F557A">
      <w:pPr>
        <w:rPr>
          <w:rFonts w:ascii="Calibri" w:hAnsi="Calibri"/>
          <w:sz w:val="24"/>
          <w:lang w:val="en-US"/>
        </w:rPr>
      </w:pPr>
    </w:p>
    <w:p w14:paraId="4B07A545" w14:textId="77777777" w:rsidR="008F557A" w:rsidRPr="007F6D00" w:rsidRDefault="008F557A">
      <w:pPr>
        <w:rPr>
          <w:rFonts w:ascii="Calibri" w:hAnsi="Calibri"/>
          <w:sz w:val="24"/>
          <w:lang w:val="en-US"/>
        </w:rPr>
      </w:pPr>
    </w:p>
    <w:p w14:paraId="7F5C365B" w14:textId="77777777" w:rsidR="008F557A" w:rsidRPr="007F6D00" w:rsidRDefault="008F557A">
      <w:pPr>
        <w:rPr>
          <w:rFonts w:ascii="Calibri" w:hAnsi="Calibri"/>
          <w:sz w:val="24"/>
          <w:lang w:val="en-US"/>
        </w:rPr>
      </w:pPr>
    </w:p>
    <w:p w14:paraId="0F9E4FA7" w14:textId="77777777" w:rsidR="008F557A" w:rsidRPr="007F6D00" w:rsidRDefault="008F557A">
      <w:pPr>
        <w:rPr>
          <w:rFonts w:ascii="Calibri" w:hAnsi="Calibri"/>
          <w:sz w:val="24"/>
          <w:lang w:val="en-US"/>
        </w:rPr>
      </w:pPr>
    </w:p>
    <w:p w14:paraId="1F1AC451" w14:textId="77777777" w:rsidR="00AD76CC" w:rsidRPr="007F6D00" w:rsidRDefault="00AD76CC">
      <w:pPr>
        <w:rPr>
          <w:rFonts w:ascii="Calibri" w:hAnsi="Calibri"/>
          <w:b/>
          <w:sz w:val="22"/>
          <w:szCs w:val="22"/>
          <w:lang w:val="en-US"/>
        </w:rPr>
      </w:pPr>
    </w:p>
    <w:p w14:paraId="7C14611A" w14:textId="495FA691" w:rsidR="008F557A" w:rsidRPr="007F6D00" w:rsidRDefault="008F557A">
      <w:pPr>
        <w:rPr>
          <w:rFonts w:ascii="Calibri" w:hAnsi="Calibri"/>
          <w:b/>
          <w:sz w:val="28"/>
          <w:szCs w:val="28"/>
          <w:lang w:val="en-US"/>
        </w:rPr>
      </w:pPr>
      <w:r w:rsidRPr="007F6D00">
        <w:rPr>
          <w:rFonts w:ascii="Calibri" w:hAnsi="Calibri"/>
          <w:b/>
          <w:sz w:val="28"/>
          <w:szCs w:val="28"/>
          <w:lang w:val="en-US"/>
        </w:rPr>
        <w:t>Introduction</w:t>
      </w:r>
    </w:p>
    <w:p w14:paraId="403F0653" w14:textId="77777777" w:rsidR="007F0371" w:rsidRPr="007F6D00" w:rsidRDefault="007F0371">
      <w:pPr>
        <w:rPr>
          <w:rFonts w:ascii="Calibri" w:hAnsi="Calibri"/>
          <w:b/>
          <w:sz w:val="28"/>
          <w:szCs w:val="22"/>
          <w:lang w:val="en-US"/>
        </w:rPr>
      </w:pPr>
    </w:p>
    <w:p w14:paraId="34DE25DF" w14:textId="45FF8A59" w:rsidR="008F557A" w:rsidRPr="007F6D00" w:rsidRDefault="00AF2ABA" w:rsidP="003858EC">
      <w:pPr>
        <w:spacing w:line="480" w:lineRule="auto"/>
        <w:jc w:val="both"/>
        <w:rPr>
          <w:rFonts w:ascii="Calibri" w:hAnsi="Calibri"/>
          <w:sz w:val="24"/>
          <w:lang w:val="en-US"/>
        </w:rPr>
      </w:pPr>
      <w:r w:rsidRPr="00AF2ABA">
        <w:rPr>
          <w:rFonts w:ascii="Calibri" w:hAnsi="Calibri"/>
          <w:sz w:val="24"/>
          <w:highlight w:val="yellow"/>
          <w:lang w:val="en-US"/>
        </w:rPr>
        <w:t>Severe o</w:t>
      </w:r>
      <w:r w:rsidR="003E3F6A" w:rsidRPr="00AF2ABA">
        <w:rPr>
          <w:rFonts w:ascii="Calibri" w:hAnsi="Calibri"/>
          <w:sz w:val="24"/>
          <w:highlight w:val="yellow"/>
          <w:lang w:val="en-US"/>
        </w:rPr>
        <w:t>besity</w:t>
      </w:r>
      <w:r w:rsidR="00F16B08" w:rsidRPr="00AF2ABA">
        <w:rPr>
          <w:rFonts w:ascii="Calibri" w:hAnsi="Calibri"/>
          <w:sz w:val="24"/>
          <w:highlight w:val="yellow"/>
          <w:lang w:val="en-US"/>
        </w:rPr>
        <w:t xml:space="preserve">, as defined by a </w:t>
      </w:r>
      <w:r w:rsidR="003F1DFA" w:rsidRPr="00AF2ABA">
        <w:rPr>
          <w:rFonts w:ascii="Calibri" w:hAnsi="Calibri"/>
          <w:sz w:val="24"/>
          <w:highlight w:val="yellow"/>
          <w:lang w:val="en-US"/>
        </w:rPr>
        <w:t>body mass index (</w:t>
      </w:r>
      <w:r w:rsidR="00F16B08" w:rsidRPr="00AF2ABA">
        <w:rPr>
          <w:rFonts w:ascii="Calibri" w:hAnsi="Calibri"/>
          <w:sz w:val="24"/>
          <w:highlight w:val="yellow"/>
          <w:lang w:val="en-US"/>
        </w:rPr>
        <w:t>BMI</w:t>
      </w:r>
      <w:r w:rsidR="003F1DFA" w:rsidRPr="00AF2ABA">
        <w:rPr>
          <w:rFonts w:ascii="Calibri" w:hAnsi="Calibri"/>
          <w:sz w:val="24"/>
          <w:highlight w:val="yellow"/>
          <w:lang w:val="en-US"/>
        </w:rPr>
        <w:t>)</w:t>
      </w:r>
      <w:r w:rsidR="00F16B08" w:rsidRPr="00AF2ABA">
        <w:rPr>
          <w:rFonts w:ascii="Calibri" w:hAnsi="Calibri"/>
          <w:sz w:val="24"/>
          <w:highlight w:val="yellow"/>
          <w:lang w:val="en-US"/>
        </w:rPr>
        <w:t xml:space="preserve"> greater than </w:t>
      </w:r>
      <w:r w:rsidRPr="00AF2ABA">
        <w:rPr>
          <w:rFonts w:ascii="Calibri" w:hAnsi="Calibri"/>
          <w:sz w:val="24"/>
          <w:highlight w:val="yellow"/>
          <w:lang w:val="en-US"/>
        </w:rPr>
        <w:t>35</w:t>
      </w:r>
      <w:r w:rsidR="00621619" w:rsidRPr="00AF2ABA">
        <w:rPr>
          <w:rFonts w:ascii="Calibri" w:hAnsi="Calibri"/>
          <w:sz w:val="24"/>
          <w:highlight w:val="yellow"/>
          <w:lang w:val="en-US"/>
        </w:rPr>
        <w:t>kg/m</w:t>
      </w:r>
      <w:r w:rsidR="00621619" w:rsidRPr="00AF2ABA">
        <w:rPr>
          <w:rFonts w:ascii="Calibri" w:hAnsi="Calibri"/>
          <w:sz w:val="24"/>
          <w:highlight w:val="yellow"/>
          <w:vertAlign w:val="superscript"/>
          <w:lang w:val="en-US"/>
        </w:rPr>
        <w:t>2</w:t>
      </w:r>
      <w:r w:rsidR="00621619" w:rsidRPr="007F6D00">
        <w:rPr>
          <w:rFonts w:ascii="Calibri" w:hAnsi="Calibri"/>
          <w:sz w:val="24"/>
          <w:lang w:val="en-US"/>
        </w:rPr>
        <w:t>,</w:t>
      </w:r>
      <w:r w:rsidR="003E3F6A" w:rsidRPr="007F6D00">
        <w:rPr>
          <w:rFonts w:ascii="Calibri" w:hAnsi="Calibri"/>
          <w:sz w:val="24"/>
          <w:lang w:val="en-US"/>
        </w:rPr>
        <w:t xml:space="preserve"> is associated with a significant health burden for both the individual and health care systems</w:t>
      </w:r>
      <w:r w:rsidR="003E3F6A" w:rsidRPr="007F6D00">
        <w:rPr>
          <w:rFonts w:ascii="Calibri" w:hAnsi="Calibri"/>
          <w:sz w:val="24"/>
          <w:lang w:val="en-US"/>
        </w:rPr>
        <w:fldChar w:fldCharType="begin"/>
      </w:r>
      <w:r w:rsidR="003E3F6A" w:rsidRPr="007F6D00">
        <w:rPr>
          <w:rFonts w:ascii="Calibri" w:hAnsi="Calibri"/>
          <w:sz w:val="24"/>
          <w:lang w:val="en-US"/>
        </w:rPr>
        <w:instrText>ADDIN RW.CITE{{417 Must, Aviva 1999;418 Wang, Y Claire 2011}}</w:instrText>
      </w:r>
      <w:r w:rsidR="003E3F6A" w:rsidRPr="007F6D00">
        <w:rPr>
          <w:rFonts w:ascii="Calibri" w:hAnsi="Calibri"/>
          <w:sz w:val="24"/>
          <w:lang w:val="en-US"/>
        </w:rPr>
        <w:fldChar w:fldCharType="separate"/>
      </w:r>
      <w:r w:rsidR="00874BCF" w:rsidRPr="007F6D00">
        <w:rPr>
          <w:rFonts w:ascii="Calibri" w:hAnsi="Calibri"/>
          <w:sz w:val="24"/>
          <w:lang w:val="en-US"/>
        </w:rPr>
        <w:t>(1,2)</w:t>
      </w:r>
      <w:r w:rsidR="003E3F6A" w:rsidRPr="007F6D00">
        <w:rPr>
          <w:rFonts w:ascii="Calibri" w:hAnsi="Calibri"/>
          <w:sz w:val="24"/>
          <w:lang w:val="en-US"/>
        </w:rPr>
        <w:fldChar w:fldCharType="end"/>
      </w:r>
      <w:r w:rsidR="003E3F6A" w:rsidRPr="007F6D00">
        <w:rPr>
          <w:rFonts w:ascii="Calibri" w:hAnsi="Calibri"/>
          <w:sz w:val="24"/>
          <w:lang w:val="en-US"/>
        </w:rPr>
        <w:t xml:space="preserve">. </w:t>
      </w:r>
      <w:r w:rsidR="00621619" w:rsidRPr="007F6D00">
        <w:rPr>
          <w:rFonts w:ascii="Calibri" w:hAnsi="Calibri"/>
          <w:sz w:val="24"/>
          <w:lang w:val="en-US"/>
        </w:rPr>
        <w:t xml:space="preserve">Obesity is associated with an increased risk of a number of diseases, including type II diabetes, hypertension, </w:t>
      </w:r>
      <w:r w:rsidR="007F6D00" w:rsidRPr="007F6D00">
        <w:rPr>
          <w:rFonts w:ascii="Calibri" w:hAnsi="Calibri"/>
          <w:sz w:val="24"/>
          <w:lang w:val="en-US"/>
        </w:rPr>
        <w:t>ischemic</w:t>
      </w:r>
      <w:r w:rsidR="00621619" w:rsidRPr="007F6D00">
        <w:rPr>
          <w:rFonts w:ascii="Calibri" w:hAnsi="Calibri"/>
          <w:sz w:val="24"/>
          <w:lang w:val="en-US"/>
        </w:rPr>
        <w:t xml:space="preserve"> heart disease and cancer</w:t>
      </w:r>
      <w:r w:rsidR="004C2D21" w:rsidRPr="007F6D00">
        <w:rPr>
          <w:rFonts w:ascii="Calibri" w:hAnsi="Calibri"/>
          <w:sz w:val="24"/>
          <w:lang w:val="en-US"/>
        </w:rPr>
        <w:fldChar w:fldCharType="begin"/>
      </w:r>
      <w:r w:rsidR="004C2D21" w:rsidRPr="007F6D00">
        <w:rPr>
          <w:rFonts w:ascii="Calibri" w:hAnsi="Calibri"/>
          <w:sz w:val="24"/>
          <w:lang w:val="en-US"/>
        </w:rPr>
        <w:instrText>ADDIN RW.CITE{{418 Wang, Y Claire 2011;423 Kahn, Steven E 2006;425 Re, Richard N 2009;426 Gordon, Tavia 1977;427 Calle, Eugenia E 2004}}</w:instrText>
      </w:r>
      <w:r w:rsidR="004C2D21" w:rsidRPr="007F6D00">
        <w:rPr>
          <w:rFonts w:ascii="Calibri" w:hAnsi="Calibri"/>
          <w:sz w:val="24"/>
          <w:lang w:val="en-US"/>
        </w:rPr>
        <w:fldChar w:fldCharType="separate"/>
      </w:r>
      <w:r w:rsidR="00874BCF" w:rsidRPr="007F6D00">
        <w:rPr>
          <w:rFonts w:ascii="Calibri" w:hAnsi="Calibri"/>
          <w:sz w:val="24"/>
          <w:lang w:val="en-US"/>
        </w:rPr>
        <w:t>(2-6)</w:t>
      </w:r>
      <w:r w:rsidR="004C2D21" w:rsidRPr="007F6D00">
        <w:rPr>
          <w:rFonts w:ascii="Calibri" w:hAnsi="Calibri"/>
          <w:sz w:val="24"/>
          <w:lang w:val="en-US"/>
        </w:rPr>
        <w:fldChar w:fldCharType="end"/>
      </w:r>
      <w:r w:rsidR="00621619" w:rsidRPr="007F6D00">
        <w:rPr>
          <w:rFonts w:ascii="Calibri" w:hAnsi="Calibri"/>
          <w:sz w:val="24"/>
          <w:lang w:val="en-US"/>
        </w:rPr>
        <w:t xml:space="preserve">. </w:t>
      </w:r>
      <w:r w:rsidR="0016197F" w:rsidRPr="007F6D00">
        <w:rPr>
          <w:rFonts w:ascii="Calibri" w:hAnsi="Calibri"/>
          <w:sz w:val="24"/>
          <w:lang w:val="en-US"/>
        </w:rPr>
        <w:t xml:space="preserve">The continued rise in prevalence of obesity over the past 50 years </w:t>
      </w:r>
      <w:r w:rsidR="003E3F6A" w:rsidRPr="007F6D00">
        <w:rPr>
          <w:rFonts w:ascii="Calibri" w:hAnsi="Calibri"/>
          <w:sz w:val="24"/>
          <w:lang w:val="en-US"/>
        </w:rPr>
        <w:t xml:space="preserve">subsequently </w:t>
      </w:r>
      <w:r w:rsidR="0016197F" w:rsidRPr="007F6D00">
        <w:rPr>
          <w:rFonts w:ascii="Calibri" w:hAnsi="Calibri"/>
          <w:sz w:val="24"/>
          <w:lang w:val="en-US"/>
        </w:rPr>
        <w:t>presents a challenge to health systems globally</w:t>
      </w:r>
      <w:r w:rsidR="0016197F" w:rsidRPr="007F6D00">
        <w:rPr>
          <w:rFonts w:ascii="Calibri" w:hAnsi="Calibri"/>
          <w:sz w:val="24"/>
          <w:lang w:val="en-US"/>
        </w:rPr>
        <w:fldChar w:fldCharType="begin"/>
      </w:r>
      <w:r w:rsidR="0016197F" w:rsidRPr="007F6D00">
        <w:rPr>
          <w:rFonts w:ascii="Calibri" w:hAnsi="Calibri"/>
          <w:sz w:val="24"/>
          <w:lang w:val="en-US"/>
        </w:rPr>
        <w:instrText>ADDIN RW.CITE{{421 Hruby, Adela 2015}}</w:instrText>
      </w:r>
      <w:r w:rsidR="0016197F" w:rsidRPr="007F6D00">
        <w:rPr>
          <w:rFonts w:ascii="Calibri" w:hAnsi="Calibri"/>
          <w:sz w:val="24"/>
          <w:lang w:val="en-US"/>
        </w:rPr>
        <w:fldChar w:fldCharType="separate"/>
      </w:r>
      <w:r w:rsidR="00874BCF" w:rsidRPr="007F6D00">
        <w:rPr>
          <w:rFonts w:ascii="Calibri" w:hAnsi="Calibri"/>
          <w:sz w:val="24"/>
          <w:lang w:val="en-US"/>
        </w:rPr>
        <w:t>(7)</w:t>
      </w:r>
      <w:r w:rsidR="0016197F" w:rsidRPr="007F6D00">
        <w:rPr>
          <w:rFonts w:ascii="Calibri" w:hAnsi="Calibri"/>
          <w:sz w:val="24"/>
          <w:lang w:val="en-US"/>
        </w:rPr>
        <w:fldChar w:fldCharType="end"/>
      </w:r>
      <w:r w:rsidR="003E3F6A" w:rsidRPr="007F6D00">
        <w:rPr>
          <w:rFonts w:ascii="Calibri" w:hAnsi="Calibri"/>
          <w:sz w:val="24"/>
          <w:lang w:val="en-US"/>
        </w:rPr>
        <w:t xml:space="preserve">. </w:t>
      </w:r>
      <w:r w:rsidR="0016197F" w:rsidRPr="007F6D00">
        <w:rPr>
          <w:rFonts w:ascii="Calibri" w:hAnsi="Calibri"/>
          <w:sz w:val="24"/>
          <w:lang w:val="en-US"/>
        </w:rPr>
        <w:t>In the United States</w:t>
      </w:r>
      <w:r w:rsidR="00020653" w:rsidRPr="007F6D00">
        <w:rPr>
          <w:rFonts w:ascii="Calibri" w:hAnsi="Calibri"/>
          <w:sz w:val="24"/>
          <w:lang w:val="en-US"/>
        </w:rPr>
        <w:t>,</w:t>
      </w:r>
      <w:r w:rsidR="0016197F" w:rsidRPr="007F6D00">
        <w:rPr>
          <w:rFonts w:ascii="Calibri" w:hAnsi="Calibri"/>
          <w:sz w:val="24"/>
          <w:lang w:val="en-US"/>
        </w:rPr>
        <w:t xml:space="preserve"> the number of </w:t>
      </w:r>
      <w:r w:rsidR="00C464F8" w:rsidRPr="007F6D00">
        <w:rPr>
          <w:rFonts w:ascii="Calibri" w:hAnsi="Calibri"/>
          <w:sz w:val="24"/>
          <w:lang w:val="en-US"/>
        </w:rPr>
        <w:t>adults</w:t>
      </w:r>
      <w:r w:rsidR="0016197F" w:rsidRPr="007F6D00">
        <w:rPr>
          <w:rFonts w:ascii="Calibri" w:hAnsi="Calibri"/>
          <w:sz w:val="24"/>
          <w:lang w:val="en-US"/>
        </w:rPr>
        <w:t xml:space="preserve"> who are now obese stands at around 35%, having grown by </w:t>
      </w:r>
      <w:r w:rsidR="001D5A04" w:rsidRPr="007F6D00">
        <w:rPr>
          <w:rFonts w:ascii="Calibri" w:hAnsi="Calibri"/>
          <w:sz w:val="24"/>
          <w:lang w:val="en-US"/>
        </w:rPr>
        <w:t>more than</w:t>
      </w:r>
      <w:r w:rsidR="0016197F" w:rsidRPr="007F6D00">
        <w:rPr>
          <w:rFonts w:ascii="Calibri" w:hAnsi="Calibri"/>
          <w:sz w:val="24"/>
          <w:lang w:val="en-US"/>
        </w:rPr>
        <w:t xml:space="preserve"> 2%</w:t>
      </w:r>
      <w:r w:rsidR="00C464F8" w:rsidRPr="007F6D00">
        <w:rPr>
          <w:rFonts w:ascii="Calibri" w:hAnsi="Calibri"/>
          <w:sz w:val="24"/>
          <w:lang w:val="en-US"/>
        </w:rPr>
        <w:t xml:space="preserve"> over a decade</w:t>
      </w:r>
      <w:r w:rsidR="00C464F8" w:rsidRPr="007F6D00">
        <w:rPr>
          <w:rFonts w:ascii="Calibri" w:hAnsi="Calibri"/>
          <w:sz w:val="24"/>
          <w:lang w:val="en-US"/>
        </w:rPr>
        <w:fldChar w:fldCharType="begin"/>
      </w:r>
      <w:r w:rsidR="00C464F8" w:rsidRPr="007F6D00">
        <w:rPr>
          <w:rFonts w:ascii="Calibri" w:hAnsi="Calibri"/>
          <w:sz w:val="24"/>
          <w:lang w:val="en-US"/>
        </w:rPr>
        <w:instrText>ADDIN RW.CITE{{422 Ogden, Cynthia L 2014}}</w:instrText>
      </w:r>
      <w:r w:rsidR="00C464F8" w:rsidRPr="007F6D00">
        <w:rPr>
          <w:rFonts w:ascii="Calibri" w:hAnsi="Calibri"/>
          <w:sz w:val="24"/>
          <w:lang w:val="en-US"/>
        </w:rPr>
        <w:fldChar w:fldCharType="separate"/>
      </w:r>
      <w:r w:rsidR="00874BCF" w:rsidRPr="007F6D00">
        <w:rPr>
          <w:rFonts w:ascii="Calibri" w:hAnsi="Calibri"/>
          <w:sz w:val="24"/>
          <w:lang w:val="en-US"/>
        </w:rPr>
        <w:t>(8)</w:t>
      </w:r>
      <w:r w:rsidR="00C464F8" w:rsidRPr="007F6D00">
        <w:rPr>
          <w:rFonts w:ascii="Calibri" w:hAnsi="Calibri"/>
          <w:sz w:val="24"/>
          <w:lang w:val="en-US"/>
        </w:rPr>
        <w:fldChar w:fldCharType="end"/>
      </w:r>
      <w:r w:rsidR="003E3F6A" w:rsidRPr="007F6D00">
        <w:rPr>
          <w:rFonts w:ascii="Calibri" w:hAnsi="Calibri"/>
          <w:sz w:val="24"/>
          <w:lang w:val="en-US"/>
        </w:rPr>
        <w:t xml:space="preserve">. </w:t>
      </w:r>
      <w:r w:rsidR="00020653" w:rsidRPr="007F6D00">
        <w:rPr>
          <w:rFonts w:ascii="Calibri" w:hAnsi="Calibri"/>
          <w:sz w:val="24"/>
          <w:lang w:val="en-US"/>
        </w:rPr>
        <w:t>In the United Kingdom, 7 out of 10 people are projected to be either overweight or obese by 2020</w:t>
      </w:r>
      <w:r w:rsidR="003E3F6A" w:rsidRPr="007F6D00">
        <w:rPr>
          <w:rFonts w:ascii="Calibri" w:hAnsi="Calibri"/>
          <w:sz w:val="24"/>
          <w:lang w:val="en-US"/>
        </w:rPr>
        <w:fldChar w:fldCharType="begin"/>
      </w:r>
      <w:r w:rsidR="003E3F6A" w:rsidRPr="007F6D00">
        <w:rPr>
          <w:rFonts w:ascii="Calibri" w:hAnsi="Calibri"/>
          <w:sz w:val="24"/>
          <w:lang w:val="en-US"/>
        </w:rPr>
        <w:instrText>ADDIN RW.CITE{{418 Wang, Y Claire 2011}}</w:instrText>
      </w:r>
      <w:r w:rsidR="003E3F6A" w:rsidRPr="007F6D00">
        <w:rPr>
          <w:rFonts w:ascii="Calibri" w:hAnsi="Calibri"/>
          <w:sz w:val="24"/>
          <w:lang w:val="en-US"/>
        </w:rPr>
        <w:fldChar w:fldCharType="separate"/>
      </w:r>
      <w:r w:rsidR="00874BCF" w:rsidRPr="007F6D00">
        <w:rPr>
          <w:rFonts w:ascii="Calibri" w:hAnsi="Calibri"/>
          <w:sz w:val="24"/>
          <w:lang w:val="en-US"/>
        </w:rPr>
        <w:t>(2)</w:t>
      </w:r>
      <w:r w:rsidR="003E3F6A" w:rsidRPr="007F6D00">
        <w:rPr>
          <w:rFonts w:ascii="Calibri" w:hAnsi="Calibri"/>
          <w:sz w:val="24"/>
          <w:lang w:val="en-US"/>
        </w:rPr>
        <w:fldChar w:fldCharType="end"/>
      </w:r>
      <w:r w:rsidR="00D948AA" w:rsidRPr="007F6D00">
        <w:rPr>
          <w:rFonts w:ascii="Calibri" w:hAnsi="Calibri"/>
          <w:sz w:val="24"/>
          <w:lang w:val="en-US"/>
        </w:rPr>
        <w:t xml:space="preserve">. </w:t>
      </w:r>
    </w:p>
    <w:p w14:paraId="4C192A79" w14:textId="77777777" w:rsidR="00020653" w:rsidRPr="007F6D00" w:rsidRDefault="00020653" w:rsidP="003858EC">
      <w:pPr>
        <w:spacing w:line="480" w:lineRule="auto"/>
        <w:jc w:val="both"/>
        <w:rPr>
          <w:rFonts w:ascii="Calibri" w:hAnsi="Calibri"/>
          <w:sz w:val="24"/>
          <w:lang w:val="en-US"/>
        </w:rPr>
      </w:pPr>
    </w:p>
    <w:p w14:paraId="6B486506" w14:textId="369F5FF2" w:rsidR="006E3335" w:rsidRPr="007F6D00" w:rsidRDefault="00B83201" w:rsidP="003858EC">
      <w:pPr>
        <w:spacing w:line="480" w:lineRule="auto"/>
        <w:jc w:val="both"/>
        <w:rPr>
          <w:rFonts w:ascii="Calibri" w:hAnsi="Calibri"/>
          <w:sz w:val="24"/>
          <w:lang w:val="en-US"/>
        </w:rPr>
      </w:pPr>
      <w:r w:rsidRPr="007F6D00">
        <w:rPr>
          <w:rFonts w:ascii="Calibri" w:hAnsi="Calibri"/>
          <w:sz w:val="24"/>
          <w:lang w:val="en-US"/>
        </w:rPr>
        <w:t xml:space="preserve">Previous high impact meta-analyses have been conducted to elucidate the effect of BMI on </w:t>
      </w:r>
      <w:r w:rsidR="008061B9" w:rsidRPr="007F6D00">
        <w:rPr>
          <w:rFonts w:ascii="Calibri" w:hAnsi="Calibri"/>
          <w:sz w:val="24"/>
          <w:lang w:val="en-US"/>
        </w:rPr>
        <w:t>al</w:t>
      </w:r>
      <w:r w:rsidR="006D355E" w:rsidRPr="007F6D00">
        <w:rPr>
          <w:rFonts w:ascii="Calibri" w:hAnsi="Calibri"/>
          <w:sz w:val="24"/>
          <w:lang w:val="en-US"/>
        </w:rPr>
        <w:t>l</w:t>
      </w:r>
      <w:r w:rsidR="008061B9" w:rsidRPr="007F6D00">
        <w:rPr>
          <w:rFonts w:ascii="Calibri" w:hAnsi="Calibri"/>
          <w:sz w:val="24"/>
          <w:lang w:val="en-US"/>
        </w:rPr>
        <w:t>-cause mortality</w:t>
      </w:r>
      <w:r w:rsidR="006D355E" w:rsidRPr="007F6D00">
        <w:rPr>
          <w:rFonts w:ascii="Calibri" w:hAnsi="Calibri"/>
          <w:sz w:val="24"/>
          <w:lang w:val="en-US"/>
        </w:rPr>
        <w:fldChar w:fldCharType="begin"/>
      </w:r>
      <w:r w:rsidR="006D355E" w:rsidRPr="007F6D00">
        <w:rPr>
          <w:rFonts w:ascii="Calibri" w:hAnsi="Calibri"/>
          <w:sz w:val="24"/>
          <w:lang w:val="en-US"/>
        </w:rPr>
        <w:instrText>ADDIN RW.CITE{{428 Aune,D. 2016;429 Global BMI Mortality Collaboration 2016;430 Prospective Studies Collaboration 2009}}</w:instrText>
      </w:r>
      <w:r w:rsidR="006D355E" w:rsidRPr="007F6D00">
        <w:rPr>
          <w:rFonts w:ascii="Calibri" w:hAnsi="Calibri"/>
          <w:sz w:val="24"/>
          <w:lang w:val="en-US"/>
        </w:rPr>
        <w:fldChar w:fldCharType="separate"/>
      </w:r>
      <w:r w:rsidR="00874BCF" w:rsidRPr="007F6D00">
        <w:rPr>
          <w:rFonts w:ascii="Calibri" w:hAnsi="Calibri"/>
          <w:sz w:val="24"/>
          <w:lang w:val="en-US"/>
        </w:rPr>
        <w:t>(9-11)</w:t>
      </w:r>
      <w:r w:rsidR="006D355E" w:rsidRPr="007F6D00">
        <w:rPr>
          <w:rFonts w:ascii="Calibri" w:hAnsi="Calibri"/>
          <w:sz w:val="24"/>
          <w:lang w:val="en-US"/>
        </w:rPr>
        <w:fldChar w:fldCharType="end"/>
      </w:r>
      <w:r w:rsidR="008061B9" w:rsidRPr="007F6D00">
        <w:rPr>
          <w:rFonts w:ascii="Calibri" w:hAnsi="Calibri"/>
          <w:sz w:val="24"/>
          <w:lang w:val="en-US"/>
        </w:rPr>
        <w:t xml:space="preserve">. </w:t>
      </w:r>
      <w:r w:rsidR="003B0D77" w:rsidRPr="007F6D00">
        <w:rPr>
          <w:rFonts w:ascii="Calibri" w:hAnsi="Calibri"/>
          <w:sz w:val="24"/>
          <w:lang w:val="en-US"/>
        </w:rPr>
        <w:t>From these</w:t>
      </w:r>
      <w:r w:rsidR="00FF3FE3" w:rsidRPr="007F6D00">
        <w:rPr>
          <w:rFonts w:ascii="Calibri" w:hAnsi="Calibri"/>
          <w:sz w:val="24"/>
          <w:lang w:val="en-US"/>
        </w:rPr>
        <w:t>,</w:t>
      </w:r>
      <w:r w:rsidR="006D355E" w:rsidRPr="007F6D00">
        <w:rPr>
          <w:rFonts w:ascii="Calibri" w:hAnsi="Calibri"/>
          <w:sz w:val="24"/>
          <w:lang w:val="en-US"/>
        </w:rPr>
        <w:t xml:space="preserve"> a J-shaped </w:t>
      </w:r>
      <w:r w:rsidR="003B0D77" w:rsidRPr="007F6D00">
        <w:rPr>
          <w:rFonts w:ascii="Calibri" w:hAnsi="Calibri"/>
          <w:sz w:val="24"/>
          <w:lang w:val="en-US"/>
        </w:rPr>
        <w:t>curve has been identified. Patients with</w:t>
      </w:r>
      <w:r w:rsidR="00F16B08" w:rsidRPr="007F6D00">
        <w:rPr>
          <w:rFonts w:ascii="Calibri" w:hAnsi="Calibri"/>
          <w:sz w:val="24"/>
          <w:lang w:val="en-US"/>
        </w:rPr>
        <w:t xml:space="preserve"> a BMI betw</w:t>
      </w:r>
      <w:r w:rsidR="003B0D77" w:rsidRPr="007F6D00">
        <w:rPr>
          <w:rFonts w:ascii="Calibri" w:hAnsi="Calibri"/>
          <w:sz w:val="24"/>
          <w:lang w:val="en-US"/>
        </w:rPr>
        <w:t>een 20kg/m</w:t>
      </w:r>
      <w:r w:rsidR="003B0D77" w:rsidRPr="007F6D00">
        <w:rPr>
          <w:rFonts w:ascii="Calibri" w:hAnsi="Calibri"/>
          <w:sz w:val="24"/>
          <w:vertAlign w:val="superscript"/>
          <w:lang w:val="en-US"/>
        </w:rPr>
        <w:t>2</w:t>
      </w:r>
      <w:r w:rsidR="003B0D77" w:rsidRPr="007F6D00">
        <w:rPr>
          <w:rFonts w:ascii="Calibri" w:hAnsi="Calibri"/>
          <w:sz w:val="24"/>
          <w:lang w:val="en-US"/>
        </w:rPr>
        <w:t xml:space="preserve"> and 25kg/m</w:t>
      </w:r>
      <w:r w:rsidR="003B0D77" w:rsidRPr="007F6D00">
        <w:rPr>
          <w:rFonts w:ascii="Calibri" w:hAnsi="Calibri"/>
          <w:sz w:val="24"/>
          <w:vertAlign w:val="superscript"/>
          <w:lang w:val="en-US"/>
        </w:rPr>
        <w:t>2</w:t>
      </w:r>
      <w:r w:rsidR="003B0D77" w:rsidRPr="007F6D00">
        <w:rPr>
          <w:rFonts w:ascii="Calibri" w:hAnsi="Calibri"/>
          <w:sz w:val="24"/>
          <w:lang w:val="en-US"/>
        </w:rPr>
        <w:t xml:space="preserve"> have</w:t>
      </w:r>
      <w:r w:rsidR="00F16B08" w:rsidRPr="007F6D00">
        <w:rPr>
          <w:rFonts w:ascii="Calibri" w:hAnsi="Calibri"/>
          <w:sz w:val="24"/>
          <w:lang w:val="en-US"/>
        </w:rPr>
        <w:t xml:space="preserve"> the lowest relative risk of all-cause mortality</w:t>
      </w:r>
      <w:r w:rsidR="003B0D77" w:rsidRPr="007F6D00">
        <w:rPr>
          <w:rFonts w:ascii="Calibri" w:hAnsi="Calibri"/>
          <w:sz w:val="24"/>
          <w:lang w:val="en-US"/>
        </w:rPr>
        <w:t>, whilst underweight and overweight patients are at increased risk</w:t>
      </w:r>
      <w:r w:rsidR="004506D3" w:rsidRPr="007F6D00">
        <w:rPr>
          <w:rFonts w:ascii="Calibri" w:hAnsi="Calibri"/>
          <w:sz w:val="24"/>
          <w:lang w:val="en-US"/>
        </w:rPr>
        <w:t>,</w:t>
      </w:r>
      <w:r w:rsidR="003B0D77" w:rsidRPr="007F6D00">
        <w:rPr>
          <w:rFonts w:ascii="Calibri" w:hAnsi="Calibri"/>
          <w:sz w:val="24"/>
          <w:lang w:val="en-US"/>
        </w:rPr>
        <w:t xml:space="preserve"> and patients at the highest extremes of BMI </w:t>
      </w:r>
      <w:r w:rsidR="004506D3" w:rsidRPr="007F6D00">
        <w:rPr>
          <w:rFonts w:ascii="Calibri" w:hAnsi="Calibri"/>
          <w:sz w:val="24"/>
          <w:lang w:val="en-US"/>
        </w:rPr>
        <w:t xml:space="preserve">are </w:t>
      </w:r>
      <w:r w:rsidR="003B0D77" w:rsidRPr="007F6D00">
        <w:rPr>
          <w:rFonts w:ascii="Calibri" w:hAnsi="Calibri"/>
          <w:sz w:val="24"/>
          <w:lang w:val="en-US"/>
        </w:rPr>
        <w:t>at</w:t>
      </w:r>
      <w:r w:rsidR="004506D3" w:rsidRPr="007F6D00">
        <w:rPr>
          <w:rFonts w:ascii="Calibri" w:hAnsi="Calibri"/>
          <w:sz w:val="24"/>
          <w:lang w:val="en-US"/>
        </w:rPr>
        <w:t xml:space="preserve"> the</w:t>
      </w:r>
      <w:r w:rsidR="003B0D77" w:rsidRPr="007F6D00">
        <w:rPr>
          <w:rFonts w:ascii="Calibri" w:hAnsi="Calibri"/>
          <w:sz w:val="24"/>
          <w:lang w:val="en-US"/>
        </w:rPr>
        <w:t xml:space="preserve"> most risk. The impact of obesity on</w:t>
      </w:r>
      <w:r w:rsidR="0008783D" w:rsidRPr="007F6D00">
        <w:rPr>
          <w:rFonts w:ascii="Calibri" w:hAnsi="Calibri"/>
          <w:sz w:val="24"/>
          <w:lang w:val="en-US"/>
        </w:rPr>
        <w:t xml:space="preserve"> health is no</w:t>
      </w:r>
      <w:r w:rsidR="003B0D77" w:rsidRPr="007F6D00">
        <w:rPr>
          <w:rFonts w:ascii="Calibri" w:hAnsi="Calibri"/>
          <w:sz w:val="24"/>
          <w:lang w:val="en-US"/>
        </w:rPr>
        <w:t>t just a result of weight alone</w:t>
      </w:r>
      <w:r w:rsidR="0008783D" w:rsidRPr="007F6D00">
        <w:rPr>
          <w:rFonts w:ascii="Calibri" w:hAnsi="Calibri"/>
          <w:sz w:val="24"/>
          <w:lang w:val="en-US"/>
        </w:rPr>
        <w:t xml:space="preserve"> </w:t>
      </w:r>
      <w:r w:rsidR="007F6D00" w:rsidRPr="007F6D00">
        <w:rPr>
          <w:rFonts w:ascii="Calibri" w:hAnsi="Calibri"/>
          <w:sz w:val="24"/>
          <w:lang w:val="en-US"/>
        </w:rPr>
        <w:t>but also</w:t>
      </w:r>
      <w:r w:rsidR="0008783D" w:rsidRPr="007F6D00">
        <w:rPr>
          <w:rFonts w:ascii="Calibri" w:hAnsi="Calibri"/>
          <w:sz w:val="24"/>
          <w:lang w:val="en-US"/>
        </w:rPr>
        <w:t xml:space="preserve"> the metabolic sequ</w:t>
      </w:r>
      <w:r w:rsidR="001171D0" w:rsidRPr="007F6D00">
        <w:rPr>
          <w:rFonts w:ascii="Calibri" w:hAnsi="Calibri"/>
          <w:sz w:val="24"/>
          <w:lang w:val="en-US"/>
        </w:rPr>
        <w:t>e</w:t>
      </w:r>
      <w:r w:rsidR="0008783D" w:rsidRPr="007F6D00">
        <w:rPr>
          <w:rFonts w:ascii="Calibri" w:hAnsi="Calibri"/>
          <w:sz w:val="24"/>
          <w:lang w:val="en-US"/>
        </w:rPr>
        <w:t xml:space="preserve">lae that are propagated by </w:t>
      </w:r>
      <w:r w:rsidR="00B17037" w:rsidRPr="007F6D00">
        <w:rPr>
          <w:rFonts w:ascii="Calibri" w:hAnsi="Calibri"/>
          <w:sz w:val="24"/>
          <w:lang w:val="en-US"/>
        </w:rPr>
        <w:t>increased adiposity.</w:t>
      </w:r>
      <w:r w:rsidR="006E3335" w:rsidRPr="007F6D00">
        <w:rPr>
          <w:rFonts w:ascii="Calibri" w:hAnsi="Calibri"/>
          <w:sz w:val="24"/>
          <w:lang w:val="en-US"/>
        </w:rPr>
        <w:t xml:space="preserve"> A previous analysis of </w:t>
      </w:r>
      <w:r w:rsidR="00014F36" w:rsidRPr="007F6D00">
        <w:rPr>
          <w:rFonts w:ascii="Calibri" w:hAnsi="Calibri"/>
          <w:sz w:val="24"/>
          <w:lang w:val="en-US"/>
        </w:rPr>
        <w:t xml:space="preserve">the Clinical Practice Research Datalink (CPRD) </w:t>
      </w:r>
      <w:r w:rsidR="006E3335" w:rsidRPr="007F6D00">
        <w:rPr>
          <w:rFonts w:ascii="Calibri" w:hAnsi="Calibri"/>
          <w:sz w:val="24"/>
          <w:lang w:val="en-US"/>
        </w:rPr>
        <w:t>from the United Kingdom</w:t>
      </w:r>
      <w:r w:rsidR="001D5A04" w:rsidRPr="007F6D00">
        <w:rPr>
          <w:rFonts w:ascii="Calibri" w:hAnsi="Calibri"/>
          <w:sz w:val="24"/>
          <w:lang w:val="en-US"/>
        </w:rPr>
        <w:t xml:space="preserve"> (UK)</w:t>
      </w:r>
      <w:r w:rsidR="006E3335" w:rsidRPr="007F6D00">
        <w:rPr>
          <w:rFonts w:ascii="Calibri" w:hAnsi="Calibri"/>
          <w:sz w:val="24"/>
          <w:lang w:val="en-US"/>
        </w:rPr>
        <w:t xml:space="preserve"> </w:t>
      </w:r>
      <w:r w:rsidR="001D5A04" w:rsidRPr="007F6D00">
        <w:rPr>
          <w:rFonts w:ascii="Calibri" w:hAnsi="Calibri"/>
          <w:sz w:val="24"/>
          <w:lang w:val="en-US"/>
        </w:rPr>
        <w:t>between 1988 to 1998</w:t>
      </w:r>
      <w:r w:rsidR="006E3335" w:rsidRPr="007F6D00">
        <w:rPr>
          <w:rFonts w:ascii="Calibri" w:hAnsi="Calibri"/>
          <w:sz w:val="24"/>
          <w:lang w:val="en-US"/>
        </w:rPr>
        <w:t xml:space="preserve"> identified factors which are associated with increased risk of death in a </w:t>
      </w:r>
      <w:r w:rsidR="006E3335" w:rsidRPr="0023678E">
        <w:rPr>
          <w:rFonts w:ascii="Calibri" w:hAnsi="Calibri"/>
          <w:strike/>
          <w:sz w:val="24"/>
          <w:highlight w:val="yellow"/>
          <w:lang w:val="en-US"/>
        </w:rPr>
        <w:t>morbidly</w:t>
      </w:r>
      <w:r w:rsidR="006E3335"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6E3335" w:rsidRPr="007F6D00">
        <w:rPr>
          <w:rFonts w:ascii="Calibri" w:hAnsi="Calibri"/>
          <w:sz w:val="24"/>
          <w:lang w:val="en-US"/>
        </w:rPr>
        <w:t>obese population; including age, type 2 diabetes mellitus, male sex and smoking</w:t>
      </w:r>
      <w:r w:rsidR="00874BCF" w:rsidRPr="007F6D00">
        <w:rPr>
          <w:rFonts w:ascii="Calibri" w:hAnsi="Calibri"/>
          <w:sz w:val="24"/>
          <w:lang w:val="en-US"/>
        </w:rPr>
        <w:fldChar w:fldCharType="begin"/>
      </w:r>
      <w:r w:rsidR="00874BCF" w:rsidRPr="007F6D00">
        <w:rPr>
          <w:rFonts w:ascii="Calibri" w:hAnsi="Calibri"/>
          <w:sz w:val="24"/>
          <w:lang w:val="en-US"/>
        </w:rPr>
        <w:instrText>ADDIN RW.CITE{{431 Padwal, Raj S 2013}}</w:instrText>
      </w:r>
      <w:r w:rsidR="00874BCF" w:rsidRPr="007F6D00">
        <w:rPr>
          <w:rFonts w:ascii="Calibri" w:hAnsi="Calibri"/>
          <w:sz w:val="24"/>
          <w:lang w:val="en-US"/>
        </w:rPr>
        <w:fldChar w:fldCharType="separate"/>
      </w:r>
      <w:r w:rsidR="00874BCF" w:rsidRPr="007F6D00">
        <w:rPr>
          <w:rFonts w:ascii="Calibri" w:hAnsi="Calibri"/>
          <w:sz w:val="24"/>
          <w:lang w:val="en-US"/>
        </w:rPr>
        <w:t>(12)</w:t>
      </w:r>
      <w:r w:rsidR="00874BCF" w:rsidRPr="007F6D00">
        <w:rPr>
          <w:rFonts w:ascii="Calibri" w:hAnsi="Calibri"/>
          <w:sz w:val="24"/>
          <w:lang w:val="en-US"/>
        </w:rPr>
        <w:fldChar w:fldCharType="end"/>
      </w:r>
      <w:r w:rsidR="006E3335" w:rsidRPr="007F6D00">
        <w:rPr>
          <w:rFonts w:ascii="Calibri" w:hAnsi="Calibri"/>
          <w:sz w:val="24"/>
          <w:lang w:val="en-US"/>
        </w:rPr>
        <w:t xml:space="preserve">. </w:t>
      </w:r>
      <w:r w:rsidR="00014F36" w:rsidRPr="007F6D00">
        <w:rPr>
          <w:rFonts w:ascii="Calibri" w:hAnsi="Calibri"/>
          <w:sz w:val="24"/>
          <w:lang w:val="en-US"/>
        </w:rPr>
        <w:t xml:space="preserve">The CPRD collects data from primary care physicians, </w:t>
      </w:r>
      <w:r w:rsidR="004506D3" w:rsidRPr="007F6D00">
        <w:rPr>
          <w:rFonts w:ascii="Calibri" w:hAnsi="Calibri"/>
          <w:sz w:val="24"/>
          <w:lang w:val="en-US"/>
        </w:rPr>
        <w:t xml:space="preserve">and </w:t>
      </w:r>
      <w:r w:rsidR="00014F36" w:rsidRPr="007F6D00">
        <w:rPr>
          <w:rFonts w:ascii="Calibri" w:hAnsi="Calibri"/>
          <w:sz w:val="24"/>
          <w:lang w:val="en-US"/>
        </w:rPr>
        <w:t>account</w:t>
      </w:r>
      <w:r w:rsidR="004506D3" w:rsidRPr="007F6D00">
        <w:rPr>
          <w:rFonts w:ascii="Calibri" w:hAnsi="Calibri"/>
          <w:sz w:val="24"/>
          <w:lang w:val="en-US"/>
        </w:rPr>
        <w:t>s</w:t>
      </w:r>
      <w:r w:rsidR="00014F36" w:rsidRPr="007F6D00">
        <w:rPr>
          <w:rFonts w:ascii="Calibri" w:hAnsi="Calibri"/>
          <w:sz w:val="24"/>
          <w:lang w:val="en-US"/>
        </w:rPr>
        <w:t xml:space="preserve"> for 8.9% of the </w:t>
      </w:r>
      <w:r w:rsidR="004506D3" w:rsidRPr="007F6D00">
        <w:rPr>
          <w:rFonts w:ascii="Calibri" w:hAnsi="Calibri"/>
          <w:sz w:val="24"/>
          <w:lang w:val="en-US"/>
        </w:rPr>
        <w:t xml:space="preserve">UK </w:t>
      </w:r>
      <w:r w:rsidR="00014F36" w:rsidRPr="007F6D00">
        <w:rPr>
          <w:rFonts w:ascii="Calibri" w:hAnsi="Calibri"/>
          <w:sz w:val="24"/>
          <w:lang w:val="en-US"/>
        </w:rPr>
        <w:t>population</w:t>
      </w:r>
      <w:r w:rsidR="004506D3" w:rsidRPr="007F6D00">
        <w:rPr>
          <w:rFonts w:ascii="Calibri" w:hAnsi="Calibri"/>
          <w:sz w:val="24"/>
          <w:lang w:val="en-US"/>
        </w:rPr>
        <w:t xml:space="preserve">, </w:t>
      </w:r>
      <w:r w:rsidR="00014F36" w:rsidRPr="007F6D00">
        <w:rPr>
          <w:rFonts w:ascii="Calibri" w:hAnsi="Calibri"/>
          <w:sz w:val="24"/>
          <w:lang w:val="en-US"/>
        </w:rPr>
        <w:t>leading to robust retrospective analysis</w:t>
      </w:r>
      <w:r w:rsidR="00874BCF" w:rsidRPr="007F6D00">
        <w:rPr>
          <w:rFonts w:ascii="Calibri" w:hAnsi="Calibri"/>
          <w:sz w:val="24"/>
          <w:lang w:val="en-US"/>
        </w:rPr>
        <w:t>, as previously described</w:t>
      </w:r>
      <w:r w:rsidR="003858EC" w:rsidRPr="007F6D00">
        <w:rPr>
          <w:rFonts w:ascii="Calibri" w:hAnsi="Calibri"/>
          <w:sz w:val="24"/>
          <w:lang w:val="en-US"/>
        </w:rPr>
        <w:fldChar w:fldCharType="begin"/>
      </w:r>
      <w:r w:rsidR="003858EC" w:rsidRPr="007F6D00">
        <w:rPr>
          <w:rFonts w:ascii="Calibri" w:hAnsi="Calibri"/>
          <w:sz w:val="24"/>
          <w:lang w:val="en-US"/>
        </w:rPr>
        <w:instrText>ADDIN RW.CITE{{385 Campbell, Jennifer 2013}}</w:instrText>
      </w:r>
      <w:r w:rsidR="003858EC" w:rsidRPr="007F6D00">
        <w:rPr>
          <w:rFonts w:ascii="Calibri" w:hAnsi="Calibri"/>
          <w:sz w:val="24"/>
          <w:lang w:val="en-US"/>
        </w:rPr>
        <w:fldChar w:fldCharType="separate"/>
      </w:r>
      <w:r w:rsidR="003858EC" w:rsidRPr="007F6D00">
        <w:rPr>
          <w:rFonts w:ascii="Calibri" w:hAnsi="Calibri"/>
          <w:sz w:val="24"/>
          <w:lang w:val="en-US"/>
        </w:rPr>
        <w:t>(13)</w:t>
      </w:r>
      <w:r w:rsidR="003858EC" w:rsidRPr="007F6D00">
        <w:rPr>
          <w:rFonts w:ascii="Calibri" w:hAnsi="Calibri"/>
          <w:sz w:val="24"/>
          <w:lang w:val="en-US"/>
        </w:rPr>
        <w:fldChar w:fldCharType="end"/>
      </w:r>
      <w:r w:rsidR="00014F36" w:rsidRPr="007F6D00">
        <w:rPr>
          <w:rFonts w:ascii="Calibri" w:hAnsi="Calibri"/>
          <w:sz w:val="24"/>
          <w:lang w:val="en-US"/>
        </w:rPr>
        <w:t>.</w:t>
      </w:r>
    </w:p>
    <w:p w14:paraId="7F2BE637" w14:textId="77777777" w:rsidR="00014F36" w:rsidRPr="007F6D00" w:rsidRDefault="00014F36" w:rsidP="003858EC">
      <w:pPr>
        <w:spacing w:line="480" w:lineRule="auto"/>
        <w:jc w:val="both"/>
        <w:rPr>
          <w:rFonts w:ascii="Calibri" w:hAnsi="Calibri"/>
          <w:sz w:val="24"/>
          <w:lang w:val="en-US"/>
        </w:rPr>
      </w:pPr>
    </w:p>
    <w:p w14:paraId="1F2B934C" w14:textId="30DF1CF4" w:rsidR="00614BFF" w:rsidRPr="007F6D00" w:rsidRDefault="00014F36" w:rsidP="00347E0E">
      <w:pPr>
        <w:spacing w:line="480" w:lineRule="auto"/>
        <w:jc w:val="both"/>
        <w:rPr>
          <w:rFonts w:ascii="Calibri" w:hAnsi="Calibri"/>
          <w:sz w:val="24"/>
          <w:lang w:val="en-US"/>
        </w:rPr>
      </w:pPr>
      <w:r w:rsidRPr="007F6D00">
        <w:rPr>
          <w:rFonts w:ascii="Calibri" w:hAnsi="Calibri"/>
          <w:sz w:val="24"/>
          <w:lang w:val="en-US"/>
        </w:rPr>
        <w:t>Since the previous analysis</w:t>
      </w:r>
      <w:r w:rsidR="004506D3" w:rsidRPr="007F6D00">
        <w:rPr>
          <w:rFonts w:ascii="Calibri" w:hAnsi="Calibri"/>
          <w:sz w:val="24"/>
          <w:lang w:val="en-US"/>
        </w:rPr>
        <w:t>,</w:t>
      </w:r>
      <w:r w:rsidRPr="007F6D00">
        <w:rPr>
          <w:rFonts w:ascii="Calibri" w:hAnsi="Calibri"/>
          <w:sz w:val="24"/>
          <w:lang w:val="en-US"/>
        </w:rPr>
        <w:t xml:space="preserve"> a number of new patients </w:t>
      </w:r>
      <w:r w:rsidR="003858EC" w:rsidRPr="007F6D00">
        <w:rPr>
          <w:rFonts w:ascii="Calibri" w:hAnsi="Calibri"/>
          <w:sz w:val="24"/>
          <w:lang w:val="en-US"/>
        </w:rPr>
        <w:t xml:space="preserve">with </w:t>
      </w:r>
      <w:r w:rsidR="003858EC" w:rsidRPr="0023678E">
        <w:rPr>
          <w:rFonts w:ascii="Calibri" w:hAnsi="Calibri"/>
          <w:strike/>
          <w:sz w:val="24"/>
          <w:highlight w:val="yellow"/>
          <w:lang w:val="en-US"/>
        </w:rPr>
        <w:t>morbid</w:t>
      </w:r>
      <w:r w:rsidR="003858EC" w:rsidRPr="0023678E">
        <w:rPr>
          <w:rFonts w:ascii="Calibri" w:hAnsi="Calibri"/>
          <w:sz w:val="24"/>
          <w:highlight w:val="yellow"/>
          <w:lang w:val="en-US"/>
        </w:rPr>
        <w:t xml:space="preserve"> </w:t>
      </w:r>
      <w:r w:rsidR="0023678E" w:rsidRPr="0023678E">
        <w:rPr>
          <w:rFonts w:ascii="Calibri" w:hAnsi="Calibri"/>
          <w:sz w:val="24"/>
          <w:highlight w:val="yellow"/>
          <w:lang w:val="en-US"/>
        </w:rPr>
        <w:t>severe</w:t>
      </w:r>
      <w:r w:rsidR="0023678E">
        <w:rPr>
          <w:rFonts w:ascii="Calibri" w:hAnsi="Calibri"/>
          <w:sz w:val="24"/>
          <w:lang w:val="en-US"/>
        </w:rPr>
        <w:t xml:space="preserve"> </w:t>
      </w:r>
      <w:r w:rsidR="003858EC" w:rsidRPr="007F6D00">
        <w:rPr>
          <w:rFonts w:ascii="Calibri" w:hAnsi="Calibri"/>
          <w:sz w:val="24"/>
          <w:lang w:val="en-US"/>
        </w:rPr>
        <w:t xml:space="preserve">obesity </w:t>
      </w:r>
      <w:r w:rsidRPr="007F6D00">
        <w:rPr>
          <w:rFonts w:ascii="Calibri" w:hAnsi="Calibri"/>
          <w:sz w:val="24"/>
          <w:lang w:val="en-US"/>
        </w:rPr>
        <w:t xml:space="preserve">have been entered into the CPRD, allowing for an analysis of a modern cohort of patients, who are subject </w:t>
      </w:r>
      <w:r w:rsidR="001A061E" w:rsidRPr="007F6D00">
        <w:rPr>
          <w:rFonts w:ascii="Calibri" w:hAnsi="Calibri"/>
          <w:sz w:val="24"/>
          <w:lang w:val="en-US"/>
        </w:rPr>
        <w:t xml:space="preserve">to </w:t>
      </w:r>
      <w:r w:rsidRPr="007F6D00">
        <w:rPr>
          <w:rFonts w:ascii="Calibri" w:hAnsi="Calibri"/>
          <w:sz w:val="24"/>
          <w:lang w:val="en-US"/>
        </w:rPr>
        <w:t xml:space="preserve">a heavily </w:t>
      </w:r>
      <w:r w:rsidR="003858EC" w:rsidRPr="007F6D00">
        <w:rPr>
          <w:rFonts w:ascii="Calibri" w:hAnsi="Calibri"/>
          <w:sz w:val="24"/>
          <w:lang w:val="en-US"/>
        </w:rPr>
        <w:t>‘</w:t>
      </w:r>
      <w:r w:rsidRPr="007F6D00">
        <w:rPr>
          <w:rFonts w:ascii="Calibri" w:hAnsi="Calibri"/>
          <w:sz w:val="24"/>
          <w:lang w:val="en-US"/>
        </w:rPr>
        <w:t>ob</w:t>
      </w:r>
      <w:r w:rsidR="0043010F" w:rsidRPr="007F6D00">
        <w:rPr>
          <w:rFonts w:ascii="Calibri" w:hAnsi="Calibri"/>
          <w:sz w:val="24"/>
          <w:lang w:val="en-US"/>
        </w:rPr>
        <w:t>es</w:t>
      </w:r>
      <w:r w:rsidRPr="007F6D00">
        <w:rPr>
          <w:rFonts w:ascii="Calibri" w:hAnsi="Calibri"/>
          <w:sz w:val="24"/>
          <w:lang w:val="en-US"/>
        </w:rPr>
        <w:t>ogeni</w:t>
      </w:r>
      <w:r w:rsidR="003858EC" w:rsidRPr="007F6D00">
        <w:rPr>
          <w:rFonts w:ascii="Calibri" w:hAnsi="Calibri"/>
          <w:sz w:val="24"/>
          <w:lang w:val="en-US"/>
        </w:rPr>
        <w:t>c’</w:t>
      </w:r>
      <w:r w:rsidRPr="007F6D00">
        <w:rPr>
          <w:rFonts w:ascii="Calibri" w:hAnsi="Calibri"/>
          <w:sz w:val="24"/>
          <w:lang w:val="en-US"/>
        </w:rPr>
        <w:t xml:space="preserve"> environment</w:t>
      </w:r>
      <w:r w:rsidR="003858EC" w:rsidRPr="007F6D00">
        <w:rPr>
          <w:rFonts w:ascii="Calibri" w:hAnsi="Calibri"/>
          <w:sz w:val="24"/>
          <w:lang w:val="en-US"/>
        </w:rPr>
        <w:fldChar w:fldCharType="begin"/>
      </w:r>
      <w:r w:rsidR="003858EC" w:rsidRPr="007F6D00">
        <w:rPr>
          <w:rFonts w:ascii="Calibri" w:hAnsi="Calibri"/>
          <w:sz w:val="24"/>
          <w:lang w:val="en-US"/>
        </w:rPr>
        <w:instrText>ADDIN RW.CITE{{432 Blakemore,A.I. 2014}}</w:instrText>
      </w:r>
      <w:r w:rsidR="003858EC" w:rsidRPr="007F6D00">
        <w:rPr>
          <w:rFonts w:ascii="Calibri" w:hAnsi="Calibri"/>
          <w:sz w:val="24"/>
          <w:lang w:val="en-US"/>
        </w:rPr>
        <w:fldChar w:fldCharType="separate"/>
      </w:r>
      <w:r w:rsidR="003858EC" w:rsidRPr="007F6D00">
        <w:rPr>
          <w:rFonts w:ascii="Calibri" w:hAnsi="Calibri"/>
          <w:sz w:val="24"/>
          <w:lang w:val="en-US"/>
        </w:rPr>
        <w:t>(14)</w:t>
      </w:r>
      <w:r w:rsidR="003858EC" w:rsidRPr="007F6D00">
        <w:rPr>
          <w:rFonts w:ascii="Calibri" w:hAnsi="Calibri"/>
          <w:sz w:val="24"/>
          <w:lang w:val="en-US"/>
        </w:rPr>
        <w:fldChar w:fldCharType="end"/>
      </w:r>
      <w:r w:rsidRPr="007F6D00">
        <w:rPr>
          <w:rFonts w:ascii="Calibri" w:hAnsi="Calibri"/>
          <w:sz w:val="24"/>
          <w:lang w:val="en-US"/>
        </w:rPr>
        <w:t xml:space="preserve">. The aim of this study was to therefore evaluate the risk factors for all-cause mortality within the </w:t>
      </w:r>
      <w:r w:rsidRPr="0023678E">
        <w:rPr>
          <w:rFonts w:ascii="Calibri" w:hAnsi="Calibri"/>
          <w:strike/>
          <w:sz w:val="24"/>
          <w:highlight w:val="yellow"/>
          <w:lang w:val="en-US"/>
        </w:rPr>
        <w:t>morbidly</w:t>
      </w:r>
      <w:r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Pr="007F6D00">
        <w:rPr>
          <w:rFonts w:ascii="Calibri" w:hAnsi="Calibri"/>
          <w:sz w:val="24"/>
          <w:lang w:val="en-US"/>
        </w:rPr>
        <w:t xml:space="preserve">obese population of the United Kingdom, including those </w:t>
      </w:r>
      <w:r w:rsidR="003858EC" w:rsidRPr="007F6D00">
        <w:rPr>
          <w:rFonts w:ascii="Calibri" w:hAnsi="Calibri"/>
          <w:sz w:val="24"/>
          <w:lang w:val="en-US"/>
        </w:rPr>
        <w:t xml:space="preserve">risk factors </w:t>
      </w:r>
      <w:r w:rsidRPr="007F6D00">
        <w:rPr>
          <w:rFonts w:ascii="Calibri" w:hAnsi="Calibri"/>
          <w:sz w:val="24"/>
          <w:lang w:val="en-US"/>
        </w:rPr>
        <w:t>ignored</w:t>
      </w:r>
      <w:r w:rsidR="003858EC" w:rsidRPr="007F6D00">
        <w:rPr>
          <w:rFonts w:ascii="Calibri" w:hAnsi="Calibri"/>
          <w:sz w:val="24"/>
          <w:lang w:val="en-US"/>
        </w:rPr>
        <w:t xml:space="preserve"> in</w:t>
      </w:r>
      <w:r w:rsidRPr="007F6D00">
        <w:rPr>
          <w:rFonts w:ascii="Calibri" w:hAnsi="Calibri"/>
          <w:sz w:val="24"/>
          <w:lang w:val="en-US"/>
        </w:rPr>
        <w:t xml:space="preserve"> previous analyses of the CPRD. </w:t>
      </w:r>
    </w:p>
    <w:p w14:paraId="6070432A" w14:textId="77777777" w:rsidR="009E1845" w:rsidRPr="007F6D00" w:rsidRDefault="009E1845" w:rsidP="003858EC">
      <w:pPr>
        <w:spacing w:line="480" w:lineRule="auto"/>
        <w:jc w:val="both"/>
        <w:rPr>
          <w:rFonts w:ascii="Calibri" w:hAnsi="Calibri"/>
          <w:sz w:val="24"/>
          <w:lang w:val="en-US"/>
        </w:rPr>
      </w:pPr>
    </w:p>
    <w:p w14:paraId="4DCD8A08" w14:textId="77777777" w:rsidR="009E1845" w:rsidRPr="007F6D00" w:rsidRDefault="009E1845" w:rsidP="003858EC">
      <w:pPr>
        <w:spacing w:line="480" w:lineRule="auto"/>
        <w:jc w:val="both"/>
        <w:rPr>
          <w:rFonts w:ascii="Calibri" w:hAnsi="Calibri"/>
          <w:b/>
          <w:sz w:val="28"/>
          <w:lang w:val="en-US"/>
        </w:rPr>
      </w:pPr>
      <w:r w:rsidRPr="007F6D00">
        <w:rPr>
          <w:rFonts w:ascii="Calibri" w:hAnsi="Calibri"/>
          <w:b/>
          <w:sz w:val="28"/>
          <w:lang w:val="en-US"/>
        </w:rPr>
        <w:t>Methods</w:t>
      </w:r>
    </w:p>
    <w:p w14:paraId="5EFFA2F9" w14:textId="578208F7" w:rsidR="009E1845" w:rsidRPr="007F6D00" w:rsidRDefault="00614BFF" w:rsidP="003858EC">
      <w:pPr>
        <w:spacing w:line="480" w:lineRule="auto"/>
        <w:jc w:val="both"/>
        <w:rPr>
          <w:rFonts w:ascii="Calibri" w:hAnsi="Calibri"/>
          <w:i/>
          <w:sz w:val="24"/>
          <w:lang w:val="en-US"/>
        </w:rPr>
      </w:pPr>
      <w:r w:rsidRPr="007F6D00">
        <w:rPr>
          <w:rFonts w:ascii="Calibri" w:hAnsi="Calibri"/>
          <w:i/>
          <w:sz w:val="24"/>
          <w:lang w:val="en-US"/>
        </w:rPr>
        <w:t>Study Design and Database</w:t>
      </w:r>
    </w:p>
    <w:p w14:paraId="3322C254" w14:textId="36EA7369" w:rsidR="004F2391" w:rsidRPr="007F6D00" w:rsidRDefault="00614BFF" w:rsidP="003858EC">
      <w:pPr>
        <w:spacing w:line="480" w:lineRule="auto"/>
        <w:jc w:val="both"/>
        <w:rPr>
          <w:rFonts w:ascii="Calibri" w:hAnsi="Calibri"/>
          <w:sz w:val="24"/>
          <w:lang w:val="en-US"/>
        </w:rPr>
      </w:pPr>
      <w:r w:rsidRPr="00E27DF2">
        <w:rPr>
          <w:rFonts w:ascii="Calibri" w:hAnsi="Calibri"/>
          <w:sz w:val="24"/>
          <w:highlight w:val="yellow"/>
          <w:lang w:val="en-US"/>
        </w:rPr>
        <w:t>A case-contr</w:t>
      </w:r>
      <w:r w:rsidR="004F2391" w:rsidRPr="00E27DF2">
        <w:rPr>
          <w:rFonts w:ascii="Calibri" w:hAnsi="Calibri"/>
          <w:sz w:val="24"/>
          <w:highlight w:val="yellow"/>
          <w:lang w:val="en-US"/>
        </w:rPr>
        <w:t xml:space="preserve">olled analysis was conducted of a population of patients with </w:t>
      </w:r>
      <w:r w:rsidR="004F2391" w:rsidRPr="0023678E">
        <w:rPr>
          <w:rFonts w:ascii="Calibri" w:hAnsi="Calibri"/>
          <w:strike/>
          <w:sz w:val="24"/>
          <w:highlight w:val="yellow"/>
          <w:lang w:val="en-US"/>
        </w:rPr>
        <w:t>morbid</w:t>
      </w:r>
      <w:r w:rsidR="004F2391" w:rsidRPr="00E27DF2">
        <w:rPr>
          <w:rFonts w:ascii="Calibri" w:hAnsi="Calibri"/>
          <w:sz w:val="24"/>
          <w:highlight w:val="yellow"/>
          <w:lang w:val="en-US"/>
        </w:rPr>
        <w:t xml:space="preserve"> </w:t>
      </w:r>
      <w:r w:rsidR="0023678E">
        <w:rPr>
          <w:rFonts w:ascii="Calibri" w:hAnsi="Calibri"/>
          <w:sz w:val="24"/>
          <w:highlight w:val="yellow"/>
          <w:lang w:val="en-US"/>
        </w:rPr>
        <w:t xml:space="preserve">severe </w:t>
      </w:r>
      <w:r w:rsidR="004F2391" w:rsidRPr="00E27DF2">
        <w:rPr>
          <w:rFonts w:ascii="Calibri" w:hAnsi="Calibri"/>
          <w:sz w:val="24"/>
          <w:highlight w:val="yellow"/>
          <w:lang w:val="en-US"/>
        </w:rPr>
        <w:t>obesity (BMI≥35kg/m</w:t>
      </w:r>
      <w:r w:rsidR="004F2391" w:rsidRPr="00E27DF2">
        <w:rPr>
          <w:rFonts w:ascii="Calibri" w:hAnsi="Calibri"/>
          <w:sz w:val="24"/>
          <w:highlight w:val="yellow"/>
          <w:vertAlign w:val="superscript"/>
          <w:lang w:val="en-US"/>
        </w:rPr>
        <w:t>2</w:t>
      </w:r>
      <w:r w:rsidR="004F2391" w:rsidRPr="00E27DF2">
        <w:rPr>
          <w:rFonts w:ascii="Calibri" w:hAnsi="Calibri"/>
          <w:sz w:val="24"/>
          <w:highlight w:val="yellow"/>
          <w:lang w:val="en-US"/>
        </w:rPr>
        <w:t>) from the CPRD.</w:t>
      </w:r>
      <w:r w:rsidR="004F2391" w:rsidRPr="007F6D00">
        <w:rPr>
          <w:rFonts w:ascii="Calibri" w:hAnsi="Calibri"/>
          <w:sz w:val="24"/>
          <w:lang w:val="en-US"/>
        </w:rPr>
        <w:t xml:space="preserve"> </w:t>
      </w:r>
      <w:r w:rsidR="005708E9" w:rsidRPr="007F6D00">
        <w:rPr>
          <w:rFonts w:ascii="Calibri" w:hAnsi="Calibri"/>
          <w:sz w:val="24"/>
          <w:lang w:val="en-US"/>
        </w:rPr>
        <w:t xml:space="preserve">The CPRD is a record of coded data from </w:t>
      </w:r>
      <w:r w:rsidR="003B562D" w:rsidRPr="007F6D00">
        <w:rPr>
          <w:rFonts w:ascii="Calibri" w:hAnsi="Calibri"/>
          <w:sz w:val="24"/>
          <w:lang w:val="en-US"/>
        </w:rPr>
        <w:t xml:space="preserve">over 625 </w:t>
      </w:r>
      <w:r w:rsidR="005708E9" w:rsidRPr="007F6D00">
        <w:rPr>
          <w:rFonts w:ascii="Calibri" w:hAnsi="Calibri"/>
          <w:sz w:val="24"/>
          <w:lang w:val="en-US"/>
        </w:rPr>
        <w:t xml:space="preserve">primary care practices in the </w:t>
      </w:r>
      <w:r w:rsidR="001D5A04" w:rsidRPr="007F6D00">
        <w:rPr>
          <w:rFonts w:ascii="Calibri" w:hAnsi="Calibri"/>
          <w:sz w:val="24"/>
          <w:lang w:val="en-US"/>
        </w:rPr>
        <w:t>UK</w:t>
      </w:r>
      <w:r w:rsidR="003B562D" w:rsidRPr="007F6D00">
        <w:rPr>
          <w:rFonts w:ascii="Calibri" w:hAnsi="Calibri"/>
          <w:sz w:val="24"/>
          <w:lang w:val="en-US"/>
        </w:rPr>
        <w:t>, representing over 12 million patients</w:t>
      </w:r>
      <w:r w:rsidR="005708E9" w:rsidRPr="007F6D00">
        <w:rPr>
          <w:rFonts w:ascii="Calibri" w:hAnsi="Calibri"/>
          <w:sz w:val="24"/>
          <w:lang w:val="en-US"/>
        </w:rPr>
        <w:t>. The CPRD has previous</w:t>
      </w:r>
      <w:r w:rsidR="001D5A04" w:rsidRPr="007F6D00">
        <w:rPr>
          <w:rFonts w:ascii="Calibri" w:hAnsi="Calibri"/>
          <w:sz w:val="24"/>
          <w:lang w:val="en-US"/>
        </w:rPr>
        <w:t>ly been verified as</w:t>
      </w:r>
      <w:r w:rsidR="005708E9" w:rsidRPr="007F6D00">
        <w:rPr>
          <w:rFonts w:ascii="Calibri" w:hAnsi="Calibri"/>
          <w:sz w:val="24"/>
          <w:lang w:val="en-US"/>
        </w:rPr>
        <w:t xml:space="preserve"> a representative sample of the </w:t>
      </w:r>
      <w:r w:rsidR="000C24E2" w:rsidRPr="007F6D00">
        <w:rPr>
          <w:rFonts w:ascii="Calibri" w:hAnsi="Calibri"/>
          <w:sz w:val="24"/>
          <w:lang w:val="en-US"/>
        </w:rPr>
        <w:t>UK population</w:t>
      </w:r>
      <w:r w:rsidR="000C24E2" w:rsidRPr="007F6D00">
        <w:rPr>
          <w:rFonts w:ascii="Calibri" w:hAnsi="Calibri"/>
          <w:sz w:val="24"/>
          <w:lang w:val="en-US"/>
        </w:rPr>
        <w:fldChar w:fldCharType="begin"/>
      </w:r>
      <w:r w:rsidR="0081210B" w:rsidRPr="007F6D00">
        <w:rPr>
          <w:rFonts w:ascii="Calibri" w:hAnsi="Calibri"/>
          <w:sz w:val="24"/>
          <w:lang w:val="en-US"/>
        </w:rPr>
        <w:instrText>ADDIN RW.CITE{{385 Campbell, Jennifer 2013;433 Herrett, Emily 2015}}</w:instrText>
      </w:r>
      <w:r w:rsidR="000C24E2" w:rsidRPr="007F6D00">
        <w:rPr>
          <w:rFonts w:ascii="Calibri" w:hAnsi="Calibri"/>
          <w:sz w:val="24"/>
          <w:lang w:val="en-US"/>
        </w:rPr>
        <w:fldChar w:fldCharType="separate"/>
      </w:r>
      <w:r w:rsidR="0081210B" w:rsidRPr="007F6D00">
        <w:rPr>
          <w:rFonts w:ascii="Calibri" w:hAnsi="Calibri"/>
          <w:sz w:val="24"/>
          <w:lang w:val="en-US"/>
        </w:rPr>
        <w:t>(13,15)</w:t>
      </w:r>
      <w:r w:rsidR="000C24E2" w:rsidRPr="007F6D00">
        <w:rPr>
          <w:rFonts w:ascii="Calibri" w:hAnsi="Calibri"/>
          <w:sz w:val="24"/>
          <w:lang w:val="en-US"/>
        </w:rPr>
        <w:fldChar w:fldCharType="end"/>
      </w:r>
      <w:r w:rsidR="000C24E2" w:rsidRPr="007F6D00">
        <w:rPr>
          <w:rFonts w:ascii="Calibri" w:hAnsi="Calibri"/>
          <w:sz w:val="24"/>
          <w:lang w:val="en-US"/>
        </w:rPr>
        <w:t xml:space="preserve">. </w:t>
      </w:r>
      <w:r w:rsidR="004F2391" w:rsidRPr="007F6D00">
        <w:rPr>
          <w:rFonts w:ascii="Calibri" w:hAnsi="Calibri"/>
          <w:sz w:val="24"/>
          <w:lang w:val="en-US"/>
        </w:rPr>
        <w:t xml:space="preserve">Cases of all-cause mortality were identified </w:t>
      </w:r>
      <w:r w:rsidR="005708E9" w:rsidRPr="007F6D00">
        <w:rPr>
          <w:rFonts w:ascii="Calibri" w:hAnsi="Calibri"/>
          <w:sz w:val="24"/>
          <w:lang w:val="en-US"/>
        </w:rPr>
        <w:t>from mortality data registered in the CPRD</w:t>
      </w:r>
      <w:r w:rsidR="004F2391" w:rsidRPr="007F6D00">
        <w:rPr>
          <w:rFonts w:ascii="Calibri" w:hAnsi="Calibri"/>
          <w:sz w:val="24"/>
          <w:lang w:val="en-US"/>
        </w:rPr>
        <w:t xml:space="preserve">. These were </w:t>
      </w:r>
      <w:r w:rsidR="007F6D00" w:rsidRPr="007F6D00">
        <w:rPr>
          <w:rFonts w:ascii="Calibri" w:hAnsi="Calibri"/>
          <w:sz w:val="24"/>
          <w:lang w:val="en-US"/>
        </w:rPr>
        <w:t>analyzed</w:t>
      </w:r>
      <w:r w:rsidR="001D5A04" w:rsidRPr="007F6D00">
        <w:rPr>
          <w:rFonts w:ascii="Calibri" w:hAnsi="Calibri"/>
          <w:sz w:val="24"/>
          <w:lang w:val="en-US"/>
        </w:rPr>
        <w:t xml:space="preserve"> against controls that </w:t>
      </w:r>
      <w:r w:rsidR="00203673" w:rsidRPr="007F6D00">
        <w:rPr>
          <w:rFonts w:ascii="Calibri" w:hAnsi="Calibri"/>
          <w:sz w:val="24"/>
          <w:lang w:val="en-US"/>
        </w:rPr>
        <w:t xml:space="preserve">were still alive </w:t>
      </w:r>
      <w:r w:rsidR="001D5A04" w:rsidRPr="007F6D00">
        <w:rPr>
          <w:rFonts w:ascii="Calibri" w:hAnsi="Calibri"/>
          <w:sz w:val="24"/>
          <w:lang w:val="en-US"/>
        </w:rPr>
        <w:t>at data extraction</w:t>
      </w:r>
      <w:r w:rsidR="004F2391" w:rsidRPr="007F6D00">
        <w:rPr>
          <w:rFonts w:ascii="Calibri" w:hAnsi="Calibri"/>
          <w:sz w:val="24"/>
          <w:lang w:val="en-US"/>
        </w:rPr>
        <w:t>.</w:t>
      </w:r>
    </w:p>
    <w:p w14:paraId="3B0589C1" w14:textId="77777777" w:rsidR="001D5A04" w:rsidRPr="007F6D00" w:rsidRDefault="001D5A04" w:rsidP="003858EC">
      <w:pPr>
        <w:spacing w:line="480" w:lineRule="auto"/>
        <w:jc w:val="both"/>
        <w:rPr>
          <w:rFonts w:ascii="Calibri" w:hAnsi="Calibri"/>
          <w:sz w:val="24"/>
          <w:lang w:val="en-US"/>
        </w:rPr>
      </w:pPr>
    </w:p>
    <w:p w14:paraId="2748B1D6" w14:textId="77777777" w:rsidR="004F2391" w:rsidRPr="007F6D00" w:rsidRDefault="004F2391" w:rsidP="003858EC">
      <w:pPr>
        <w:spacing w:line="480" w:lineRule="auto"/>
        <w:jc w:val="both"/>
        <w:rPr>
          <w:rFonts w:ascii="Calibri" w:hAnsi="Calibri"/>
          <w:i/>
          <w:sz w:val="24"/>
          <w:lang w:val="en-US"/>
        </w:rPr>
      </w:pPr>
      <w:r w:rsidRPr="007F6D00">
        <w:rPr>
          <w:rFonts w:ascii="Calibri" w:hAnsi="Calibri"/>
          <w:i/>
          <w:sz w:val="24"/>
          <w:lang w:val="en-US"/>
        </w:rPr>
        <w:t>Ethics</w:t>
      </w:r>
    </w:p>
    <w:p w14:paraId="2ADB1E36" w14:textId="5BA12FEF" w:rsidR="004F2391" w:rsidRPr="007F6D00" w:rsidRDefault="004F2391" w:rsidP="003858EC">
      <w:pPr>
        <w:spacing w:line="480" w:lineRule="auto"/>
        <w:jc w:val="both"/>
        <w:rPr>
          <w:rFonts w:ascii="Calibri" w:hAnsi="Calibri"/>
          <w:sz w:val="24"/>
          <w:lang w:val="en-US"/>
        </w:rPr>
      </w:pPr>
      <w:r w:rsidRPr="007F6D00">
        <w:rPr>
          <w:rFonts w:ascii="Calibri" w:hAnsi="Calibri"/>
          <w:sz w:val="24"/>
          <w:lang w:val="en-US"/>
        </w:rPr>
        <w:t>Scientific approval was obtained from the Regulatory Agency’s Independent Scientific Advisory Committee, and ethical approval was sought through the Health Research Authority</w:t>
      </w:r>
      <w:r w:rsidR="001D5A04" w:rsidRPr="007F6D00">
        <w:rPr>
          <w:rFonts w:ascii="Calibri" w:hAnsi="Calibri"/>
          <w:sz w:val="24"/>
          <w:lang w:val="en-US"/>
        </w:rPr>
        <w:t>.</w:t>
      </w:r>
      <w:r w:rsidRPr="007F6D00">
        <w:rPr>
          <w:rFonts w:ascii="Calibri" w:hAnsi="Calibri"/>
          <w:sz w:val="24"/>
          <w:lang w:val="en-US"/>
        </w:rPr>
        <w:t xml:space="preserve"> </w:t>
      </w:r>
      <w:r w:rsidR="001D5A04" w:rsidRPr="007F6D00">
        <w:rPr>
          <w:rFonts w:ascii="Calibri" w:hAnsi="Calibri"/>
          <w:sz w:val="24"/>
          <w:lang w:val="en-US"/>
        </w:rPr>
        <w:t>(IRAS Project ID: 203143,</w:t>
      </w:r>
      <w:r w:rsidRPr="007F6D00">
        <w:rPr>
          <w:rFonts w:ascii="Calibri" w:hAnsi="Calibri"/>
          <w:sz w:val="24"/>
          <w:lang w:val="en-US"/>
        </w:rPr>
        <w:t xml:space="preserve"> ISAC approv</w:t>
      </w:r>
      <w:r w:rsidR="001D5A04" w:rsidRPr="007F6D00">
        <w:rPr>
          <w:rFonts w:ascii="Calibri" w:hAnsi="Calibri"/>
          <w:sz w:val="24"/>
          <w:lang w:val="en-US"/>
        </w:rPr>
        <w:t>al registration number 16_140R2)</w:t>
      </w:r>
    </w:p>
    <w:p w14:paraId="020C2734" w14:textId="77777777" w:rsidR="004F2391" w:rsidRPr="007F6D00" w:rsidRDefault="004F2391" w:rsidP="003858EC">
      <w:pPr>
        <w:spacing w:line="480" w:lineRule="auto"/>
        <w:jc w:val="both"/>
        <w:rPr>
          <w:rFonts w:ascii="Calibri" w:hAnsi="Calibri"/>
          <w:sz w:val="24"/>
          <w:lang w:val="en-US"/>
        </w:rPr>
      </w:pPr>
    </w:p>
    <w:p w14:paraId="36C7DEC2" w14:textId="77777777" w:rsidR="004F2391" w:rsidRPr="007F6D00" w:rsidRDefault="004F2391" w:rsidP="003858EC">
      <w:pPr>
        <w:spacing w:line="480" w:lineRule="auto"/>
        <w:jc w:val="both"/>
        <w:rPr>
          <w:rFonts w:ascii="Calibri" w:hAnsi="Calibri"/>
          <w:i/>
          <w:sz w:val="24"/>
          <w:lang w:val="en-US"/>
        </w:rPr>
      </w:pPr>
      <w:r w:rsidRPr="007F6D00">
        <w:rPr>
          <w:rFonts w:ascii="Calibri" w:hAnsi="Calibri"/>
          <w:i/>
          <w:sz w:val="24"/>
          <w:lang w:val="en-US"/>
        </w:rPr>
        <w:t>Patient and Data Selection</w:t>
      </w:r>
    </w:p>
    <w:p w14:paraId="527C2AE8" w14:textId="399371F9" w:rsidR="00B16C84" w:rsidRPr="007F6D00" w:rsidRDefault="00BF6BD8" w:rsidP="003858EC">
      <w:pPr>
        <w:spacing w:line="480" w:lineRule="auto"/>
        <w:jc w:val="both"/>
        <w:rPr>
          <w:rFonts w:ascii="Calibri" w:hAnsi="Calibri"/>
          <w:sz w:val="24"/>
          <w:lang w:val="en-US"/>
        </w:rPr>
      </w:pPr>
      <w:r w:rsidRPr="007F6D00">
        <w:rPr>
          <w:rFonts w:ascii="Calibri" w:hAnsi="Calibri"/>
          <w:sz w:val="24"/>
          <w:lang w:val="en-US"/>
        </w:rPr>
        <w:lastRenderedPageBreak/>
        <w:t xml:space="preserve">Patients with a BMI≥35kg/m2 were identified from the CPRD via clinical coding provided by general practitioners. The date at which the patients were first identified as </w:t>
      </w:r>
      <w:r w:rsidRPr="0023678E">
        <w:rPr>
          <w:rFonts w:ascii="Calibri" w:hAnsi="Calibri"/>
          <w:strike/>
          <w:sz w:val="24"/>
          <w:highlight w:val="yellow"/>
          <w:lang w:val="en-US"/>
        </w:rPr>
        <w:t>morbidly</w:t>
      </w:r>
      <w:r w:rsidR="0023678E">
        <w:rPr>
          <w:rFonts w:ascii="Calibri" w:hAnsi="Calibri"/>
          <w:sz w:val="24"/>
          <w:lang w:val="en-US"/>
        </w:rPr>
        <w:t xml:space="preserve"> </w:t>
      </w:r>
      <w:r w:rsidR="0023678E" w:rsidRPr="0023678E">
        <w:rPr>
          <w:rFonts w:ascii="Calibri" w:hAnsi="Calibri"/>
          <w:sz w:val="24"/>
          <w:highlight w:val="yellow"/>
          <w:lang w:val="en-US"/>
        </w:rPr>
        <w:t>severely</w:t>
      </w:r>
      <w:r w:rsidRPr="007F6D00">
        <w:rPr>
          <w:rFonts w:ascii="Calibri" w:hAnsi="Calibri"/>
          <w:sz w:val="24"/>
          <w:lang w:val="en-US"/>
        </w:rPr>
        <w:t xml:space="preserve"> obese was </w:t>
      </w:r>
      <w:r w:rsidR="00814E72" w:rsidRPr="007F6D00">
        <w:rPr>
          <w:rFonts w:ascii="Calibri" w:hAnsi="Calibri"/>
          <w:sz w:val="24"/>
          <w:lang w:val="en-US"/>
        </w:rPr>
        <w:t>found</w:t>
      </w:r>
      <w:r w:rsidRPr="007F6D00">
        <w:rPr>
          <w:rFonts w:ascii="Calibri" w:hAnsi="Calibri"/>
          <w:sz w:val="24"/>
          <w:lang w:val="en-US"/>
        </w:rPr>
        <w:t xml:space="preserve"> by interrogation of the datalink. In addition to this, the clinicopathological characteristics of each patient at baseline were extracted from the CPRD. </w:t>
      </w:r>
      <w:r w:rsidR="00864642" w:rsidRPr="007F6D00">
        <w:rPr>
          <w:rFonts w:ascii="Calibri" w:hAnsi="Calibri"/>
          <w:sz w:val="24"/>
          <w:lang w:val="en-US"/>
        </w:rPr>
        <w:t>Th</w:t>
      </w:r>
      <w:r w:rsidR="00814E72" w:rsidRPr="007F6D00">
        <w:rPr>
          <w:rFonts w:ascii="Calibri" w:hAnsi="Calibri"/>
          <w:sz w:val="24"/>
          <w:lang w:val="en-US"/>
        </w:rPr>
        <w:t>ese included age, sex, BMI</w:t>
      </w:r>
      <w:r w:rsidR="00864642" w:rsidRPr="007F6D00">
        <w:rPr>
          <w:rFonts w:ascii="Calibri" w:hAnsi="Calibri"/>
          <w:sz w:val="24"/>
          <w:lang w:val="en-US"/>
        </w:rPr>
        <w:t xml:space="preserve">, hypertension, type II diabetes mellitus, </w:t>
      </w:r>
      <w:r w:rsidR="007F6D00" w:rsidRPr="007F6D00">
        <w:rPr>
          <w:rFonts w:ascii="Calibri" w:hAnsi="Calibri"/>
          <w:sz w:val="24"/>
          <w:lang w:val="en-US"/>
        </w:rPr>
        <w:t>hyperlipidemia</w:t>
      </w:r>
      <w:r w:rsidR="00864642" w:rsidRPr="007F6D00">
        <w:rPr>
          <w:rFonts w:ascii="Calibri" w:hAnsi="Calibri"/>
          <w:sz w:val="24"/>
          <w:lang w:val="en-US"/>
        </w:rPr>
        <w:t xml:space="preserve">, </w:t>
      </w:r>
      <w:r w:rsidR="007F6D00" w:rsidRPr="007F6D00">
        <w:rPr>
          <w:rFonts w:ascii="Calibri" w:hAnsi="Calibri"/>
          <w:sz w:val="24"/>
          <w:lang w:val="en-US"/>
        </w:rPr>
        <w:t>ischemic</w:t>
      </w:r>
      <w:r w:rsidR="00864642" w:rsidRPr="007F6D00">
        <w:rPr>
          <w:rFonts w:ascii="Calibri" w:hAnsi="Calibri"/>
          <w:sz w:val="24"/>
          <w:lang w:val="en-US"/>
        </w:rPr>
        <w:t xml:space="preserve"> heart disease, obstructive sleep </w:t>
      </w:r>
      <w:r w:rsidR="007F6D00" w:rsidRPr="007F6D00">
        <w:rPr>
          <w:rFonts w:ascii="Calibri" w:hAnsi="Calibri"/>
          <w:sz w:val="24"/>
          <w:lang w:val="en-US"/>
        </w:rPr>
        <w:t>apnea</w:t>
      </w:r>
      <w:r w:rsidR="00864642" w:rsidRPr="007F6D00">
        <w:rPr>
          <w:rFonts w:ascii="Calibri" w:hAnsi="Calibri"/>
          <w:sz w:val="24"/>
          <w:lang w:val="en-US"/>
        </w:rPr>
        <w:t xml:space="preserve">, cerebrovascular disease and chronic respiratory disease. </w:t>
      </w:r>
      <w:r w:rsidR="00007600" w:rsidRPr="00007600">
        <w:rPr>
          <w:rFonts w:ascii="Calibri" w:hAnsi="Calibri"/>
          <w:sz w:val="24"/>
          <w:highlight w:val="yellow"/>
          <w:lang w:val="en-US"/>
        </w:rPr>
        <w:t>BMI was calculated from height and weight and compared against BMI values inputted by primary care physicians into the CPRD. Where these did not agree, calculated values were used in preference to coded BMI.</w:t>
      </w:r>
      <w:r w:rsidR="00007600">
        <w:rPr>
          <w:rFonts w:ascii="Calibri" w:hAnsi="Calibri"/>
          <w:sz w:val="24"/>
          <w:lang w:val="en-US"/>
        </w:rPr>
        <w:t xml:space="preserve"> </w:t>
      </w:r>
      <w:r w:rsidR="00864642" w:rsidRPr="007F6D00">
        <w:rPr>
          <w:rFonts w:ascii="Calibri" w:hAnsi="Calibri"/>
          <w:sz w:val="24"/>
          <w:lang w:val="en-US"/>
        </w:rPr>
        <w:t xml:space="preserve">These factors were identified as being present at baseline if having a positive diagnosis prior to being identified </w:t>
      </w:r>
      <w:r w:rsidR="00203673" w:rsidRPr="007F6D00">
        <w:rPr>
          <w:rFonts w:ascii="Calibri" w:hAnsi="Calibri"/>
          <w:sz w:val="24"/>
          <w:lang w:val="en-US"/>
        </w:rPr>
        <w:t>as</w:t>
      </w:r>
      <w:r w:rsidR="00864642" w:rsidRPr="007F6D00">
        <w:rPr>
          <w:rFonts w:ascii="Calibri" w:hAnsi="Calibri"/>
          <w:sz w:val="24"/>
          <w:lang w:val="en-US"/>
        </w:rPr>
        <w:t xml:space="preserve"> having a BMI≥35kg/m2, or in the following 6 months. This was to control for underlying disease that may have gone undiagnosed clinically when BMI was assessed. </w:t>
      </w:r>
      <w:r w:rsidR="00EB6DDD" w:rsidRPr="00DA1032">
        <w:rPr>
          <w:rFonts w:ascii="Calibri" w:hAnsi="Calibri"/>
          <w:strike/>
          <w:sz w:val="24"/>
          <w:highlight w:val="yellow"/>
          <w:lang w:val="en-US"/>
        </w:rPr>
        <w:t xml:space="preserve">The Charlson Score for each patient was also calculated. The Charlson score </w:t>
      </w:r>
      <w:r w:rsidR="007F6D00" w:rsidRPr="00DA1032">
        <w:rPr>
          <w:rFonts w:ascii="Calibri" w:hAnsi="Calibri"/>
          <w:strike/>
          <w:sz w:val="24"/>
          <w:highlight w:val="yellow"/>
          <w:lang w:val="en-US"/>
        </w:rPr>
        <w:t>utilizes</w:t>
      </w:r>
      <w:r w:rsidR="00EB6DDD" w:rsidRPr="00DA1032">
        <w:rPr>
          <w:rFonts w:ascii="Calibri" w:hAnsi="Calibri"/>
          <w:strike/>
          <w:sz w:val="24"/>
          <w:highlight w:val="yellow"/>
          <w:lang w:val="en-US"/>
        </w:rPr>
        <w:t xml:space="preserve"> 19 separate scoring parameters and subsequently estimates the 10-year mortality of a patient with </w:t>
      </w:r>
      <w:r w:rsidR="00203673" w:rsidRPr="00DA1032">
        <w:rPr>
          <w:rFonts w:ascii="Calibri" w:hAnsi="Calibri"/>
          <w:strike/>
          <w:sz w:val="24"/>
          <w:highlight w:val="yellow"/>
          <w:lang w:val="en-US"/>
        </w:rPr>
        <w:t>several</w:t>
      </w:r>
      <w:r w:rsidR="00EB6DDD" w:rsidRPr="00DA1032">
        <w:rPr>
          <w:rFonts w:ascii="Calibri" w:hAnsi="Calibri"/>
          <w:strike/>
          <w:sz w:val="24"/>
          <w:highlight w:val="yellow"/>
          <w:lang w:val="en-US"/>
        </w:rPr>
        <w:t xml:space="preserve"> co-morbid conditions</w:t>
      </w:r>
      <w:r w:rsidR="00814E72" w:rsidRPr="00DA1032">
        <w:rPr>
          <w:rFonts w:ascii="Calibri" w:hAnsi="Calibri"/>
          <w:strike/>
          <w:sz w:val="24"/>
          <w:highlight w:val="yellow"/>
          <w:lang w:val="en-US"/>
        </w:rPr>
        <w:t>. A score of ≥3</w:t>
      </w:r>
      <w:r w:rsidR="00EB6DDD" w:rsidRPr="00DA1032">
        <w:rPr>
          <w:rFonts w:ascii="Calibri" w:hAnsi="Calibri"/>
          <w:strike/>
          <w:sz w:val="24"/>
          <w:highlight w:val="yellow"/>
          <w:lang w:val="en-US"/>
        </w:rPr>
        <w:t xml:space="preserve"> is associated with approximately 60% risk of mortality at 10 years.</w:t>
      </w:r>
      <w:r w:rsidR="00D90046" w:rsidRPr="007F6D00">
        <w:rPr>
          <w:rFonts w:ascii="Calibri" w:hAnsi="Calibri"/>
          <w:sz w:val="24"/>
          <w:lang w:val="en-US"/>
        </w:rPr>
        <w:t xml:space="preserve"> </w:t>
      </w:r>
      <w:r w:rsidR="00864642" w:rsidRPr="007F6D00">
        <w:rPr>
          <w:rFonts w:ascii="Calibri" w:hAnsi="Calibri"/>
          <w:sz w:val="24"/>
          <w:lang w:val="en-US"/>
        </w:rPr>
        <w:t>It was also identified whether patients had ever been a smoker</w:t>
      </w:r>
      <w:r w:rsidR="00B16C84" w:rsidRPr="007F6D00">
        <w:rPr>
          <w:rFonts w:ascii="Calibri" w:hAnsi="Calibri"/>
          <w:sz w:val="24"/>
          <w:lang w:val="en-US"/>
        </w:rPr>
        <w:t xml:space="preserve"> of tobacco products. Patients who underwent bariatric surgery in the following years were also identified from the CPRD</w:t>
      </w:r>
      <w:r w:rsidR="00EB6DDD" w:rsidRPr="007F6D00">
        <w:rPr>
          <w:rFonts w:ascii="Calibri" w:hAnsi="Calibri"/>
          <w:sz w:val="24"/>
          <w:lang w:val="en-US"/>
        </w:rPr>
        <w:t xml:space="preserve">. </w:t>
      </w:r>
      <w:r w:rsidR="00E75D5C" w:rsidRPr="007F6D00">
        <w:rPr>
          <w:rFonts w:ascii="Calibri" w:hAnsi="Calibri"/>
          <w:sz w:val="24"/>
          <w:lang w:val="en-US"/>
        </w:rPr>
        <w:t>Those who were eligible for bariatric surgery acc</w:t>
      </w:r>
      <w:r w:rsidR="007F6D00">
        <w:rPr>
          <w:rFonts w:ascii="Calibri" w:hAnsi="Calibri"/>
          <w:sz w:val="24"/>
          <w:lang w:val="en-US"/>
        </w:rPr>
        <w:t>ording to NICE guidelines were</w:t>
      </w:r>
      <w:r w:rsidR="00E75D5C" w:rsidRPr="007F6D00">
        <w:rPr>
          <w:rFonts w:ascii="Calibri" w:hAnsi="Calibri"/>
          <w:sz w:val="24"/>
          <w:lang w:val="en-US"/>
        </w:rPr>
        <w:t xml:space="preserve"> identified</w:t>
      </w:r>
      <w:r w:rsidR="00E75D5C" w:rsidRPr="007F6D00">
        <w:rPr>
          <w:rFonts w:ascii="Calibri" w:hAnsi="Calibri"/>
          <w:sz w:val="24"/>
          <w:lang w:val="en-US"/>
        </w:rPr>
        <w:fldChar w:fldCharType="begin"/>
      </w:r>
      <w:r w:rsidR="00EF5FE6">
        <w:rPr>
          <w:rFonts w:ascii="Calibri" w:hAnsi="Calibri"/>
          <w:sz w:val="24"/>
          <w:lang w:val="en-US"/>
        </w:rPr>
        <w:instrText>ADDIN RW.CITE{{204 National Institute for Health and Care Excellence (2014)}}</w:instrText>
      </w:r>
      <w:r w:rsidR="00E75D5C" w:rsidRPr="007F6D00">
        <w:rPr>
          <w:rFonts w:ascii="Calibri" w:hAnsi="Calibri"/>
          <w:sz w:val="24"/>
          <w:lang w:val="en-US"/>
        </w:rPr>
        <w:fldChar w:fldCharType="separate"/>
      </w:r>
      <w:r w:rsidR="00D04D75" w:rsidRPr="00D04D75">
        <w:rPr>
          <w:rFonts w:ascii="Calibri" w:hAnsi="Calibri"/>
          <w:sz w:val="24"/>
        </w:rPr>
        <w:t xml:space="preserve"> (16)</w:t>
      </w:r>
      <w:r w:rsidR="00E75D5C" w:rsidRPr="007F6D00">
        <w:rPr>
          <w:rFonts w:ascii="Calibri" w:hAnsi="Calibri"/>
          <w:sz w:val="24"/>
          <w:lang w:val="en-US"/>
        </w:rPr>
        <w:fldChar w:fldCharType="end"/>
      </w:r>
      <w:r w:rsidR="00E75D5C" w:rsidRPr="007F6D00">
        <w:rPr>
          <w:rFonts w:ascii="Calibri" w:hAnsi="Calibri"/>
          <w:sz w:val="24"/>
          <w:lang w:val="en-US"/>
        </w:rPr>
        <w:t xml:space="preserve">. </w:t>
      </w:r>
      <w:r w:rsidR="00EB6DDD" w:rsidRPr="007F6D00">
        <w:rPr>
          <w:rFonts w:ascii="Calibri" w:hAnsi="Calibri"/>
          <w:sz w:val="24"/>
          <w:lang w:val="en-US"/>
        </w:rPr>
        <w:t>Finally, patients</w:t>
      </w:r>
      <w:r w:rsidR="00B16C84" w:rsidRPr="007F6D00">
        <w:rPr>
          <w:rFonts w:ascii="Calibri" w:hAnsi="Calibri"/>
          <w:sz w:val="24"/>
          <w:lang w:val="en-US"/>
        </w:rPr>
        <w:t xml:space="preserve"> were linked to index of multiple depr</w:t>
      </w:r>
      <w:r w:rsidR="0043010F" w:rsidRPr="007F6D00">
        <w:rPr>
          <w:rFonts w:ascii="Calibri" w:hAnsi="Calibri"/>
          <w:sz w:val="24"/>
          <w:lang w:val="en-US"/>
        </w:rPr>
        <w:t>i</w:t>
      </w:r>
      <w:r w:rsidR="00B16C84" w:rsidRPr="007F6D00">
        <w:rPr>
          <w:rFonts w:ascii="Calibri" w:hAnsi="Calibri"/>
          <w:sz w:val="24"/>
          <w:lang w:val="en-US"/>
        </w:rPr>
        <w:t xml:space="preserve">vation (IMD) scores. The IMD is a surrogate score of the socio-economic background of a </w:t>
      </w:r>
      <w:r w:rsidR="007F6D00" w:rsidRPr="007F6D00">
        <w:rPr>
          <w:rFonts w:ascii="Calibri" w:hAnsi="Calibri"/>
          <w:sz w:val="24"/>
          <w:lang w:val="en-US"/>
        </w:rPr>
        <w:t>neighborhood</w:t>
      </w:r>
      <w:r w:rsidR="00203673" w:rsidRPr="007F6D00">
        <w:rPr>
          <w:rFonts w:ascii="Calibri" w:hAnsi="Calibri"/>
          <w:sz w:val="24"/>
          <w:lang w:val="en-US"/>
        </w:rPr>
        <w:t>,</w:t>
      </w:r>
      <w:r w:rsidR="00B16C84" w:rsidRPr="007F6D00">
        <w:rPr>
          <w:rFonts w:ascii="Calibri" w:hAnsi="Calibri"/>
          <w:sz w:val="24"/>
          <w:lang w:val="en-US"/>
        </w:rPr>
        <w:t xml:space="preserve"> </w:t>
      </w:r>
      <w:r w:rsidR="00203673" w:rsidRPr="007F6D00">
        <w:rPr>
          <w:rFonts w:ascii="Calibri" w:hAnsi="Calibri"/>
          <w:sz w:val="24"/>
          <w:lang w:val="en-US"/>
        </w:rPr>
        <w:t>considering the following factors</w:t>
      </w:r>
      <w:r w:rsidR="00B16C84" w:rsidRPr="007F6D00">
        <w:rPr>
          <w:rFonts w:ascii="Calibri" w:hAnsi="Calibri"/>
          <w:sz w:val="24"/>
          <w:lang w:val="en-US"/>
        </w:rPr>
        <w:t>: income, employment, health deprivation and disability, educational attainment, barriers to housing and services, crime</w:t>
      </w:r>
      <w:r w:rsidR="00814E72" w:rsidRPr="007F6D00">
        <w:rPr>
          <w:rFonts w:ascii="Calibri" w:hAnsi="Calibri"/>
          <w:sz w:val="24"/>
          <w:lang w:val="en-US"/>
        </w:rPr>
        <w:t>,</w:t>
      </w:r>
      <w:r w:rsidR="00B16C84" w:rsidRPr="007F6D00">
        <w:rPr>
          <w:rFonts w:ascii="Calibri" w:hAnsi="Calibri"/>
          <w:sz w:val="24"/>
          <w:lang w:val="en-US"/>
        </w:rPr>
        <w:t xml:space="preserve"> and living environment</w:t>
      </w:r>
      <w:r w:rsidR="00D90046" w:rsidRPr="007F6D00">
        <w:rPr>
          <w:rFonts w:ascii="Calibri" w:hAnsi="Calibri"/>
          <w:sz w:val="24"/>
          <w:lang w:val="en-US"/>
        </w:rPr>
        <w:fldChar w:fldCharType="begin"/>
      </w:r>
      <w:r w:rsidR="00D90046" w:rsidRPr="007F6D00">
        <w:rPr>
          <w:rFonts w:ascii="Calibri" w:hAnsi="Calibri"/>
          <w:sz w:val="24"/>
          <w:lang w:val="en-US"/>
        </w:rPr>
        <w:instrText>ADDIN RW.CITE{{435 Niggebrugge, Aphrodite 2005}}</w:instrText>
      </w:r>
      <w:r w:rsidR="00D90046" w:rsidRPr="007F6D00">
        <w:rPr>
          <w:rFonts w:ascii="Calibri" w:hAnsi="Calibri"/>
          <w:sz w:val="24"/>
          <w:lang w:val="en-US"/>
        </w:rPr>
        <w:fldChar w:fldCharType="separate"/>
      </w:r>
      <w:r w:rsidR="00D04D75" w:rsidRPr="00D04D75">
        <w:rPr>
          <w:rFonts w:ascii="Calibri" w:hAnsi="Calibri"/>
          <w:sz w:val="24"/>
        </w:rPr>
        <w:t xml:space="preserve"> (17)</w:t>
      </w:r>
      <w:r w:rsidR="00D90046" w:rsidRPr="007F6D00">
        <w:rPr>
          <w:rFonts w:ascii="Calibri" w:hAnsi="Calibri"/>
          <w:sz w:val="24"/>
          <w:lang w:val="en-US"/>
        </w:rPr>
        <w:fldChar w:fldCharType="end"/>
      </w:r>
      <w:r w:rsidR="00B16C84" w:rsidRPr="007F6D00">
        <w:rPr>
          <w:rFonts w:ascii="Calibri" w:hAnsi="Calibri"/>
          <w:sz w:val="24"/>
          <w:lang w:val="en-US"/>
        </w:rPr>
        <w:t>.</w:t>
      </w:r>
    </w:p>
    <w:p w14:paraId="22FF31EF" w14:textId="77777777" w:rsidR="00773C2E" w:rsidRPr="007F6D00" w:rsidRDefault="00773C2E" w:rsidP="003858EC">
      <w:pPr>
        <w:spacing w:line="480" w:lineRule="auto"/>
        <w:jc w:val="both"/>
        <w:rPr>
          <w:rFonts w:ascii="Calibri" w:hAnsi="Calibri"/>
          <w:sz w:val="24"/>
          <w:lang w:val="en-US"/>
        </w:rPr>
      </w:pPr>
    </w:p>
    <w:p w14:paraId="101C23EB" w14:textId="77777777" w:rsidR="009E1845" w:rsidRPr="007F6D00" w:rsidRDefault="009E1845" w:rsidP="003858EC">
      <w:pPr>
        <w:spacing w:line="480" w:lineRule="auto"/>
        <w:jc w:val="both"/>
        <w:rPr>
          <w:rFonts w:ascii="Calibri" w:hAnsi="Calibri"/>
          <w:i/>
          <w:sz w:val="24"/>
          <w:lang w:val="en-US"/>
        </w:rPr>
      </w:pPr>
      <w:r w:rsidRPr="007F6D00">
        <w:rPr>
          <w:rFonts w:ascii="Calibri" w:hAnsi="Calibri"/>
          <w:i/>
          <w:sz w:val="24"/>
          <w:lang w:val="en-US"/>
        </w:rPr>
        <w:lastRenderedPageBreak/>
        <w:t>Statistical Analysis</w:t>
      </w:r>
    </w:p>
    <w:p w14:paraId="18625D88" w14:textId="60B91A77" w:rsidR="000E4700" w:rsidRPr="007F6D00" w:rsidRDefault="00773C2E" w:rsidP="003858EC">
      <w:pPr>
        <w:spacing w:line="480" w:lineRule="auto"/>
        <w:jc w:val="both"/>
        <w:rPr>
          <w:rFonts w:ascii="Calibri" w:hAnsi="Calibri"/>
          <w:sz w:val="24"/>
          <w:lang w:val="en-US"/>
        </w:rPr>
      </w:pPr>
      <w:r w:rsidRPr="007F6D00">
        <w:rPr>
          <w:rFonts w:ascii="Calibri" w:hAnsi="Calibri"/>
          <w:sz w:val="24"/>
          <w:lang w:val="en-US"/>
        </w:rPr>
        <w:t xml:space="preserve">Demographic factors were </w:t>
      </w:r>
      <w:r w:rsidR="007F6D00" w:rsidRPr="007F6D00">
        <w:rPr>
          <w:rFonts w:ascii="Calibri" w:hAnsi="Calibri"/>
          <w:sz w:val="24"/>
          <w:lang w:val="en-US"/>
        </w:rPr>
        <w:t>analyzed</w:t>
      </w:r>
      <w:r w:rsidRPr="007F6D00">
        <w:rPr>
          <w:rFonts w:ascii="Calibri" w:hAnsi="Calibri"/>
          <w:sz w:val="24"/>
          <w:lang w:val="en-US"/>
        </w:rPr>
        <w:t xml:space="preserve"> by either students t-test</w:t>
      </w:r>
      <w:r w:rsidR="00957DAA" w:rsidRPr="007F6D00">
        <w:rPr>
          <w:rFonts w:ascii="Calibri" w:hAnsi="Calibri"/>
          <w:sz w:val="24"/>
          <w:lang w:val="en-US"/>
        </w:rPr>
        <w:t xml:space="preserve">, Mann-Whitney test or chi squared test depending on whether they were continuous variables, or categorical. Means are displayed alongside the </w:t>
      </w:r>
      <w:r w:rsidR="00814E72" w:rsidRPr="007F6D00">
        <w:rPr>
          <w:rFonts w:ascii="Calibri" w:hAnsi="Calibri"/>
          <w:sz w:val="24"/>
          <w:lang w:val="en-US"/>
        </w:rPr>
        <w:t>standard deviation</w:t>
      </w:r>
      <w:r w:rsidR="00957DAA" w:rsidRPr="007F6D00">
        <w:rPr>
          <w:rFonts w:ascii="Calibri" w:hAnsi="Calibri"/>
          <w:sz w:val="24"/>
          <w:lang w:val="en-US"/>
        </w:rPr>
        <w:t xml:space="preserve">, whilst median values are provided with the range. Statistical significance was set at p-value&lt;0.050. A cox proportional hazard model was conducted to identify the hazard ratios (HRs) for risk of death associated with </w:t>
      </w:r>
      <w:r w:rsidR="00A21629" w:rsidRPr="007F6D00">
        <w:rPr>
          <w:rFonts w:ascii="Calibri" w:hAnsi="Calibri"/>
          <w:sz w:val="24"/>
          <w:lang w:val="en-US"/>
        </w:rPr>
        <w:t>several</w:t>
      </w:r>
      <w:r w:rsidR="00957DAA" w:rsidRPr="007F6D00">
        <w:rPr>
          <w:rFonts w:ascii="Calibri" w:hAnsi="Calibri"/>
          <w:sz w:val="24"/>
          <w:lang w:val="en-US"/>
        </w:rPr>
        <w:t xml:space="preserve"> categorical variables, via a univariate analysis. Variables with HRs that were calcu</w:t>
      </w:r>
      <w:r w:rsidR="00E2540A" w:rsidRPr="007F6D00">
        <w:rPr>
          <w:rFonts w:ascii="Calibri" w:hAnsi="Calibri"/>
          <w:sz w:val="24"/>
          <w:lang w:val="en-US"/>
        </w:rPr>
        <w:t xml:space="preserve">lated to have a p-value&lt;0.050 were included in a multivariate analysis. Significance of the multivariate analysis was again set at p-value&lt;0.050. </w:t>
      </w:r>
      <w:r w:rsidR="003725F2">
        <w:rPr>
          <w:rFonts w:ascii="Calibri" w:hAnsi="Calibri"/>
          <w:sz w:val="24"/>
          <w:lang w:val="en-US"/>
        </w:rPr>
        <w:t xml:space="preserve">Missing data values were removed from univariate and multivariate analysis. </w:t>
      </w:r>
      <w:r w:rsidR="00E2540A" w:rsidRPr="007F6D00">
        <w:rPr>
          <w:rFonts w:ascii="Calibri" w:hAnsi="Calibri"/>
          <w:sz w:val="24"/>
          <w:lang w:val="en-US"/>
        </w:rPr>
        <w:t xml:space="preserve">Data was read and </w:t>
      </w:r>
      <w:r w:rsidR="00FD121B" w:rsidRPr="007F6D00">
        <w:rPr>
          <w:rFonts w:ascii="Calibri" w:hAnsi="Calibri"/>
          <w:sz w:val="24"/>
          <w:lang w:val="en-US"/>
        </w:rPr>
        <w:t>analyzed</w:t>
      </w:r>
      <w:r w:rsidR="00E2540A" w:rsidRPr="007F6D00">
        <w:rPr>
          <w:rFonts w:ascii="Calibri" w:hAnsi="Calibri"/>
          <w:sz w:val="24"/>
          <w:lang w:val="en-US"/>
        </w:rPr>
        <w:t xml:space="preserve"> using Statistical Package for the Social Sciences (SPSS) [IBM Statistics version 24 SPSS Inc., Chicago, IL, USA]</w:t>
      </w:r>
    </w:p>
    <w:p w14:paraId="276BDCF3" w14:textId="77777777" w:rsidR="00595AE4" w:rsidRPr="007F6D00" w:rsidRDefault="00595AE4" w:rsidP="003858EC">
      <w:pPr>
        <w:spacing w:line="480" w:lineRule="auto"/>
        <w:jc w:val="both"/>
        <w:rPr>
          <w:rFonts w:ascii="Calibri" w:hAnsi="Calibri"/>
          <w:sz w:val="24"/>
          <w:lang w:val="en-US"/>
        </w:rPr>
      </w:pPr>
    </w:p>
    <w:p w14:paraId="0E8F8BDF" w14:textId="76597DBC" w:rsidR="00F05058" w:rsidRPr="007F6D00" w:rsidRDefault="00F05058" w:rsidP="003858EC">
      <w:pPr>
        <w:spacing w:line="480" w:lineRule="auto"/>
        <w:jc w:val="both"/>
        <w:rPr>
          <w:rFonts w:ascii="Calibri" w:hAnsi="Calibri"/>
          <w:b/>
          <w:sz w:val="28"/>
          <w:lang w:val="en-US"/>
        </w:rPr>
      </w:pPr>
      <w:r w:rsidRPr="007F6D00">
        <w:rPr>
          <w:rFonts w:ascii="Calibri" w:hAnsi="Calibri"/>
          <w:b/>
          <w:sz w:val="28"/>
          <w:lang w:val="en-US"/>
        </w:rPr>
        <w:t>Results</w:t>
      </w:r>
    </w:p>
    <w:p w14:paraId="0283D322" w14:textId="265C6811" w:rsidR="00DD1336" w:rsidRPr="007F6D00" w:rsidRDefault="00925FB5" w:rsidP="003858EC">
      <w:pPr>
        <w:spacing w:line="480" w:lineRule="auto"/>
        <w:jc w:val="both"/>
        <w:rPr>
          <w:rFonts w:ascii="Calibri" w:hAnsi="Calibri"/>
          <w:sz w:val="24"/>
          <w:lang w:val="en-US"/>
        </w:rPr>
      </w:pPr>
      <w:r w:rsidRPr="007F6D00">
        <w:rPr>
          <w:rFonts w:ascii="Calibri" w:hAnsi="Calibri"/>
          <w:sz w:val="24"/>
          <w:lang w:val="en-US"/>
        </w:rPr>
        <w:t>On primary CPRD interrogation</w:t>
      </w:r>
      <w:r w:rsidR="00D80FC1" w:rsidRPr="007F6D00">
        <w:rPr>
          <w:rFonts w:ascii="Calibri" w:hAnsi="Calibri"/>
          <w:sz w:val="24"/>
          <w:lang w:val="en-US"/>
        </w:rPr>
        <w:t>, up until July 2017,</w:t>
      </w:r>
      <w:r w:rsidRPr="007F6D00">
        <w:rPr>
          <w:rFonts w:ascii="Calibri" w:hAnsi="Calibri"/>
          <w:sz w:val="24"/>
          <w:lang w:val="en-US"/>
        </w:rPr>
        <w:t xml:space="preserve"> 231,399 patients </w:t>
      </w:r>
      <w:r w:rsidR="00D80FC1" w:rsidRPr="007F6D00">
        <w:rPr>
          <w:rFonts w:ascii="Calibri" w:hAnsi="Calibri"/>
          <w:sz w:val="24"/>
          <w:lang w:val="en-US"/>
        </w:rPr>
        <w:t>were identified as obese</w:t>
      </w:r>
      <w:r w:rsidRPr="007F6D00">
        <w:rPr>
          <w:rFonts w:ascii="Calibri" w:hAnsi="Calibri"/>
          <w:sz w:val="24"/>
          <w:lang w:val="en-US"/>
        </w:rPr>
        <w:t xml:space="preserve">. After </w:t>
      </w:r>
      <w:r w:rsidR="00BF2F65" w:rsidRPr="007F6D00">
        <w:rPr>
          <w:rFonts w:ascii="Calibri" w:hAnsi="Calibri"/>
          <w:sz w:val="24"/>
          <w:lang w:val="en-US"/>
        </w:rPr>
        <w:t xml:space="preserve">restricting for patients with a BMI ≥35 and </w:t>
      </w:r>
      <w:r w:rsidR="00700654" w:rsidRPr="007F6D00">
        <w:rPr>
          <w:rFonts w:ascii="Calibri" w:hAnsi="Calibri"/>
          <w:sz w:val="24"/>
          <w:lang w:val="en-US"/>
        </w:rPr>
        <w:t xml:space="preserve">BMI </w:t>
      </w:r>
      <w:r w:rsidR="00BF2F65" w:rsidRPr="007F6D00">
        <w:rPr>
          <w:rFonts w:ascii="Calibri" w:hAnsi="Calibri"/>
          <w:sz w:val="24"/>
          <w:lang w:val="en-US"/>
        </w:rPr>
        <w:t>&lt;80</w:t>
      </w:r>
      <w:r w:rsidR="00700654" w:rsidRPr="007F6D00">
        <w:rPr>
          <w:rFonts w:ascii="Calibri" w:hAnsi="Calibri"/>
          <w:sz w:val="24"/>
          <w:lang w:val="en-US"/>
        </w:rPr>
        <w:t>,</w:t>
      </w:r>
      <w:r w:rsidR="00BF2F65" w:rsidRPr="007F6D00">
        <w:rPr>
          <w:rFonts w:ascii="Calibri" w:hAnsi="Calibri"/>
          <w:sz w:val="24"/>
          <w:lang w:val="en-US"/>
        </w:rPr>
        <w:t xml:space="preserve"> there were</w:t>
      </w:r>
      <w:r w:rsidRPr="007F6D00">
        <w:rPr>
          <w:rFonts w:ascii="Calibri" w:hAnsi="Calibri"/>
          <w:sz w:val="24"/>
          <w:lang w:val="en-US"/>
        </w:rPr>
        <w:t xml:space="preserve"> </w:t>
      </w:r>
      <w:r w:rsidR="00BF2F65" w:rsidRPr="007F6D00">
        <w:rPr>
          <w:rFonts w:ascii="Calibri" w:hAnsi="Calibri"/>
          <w:sz w:val="24"/>
          <w:lang w:val="en-US"/>
        </w:rPr>
        <w:t>231,316 patients remaining. After controlling for extremes of age</w:t>
      </w:r>
      <w:r w:rsidR="00FD121B">
        <w:rPr>
          <w:rFonts w:ascii="Calibri" w:hAnsi="Calibri"/>
          <w:sz w:val="24"/>
          <w:lang w:val="en-US"/>
        </w:rPr>
        <w:t xml:space="preserve">, </w:t>
      </w:r>
      <w:r w:rsidR="00BF2F65" w:rsidRPr="007F6D00">
        <w:rPr>
          <w:rFonts w:ascii="Calibri" w:hAnsi="Calibri"/>
          <w:sz w:val="24"/>
          <w:lang w:val="en-US"/>
        </w:rPr>
        <w:t>187,061 remained for final quantitative analysis.</w:t>
      </w:r>
      <w:r w:rsidR="00D80FC1" w:rsidRPr="007F6D00">
        <w:rPr>
          <w:rFonts w:ascii="Calibri" w:hAnsi="Calibri"/>
          <w:sz w:val="24"/>
          <w:lang w:val="en-US"/>
        </w:rPr>
        <w:t xml:space="preserve"> </w:t>
      </w:r>
      <w:r w:rsidR="000628CD" w:rsidRPr="007F6D00">
        <w:rPr>
          <w:rFonts w:ascii="Calibri" w:hAnsi="Calibri"/>
          <w:sz w:val="24"/>
          <w:lang w:val="en-US"/>
        </w:rPr>
        <w:t>The median</w:t>
      </w:r>
      <w:r w:rsidR="00630293" w:rsidRPr="007F6D00">
        <w:rPr>
          <w:rFonts w:ascii="Calibri" w:hAnsi="Calibri"/>
          <w:sz w:val="24"/>
          <w:lang w:val="en-US"/>
        </w:rPr>
        <w:t xml:space="preserve"> follow-</w:t>
      </w:r>
      <w:r w:rsidR="000628CD" w:rsidRPr="007F6D00">
        <w:rPr>
          <w:rFonts w:ascii="Calibri" w:hAnsi="Calibri"/>
          <w:sz w:val="24"/>
          <w:lang w:val="en-US"/>
        </w:rPr>
        <w:t xml:space="preserve">up time from </w:t>
      </w:r>
      <w:r w:rsidR="00700654" w:rsidRPr="007F6D00">
        <w:rPr>
          <w:rFonts w:ascii="Calibri" w:hAnsi="Calibri"/>
          <w:sz w:val="24"/>
          <w:lang w:val="en-US"/>
        </w:rPr>
        <w:t xml:space="preserve">first </w:t>
      </w:r>
      <w:r w:rsidR="00630293" w:rsidRPr="007F6D00">
        <w:rPr>
          <w:rFonts w:ascii="Calibri" w:hAnsi="Calibri"/>
          <w:sz w:val="24"/>
          <w:lang w:val="en-US"/>
        </w:rPr>
        <w:t>diagnosis of BMI≥35kg/m</w:t>
      </w:r>
      <w:r w:rsidR="00630293" w:rsidRPr="007F6D00">
        <w:rPr>
          <w:rFonts w:ascii="Calibri" w:hAnsi="Calibri"/>
          <w:sz w:val="24"/>
          <w:vertAlign w:val="superscript"/>
          <w:lang w:val="en-US"/>
        </w:rPr>
        <w:t>2</w:t>
      </w:r>
      <w:r w:rsidR="00630293" w:rsidRPr="007F6D00">
        <w:rPr>
          <w:rFonts w:ascii="Calibri" w:hAnsi="Calibri"/>
          <w:sz w:val="24"/>
          <w:lang w:val="en-US"/>
        </w:rPr>
        <w:t xml:space="preserve"> until final patient visit or patient</w:t>
      </w:r>
      <w:r w:rsidR="007F6D00">
        <w:rPr>
          <w:rFonts w:ascii="Calibri" w:hAnsi="Calibri"/>
          <w:sz w:val="24"/>
          <w:lang w:val="en-US"/>
        </w:rPr>
        <w:t xml:space="preserve"> death was 98.0 months (range: 3</w:t>
      </w:r>
      <w:r w:rsidR="00630293" w:rsidRPr="007F6D00">
        <w:rPr>
          <w:rFonts w:ascii="Calibri" w:hAnsi="Calibri"/>
          <w:sz w:val="24"/>
          <w:lang w:val="en-US"/>
        </w:rPr>
        <w:t>.0-</w:t>
      </w:r>
      <w:r w:rsidR="001171D0" w:rsidRPr="00EF5FE6">
        <w:rPr>
          <w:rFonts w:ascii="Calibri" w:hAnsi="Calibri"/>
          <w:strike/>
          <w:sz w:val="24"/>
          <w:highlight w:val="yellow"/>
          <w:lang w:val="en-US"/>
        </w:rPr>
        <w:t>500</w:t>
      </w:r>
      <w:r w:rsidR="00630293" w:rsidRPr="00EF5FE6">
        <w:rPr>
          <w:rFonts w:ascii="Calibri" w:hAnsi="Calibri"/>
          <w:strike/>
          <w:sz w:val="24"/>
          <w:highlight w:val="yellow"/>
          <w:lang w:val="en-US"/>
        </w:rPr>
        <w:t>.0</w:t>
      </w:r>
      <w:r w:rsidR="00630293" w:rsidRPr="007F6D00">
        <w:rPr>
          <w:rFonts w:ascii="Calibri" w:hAnsi="Calibri"/>
          <w:sz w:val="24"/>
          <w:lang w:val="en-US"/>
        </w:rPr>
        <w:t xml:space="preserve"> </w:t>
      </w:r>
      <w:r w:rsidR="00DA1032">
        <w:rPr>
          <w:rFonts w:ascii="Calibri" w:hAnsi="Calibri"/>
          <w:sz w:val="24"/>
          <w:lang w:val="en-US"/>
        </w:rPr>
        <w:t xml:space="preserve">1095.0 </w:t>
      </w:r>
      <w:r w:rsidR="00630293" w:rsidRPr="007F6D00">
        <w:rPr>
          <w:rFonts w:ascii="Calibri" w:hAnsi="Calibri"/>
          <w:sz w:val="24"/>
          <w:lang w:val="en-US"/>
        </w:rPr>
        <w:t>months).</w:t>
      </w:r>
      <w:r w:rsidR="00700654" w:rsidRPr="007F6D00">
        <w:rPr>
          <w:rFonts w:ascii="Calibri" w:hAnsi="Calibri"/>
          <w:sz w:val="24"/>
          <w:lang w:val="en-US"/>
        </w:rPr>
        <w:t xml:space="preserve"> </w:t>
      </w:r>
      <w:r w:rsidR="001C5C1B" w:rsidRPr="007F6D00">
        <w:rPr>
          <w:rFonts w:ascii="Calibri" w:hAnsi="Calibri"/>
          <w:sz w:val="24"/>
          <w:lang w:val="en-US"/>
        </w:rPr>
        <w:t>Of those included</w:t>
      </w:r>
      <w:r w:rsidR="00D80FC1" w:rsidRPr="007F6D00">
        <w:rPr>
          <w:rFonts w:ascii="Calibri" w:hAnsi="Calibri"/>
          <w:sz w:val="24"/>
          <w:lang w:val="en-US"/>
        </w:rPr>
        <w:t>,</w:t>
      </w:r>
      <w:r w:rsidR="001C5C1B" w:rsidRPr="007F6D00">
        <w:rPr>
          <w:rFonts w:ascii="Calibri" w:hAnsi="Calibri"/>
          <w:sz w:val="24"/>
          <w:lang w:val="en-US"/>
        </w:rPr>
        <w:t xml:space="preserve"> 8,655</w:t>
      </w:r>
      <w:r w:rsidR="00973ED5" w:rsidRPr="007F6D00">
        <w:rPr>
          <w:rFonts w:ascii="Calibri" w:hAnsi="Calibri"/>
          <w:sz w:val="24"/>
          <w:lang w:val="en-US"/>
        </w:rPr>
        <w:t xml:space="preserve"> </w:t>
      </w:r>
      <w:r w:rsidR="001C5C1B" w:rsidRPr="007F6D00">
        <w:rPr>
          <w:rFonts w:ascii="Calibri" w:hAnsi="Calibri"/>
          <w:sz w:val="24"/>
          <w:lang w:val="en-US"/>
        </w:rPr>
        <w:t>(4.6</w:t>
      </w:r>
      <w:r w:rsidR="00AD006E" w:rsidRPr="007F6D00">
        <w:rPr>
          <w:rFonts w:ascii="Calibri" w:hAnsi="Calibri"/>
          <w:sz w:val="24"/>
          <w:lang w:val="en-US"/>
        </w:rPr>
        <w:t xml:space="preserve">%) </w:t>
      </w:r>
      <w:r w:rsidR="001C5C1B" w:rsidRPr="007F6D00">
        <w:rPr>
          <w:rFonts w:ascii="Calibri" w:hAnsi="Calibri"/>
          <w:sz w:val="24"/>
          <w:lang w:val="en-US"/>
        </w:rPr>
        <w:t xml:space="preserve">were identified as having </w:t>
      </w:r>
      <w:r w:rsidR="00D80FC1" w:rsidRPr="007F6D00">
        <w:rPr>
          <w:rFonts w:ascii="Calibri" w:hAnsi="Calibri"/>
          <w:sz w:val="24"/>
          <w:lang w:val="en-US"/>
        </w:rPr>
        <w:t>died over the study period.</w:t>
      </w:r>
      <w:r w:rsidR="000628CD" w:rsidRPr="007F6D00">
        <w:rPr>
          <w:rFonts w:ascii="Calibri" w:hAnsi="Calibri"/>
          <w:sz w:val="24"/>
          <w:lang w:val="en-US"/>
        </w:rPr>
        <w:t xml:space="preserve"> </w:t>
      </w:r>
      <w:r w:rsidR="00630293" w:rsidRPr="007F6D00">
        <w:rPr>
          <w:rFonts w:ascii="Calibri" w:hAnsi="Calibri"/>
          <w:sz w:val="24"/>
          <w:lang w:val="en-US"/>
        </w:rPr>
        <w:t>The median time from baseline obesity diagnosis until death was 137.0</w:t>
      </w:r>
      <w:r w:rsidR="000E3663" w:rsidRPr="007F6D00">
        <w:rPr>
          <w:rFonts w:ascii="Calibri" w:hAnsi="Calibri"/>
          <w:sz w:val="24"/>
          <w:lang w:val="en-US"/>
        </w:rPr>
        <w:t xml:space="preserve"> (range: 3.0-628.7 months)</w:t>
      </w:r>
      <w:r w:rsidR="00DD1336" w:rsidRPr="007F6D00">
        <w:rPr>
          <w:rFonts w:ascii="Calibri" w:hAnsi="Calibri"/>
          <w:sz w:val="24"/>
          <w:lang w:val="en-US"/>
        </w:rPr>
        <w:t>.</w:t>
      </w:r>
      <w:r w:rsidR="00BF6BD8" w:rsidRPr="007F6D00">
        <w:rPr>
          <w:rFonts w:ascii="Calibri" w:hAnsi="Calibri"/>
          <w:sz w:val="24"/>
          <w:lang w:val="en-US"/>
        </w:rPr>
        <w:t xml:space="preserve"> </w:t>
      </w:r>
    </w:p>
    <w:p w14:paraId="2258ED04" w14:textId="77777777" w:rsidR="004C6E3E" w:rsidRPr="007F6D00" w:rsidRDefault="004C6E3E" w:rsidP="003858EC">
      <w:pPr>
        <w:spacing w:line="480" w:lineRule="auto"/>
        <w:jc w:val="both"/>
        <w:rPr>
          <w:rFonts w:ascii="Calibri" w:hAnsi="Calibri"/>
          <w:sz w:val="24"/>
          <w:lang w:val="en-US"/>
        </w:rPr>
      </w:pPr>
    </w:p>
    <w:p w14:paraId="653BDCF9" w14:textId="0B191320" w:rsidR="00347E0E" w:rsidRPr="007F6D00" w:rsidRDefault="004C6E3E" w:rsidP="003858EC">
      <w:pPr>
        <w:spacing w:line="480" w:lineRule="auto"/>
        <w:jc w:val="both"/>
        <w:rPr>
          <w:rFonts w:ascii="Calibri" w:hAnsi="Calibri"/>
          <w:sz w:val="24"/>
          <w:lang w:val="en-US"/>
        </w:rPr>
      </w:pPr>
      <w:r w:rsidRPr="007F6D00">
        <w:rPr>
          <w:rFonts w:ascii="Calibri" w:hAnsi="Calibri"/>
          <w:sz w:val="24"/>
          <w:lang w:val="en-US"/>
        </w:rPr>
        <w:t xml:space="preserve">Table 1 outlines the primary demographic details in full for those patients who were both deceased and non-deceased at last follow-up. The deceased patients were older at baseline </w:t>
      </w:r>
      <w:r w:rsidRPr="007F6D00">
        <w:rPr>
          <w:rFonts w:ascii="Calibri" w:hAnsi="Calibri"/>
          <w:sz w:val="24"/>
          <w:lang w:val="en-US"/>
        </w:rPr>
        <w:lastRenderedPageBreak/>
        <w:t>diagnosis (mean: 49.4</w:t>
      </w:r>
      <w:r w:rsidR="000B0D90" w:rsidRPr="007F6D00">
        <w:rPr>
          <w:rFonts w:ascii="Calibri" w:hAnsi="Calibri"/>
          <w:sz w:val="24"/>
          <w:lang w:val="en-US"/>
        </w:rPr>
        <w:t>0</w:t>
      </w:r>
      <w:r w:rsidR="00F31C1A" w:rsidRPr="007F6D00">
        <w:rPr>
          <w:rFonts w:ascii="Calibri" w:hAnsi="Calibri"/>
          <w:sz w:val="24"/>
          <w:lang w:val="en-US"/>
        </w:rPr>
        <w:t xml:space="preserve"> ± 8.79</w:t>
      </w:r>
      <w:r w:rsidRPr="007F6D00">
        <w:rPr>
          <w:rFonts w:ascii="Calibri" w:hAnsi="Calibri"/>
          <w:sz w:val="24"/>
          <w:lang w:val="en-US"/>
        </w:rPr>
        <w:t xml:space="preserve"> vs 39.7</w:t>
      </w:r>
      <w:r w:rsidR="000B0D90" w:rsidRPr="007F6D00">
        <w:rPr>
          <w:rFonts w:ascii="Calibri" w:hAnsi="Calibri"/>
          <w:sz w:val="24"/>
          <w:lang w:val="en-US"/>
        </w:rPr>
        <w:t>0</w:t>
      </w:r>
      <w:r w:rsidR="00F31C1A" w:rsidRPr="007F6D00">
        <w:rPr>
          <w:rFonts w:ascii="Calibri" w:hAnsi="Calibri"/>
          <w:sz w:val="24"/>
          <w:lang w:val="en-US"/>
        </w:rPr>
        <w:t xml:space="preserve"> ± 11.48</w:t>
      </w:r>
      <w:r w:rsidRPr="007F6D00">
        <w:rPr>
          <w:rFonts w:ascii="Calibri" w:hAnsi="Calibri"/>
          <w:sz w:val="24"/>
          <w:lang w:val="en-US"/>
        </w:rPr>
        <w:t xml:space="preserve">; p&lt;0.001). </w:t>
      </w:r>
      <w:r w:rsidR="008836FD" w:rsidRPr="007F6D00">
        <w:rPr>
          <w:rFonts w:ascii="Calibri" w:hAnsi="Calibri"/>
          <w:sz w:val="24"/>
          <w:lang w:val="en-US"/>
        </w:rPr>
        <w:t xml:space="preserve">Deceased patients were also more likely to be male (43.3% vs 31.6%; p&lt;0.001). The BMI at baseline was higher in </w:t>
      </w:r>
      <w:r w:rsidR="00F31C1A" w:rsidRPr="007F6D00">
        <w:rPr>
          <w:rFonts w:ascii="Calibri" w:hAnsi="Calibri"/>
          <w:sz w:val="24"/>
          <w:lang w:val="en-US"/>
        </w:rPr>
        <w:t>patients who died (39.86 ± 5.46 vs 38.80 ± 4.43</w:t>
      </w:r>
      <w:r w:rsidR="000B0D90" w:rsidRPr="007F6D00">
        <w:rPr>
          <w:rFonts w:ascii="Calibri" w:hAnsi="Calibri"/>
          <w:sz w:val="24"/>
          <w:lang w:val="en-US"/>
        </w:rPr>
        <w:t>; p&lt;0.001).</w:t>
      </w:r>
      <w:r w:rsidR="005F5F48" w:rsidRPr="007F6D00">
        <w:rPr>
          <w:rFonts w:ascii="Calibri" w:hAnsi="Calibri"/>
          <w:sz w:val="24"/>
          <w:lang w:val="en-US"/>
        </w:rPr>
        <w:t xml:space="preserve"> 93,313 patients (49.9%) </w:t>
      </w:r>
      <w:r w:rsidR="00E75D5C" w:rsidRPr="007F6D00">
        <w:rPr>
          <w:rFonts w:ascii="Calibri" w:hAnsi="Calibri"/>
          <w:sz w:val="24"/>
          <w:lang w:val="en-US"/>
        </w:rPr>
        <w:t xml:space="preserve">in both groups </w:t>
      </w:r>
      <w:r w:rsidR="005F5F48" w:rsidRPr="007F6D00">
        <w:rPr>
          <w:rFonts w:ascii="Calibri" w:hAnsi="Calibri"/>
          <w:sz w:val="24"/>
          <w:lang w:val="en-US"/>
        </w:rPr>
        <w:t>were eligible for bariatric surgery according to NICE guidelines</w:t>
      </w:r>
      <w:r w:rsidR="00E75D5C" w:rsidRPr="007F6D00">
        <w:rPr>
          <w:rFonts w:ascii="Calibri" w:hAnsi="Calibri"/>
          <w:sz w:val="24"/>
          <w:lang w:val="en-US"/>
        </w:rPr>
        <w:t xml:space="preserve"> at baseline</w:t>
      </w:r>
      <w:r w:rsidR="00E75D5C" w:rsidRPr="007F6D00">
        <w:rPr>
          <w:rFonts w:ascii="Calibri" w:hAnsi="Calibri"/>
          <w:sz w:val="24"/>
          <w:lang w:val="en-US"/>
        </w:rPr>
        <w:fldChar w:fldCharType="begin"/>
      </w:r>
      <w:r w:rsidR="00E75D5C" w:rsidRPr="007F6D00">
        <w:rPr>
          <w:rFonts w:ascii="Calibri" w:hAnsi="Calibri"/>
          <w:sz w:val="24"/>
          <w:lang w:val="en-US"/>
        </w:rPr>
        <w:instrText>ADDIN RW.CITE{{204 National Institute for Health and Care Excellence (2014)}}</w:instrText>
      </w:r>
      <w:r w:rsidR="00E75D5C" w:rsidRPr="007F6D00">
        <w:rPr>
          <w:rFonts w:ascii="Calibri" w:hAnsi="Calibri"/>
          <w:sz w:val="24"/>
          <w:lang w:val="en-US"/>
        </w:rPr>
        <w:fldChar w:fldCharType="separate"/>
      </w:r>
      <w:r w:rsidR="00D04D75" w:rsidRPr="00D04D75">
        <w:rPr>
          <w:rFonts w:ascii="Calibri" w:hAnsi="Calibri"/>
          <w:sz w:val="24"/>
        </w:rPr>
        <w:t xml:space="preserve"> (16)</w:t>
      </w:r>
      <w:r w:rsidR="00E75D5C" w:rsidRPr="007F6D00">
        <w:rPr>
          <w:rFonts w:ascii="Calibri" w:hAnsi="Calibri"/>
          <w:sz w:val="24"/>
          <w:lang w:val="en-US"/>
        </w:rPr>
        <w:fldChar w:fldCharType="end"/>
      </w:r>
      <w:r w:rsidR="005F5F48" w:rsidRPr="007F6D00">
        <w:rPr>
          <w:rFonts w:ascii="Calibri" w:hAnsi="Calibri"/>
          <w:sz w:val="24"/>
          <w:lang w:val="en-US"/>
        </w:rPr>
        <w:t>.</w:t>
      </w:r>
      <w:r w:rsidR="00E75D5C" w:rsidRPr="007F6D00">
        <w:rPr>
          <w:rFonts w:ascii="Calibri" w:hAnsi="Calibri"/>
          <w:sz w:val="24"/>
          <w:lang w:val="en-US"/>
        </w:rPr>
        <w:t xml:space="preserve"> However, only 3,869 (2.1%) received surgical intervention for their obesity.</w:t>
      </w:r>
      <w:r w:rsidR="00C71841" w:rsidRPr="007F6D00">
        <w:rPr>
          <w:rFonts w:ascii="Calibri" w:hAnsi="Calibri"/>
          <w:sz w:val="24"/>
          <w:lang w:val="en-US"/>
        </w:rPr>
        <w:t xml:space="preserve"> Of those who died d</w:t>
      </w:r>
      <w:r w:rsidR="00F31C1A" w:rsidRPr="007F6D00">
        <w:rPr>
          <w:rFonts w:ascii="Calibri" w:hAnsi="Calibri"/>
          <w:sz w:val="24"/>
          <w:lang w:val="en-US"/>
        </w:rPr>
        <w:t>uring follow-up</w:t>
      </w:r>
      <w:r w:rsidR="00700654" w:rsidRPr="007F6D00">
        <w:rPr>
          <w:rFonts w:ascii="Calibri" w:hAnsi="Calibri"/>
          <w:sz w:val="24"/>
          <w:lang w:val="en-US"/>
        </w:rPr>
        <w:t>,</w:t>
      </w:r>
      <w:r w:rsidR="00F31C1A" w:rsidRPr="007F6D00">
        <w:rPr>
          <w:rFonts w:ascii="Calibri" w:hAnsi="Calibri"/>
          <w:sz w:val="24"/>
          <w:lang w:val="en-US"/>
        </w:rPr>
        <w:t xml:space="preserve"> 5,881 (67.9%)</w:t>
      </w:r>
      <w:r w:rsidR="00C71841" w:rsidRPr="007F6D00">
        <w:rPr>
          <w:rFonts w:ascii="Calibri" w:hAnsi="Calibri"/>
          <w:sz w:val="24"/>
          <w:lang w:val="en-US"/>
        </w:rPr>
        <w:t xml:space="preserve"> patients were eligible for surgery, however only 47 (0.5%) received bariatric intervention.</w:t>
      </w:r>
    </w:p>
    <w:p w14:paraId="3CE68BA2" w14:textId="77777777" w:rsidR="00EF5FE6" w:rsidRDefault="00EF5FE6" w:rsidP="003858EC">
      <w:pPr>
        <w:spacing w:line="480" w:lineRule="auto"/>
        <w:jc w:val="both"/>
        <w:rPr>
          <w:rFonts w:ascii="Calibri" w:hAnsi="Calibri"/>
          <w:i/>
          <w:sz w:val="24"/>
          <w:lang w:val="en-US"/>
        </w:rPr>
      </w:pPr>
    </w:p>
    <w:p w14:paraId="50596CE9" w14:textId="6E04B3F0" w:rsidR="00EA5E8F" w:rsidRPr="007F6D00" w:rsidRDefault="00EA5E8F" w:rsidP="003858EC">
      <w:pPr>
        <w:spacing w:line="480" w:lineRule="auto"/>
        <w:jc w:val="both"/>
        <w:rPr>
          <w:rFonts w:ascii="Calibri" w:hAnsi="Calibri"/>
          <w:i/>
          <w:sz w:val="24"/>
          <w:lang w:val="en-US"/>
        </w:rPr>
      </w:pPr>
      <w:r w:rsidRPr="007F6D00">
        <w:rPr>
          <w:rFonts w:ascii="Calibri" w:hAnsi="Calibri"/>
          <w:i/>
          <w:sz w:val="24"/>
          <w:lang w:val="en-US"/>
        </w:rPr>
        <w:t>Overall Survival</w:t>
      </w:r>
    </w:p>
    <w:p w14:paraId="4577EA02" w14:textId="688837E5" w:rsidR="00EA5E8F" w:rsidRPr="007F6D00" w:rsidRDefault="00EA5E8F" w:rsidP="003858EC">
      <w:pPr>
        <w:spacing w:line="480" w:lineRule="auto"/>
        <w:jc w:val="both"/>
        <w:rPr>
          <w:rFonts w:ascii="Calibri" w:hAnsi="Calibri"/>
          <w:sz w:val="24"/>
          <w:lang w:val="en-US"/>
        </w:rPr>
      </w:pPr>
      <w:r w:rsidRPr="007F6D00">
        <w:rPr>
          <w:rFonts w:ascii="Calibri" w:hAnsi="Calibri"/>
          <w:sz w:val="24"/>
          <w:lang w:val="en-US"/>
        </w:rPr>
        <w:t xml:space="preserve">At 5 years from initial coding of </w:t>
      </w:r>
      <w:r w:rsidRPr="0023678E">
        <w:rPr>
          <w:rFonts w:ascii="Calibri" w:hAnsi="Calibri"/>
          <w:strike/>
          <w:sz w:val="24"/>
          <w:highlight w:val="yellow"/>
          <w:lang w:val="en-US"/>
        </w:rPr>
        <w:t>morbid</w:t>
      </w:r>
      <w:r w:rsidRPr="0023678E">
        <w:rPr>
          <w:rFonts w:ascii="Calibri" w:hAnsi="Calibri"/>
          <w:sz w:val="24"/>
          <w:highlight w:val="yellow"/>
          <w:lang w:val="en-US"/>
        </w:rPr>
        <w:t xml:space="preserve"> </w:t>
      </w:r>
      <w:r w:rsidR="0023678E" w:rsidRPr="0023678E">
        <w:rPr>
          <w:rFonts w:ascii="Calibri" w:hAnsi="Calibri"/>
          <w:sz w:val="24"/>
          <w:highlight w:val="yellow"/>
          <w:lang w:val="en-US"/>
        </w:rPr>
        <w:t>severe</w:t>
      </w:r>
      <w:r w:rsidR="0023678E">
        <w:rPr>
          <w:rFonts w:ascii="Calibri" w:hAnsi="Calibri"/>
          <w:sz w:val="24"/>
          <w:lang w:val="en-US"/>
        </w:rPr>
        <w:t xml:space="preserve"> </w:t>
      </w:r>
      <w:r w:rsidRPr="007F6D00">
        <w:rPr>
          <w:rFonts w:ascii="Calibri" w:hAnsi="Calibri"/>
          <w:sz w:val="24"/>
          <w:lang w:val="en-US"/>
        </w:rPr>
        <w:t xml:space="preserve">obesity overall </w:t>
      </w:r>
      <w:r w:rsidR="00F95254" w:rsidRPr="007F6D00">
        <w:rPr>
          <w:rFonts w:ascii="Calibri" w:hAnsi="Calibri"/>
          <w:sz w:val="24"/>
          <w:lang w:val="en-US"/>
        </w:rPr>
        <w:t xml:space="preserve">survival was 99.1% (n=185,300). At 10 years overall survival was 97.9% (n=183,172). Overall survival at 15 years was 96.8% (n=181,119). Overall survival at </w:t>
      </w:r>
      <w:r w:rsidR="008B23C3" w:rsidRPr="007F6D00">
        <w:rPr>
          <w:rFonts w:ascii="Calibri" w:hAnsi="Calibri"/>
          <w:sz w:val="24"/>
          <w:lang w:val="en-US"/>
        </w:rPr>
        <w:t>20 years was 95.9% (n=179,375).</w:t>
      </w:r>
    </w:p>
    <w:p w14:paraId="3B5758EA" w14:textId="77777777" w:rsidR="000E2CE0" w:rsidRPr="007F6D00" w:rsidRDefault="000E2CE0" w:rsidP="003858EC">
      <w:pPr>
        <w:spacing w:line="480" w:lineRule="auto"/>
        <w:jc w:val="both"/>
        <w:rPr>
          <w:rFonts w:ascii="Calibri" w:hAnsi="Calibri"/>
          <w:i/>
          <w:sz w:val="24"/>
          <w:lang w:val="en-US"/>
        </w:rPr>
      </w:pPr>
    </w:p>
    <w:p w14:paraId="6910B254" w14:textId="5B0D74C1" w:rsidR="00720611" w:rsidRPr="007F6D00" w:rsidRDefault="00720611" w:rsidP="003858EC">
      <w:pPr>
        <w:spacing w:line="480" w:lineRule="auto"/>
        <w:jc w:val="both"/>
        <w:rPr>
          <w:rFonts w:ascii="Calibri" w:hAnsi="Calibri"/>
          <w:i/>
          <w:sz w:val="24"/>
          <w:lang w:val="en-US"/>
        </w:rPr>
      </w:pPr>
      <w:r w:rsidRPr="007F6D00">
        <w:rPr>
          <w:rFonts w:ascii="Calibri" w:hAnsi="Calibri"/>
          <w:i/>
          <w:sz w:val="24"/>
          <w:lang w:val="en-US"/>
        </w:rPr>
        <w:t>Univariate analysis</w:t>
      </w:r>
    </w:p>
    <w:p w14:paraId="409624C5" w14:textId="49A1667B" w:rsidR="00720611" w:rsidRPr="007F6D00" w:rsidRDefault="00AE380D" w:rsidP="003858EC">
      <w:pPr>
        <w:spacing w:line="480" w:lineRule="auto"/>
        <w:jc w:val="both"/>
        <w:rPr>
          <w:rFonts w:ascii="Calibri" w:hAnsi="Calibri"/>
          <w:sz w:val="24"/>
          <w:lang w:val="en-US"/>
        </w:rPr>
      </w:pPr>
      <w:r w:rsidRPr="007F6D00">
        <w:rPr>
          <w:rFonts w:ascii="Calibri" w:hAnsi="Calibri"/>
          <w:sz w:val="24"/>
          <w:lang w:val="en-US"/>
        </w:rPr>
        <w:t xml:space="preserve">Table 2 details the factors included in </w:t>
      </w:r>
      <w:r w:rsidR="00D7757B" w:rsidRPr="007F6D00">
        <w:rPr>
          <w:rFonts w:ascii="Calibri" w:hAnsi="Calibri"/>
          <w:sz w:val="24"/>
          <w:lang w:val="en-US"/>
        </w:rPr>
        <w:t>a cox proportional hazard model</w:t>
      </w:r>
      <w:r w:rsidRPr="007F6D00">
        <w:rPr>
          <w:rFonts w:ascii="Calibri" w:hAnsi="Calibri"/>
          <w:sz w:val="24"/>
          <w:lang w:val="en-US"/>
        </w:rPr>
        <w:t xml:space="preserve"> to determine their association with all-cause mortality. </w:t>
      </w:r>
      <w:r w:rsidR="000C4D19" w:rsidRPr="007F6D00">
        <w:rPr>
          <w:rFonts w:ascii="Calibri" w:hAnsi="Calibri"/>
          <w:sz w:val="24"/>
          <w:lang w:val="en-US"/>
        </w:rPr>
        <w:t xml:space="preserve">The following factors were all found to be associated with an increased likelihood of death on univariate analysis: increased age at first diagnosis, male sex, </w:t>
      </w:r>
      <w:r w:rsidR="003552ED" w:rsidRPr="007F6D00">
        <w:rPr>
          <w:rFonts w:ascii="Calibri" w:hAnsi="Calibri"/>
          <w:sz w:val="24"/>
          <w:lang w:val="en-US"/>
        </w:rPr>
        <w:t xml:space="preserve">higher BMI categories, </w:t>
      </w:r>
      <w:r w:rsidR="003552ED" w:rsidRPr="00EF5FE6">
        <w:rPr>
          <w:rFonts w:ascii="Calibri" w:hAnsi="Calibri"/>
          <w:strike/>
          <w:sz w:val="24"/>
          <w:highlight w:val="yellow"/>
          <w:lang w:val="en-US"/>
        </w:rPr>
        <w:t>higher Charlson score,</w:t>
      </w:r>
      <w:r w:rsidR="003552ED" w:rsidRPr="007F6D00">
        <w:rPr>
          <w:rFonts w:ascii="Calibri" w:hAnsi="Calibri"/>
          <w:sz w:val="24"/>
          <w:lang w:val="en-US"/>
        </w:rPr>
        <w:t xml:space="preserve"> hypertension, type II diabetes mellitus, </w:t>
      </w:r>
      <w:r w:rsidR="00FD121B" w:rsidRPr="007F6D00">
        <w:rPr>
          <w:rFonts w:ascii="Calibri" w:hAnsi="Calibri"/>
          <w:sz w:val="24"/>
          <w:lang w:val="en-US"/>
        </w:rPr>
        <w:t>hyperlipidemia</w:t>
      </w:r>
      <w:r w:rsidR="003552ED" w:rsidRPr="007F6D00">
        <w:rPr>
          <w:rFonts w:ascii="Calibri" w:hAnsi="Calibri"/>
          <w:sz w:val="24"/>
          <w:lang w:val="en-US"/>
        </w:rPr>
        <w:t xml:space="preserve">, </w:t>
      </w:r>
      <w:r w:rsidR="00FD121B" w:rsidRPr="007F6D00">
        <w:rPr>
          <w:rFonts w:ascii="Calibri" w:hAnsi="Calibri"/>
          <w:sz w:val="24"/>
          <w:lang w:val="en-US"/>
        </w:rPr>
        <w:t>ischemic</w:t>
      </w:r>
      <w:r w:rsidR="003552ED" w:rsidRPr="007F6D00">
        <w:rPr>
          <w:rFonts w:ascii="Calibri" w:hAnsi="Calibri"/>
          <w:sz w:val="24"/>
          <w:lang w:val="en-US"/>
        </w:rPr>
        <w:t xml:space="preserve"> heart disease, cerebrovascular disease, chronic respiratory disease, obstructive sleep </w:t>
      </w:r>
      <w:r w:rsidR="00FD121B" w:rsidRPr="007F6D00">
        <w:rPr>
          <w:rFonts w:ascii="Calibri" w:hAnsi="Calibri"/>
          <w:sz w:val="24"/>
          <w:lang w:val="en-US"/>
        </w:rPr>
        <w:t>apnea</w:t>
      </w:r>
      <w:r w:rsidR="003552ED" w:rsidRPr="007F6D00">
        <w:rPr>
          <w:rFonts w:ascii="Calibri" w:hAnsi="Calibri"/>
          <w:sz w:val="24"/>
          <w:lang w:val="en-US"/>
        </w:rPr>
        <w:t xml:space="preserve"> (all p&lt;0.001), and smoking (p=0.014). </w:t>
      </w:r>
      <w:r w:rsidR="00D26D82" w:rsidRPr="007F6D00">
        <w:rPr>
          <w:rFonts w:ascii="Calibri" w:hAnsi="Calibri"/>
          <w:sz w:val="24"/>
          <w:lang w:val="en-US"/>
        </w:rPr>
        <w:t>Patients who underwent bariatric surgery had a reduced association with</w:t>
      </w:r>
      <w:r w:rsidR="003552ED" w:rsidRPr="007F6D00">
        <w:rPr>
          <w:rFonts w:ascii="Calibri" w:hAnsi="Calibri"/>
          <w:sz w:val="24"/>
          <w:lang w:val="en-US"/>
        </w:rPr>
        <w:t xml:space="preserve"> mortality (p&lt;0.001). </w:t>
      </w:r>
    </w:p>
    <w:p w14:paraId="327D6ED1" w14:textId="77777777" w:rsidR="00D7757B" w:rsidRPr="007F6D00" w:rsidRDefault="00D7757B" w:rsidP="003858EC">
      <w:pPr>
        <w:spacing w:line="480" w:lineRule="auto"/>
        <w:jc w:val="both"/>
        <w:rPr>
          <w:rFonts w:ascii="Calibri" w:hAnsi="Calibri"/>
          <w:sz w:val="24"/>
          <w:lang w:val="en-US"/>
        </w:rPr>
      </w:pPr>
    </w:p>
    <w:p w14:paraId="11112969" w14:textId="577FF49C" w:rsidR="00D7757B" w:rsidRPr="007F6D00" w:rsidRDefault="00D7757B" w:rsidP="003858EC">
      <w:pPr>
        <w:spacing w:line="480" w:lineRule="auto"/>
        <w:jc w:val="both"/>
        <w:rPr>
          <w:rFonts w:ascii="Calibri" w:hAnsi="Calibri"/>
          <w:i/>
          <w:sz w:val="24"/>
          <w:lang w:val="en-US"/>
        </w:rPr>
      </w:pPr>
      <w:r w:rsidRPr="007F6D00">
        <w:rPr>
          <w:rFonts w:ascii="Calibri" w:hAnsi="Calibri"/>
          <w:i/>
          <w:sz w:val="24"/>
          <w:lang w:val="en-US"/>
        </w:rPr>
        <w:t>Multivariate analysis</w:t>
      </w:r>
    </w:p>
    <w:p w14:paraId="08FF5120" w14:textId="7387A24F" w:rsidR="00FD121B" w:rsidRPr="00EF5FE6" w:rsidRDefault="00D7757B" w:rsidP="00EF5FE6">
      <w:pPr>
        <w:spacing w:line="480" w:lineRule="auto"/>
        <w:jc w:val="both"/>
        <w:rPr>
          <w:rFonts w:ascii="Calibri" w:hAnsi="Calibri"/>
          <w:b/>
          <w:sz w:val="36"/>
          <w:lang w:val="en-US"/>
        </w:rPr>
      </w:pPr>
      <w:r w:rsidRPr="007F6D00">
        <w:rPr>
          <w:rFonts w:ascii="Calibri" w:hAnsi="Calibri"/>
          <w:sz w:val="24"/>
          <w:lang w:val="en-US"/>
        </w:rPr>
        <w:lastRenderedPageBreak/>
        <w:t xml:space="preserve">The results of the subsequent multivariate analysis are included within Table 3. Again, the following were associated with increased mortality: increased age at first diagnosis, male sex, higher BMI categories, </w:t>
      </w:r>
      <w:r w:rsidRPr="00EF5FE6">
        <w:rPr>
          <w:rFonts w:ascii="Calibri" w:hAnsi="Calibri"/>
          <w:strike/>
          <w:sz w:val="24"/>
          <w:highlight w:val="yellow"/>
          <w:lang w:val="en-US"/>
        </w:rPr>
        <w:t>higher Charlson score,</w:t>
      </w:r>
      <w:r w:rsidRPr="007F6D00">
        <w:rPr>
          <w:rFonts w:ascii="Calibri" w:hAnsi="Calibri"/>
          <w:sz w:val="24"/>
          <w:lang w:val="en-US"/>
        </w:rPr>
        <w:t xml:space="preserve"> hypertension, type II diabetes mellitus, </w:t>
      </w:r>
      <w:r w:rsidR="00FD121B" w:rsidRPr="007F6D00">
        <w:rPr>
          <w:rFonts w:ascii="Calibri" w:hAnsi="Calibri"/>
          <w:sz w:val="24"/>
          <w:lang w:val="en-US"/>
        </w:rPr>
        <w:t>hyperlipidemia</w:t>
      </w:r>
      <w:r w:rsidRPr="007F6D00">
        <w:rPr>
          <w:rFonts w:ascii="Calibri" w:hAnsi="Calibri"/>
          <w:sz w:val="24"/>
          <w:lang w:val="en-US"/>
        </w:rPr>
        <w:t xml:space="preserve">, </w:t>
      </w:r>
      <w:r w:rsidR="00FD121B" w:rsidRPr="007F6D00">
        <w:rPr>
          <w:rFonts w:ascii="Calibri" w:hAnsi="Calibri"/>
          <w:sz w:val="24"/>
          <w:lang w:val="en-US"/>
        </w:rPr>
        <w:t>ischemic</w:t>
      </w:r>
      <w:r w:rsidRPr="007F6D00">
        <w:rPr>
          <w:rFonts w:ascii="Calibri" w:hAnsi="Calibri"/>
          <w:sz w:val="24"/>
          <w:lang w:val="en-US"/>
        </w:rPr>
        <w:t xml:space="preserve"> heart disease, cerebrovascular disease, chronic respiratory disease, obstructive sleep </w:t>
      </w:r>
      <w:r w:rsidR="00FD121B" w:rsidRPr="007F6D00">
        <w:rPr>
          <w:rFonts w:ascii="Calibri" w:hAnsi="Calibri"/>
          <w:sz w:val="24"/>
          <w:lang w:val="en-US"/>
        </w:rPr>
        <w:t>apnea</w:t>
      </w:r>
      <w:r w:rsidRPr="007F6D00">
        <w:rPr>
          <w:rFonts w:ascii="Calibri" w:hAnsi="Calibri"/>
          <w:sz w:val="24"/>
          <w:lang w:val="en-US"/>
        </w:rPr>
        <w:t xml:space="preserve"> and smoking (all p&lt;0.001).</w:t>
      </w:r>
      <w:r w:rsidR="00D26D82" w:rsidRPr="007F6D00">
        <w:rPr>
          <w:rFonts w:ascii="Calibri" w:hAnsi="Calibri"/>
          <w:sz w:val="24"/>
          <w:lang w:val="en-US"/>
        </w:rPr>
        <w:t xml:space="preserve"> Bariatric surgery was again found to be associated with protection from all-cause mortality (p&lt;0.001).</w:t>
      </w:r>
    </w:p>
    <w:p w14:paraId="1FEE8766" w14:textId="77777777" w:rsidR="00E27DF2" w:rsidRDefault="00E27DF2" w:rsidP="003858EC">
      <w:pPr>
        <w:widowControl w:val="0"/>
        <w:autoSpaceDE w:val="0"/>
        <w:autoSpaceDN w:val="0"/>
        <w:adjustRightInd w:val="0"/>
        <w:spacing w:line="480" w:lineRule="auto"/>
        <w:ind w:left="640" w:hanging="640"/>
        <w:rPr>
          <w:rFonts w:ascii="Calibri" w:hAnsi="Calibri"/>
          <w:b/>
          <w:sz w:val="28"/>
          <w:lang w:val="en-US"/>
        </w:rPr>
      </w:pPr>
    </w:p>
    <w:p w14:paraId="205004FC" w14:textId="6CFE5B5C" w:rsidR="00347E0E" w:rsidRPr="007F6D00" w:rsidRDefault="00347E0E" w:rsidP="003858EC">
      <w:pPr>
        <w:widowControl w:val="0"/>
        <w:autoSpaceDE w:val="0"/>
        <w:autoSpaceDN w:val="0"/>
        <w:adjustRightInd w:val="0"/>
        <w:spacing w:line="480" w:lineRule="auto"/>
        <w:ind w:left="640" w:hanging="640"/>
        <w:rPr>
          <w:rFonts w:ascii="Calibri" w:hAnsi="Calibri"/>
          <w:b/>
          <w:sz w:val="28"/>
          <w:lang w:val="en-US"/>
        </w:rPr>
      </w:pPr>
      <w:r w:rsidRPr="007F6D00">
        <w:rPr>
          <w:rFonts w:ascii="Calibri" w:hAnsi="Calibri"/>
          <w:b/>
          <w:sz w:val="28"/>
          <w:lang w:val="en-US"/>
        </w:rPr>
        <w:t>Discussion</w:t>
      </w:r>
    </w:p>
    <w:p w14:paraId="28AF583E" w14:textId="0A1031B6" w:rsidR="00AA3129" w:rsidRPr="007F6D00" w:rsidRDefault="00AA3129" w:rsidP="004A03CC">
      <w:pPr>
        <w:widowControl w:val="0"/>
        <w:autoSpaceDE w:val="0"/>
        <w:autoSpaceDN w:val="0"/>
        <w:adjustRightInd w:val="0"/>
        <w:spacing w:line="480" w:lineRule="auto"/>
        <w:jc w:val="both"/>
        <w:rPr>
          <w:rFonts w:ascii="Calibri" w:hAnsi="Calibri"/>
          <w:sz w:val="24"/>
          <w:lang w:val="en-US"/>
        </w:rPr>
      </w:pPr>
      <w:r w:rsidRPr="0023678E">
        <w:rPr>
          <w:rFonts w:ascii="Calibri" w:hAnsi="Calibri"/>
          <w:strike/>
          <w:sz w:val="24"/>
          <w:highlight w:val="yellow"/>
          <w:lang w:val="en-US"/>
        </w:rPr>
        <w:t>Morbid</w:t>
      </w:r>
      <w:r w:rsidRPr="0023678E">
        <w:rPr>
          <w:rFonts w:ascii="Calibri" w:hAnsi="Calibri"/>
          <w:sz w:val="24"/>
          <w:highlight w:val="yellow"/>
          <w:lang w:val="en-US"/>
        </w:rPr>
        <w:t xml:space="preserve"> </w:t>
      </w:r>
      <w:r w:rsidR="0023678E" w:rsidRPr="0023678E">
        <w:rPr>
          <w:rFonts w:ascii="Calibri" w:hAnsi="Calibri"/>
          <w:sz w:val="24"/>
          <w:highlight w:val="yellow"/>
          <w:lang w:val="en-US"/>
        </w:rPr>
        <w:t>Severe</w:t>
      </w:r>
      <w:r w:rsidR="0023678E">
        <w:rPr>
          <w:rFonts w:ascii="Calibri" w:hAnsi="Calibri"/>
          <w:sz w:val="24"/>
          <w:lang w:val="en-US"/>
        </w:rPr>
        <w:t xml:space="preserve"> </w:t>
      </w:r>
      <w:r w:rsidRPr="007F6D00">
        <w:rPr>
          <w:rFonts w:ascii="Calibri" w:hAnsi="Calibri"/>
          <w:sz w:val="24"/>
          <w:lang w:val="en-US"/>
        </w:rPr>
        <w:t>obesity is well known to increase the likelihood of all-cause mortality at an earlier age compared to people with a normal BMI</w:t>
      </w:r>
      <w:r w:rsidRPr="007F6D00">
        <w:rPr>
          <w:rFonts w:ascii="Calibri" w:hAnsi="Calibri"/>
          <w:sz w:val="24"/>
          <w:lang w:val="en-US"/>
        </w:rPr>
        <w:fldChar w:fldCharType="begin"/>
      </w:r>
      <w:r w:rsidRPr="007F6D00">
        <w:rPr>
          <w:rFonts w:ascii="Calibri" w:hAnsi="Calibri"/>
          <w:sz w:val="24"/>
          <w:lang w:val="en-US"/>
        </w:rPr>
        <w:instrText>ADDIN RW.CITE{{428 Aune,D. 2016;429 Global BMI Mortality Collaboration 2016;430 Prospective Studies Collaboration 2009}}</w:instrText>
      </w:r>
      <w:r w:rsidRPr="007F6D00">
        <w:rPr>
          <w:rFonts w:ascii="Calibri" w:hAnsi="Calibri"/>
          <w:sz w:val="24"/>
          <w:lang w:val="en-US"/>
        </w:rPr>
        <w:fldChar w:fldCharType="separate"/>
      </w:r>
      <w:r w:rsidRPr="007F6D00">
        <w:rPr>
          <w:rFonts w:ascii="Calibri" w:hAnsi="Calibri"/>
          <w:sz w:val="24"/>
          <w:lang w:val="en-US"/>
        </w:rPr>
        <w:t>(9-11)</w:t>
      </w:r>
      <w:r w:rsidRPr="007F6D00">
        <w:rPr>
          <w:rFonts w:ascii="Calibri" w:hAnsi="Calibri"/>
          <w:sz w:val="24"/>
          <w:lang w:val="en-US"/>
        </w:rPr>
        <w:fldChar w:fldCharType="end"/>
      </w:r>
      <w:r w:rsidRPr="007F6D00">
        <w:rPr>
          <w:rFonts w:ascii="Calibri" w:hAnsi="Calibri"/>
          <w:sz w:val="24"/>
          <w:lang w:val="en-US"/>
        </w:rPr>
        <w:t xml:space="preserve">. </w:t>
      </w:r>
      <w:r w:rsidR="00F378DD" w:rsidRPr="007F6D00">
        <w:rPr>
          <w:rFonts w:ascii="Calibri" w:hAnsi="Calibri"/>
          <w:sz w:val="24"/>
          <w:lang w:val="en-US"/>
        </w:rPr>
        <w:t xml:space="preserve">When patients are first identified as </w:t>
      </w:r>
      <w:r w:rsidR="00F378DD" w:rsidRPr="0023678E">
        <w:rPr>
          <w:rFonts w:ascii="Calibri" w:hAnsi="Calibri"/>
          <w:strike/>
          <w:sz w:val="24"/>
          <w:highlight w:val="yellow"/>
          <w:lang w:val="en-US"/>
        </w:rPr>
        <w:t>morbidly</w:t>
      </w:r>
      <w:r w:rsidR="00F378DD"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F378DD" w:rsidRPr="007F6D00">
        <w:rPr>
          <w:rFonts w:ascii="Calibri" w:hAnsi="Calibri"/>
          <w:sz w:val="24"/>
          <w:lang w:val="en-US"/>
        </w:rPr>
        <w:t>obese it is common for them to concurrently experience the me</w:t>
      </w:r>
      <w:r w:rsidR="006D4BAD" w:rsidRPr="007F6D00">
        <w:rPr>
          <w:rFonts w:ascii="Calibri" w:hAnsi="Calibri"/>
          <w:sz w:val="24"/>
          <w:lang w:val="en-US"/>
        </w:rPr>
        <w:t xml:space="preserve">tabolic </w:t>
      </w:r>
      <w:r w:rsidR="001171D0" w:rsidRPr="007F6D00">
        <w:rPr>
          <w:rFonts w:ascii="Calibri" w:hAnsi="Calibri"/>
          <w:sz w:val="24"/>
          <w:lang w:val="en-US"/>
        </w:rPr>
        <w:t>sequelae</w:t>
      </w:r>
      <w:r w:rsidR="006D4BAD" w:rsidRPr="007F6D00">
        <w:rPr>
          <w:rFonts w:ascii="Calibri" w:hAnsi="Calibri"/>
          <w:sz w:val="24"/>
          <w:lang w:val="en-US"/>
        </w:rPr>
        <w:t xml:space="preserve"> of obesity at </w:t>
      </w:r>
      <w:r w:rsidR="00F378DD" w:rsidRPr="007F6D00">
        <w:rPr>
          <w:rFonts w:ascii="Calibri" w:hAnsi="Calibri"/>
          <w:sz w:val="24"/>
          <w:lang w:val="en-US"/>
        </w:rPr>
        <w:t>th</w:t>
      </w:r>
      <w:r w:rsidR="006D4BAD" w:rsidRPr="007F6D00">
        <w:rPr>
          <w:rFonts w:ascii="Calibri" w:hAnsi="Calibri"/>
          <w:sz w:val="24"/>
          <w:lang w:val="en-US"/>
        </w:rPr>
        <w:t>e</w:t>
      </w:r>
      <w:r w:rsidR="00F378DD" w:rsidRPr="007F6D00">
        <w:rPr>
          <w:rFonts w:ascii="Calibri" w:hAnsi="Calibri"/>
          <w:sz w:val="24"/>
          <w:lang w:val="en-US"/>
        </w:rPr>
        <w:t xml:space="preserve"> same time. </w:t>
      </w:r>
      <w:r w:rsidR="006D4BAD" w:rsidRPr="007F6D00">
        <w:rPr>
          <w:rFonts w:ascii="Calibri" w:hAnsi="Calibri"/>
          <w:sz w:val="24"/>
          <w:lang w:val="en-US"/>
        </w:rPr>
        <w:t xml:space="preserve">In the group of patients from this analysis; 12.7%, 5.4% and 1.9% of patients had hypertension, type II diabetes and </w:t>
      </w:r>
      <w:r w:rsidR="00FD121B" w:rsidRPr="007F6D00">
        <w:rPr>
          <w:rFonts w:ascii="Calibri" w:hAnsi="Calibri"/>
          <w:sz w:val="24"/>
          <w:lang w:val="en-US"/>
        </w:rPr>
        <w:t>hyperlipidemia</w:t>
      </w:r>
      <w:r w:rsidR="006D4BAD" w:rsidRPr="007F6D00">
        <w:rPr>
          <w:rFonts w:ascii="Calibri" w:hAnsi="Calibri"/>
          <w:sz w:val="24"/>
          <w:lang w:val="en-US"/>
        </w:rPr>
        <w:t xml:space="preserve"> respectively at baseline</w:t>
      </w:r>
      <w:r w:rsidRPr="007F6D00">
        <w:rPr>
          <w:rFonts w:ascii="Calibri" w:hAnsi="Calibri"/>
          <w:sz w:val="24"/>
          <w:lang w:val="en-US"/>
        </w:rPr>
        <w:t xml:space="preserve">. </w:t>
      </w:r>
      <w:r w:rsidR="006D4BAD" w:rsidRPr="007F6D00">
        <w:rPr>
          <w:rFonts w:ascii="Calibri" w:hAnsi="Calibri"/>
          <w:sz w:val="24"/>
          <w:lang w:val="en-US"/>
        </w:rPr>
        <w:t xml:space="preserve">However, it is not clear which factors at baseline place the patients at greatest risk of all-cause mortality. </w:t>
      </w:r>
      <w:r w:rsidRPr="007F6D00">
        <w:rPr>
          <w:rFonts w:ascii="Calibri" w:hAnsi="Calibri"/>
          <w:sz w:val="24"/>
          <w:lang w:val="en-US"/>
        </w:rPr>
        <w:t xml:space="preserve">The results from this analysis indicate that a </w:t>
      </w:r>
      <w:r w:rsidR="001D6C5D" w:rsidRPr="007F6D00">
        <w:rPr>
          <w:rFonts w:ascii="Calibri" w:hAnsi="Calibri"/>
          <w:sz w:val="24"/>
          <w:lang w:val="en-US"/>
        </w:rPr>
        <w:t xml:space="preserve">number of individual risk factors that are prevalent amongst the </w:t>
      </w:r>
      <w:r w:rsidR="001D6C5D" w:rsidRPr="0023678E">
        <w:rPr>
          <w:rFonts w:ascii="Calibri" w:hAnsi="Calibri"/>
          <w:strike/>
          <w:sz w:val="24"/>
          <w:highlight w:val="yellow"/>
          <w:lang w:val="en-US"/>
        </w:rPr>
        <w:t>morbidly</w:t>
      </w:r>
      <w:r w:rsidR="001D6C5D"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1D6C5D" w:rsidRPr="007F6D00">
        <w:rPr>
          <w:rFonts w:ascii="Calibri" w:hAnsi="Calibri"/>
          <w:sz w:val="24"/>
          <w:lang w:val="en-US"/>
        </w:rPr>
        <w:t>obese population are</w:t>
      </w:r>
      <w:r w:rsidR="00F378DD" w:rsidRPr="007F6D00">
        <w:rPr>
          <w:rFonts w:ascii="Calibri" w:hAnsi="Calibri"/>
          <w:sz w:val="24"/>
          <w:lang w:val="en-US"/>
        </w:rPr>
        <w:t xml:space="preserve"> prognostic of overall survival. Those most heavily associated with an increased risk of </w:t>
      </w:r>
      <w:r w:rsidR="006D4BAD" w:rsidRPr="007F6D00">
        <w:rPr>
          <w:rFonts w:ascii="Calibri" w:hAnsi="Calibri"/>
          <w:sz w:val="24"/>
          <w:lang w:val="en-US"/>
        </w:rPr>
        <w:t xml:space="preserve">death appear to be a high BMI </w:t>
      </w:r>
      <w:r w:rsidR="006D4BAD" w:rsidRPr="006A59E5">
        <w:rPr>
          <w:rFonts w:ascii="Calibri" w:hAnsi="Calibri"/>
          <w:strike/>
          <w:sz w:val="24"/>
          <w:highlight w:val="yellow"/>
          <w:lang w:val="en-US"/>
        </w:rPr>
        <w:t>(≥</w:t>
      </w:r>
      <w:r w:rsidR="00F378DD" w:rsidRPr="006A59E5">
        <w:rPr>
          <w:rFonts w:ascii="Calibri" w:hAnsi="Calibri"/>
          <w:strike/>
          <w:sz w:val="24"/>
          <w:highlight w:val="yellow"/>
          <w:lang w:val="en-US"/>
        </w:rPr>
        <w:t>55)</w:t>
      </w:r>
      <w:r w:rsidR="00F378DD" w:rsidRPr="007F6D00">
        <w:rPr>
          <w:rFonts w:ascii="Calibri" w:hAnsi="Calibri"/>
          <w:sz w:val="24"/>
          <w:lang w:val="en-US"/>
        </w:rPr>
        <w:t xml:space="preserve">, late age at diagnosis, hypertension, type II diabetes and obstructive sleep </w:t>
      </w:r>
      <w:r w:rsidR="00FD121B" w:rsidRPr="007F6D00">
        <w:rPr>
          <w:rFonts w:ascii="Calibri" w:hAnsi="Calibri"/>
          <w:sz w:val="24"/>
          <w:lang w:val="en-US"/>
        </w:rPr>
        <w:t>apnea</w:t>
      </w:r>
      <w:r w:rsidR="00F378DD" w:rsidRPr="007F6D00">
        <w:rPr>
          <w:rFonts w:ascii="Calibri" w:hAnsi="Calibri"/>
          <w:sz w:val="24"/>
          <w:lang w:val="en-US"/>
        </w:rPr>
        <w:t xml:space="preserve">. </w:t>
      </w:r>
      <w:r w:rsidR="006D4BAD" w:rsidRPr="007F6D00">
        <w:rPr>
          <w:rFonts w:ascii="Calibri" w:hAnsi="Calibri"/>
          <w:sz w:val="24"/>
          <w:lang w:val="en-US"/>
        </w:rPr>
        <w:t>However, those patie</w:t>
      </w:r>
      <w:r w:rsidR="00995BB4" w:rsidRPr="007F6D00">
        <w:rPr>
          <w:rFonts w:ascii="Calibri" w:hAnsi="Calibri"/>
          <w:sz w:val="24"/>
          <w:lang w:val="en-US"/>
        </w:rPr>
        <w:t>nts who had bariatric surgery were</w:t>
      </w:r>
      <w:r w:rsidR="004E38C9" w:rsidRPr="007F6D00">
        <w:rPr>
          <w:rFonts w:ascii="Calibri" w:hAnsi="Calibri"/>
          <w:sz w:val="24"/>
          <w:lang w:val="en-US"/>
        </w:rPr>
        <w:t xml:space="preserve"> also</w:t>
      </w:r>
      <w:r w:rsidR="00995BB4" w:rsidRPr="007F6D00">
        <w:rPr>
          <w:rFonts w:ascii="Calibri" w:hAnsi="Calibri"/>
          <w:sz w:val="24"/>
          <w:lang w:val="en-US"/>
        </w:rPr>
        <w:t xml:space="preserve"> at reduced risk of al</w:t>
      </w:r>
      <w:r w:rsidR="00C71841" w:rsidRPr="007F6D00">
        <w:rPr>
          <w:rFonts w:ascii="Calibri" w:hAnsi="Calibri"/>
          <w:sz w:val="24"/>
          <w:lang w:val="en-US"/>
        </w:rPr>
        <w:t>l</w:t>
      </w:r>
      <w:r w:rsidR="00995BB4" w:rsidRPr="007F6D00">
        <w:rPr>
          <w:rFonts w:ascii="Calibri" w:hAnsi="Calibri"/>
          <w:sz w:val="24"/>
          <w:lang w:val="en-US"/>
        </w:rPr>
        <w:t>-cause mortality.</w:t>
      </w:r>
    </w:p>
    <w:p w14:paraId="07878F2B" w14:textId="77777777" w:rsidR="008A0E7E" w:rsidRPr="007F6D00" w:rsidRDefault="008A0E7E" w:rsidP="004A03CC">
      <w:pPr>
        <w:widowControl w:val="0"/>
        <w:autoSpaceDE w:val="0"/>
        <w:autoSpaceDN w:val="0"/>
        <w:adjustRightInd w:val="0"/>
        <w:spacing w:line="480" w:lineRule="auto"/>
        <w:jc w:val="both"/>
        <w:rPr>
          <w:rFonts w:ascii="Calibri" w:hAnsi="Calibri"/>
          <w:sz w:val="24"/>
          <w:lang w:val="en-US"/>
        </w:rPr>
      </w:pPr>
    </w:p>
    <w:p w14:paraId="45C63C6F" w14:textId="2A4FC2B3" w:rsidR="00310D33" w:rsidRPr="007F6D00" w:rsidRDefault="00EE19E0" w:rsidP="004A03CC">
      <w:pPr>
        <w:widowControl w:val="0"/>
        <w:autoSpaceDE w:val="0"/>
        <w:autoSpaceDN w:val="0"/>
        <w:adjustRightInd w:val="0"/>
        <w:spacing w:line="480" w:lineRule="auto"/>
        <w:jc w:val="both"/>
        <w:rPr>
          <w:rFonts w:ascii="Calibri" w:hAnsi="Calibri"/>
          <w:sz w:val="24"/>
          <w:lang w:val="en-US"/>
        </w:rPr>
      </w:pPr>
      <w:r w:rsidRPr="007F6D00">
        <w:rPr>
          <w:rFonts w:ascii="Calibri" w:hAnsi="Calibri"/>
          <w:sz w:val="24"/>
          <w:lang w:val="en-US"/>
        </w:rPr>
        <w:t>These results suggest that increasing o</w:t>
      </w:r>
      <w:r w:rsidR="00F31C1A" w:rsidRPr="007F6D00">
        <w:rPr>
          <w:rFonts w:ascii="Calibri" w:hAnsi="Calibri"/>
          <w:sz w:val="24"/>
          <w:lang w:val="en-US"/>
        </w:rPr>
        <w:t>besity beyond</w:t>
      </w:r>
      <w:r w:rsidRPr="007F6D00">
        <w:rPr>
          <w:rFonts w:ascii="Calibri" w:hAnsi="Calibri"/>
          <w:sz w:val="24"/>
          <w:lang w:val="en-US"/>
        </w:rPr>
        <w:t xml:space="preserve"> BMI≥35kg/m2 is </w:t>
      </w:r>
      <w:r w:rsidR="00F31C1A" w:rsidRPr="007F6D00">
        <w:rPr>
          <w:rFonts w:ascii="Calibri" w:hAnsi="Calibri"/>
          <w:sz w:val="24"/>
          <w:lang w:val="en-US"/>
        </w:rPr>
        <w:t>independently associated with</w:t>
      </w:r>
      <w:r w:rsidRPr="007F6D00">
        <w:rPr>
          <w:rFonts w:ascii="Calibri" w:hAnsi="Calibri"/>
          <w:sz w:val="24"/>
          <w:lang w:val="en-US"/>
        </w:rPr>
        <w:t xml:space="preserve"> increased risk of death. Multivariate analysis identified that the highest BMI </w:t>
      </w:r>
      <w:r w:rsidRPr="007F6D00">
        <w:rPr>
          <w:rFonts w:ascii="Calibri" w:hAnsi="Calibri"/>
          <w:sz w:val="24"/>
          <w:lang w:val="en-US"/>
        </w:rPr>
        <w:lastRenderedPageBreak/>
        <w:t xml:space="preserve">categories are at greatest risk of all-cause mortality, despite controlling for a number of other disease parameters that were also independently associated with a heightened risk of mortality. The risks of obesity were traditionally believed to be </w:t>
      </w:r>
      <w:r w:rsidR="000C3A3F" w:rsidRPr="007F6D00">
        <w:rPr>
          <w:rFonts w:ascii="Calibri" w:hAnsi="Calibri"/>
          <w:sz w:val="24"/>
          <w:lang w:val="en-US"/>
        </w:rPr>
        <w:t>due to</w:t>
      </w:r>
      <w:r w:rsidRPr="007F6D00">
        <w:rPr>
          <w:rFonts w:ascii="Calibri" w:hAnsi="Calibri"/>
          <w:sz w:val="24"/>
          <w:lang w:val="en-US"/>
        </w:rPr>
        <w:t xml:space="preserve"> </w:t>
      </w:r>
      <w:r w:rsidR="008A0E7E" w:rsidRPr="007F6D00">
        <w:rPr>
          <w:rFonts w:ascii="Calibri" w:hAnsi="Calibri"/>
          <w:sz w:val="24"/>
          <w:lang w:val="en-US"/>
        </w:rPr>
        <w:t xml:space="preserve">developing metabolic </w:t>
      </w:r>
      <w:r w:rsidR="00FD121B" w:rsidRPr="007F6D00">
        <w:rPr>
          <w:rFonts w:ascii="Calibri" w:hAnsi="Calibri"/>
          <w:sz w:val="24"/>
          <w:lang w:val="en-US"/>
        </w:rPr>
        <w:t>sequelae that</w:t>
      </w:r>
      <w:r w:rsidRPr="007F6D00">
        <w:rPr>
          <w:rFonts w:ascii="Calibri" w:hAnsi="Calibri"/>
          <w:sz w:val="24"/>
          <w:lang w:val="en-US"/>
        </w:rPr>
        <w:t xml:space="preserve"> increase cardiovascular disease risk</w:t>
      </w:r>
      <w:r w:rsidR="008A0E7E" w:rsidRPr="007F6D00">
        <w:rPr>
          <w:rFonts w:ascii="Calibri" w:hAnsi="Calibri"/>
          <w:sz w:val="24"/>
          <w:lang w:val="en-US"/>
        </w:rPr>
        <w:t>, as well as increasing risk of cancer and other chronic health conditions</w:t>
      </w:r>
      <w:r w:rsidR="008A0E7E" w:rsidRPr="007F6D00">
        <w:rPr>
          <w:rFonts w:ascii="Calibri" w:hAnsi="Calibri"/>
          <w:sz w:val="24"/>
          <w:lang w:val="en-US"/>
        </w:rPr>
        <w:fldChar w:fldCharType="begin"/>
      </w:r>
      <w:r w:rsidR="008A0E7E" w:rsidRPr="007F6D00">
        <w:rPr>
          <w:rFonts w:ascii="Calibri" w:hAnsi="Calibri"/>
          <w:sz w:val="24"/>
          <w:lang w:val="en-US"/>
        </w:rPr>
        <w:instrText>ADDIN RW.CITE{{437 Zhang,C. 2008;436 Wilson, Peter WF 2002}}</w:instrText>
      </w:r>
      <w:r w:rsidR="008A0E7E" w:rsidRPr="007F6D00">
        <w:rPr>
          <w:rFonts w:ascii="Calibri" w:hAnsi="Calibri"/>
          <w:sz w:val="24"/>
          <w:lang w:val="en-US"/>
        </w:rPr>
        <w:fldChar w:fldCharType="separate"/>
      </w:r>
      <w:r w:rsidR="00D04D75" w:rsidRPr="00D04D75">
        <w:rPr>
          <w:rFonts w:ascii="Calibri" w:hAnsi="Calibri"/>
          <w:sz w:val="24"/>
        </w:rPr>
        <w:t xml:space="preserve"> (18,19)</w:t>
      </w:r>
      <w:r w:rsidR="008A0E7E" w:rsidRPr="007F6D00">
        <w:rPr>
          <w:rFonts w:ascii="Calibri" w:hAnsi="Calibri"/>
          <w:sz w:val="24"/>
          <w:lang w:val="en-US"/>
        </w:rPr>
        <w:fldChar w:fldCharType="end"/>
      </w:r>
      <w:r w:rsidRPr="007F6D00">
        <w:rPr>
          <w:rFonts w:ascii="Calibri" w:hAnsi="Calibri"/>
          <w:sz w:val="24"/>
          <w:lang w:val="en-US"/>
        </w:rPr>
        <w:t>.</w:t>
      </w:r>
      <w:r w:rsidR="008A0E7E" w:rsidRPr="007F6D00">
        <w:rPr>
          <w:rFonts w:ascii="Calibri" w:hAnsi="Calibri"/>
          <w:sz w:val="24"/>
          <w:lang w:val="en-US"/>
        </w:rPr>
        <w:t xml:space="preserve"> These findings run contrary to that hypothesis. </w:t>
      </w:r>
      <w:r w:rsidR="00E27DF2" w:rsidRPr="00326150">
        <w:rPr>
          <w:rFonts w:ascii="Calibri" w:hAnsi="Calibri"/>
          <w:sz w:val="24"/>
          <w:highlight w:val="yellow"/>
          <w:lang w:val="en-US"/>
        </w:rPr>
        <w:t xml:space="preserve">The most likely reason behind this finding is that increasing BMI places an increasing disease burden upon patients that cannot be accounted for in the </w:t>
      </w:r>
      <w:r w:rsidR="00326150" w:rsidRPr="00326150">
        <w:rPr>
          <w:rFonts w:ascii="Calibri" w:hAnsi="Calibri"/>
          <w:sz w:val="24"/>
          <w:highlight w:val="yellow"/>
          <w:lang w:val="en-US"/>
        </w:rPr>
        <w:t>present analysis.</w:t>
      </w:r>
      <w:r w:rsidR="00326150">
        <w:rPr>
          <w:rFonts w:ascii="Calibri" w:hAnsi="Calibri"/>
          <w:sz w:val="24"/>
          <w:lang w:val="en-US"/>
        </w:rPr>
        <w:t xml:space="preserve"> </w:t>
      </w:r>
      <w:r w:rsidR="008A0E7E" w:rsidRPr="007F6D00">
        <w:rPr>
          <w:rFonts w:ascii="Calibri" w:hAnsi="Calibri"/>
          <w:sz w:val="24"/>
          <w:lang w:val="en-US"/>
        </w:rPr>
        <w:t>However, recent</w:t>
      </w:r>
      <w:r w:rsidR="001007FB" w:rsidRPr="007F6D00">
        <w:rPr>
          <w:rFonts w:ascii="Calibri" w:hAnsi="Calibri"/>
          <w:sz w:val="24"/>
          <w:lang w:val="en-US"/>
        </w:rPr>
        <w:t xml:space="preserve"> findings have demonstrated a trend between</w:t>
      </w:r>
      <w:r w:rsidR="008A0E7E" w:rsidRPr="007F6D00">
        <w:rPr>
          <w:rFonts w:ascii="Calibri" w:hAnsi="Calibri"/>
          <w:sz w:val="24"/>
          <w:lang w:val="en-US"/>
        </w:rPr>
        <w:t xml:space="preserve"> obesity </w:t>
      </w:r>
      <w:r w:rsidR="001007FB" w:rsidRPr="007F6D00">
        <w:rPr>
          <w:rFonts w:ascii="Calibri" w:hAnsi="Calibri"/>
          <w:sz w:val="24"/>
          <w:lang w:val="en-US"/>
        </w:rPr>
        <w:t xml:space="preserve">and </w:t>
      </w:r>
      <w:r w:rsidR="00F31C1A" w:rsidRPr="007F6D00">
        <w:rPr>
          <w:rFonts w:ascii="Calibri" w:hAnsi="Calibri"/>
          <w:sz w:val="24"/>
          <w:lang w:val="en-US"/>
        </w:rPr>
        <w:t>risk of mortality independent</w:t>
      </w:r>
      <w:r w:rsidR="008A0E7E" w:rsidRPr="007F6D00">
        <w:rPr>
          <w:rFonts w:ascii="Calibri" w:hAnsi="Calibri"/>
          <w:sz w:val="24"/>
          <w:lang w:val="en-US"/>
        </w:rPr>
        <w:t xml:space="preserve"> of those </w:t>
      </w:r>
      <w:r w:rsidR="001171D0" w:rsidRPr="007F6D00">
        <w:rPr>
          <w:rFonts w:ascii="Calibri" w:hAnsi="Calibri"/>
          <w:sz w:val="24"/>
          <w:lang w:val="en-US"/>
        </w:rPr>
        <w:t>sequelae</w:t>
      </w:r>
      <w:r w:rsidR="008A0E7E" w:rsidRPr="007F6D00">
        <w:rPr>
          <w:rFonts w:ascii="Calibri" w:hAnsi="Calibri"/>
          <w:sz w:val="24"/>
          <w:lang w:val="en-US"/>
        </w:rPr>
        <w:t>. These patients are otherwise referred to as th</w:t>
      </w:r>
      <w:r w:rsidR="001007FB" w:rsidRPr="007F6D00">
        <w:rPr>
          <w:rFonts w:ascii="Calibri" w:hAnsi="Calibri"/>
          <w:sz w:val="24"/>
          <w:lang w:val="en-US"/>
        </w:rPr>
        <w:t>e ‘metabolically healthy obese’. These patients have a risk between that of metabolically healthy normal weight persons and metabolically unhealthy obese individuals</w:t>
      </w:r>
      <w:r w:rsidR="001007FB" w:rsidRPr="007F6D00">
        <w:rPr>
          <w:rFonts w:ascii="Calibri" w:hAnsi="Calibri"/>
          <w:sz w:val="24"/>
          <w:lang w:val="en-US"/>
        </w:rPr>
        <w:fldChar w:fldCharType="begin"/>
      </w:r>
      <w:r w:rsidR="001007FB" w:rsidRPr="007F6D00">
        <w:rPr>
          <w:rFonts w:ascii="Calibri" w:hAnsi="Calibri"/>
          <w:sz w:val="24"/>
          <w:lang w:val="en-US"/>
        </w:rPr>
        <w:instrText>ADDIN RW.CITE{{438 Roberson, Lara L 2014}}</w:instrText>
      </w:r>
      <w:r w:rsidR="001007FB" w:rsidRPr="007F6D00">
        <w:rPr>
          <w:rFonts w:ascii="Calibri" w:hAnsi="Calibri"/>
          <w:sz w:val="24"/>
          <w:lang w:val="en-US"/>
        </w:rPr>
        <w:fldChar w:fldCharType="separate"/>
      </w:r>
      <w:r w:rsidR="00D04D75" w:rsidRPr="00D04D75">
        <w:rPr>
          <w:rFonts w:ascii="Calibri" w:hAnsi="Calibri"/>
          <w:sz w:val="24"/>
        </w:rPr>
        <w:t xml:space="preserve"> (20)</w:t>
      </w:r>
      <w:r w:rsidR="001007FB" w:rsidRPr="007F6D00">
        <w:rPr>
          <w:rFonts w:ascii="Calibri" w:hAnsi="Calibri"/>
          <w:sz w:val="24"/>
          <w:lang w:val="en-US"/>
        </w:rPr>
        <w:fldChar w:fldCharType="end"/>
      </w:r>
      <w:r w:rsidR="001007FB" w:rsidRPr="007F6D00">
        <w:rPr>
          <w:rFonts w:ascii="Calibri" w:hAnsi="Calibri"/>
          <w:sz w:val="24"/>
          <w:lang w:val="en-US"/>
        </w:rPr>
        <w:t xml:space="preserve">. </w:t>
      </w:r>
      <w:r w:rsidR="007B5127" w:rsidRPr="007F6D00">
        <w:rPr>
          <w:rFonts w:ascii="Calibri" w:hAnsi="Calibri"/>
          <w:sz w:val="24"/>
          <w:lang w:val="en-US"/>
        </w:rPr>
        <w:t xml:space="preserve">In addition to initial baseline risk, around 30% of these patients </w:t>
      </w:r>
      <w:r w:rsidR="00F31C1A" w:rsidRPr="007F6D00">
        <w:rPr>
          <w:rFonts w:ascii="Calibri" w:hAnsi="Calibri"/>
          <w:sz w:val="24"/>
          <w:lang w:val="en-US"/>
        </w:rPr>
        <w:t>become</w:t>
      </w:r>
      <w:r w:rsidR="007B5127" w:rsidRPr="007F6D00">
        <w:rPr>
          <w:rFonts w:ascii="Calibri" w:hAnsi="Calibri"/>
          <w:sz w:val="24"/>
          <w:lang w:val="en-US"/>
        </w:rPr>
        <w:t xml:space="preserve"> metabolically at risk </w:t>
      </w:r>
      <w:r w:rsidR="00C76447" w:rsidRPr="007F6D00">
        <w:rPr>
          <w:rFonts w:ascii="Calibri" w:hAnsi="Calibri"/>
          <w:sz w:val="24"/>
          <w:lang w:val="en-US"/>
        </w:rPr>
        <w:t>after</w:t>
      </w:r>
      <w:r w:rsidR="007B5127" w:rsidRPr="007F6D00">
        <w:rPr>
          <w:rFonts w:ascii="Calibri" w:hAnsi="Calibri"/>
          <w:sz w:val="24"/>
          <w:lang w:val="en-US"/>
        </w:rPr>
        <w:t xml:space="preserve"> being previously healthy</w:t>
      </w:r>
      <w:r w:rsidR="00836EA7" w:rsidRPr="007F6D00">
        <w:rPr>
          <w:rFonts w:ascii="Calibri" w:hAnsi="Calibri"/>
          <w:sz w:val="24"/>
          <w:lang w:val="en-US"/>
        </w:rPr>
        <w:fldChar w:fldCharType="begin"/>
      </w:r>
      <w:r w:rsidR="00836EA7" w:rsidRPr="007F6D00">
        <w:rPr>
          <w:rFonts w:ascii="Calibri" w:hAnsi="Calibri"/>
          <w:sz w:val="24"/>
          <w:lang w:val="en-US"/>
        </w:rPr>
        <w:instrText>ADDIN RW.CITE{{439 Appleton,S.L. 2013}}</w:instrText>
      </w:r>
      <w:r w:rsidR="00836EA7" w:rsidRPr="007F6D00">
        <w:rPr>
          <w:rFonts w:ascii="Calibri" w:hAnsi="Calibri"/>
          <w:sz w:val="24"/>
          <w:lang w:val="en-US"/>
        </w:rPr>
        <w:fldChar w:fldCharType="separate"/>
      </w:r>
      <w:r w:rsidR="00D04D75" w:rsidRPr="00D04D75">
        <w:rPr>
          <w:rFonts w:ascii="Calibri" w:hAnsi="Calibri"/>
          <w:sz w:val="24"/>
        </w:rPr>
        <w:t xml:space="preserve"> (21)</w:t>
      </w:r>
      <w:r w:rsidR="00836EA7" w:rsidRPr="007F6D00">
        <w:rPr>
          <w:rFonts w:ascii="Calibri" w:hAnsi="Calibri"/>
          <w:sz w:val="24"/>
          <w:lang w:val="en-US"/>
        </w:rPr>
        <w:fldChar w:fldCharType="end"/>
      </w:r>
      <w:r w:rsidR="007B5127" w:rsidRPr="007F6D00">
        <w:rPr>
          <w:rFonts w:ascii="Calibri" w:hAnsi="Calibri"/>
          <w:sz w:val="24"/>
          <w:lang w:val="en-US"/>
        </w:rPr>
        <w:t>. The reason behind why some patients remain metabolically healthy is unclear and is thought to be due to interplay between genetic and environmental factors</w:t>
      </w:r>
      <w:r w:rsidR="007B5127" w:rsidRPr="007F6D00">
        <w:rPr>
          <w:rFonts w:ascii="Calibri" w:hAnsi="Calibri"/>
          <w:sz w:val="24"/>
          <w:lang w:val="en-US"/>
        </w:rPr>
        <w:fldChar w:fldCharType="begin"/>
      </w:r>
      <w:r w:rsidR="007B5127" w:rsidRPr="007F6D00">
        <w:rPr>
          <w:rFonts w:ascii="Calibri" w:hAnsi="Calibri"/>
          <w:sz w:val="24"/>
          <w:lang w:val="en-US"/>
        </w:rPr>
        <w:instrText>ADDIN RW.CITE{{438 Roberson, Lara L 2014}}</w:instrText>
      </w:r>
      <w:r w:rsidR="007B5127" w:rsidRPr="007F6D00">
        <w:rPr>
          <w:rFonts w:ascii="Calibri" w:hAnsi="Calibri"/>
          <w:sz w:val="24"/>
          <w:lang w:val="en-US"/>
        </w:rPr>
        <w:fldChar w:fldCharType="separate"/>
      </w:r>
      <w:r w:rsidR="00D04D75" w:rsidRPr="00D04D75">
        <w:rPr>
          <w:rFonts w:ascii="Calibri" w:hAnsi="Calibri"/>
          <w:sz w:val="24"/>
        </w:rPr>
        <w:t xml:space="preserve"> (20)</w:t>
      </w:r>
      <w:r w:rsidR="007B5127" w:rsidRPr="007F6D00">
        <w:rPr>
          <w:rFonts w:ascii="Calibri" w:hAnsi="Calibri"/>
          <w:sz w:val="24"/>
          <w:lang w:val="en-US"/>
        </w:rPr>
        <w:fldChar w:fldCharType="end"/>
      </w:r>
      <w:r w:rsidR="007B5127" w:rsidRPr="007F6D00">
        <w:rPr>
          <w:rFonts w:ascii="Calibri" w:hAnsi="Calibri"/>
          <w:sz w:val="24"/>
          <w:lang w:val="en-US"/>
        </w:rPr>
        <w:t>. Regardless, it is important to</w:t>
      </w:r>
      <w:r w:rsidR="008E6B82" w:rsidRPr="007F6D00">
        <w:rPr>
          <w:rFonts w:ascii="Calibri" w:hAnsi="Calibri"/>
          <w:sz w:val="24"/>
          <w:lang w:val="en-US"/>
        </w:rPr>
        <w:t xml:space="preserve"> encourage weight loss in all </w:t>
      </w:r>
      <w:r w:rsidR="008E6B82" w:rsidRPr="0023678E">
        <w:rPr>
          <w:rFonts w:ascii="Calibri" w:hAnsi="Calibri"/>
          <w:strike/>
          <w:sz w:val="24"/>
          <w:highlight w:val="yellow"/>
          <w:lang w:val="en-US"/>
        </w:rPr>
        <w:t>morbidly</w:t>
      </w:r>
      <w:r w:rsidR="008E6B82"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8E6B82" w:rsidRPr="007F6D00">
        <w:rPr>
          <w:rFonts w:ascii="Calibri" w:hAnsi="Calibri"/>
          <w:sz w:val="24"/>
          <w:lang w:val="en-US"/>
        </w:rPr>
        <w:t xml:space="preserve">obese patients regardless of </w:t>
      </w:r>
      <w:r w:rsidR="005C5E8E" w:rsidRPr="007F6D00">
        <w:rPr>
          <w:rFonts w:ascii="Calibri" w:hAnsi="Calibri"/>
          <w:sz w:val="24"/>
          <w:lang w:val="en-US"/>
        </w:rPr>
        <w:t xml:space="preserve">their metabolic status due to the increased risk it places on </w:t>
      </w:r>
      <w:r w:rsidR="007B5127" w:rsidRPr="007F6D00">
        <w:rPr>
          <w:rFonts w:ascii="Calibri" w:hAnsi="Calibri"/>
          <w:sz w:val="24"/>
          <w:lang w:val="en-US"/>
        </w:rPr>
        <w:t>them</w:t>
      </w:r>
      <w:r w:rsidR="005C5E8E" w:rsidRPr="007F6D00">
        <w:rPr>
          <w:rFonts w:ascii="Calibri" w:hAnsi="Calibri"/>
          <w:sz w:val="24"/>
          <w:lang w:val="en-US"/>
        </w:rPr>
        <w:t>.</w:t>
      </w:r>
      <w:r w:rsidR="007B5127" w:rsidRPr="007F6D00">
        <w:rPr>
          <w:rFonts w:ascii="Calibri" w:hAnsi="Calibri"/>
          <w:sz w:val="24"/>
          <w:lang w:val="en-US"/>
        </w:rPr>
        <w:t xml:space="preserve"> </w:t>
      </w:r>
    </w:p>
    <w:p w14:paraId="1D3D78A2" w14:textId="77777777" w:rsidR="00C76447" w:rsidRPr="007F6D00" w:rsidRDefault="00C76447" w:rsidP="004A03CC">
      <w:pPr>
        <w:widowControl w:val="0"/>
        <w:autoSpaceDE w:val="0"/>
        <w:autoSpaceDN w:val="0"/>
        <w:adjustRightInd w:val="0"/>
        <w:spacing w:line="480" w:lineRule="auto"/>
        <w:jc w:val="both"/>
        <w:rPr>
          <w:rFonts w:ascii="Calibri" w:hAnsi="Calibri"/>
          <w:sz w:val="24"/>
          <w:lang w:val="en-US"/>
        </w:rPr>
      </w:pPr>
    </w:p>
    <w:p w14:paraId="5A499B05" w14:textId="50ED0D9D" w:rsidR="00C76447" w:rsidRPr="007F6D00" w:rsidRDefault="00206BD9" w:rsidP="004A03CC">
      <w:pPr>
        <w:widowControl w:val="0"/>
        <w:autoSpaceDE w:val="0"/>
        <w:autoSpaceDN w:val="0"/>
        <w:adjustRightInd w:val="0"/>
        <w:spacing w:line="480" w:lineRule="auto"/>
        <w:jc w:val="both"/>
        <w:rPr>
          <w:rFonts w:ascii="Calibri" w:hAnsi="Calibri"/>
          <w:sz w:val="24"/>
          <w:lang w:val="en-US"/>
        </w:rPr>
      </w:pPr>
      <w:r w:rsidRPr="007F6D00">
        <w:rPr>
          <w:rFonts w:ascii="Calibri" w:hAnsi="Calibri"/>
          <w:sz w:val="24"/>
          <w:lang w:val="en-US"/>
        </w:rPr>
        <w:t xml:space="preserve">This study also indicates that the socio-economic environment in which a person lives is important for determining future risk of mortality. </w:t>
      </w:r>
      <w:r w:rsidR="007627CC" w:rsidRPr="007F6D00">
        <w:rPr>
          <w:rFonts w:ascii="Calibri" w:hAnsi="Calibri"/>
          <w:sz w:val="24"/>
          <w:lang w:val="en-US"/>
        </w:rPr>
        <w:t>There is an ‘obesity paradox</w:t>
      </w:r>
      <w:r w:rsidR="00E95EC9" w:rsidRPr="007F6D00">
        <w:rPr>
          <w:rFonts w:ascii="Calibri" w:hAnsi="Calibri"/>
          <w:sz w:val="24"/>
          <w:lang w:val="en-US"/>
        </w:rPr>
        <w:t xml:space="preserve">’ which exists within developed countries in which those who live closer to the poverty line are </w:t>
      </w:r>
      <w:r w:rsidR="00F20DB1" w:rsidRPr="007F6D00">
        <w:rPr>
          <w:rFonts w:ascii="Calibri" w:hAnsi="Calibri"/>
          <w:sz w:val="24"/>
          <w:lang w:val="en-US"/>
        </w:rPr>
        <w:t>at increased risk of obesity</w:t>
      </w:r>
      <w:r w:rsidR="00F20DB1" w:rsidRPr="007F6D00">
        <w:rPr>
          <w:rFonts w:ascii="Calibri" w:hAnsi="Calibri"/>
          <w:sz w:val="24"/>
          <w:lang w:val="en-US"/>
        </w:rPr>
        <w:fldChar w:fldCharType="begin"/>
      </w:r>
      <w:r w:rsidR="00F20DB1" w:rsidRPr="007F6D00">
        <w:rPr>
          <w:rFonts w:ascii="Calibri" w:hAnsi="Calibri"/>
          <w:sz w:val="24"/>
          <w:lang w:val="en-US"/>
        </w:rPr>
        <w:instrText>ADDIN RW.CITE{{440 Zukiewicz-Sobczak, Wioletta 2014}}</w:instrText>
      </w:r>
      <w:r w:rsidR="00F20DB1" w:rsidRPr="007F6D00">
        <w:rPr>
          <w:rFonts w:ascii="Calibri" w:hAnsi="Calibri"/>
          <w:sz w:val="24"/>
          <w:lang w:val="en-US"/>
        </w:rPr>
        <w:fldChar w:fldCharType="separate"/>
      </w:r>
      <w:r w:rsidR="00D04D75" w:rsidRPr="00D04D75">
        <w:rPr>
          <w:rFonts w:ascii="Calibri" w:hAnsi="Calibri"/>
          <w:sz w:val="24"/>
        </w:rPr>
        <w:t xml:space="preserve"> (22)</w:t>
      </w:r>
      <w:r w:rsidR="00F20DB1" w:rsidRPr="007F6D00">
        <w:rPr>
          <w:rFonts w:ascii="Calibri" w:hAnsi="Calibri"/>
          <w:sz w:val="24"/>
          <w:lang w:val="en-US"/>
        </w:rPr>
        <w:fldChar w:fldCharType="end"/>
      </w:r>
      <w:r w:rsidR="00F20DB1" w:rsidRPr="007F6D00">
        <w:rPr>
          <w:rFonts w:ascii="Calibri" w:hAnsi="Calibri"/>
          <w:sz w:val="24"/>
          <w:lang w:val="en-US"/>
        </w:rPr>
        <w:t xml:space="preserve">. The largest proportion of this </w:t>
      </w:r>
      <w:r w:rsidR="00F20DB1" w:rsidRPr="0023678E">
        <w:rPr>
          <w:rFonts w:ascii="Calibri" w:hAnsi="Calibri"/>
          <w:strike/>
          <w:sz w:val="24"/>
          <w:highlight w:val="yellow"/>
          <w:lang w:val="en-US"/>
        </w:rPr>
        <w:t>morbidly</w:t>
      </w:r>
      <w:r w:rsidR="00F20DB1"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F20DB1" w:rsidRPr="007F6D00">
        <w:rPr>
          <w:rFonts w:ascii="Calibri" w:hAnsi="Calibri"/>
          <w:sz w:val="24"/>
          <w:lang w:val="en-US"/>
        </w:rPr>
        <w:t xml:space="preserve">obese population is similarly derived from areas of the </w:t>
      </w:r>
      <w:r w:rsidR="00F31C1A" w:rsidRPr="007F6D00">
        <w:rPr>
          <w:rFonts w:ascii="Calibri" w:hAnsi="Calibri"/>
          <w:sz w:val="24"/>
          <w:lang w:val="en-US"/>
        </w:rPr>
        <w:t>UK</w:t>
      </w:r>
      <w:r w:rsidR="00F20DB1" w:rsidRPr="007F6D00">
        <w:rPr>
          <w:rFonts w:ascii="Calibri" w:hAnsi="Calibri"/>
          <w:sz w:val="24"/>
          <w:lang w:val="en-US"/>
        </w:rPr>
        <w:t xml:space="preserve"> with the highest levels of depravation (IMD=5). T</w:t>
      </w:r>
      <w:r w:rsidR="00F31C1A" w:rsidRPr="007F6D00">
        <w:rPr>
          <w:rFonts w:ascii="Calibri" w:hAnsi="Calibri"/>
          <w:sz w:val="24"/>
          <w:lang w:val="en-US"/>
        </w:rPr>
        <w:t>he</w:t>
      </w:r>
      <w:r w:rsidR="00F20DB1" w:rsidRPr="007F6D00">
        <w:rPr>
          <w:rFonts w:ascii="Calibri" w:hAnsi="Calibri"/>
          <w:sz w:val="24"/>
          <w:lang w:val="en-US"/>
        </w:rPr>
        <w:t xml:space="preserve"> patients from these areas were similarly found to be at increased risk of </w:t>
      </w:r>
      <w:r w:rsidR="00E22082" w:rsidRPr="007F6D00">
        <w:rPr>
          <w:rFonts w:ascii="Calibri" w:hAnsi="Calibri"/>
          <w:sz w:val="24"/>
          <w:lang w:val="en-US"/>
        </w:rPr>
        <w:t xml:space="preserve">all-cause mortality. This is corroborated by research that has identified health inequalities </w:t>
      </w:r>
      <w:r w:rsidR="00E22082" w:rsidRPr="007F6D00">
        <w:rPr>
          <w:rFonts w:ascii="Calibri" w:hAnsi="Calibri"/>
          <w:sz w:val="24"/>
          <w:lang w:val="en-US"/>
        </w:rPr>
        <w:lastRenderedPageBreak/>
        <w:t>between different communities</w:t>
      </w:r>
      <w:r w:rsidR="00F31C1A" w:rsidRPr="007F6D00">
        <w:rPr>
          <w:rFonts w:ascii="Calibri" w:hAnsi="Calibri"/>
          <w:sz w:val="24"/>
          <w:lang w:val="en-US"/>
        </w:rPr>
        <w:t xml:space="preserve"> depending on socio-economic factors</w:t>
      </w:r>
      <w:r w:rsidR="00E22082" w:rsidRPr="007F6D00">
        <w:rPr>
          <w:rFonts w:ascii="Calibri" w:hAnsi="Calibri"/>
          <w:sz w:val="24"/>
          <w:lang w:val="en-US"/>
        </w:rPr>
        <w:fldChar w:fldCharType="begin"/>
      </w:r>
      <w:r w:rsidR="00E22082" w:rsidRPr="007F6D00">
        <w:rPr>
          <w:rFonts w:ascii="Calibri" w:hAnsi="Calibri"/>
          <w:sz w:val="24"/>
          <w:lang w:val="en-US"/>
        </w:rPr>
        <w:instrText>ADDIN RW.CITE{{441 Dummer,T.J. 2008}}</w:instrText>
      </w:r>
      <w:r w:rsidR="00E22082" w:rsidRPr="007F6D00">
        <w:rPr>
          <w:rFonts w:ascii="Calibri" w:hAnsi="Calibri"/>
          <w:sz w:val="24"/>
          <w:lang w:val="en-US"/>
        </w:rPr>
        <w:fldChar w:fldCharType="separate"/>
      </w:r>
      <w:r w:rsidR="00D04D75" w:rsidRPr="00D04D75">
        <w:rPr>
          <w:rFonts w:ascii="Calibri" w:hAnsi="Calibri"/>
          <w:sz w:val="24"/>
        </w:rPr>
        <w:t xml:space="preserve"> (23)</w:t>
      </w:r>
      <w:r w:rsidR="00E22082" w:rsidRPr="007F6D00">
        <w:rPr>
          <w:rFonts w:ascii="Calibri" w:hAnsi="Calibri"/>
          <w:sz w:val="24"/>
          <w:lang w:val="en-US"/>
        </w:rPr>
        <w:fldChar w:fldCharType="end"/>
      </w:r>
      <w:r w:rsidR="00E22082" w:rsidRPr="007F6D00">
        <w:rPr>
          <w:rFonts w:ascii="Calibri" w:hAnsi="Calibri"/>
          <w:sz w:val="24"/>
          <w:lang w:val="en-US"/>
        </w:rPr>
        <w:t xml:space="preserve">. </w:t>
      </w:r>
      <w:r w:rsidR="000C3A3F" w:rsidRPr="007F6D00">
        <w:rPr>
          <w:rFonts w:ascii="Calibri" w:hAnsi="Calibri"/>
          <w:sz w:val="24"/>
          <w:lang w:val="en-US"/>
        </w:rPr>
        <w:t>Altogether, t</w:t>
      </w:r>
      <w:r w:rsidR="00E22082" w:rsidRPr="007F6D00">
        <w:rPr>
          <w:rFonts w:ascii="Calibri" w:hAnsi="Calibri"/>
          <w:sz w:val="24"/>
          <w:lang w:val="en-US"/>
        </w:rPr>
        <w:t>hese results highlight the importance of public health initiatives to improve access to healthcare and health education to reduce inequality in health outcomes.</w:t>
      </w:r>
    </w:p>
    <w:p w14:paraId="6366C17F" w14:textId="77777777" w:rsidR="005E0F37" w:rsidRPr="007F6D00" w:rsidRDefault="005E0F37" w:rsidP="0043010F">
      <w:pPr>
        <w:widowControl w:val="0"/>
        <w:autoSpaceDE w:val="0"/>
        <w:autoSpaceDN w:val="0"/>
        <w:adjustRightInd w:val="0"/>
        <w:spacing w:line="480" w:lineRule="auto"/>
        <w:jc w:val="both"/>
        <w:rPr>
          <w:rFonts w:ascii="Calibri" w:hAnsi="Calibri"/>
          <w:sz w:val="24"/>
          <w:lang w:val="en-US"/>
        </w:rPr>
      </w:pPr>
    </w:p>
    <w:p w14:paraId="5238915E" w14:textId="20AA9207" w:rsidR="00EE19E0" w:rsidRPr="007F6D00" w:rsidRDefault="00F31C1A" w:rsidP="004A03CC">
      <w:pPr>
        <w:widowControl w:val="0"/>
        <w:autoSpaceDE w:val="0"/>
        <w:autoSpaceDN w:val="0"/>
        <w:adjustRightInd w:val="0"/>
        <w:spacing w:line="480" w:lineRule="auto"/>
        <w:jc w:val="both"/>
        <w:rPr>
          <w:rFonts w:ascii="Calibri" w:hAnsi="Calibri"/>
          <w:sz w:val="24"/>
          <w:lang w:val="en-US"/>
        </w:rPr>
      </w:pPr>
      <w:r w:rsidRPr="007F6D00">
        <w:rPr>
          <w:rFonts w:ascii="Calibri" w:hAnsi="Calibri"/>
          <w:sz w:val="24"/>
          <w:lang w:val="en-US"/>
        </w:rPr>
        <w:t>In addition to these</w:t>
      </w:r>
      <w:r w:rsidR="00EB6C27" w:rsidRPr="007F6D00">
        <w:rPr>
          <w:rFonts w:ascii="Calibri" w:hAnsi="Calibri"/>
          <w:sz w:val="24"/>
          <w:lang w:val="en-US"/>
        </w:rPr>
        <w:t xml:space="preserve"> a number of metabolic comorbidities were associated with all-cause mortality</w:t>
      </w:r>
      <w:r w:rsidR="00A24933" w:rsidRPr="007F6D00">
        <w:rPr>
          <w:rFonts w:ascii="Calibri" w:hAnsi="Calibri"/>
          <w:sz w:val="24"/>
          <w:lang w:val="en-US"/>
        </w:rPr>
        <w:t xml:space="preserve"> when present at baseline diagnosis</w:t>
      </w:r>
      <w:r w:rsidR="00EB6C27" w:rsidRPr="007F6D00">
        <w:rPr>
          <w:rFonts w:ascii="Calibri" w:hAnsi="Calibri"/>
          <w:sz w:val="24"/>
          <w:lang w:val="en-US"/>
        </w:rPr>
        <w:t xml:space="preserve">. </w:t>
      </w:r>
      <w:r w:rsidRPr="007F6D00">
        <w:rPr>
          <w:rFonts w:ascii="Calibri" w:hAnsi="Calibri"/>
          <w:sz w:val="24"/>
          <w:lang w:val="en-US"/>
        </w:rPr>
        <w:t>All those factors that have been</w:t>
      </w:r>
      <w:r w:rsidR="00EB6C27" w:rsidRPr="007F6D00">
        <w:rPr>
          <w:rFonts w:ascii="Calibri" w:hAnsi="Calibri"/>
          <w:sz w:val="24"/>
          <w:lang w:val="en-US"/>
        </w:rPr>
        <w:t xml:space="preserve"> </w:t>
      </w:r>
      <w:r w:rsidRPr="007F6D00">
        <w:rPr>
          <w:rFonts w:ascii="Calibri" w:hAnsi="Calibri"/>
          <w:sz w:val="24"/>
          <w:lang w:val="en-US"/>
        </w:rPr>
        <w:t xml:space="preserve">previously demonstrated to lead to worse outcomes </w:t>
      </w:r>
      <w:r w:rsidR="00EB6C27" w:rsidRPr="007F6D00">
        <w:rPr>
          <w:rFonts w:ascii="Calibri" w:hAnsi="Calibri"/>
          <w:sz w:val="24"/>
          <w:lang w:val="en-US"/>
        </w:rPr>
        <w:t xml:space="preserve">(hypertension, type II diabetes, </w:t>
      </w:r>
      <w:r w:rsidR="00FD121B" w:rsidRPr="007F6D00">
        <w:rPr>
          <w:rFonts w:ascii="Calibri" w:hAnsi="Calibri"/>
          <w:sz w:val="24"/>
          <w:lang w:val="en-US"/>
        </w:rPr>
        <w:t>hyperlipidemia</w:t>
      </w:r>
      <w:r w:rsidR="00EB6C27" w:rsidRPr="007F6D00">
        <w:rPr>
          <w:rFonts w:ascii="Calibri" w:hAnsi="Calibri"/>
          <w:sz w:val="24"/>
          <w:lang w:val="en-US"/>
        </w:rPr>
        <w:t xml:space="preserve">) in </w:t>
      </w:r>
      <w:r w:rsidRPr="007F6D00">
        <w:rPr>
          <w:rFonts w:ascii="Calibri" w:hAnsi="Calibri"/>
          <w:sz w:val="24"/>
          <w:lang w:val="en-US"/>
        </w:rPr>
        <w:t>obese patients</w:t>
      </w:r>
      <w:r w:rsidR="00EB6C27" w:rsidRPr="007F6D00">
        <w:rPr>
          <w:rFonts w:ascii="Calibri" w:hAnsi="Calibri"/>
          <w:sz w:val="24"/>
          <w:lang w:val="en-US"/>
        </w:rPr>
        <w:t xml:space="preserve"> showed a significant correlation with all-cause mortality</w:t>
      </w:r>
      <w:r w:rsidR="00EB6C27" w:rsidRPr="007F6D00">
        <w:rPr>
          <w:rFonts w:ascii="Calibri" w:hAnsi="Calibri"/>
          <w:sz w:val="24"/>
          <w:lang w:val="en-US"/>
        </w:rPr>
        <w:fldChar w:fldCharType="begin"/>
      </w:r>
      <w:r w:rsidR="00EB6C27" w:rsidRPr="007F6D00">
        <w:rPr>
          <w:rFonts w:ascii="Calibri" w:hAnsi="Calibri"/>
          <w:sz w:val="24"/>
          <w:lang w:val="en-US"/>
        </w:rPr>
        <w:instrText>ADDIN RW.CITE{{442 Pekkanen, Juha 1990;443 Demissie, Serkalem 2006;444 Hubert,H.B. 1983;445 Mahmood, Syed S 2014}}</w:instrText>
      </w:r>
      <w:r w:rsidR="00EB6C27" w:rsidRPr="007F6D00">
        <w:rPr>
          <w:rFonts w:ascii="Calibri" w:hAnsi="Calibri"/>
          <w:sz w:val="24"/>
          <w:lang w:val="en-US"/>
        </w:rPr>
        <w:fldChar w:fldCharType="separate"/>
      </w:r>
      <w:r w:rsidR="00D04D75" w:rsidRPr="00D04D75">
        <w:rPr>
          <w:rFonts w:ascii="Calibri" w:hAnsi="Calibri"/>
          <w:sz w:val="24"/>
        </w:rPr>
        <w:t xml:space="preserve"> (24-27)</w:t>
      </w:r>
      <w:r w:rsidR="00EB6C27" w:rsidRPr="007F6D00">
        <w:rPr>
          <w:rFonts w:ascii="Calibri" w:hAnsi="Calibri"/>
          <w:sz w:val="24"/>
          <w:lang w:val="en-US"/>
        </w:rPr>
        <w:fldChar w:fldCharType="end"/>
      </w:r>
      <w:r w:rsidR="00EB6C27" w:rsidRPr="007F6D00">
        <w:rPr>
          <w:rFonts w:ascii="Calibri" w:hAnsi="Calibri"/>
          <w:sz w:val="24"/>
          <w:lang w:val="en-US"/>
        </w:rPr>
        <w:t>. This is not only due to poorer cardiovascular outcomes</w:t>
      </w:r>
      <w:r w:rsidRPr="007F6D00">
        <w:rPr>
          <w:rFonts w:ascii="Calibri" w:hAnsi="Calibri"/>
          <w:sz w:val="24"/>
          <w:lang w:val="en-US"/>
        </w:rPr>
        <w:t xml:space="preserve">. </w:t>
      </w:r>
      <w:r w:rsidR="00EB6C27" w:rsidRPr="007F6D00">
        <w:rPr>
          <w:rFonts w:ascii="Calibri" w:hAnsi="Calibri"/>
          <w:sz w:val="24"/>
          <w:lang w:val="en-US"/>
        </w:rPr>
        <w:t xml:space="preserve">Demissie </w:t>
      </w:r>
      <w:r w:rsidRPr="007F6D00">
        <w:rPr>
          <w:rFonts w:ascii="Calibri" w:hAnsi="Calibri"/>
          <w:sz w:val="24"/>
          <w:lang w:val="en-US"/>
        </w:rPr>
        <w:t>et al.</w:t>
      </w:r>
      <w:r w:rsidR="00EB6C27" w:rsidRPr="007F6D00">
        <w:rPr>
          <w:rFonts w:ascii="Calibri" w:hAnsi="Calibri"/>
          <w:sz w:val="24"/>
          <w:lang w:val="en-US"/>
        </w:rPr>
        <w:t xml:space="preserve"> have previously described that hypertension and insulin resistance in particular play a role in premature ageing</w:t>
      </w:r>
      <w:r w:rsidR="00EB6C27" w:rsidRPr="007F6D00">
        <w:rPr>
          <w:rFonts w:ascii="Calibri" w:hAnsi="Calibri"/>
          <w:sz w:val="24"/>
          <w:lang w:val="en-US"/>
        </w:rPr>
        <w:fldChar w:fldCharType="begin"/>
      </w:r>
      <w:r w:rsidR="00EB6C27" w:rsidRPr="007F6D00">
        <w:rPr>
          <w:rFonts w:ascii="Calibri" w:hAnsi="Calibri"/>
          <w:sz w:val="24"/>
          <w:lang w:val="en-US"/>
        </w:rPr>
        <w:instrText>ADDIN RW.CITE{{443 Demissie, Serkalem 2006}}</w:instrText>
      </w:r>
      <w:r w:rsidR="00EB6C27" w:rsidRPr="007F6D00">
        <w:rPr>
          <w:rFonts w:ascii="Calibri" w:hAnsi="Calibri"/>
          <w:sz w:val="24"/>
          <w:lang w:val="en-US"/>
        </w:rPr>
        <w:fldChar w:fldCharType="separate"/>
      </w:r>
      <w:r w:rsidR="00D04D75" w:rsidRPr="00D04D75">
        <w:rPr>
          <w:rFonts w:ascii="Calibri" w:hAnsi="Calibri"/>
          <w:sz w:val="24"/>
        </w:rPr>
        <w:t xml:space="preserve"> (25)</w:t>
      </w:r>
      <w:r w:rsidR="00EB6C27" w:rsidRPr="007F6D00">
        <w:rPr>
          <w:rFonts w:ascii="Calibri" w:hAnsi="Calibri"/>
          <w:sz w:val="24"/>
          <w:lang w:val="en-US"/>
        </w:rPr>
        <w:fldChar w:fldCharType="end"/>
      </w:r>
      <w:r w:rsidR="00EB6C27" w:rsidRPr="007F6D00">
        <w:rPr>
          <w:rFonts w:ascii="Calibri" w:hAnsi="Calibri"/>
          <w:sz w:val="24"/>
          <w:lang w:val="en-US"/>
        </w:rPr>
        <w:t xml:space="preserve">. </w:t>
      </w:r>
      <w:r w:rsidR="00A24933" w:rsidRPr="007F6D00">
        <w:rPr>
          <w:rFonts w:ascii="Calibri" w:hAnsi="Calibri"/>
          <w:sz w:val="24"/>
          <w:lang w:val="en-US"/>
        </w:rPr>
        <w:t xml:space="preserve">This highlights that </w:t>
      </w:r>
      <w:r w:rsidR="00A24933" w:rsidRPr="0023678E">
        <w:rPr>
          <w:rFonts w:ascii="Calibri" w:hAnsi="Calibri"/>
          <w:strike/>
          <w:sz w:val="24"/>
          <w:highlight w:val="yellow"/>
          <w:lang w:val="en-US"/>
        </w:rPr>
        <w:t>morbidly</w:t>
      </w:r>
      <w:r w:rsidR="00A24933"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A24933" w:rsidRPr="007F6D00">
        <w:rPr>
          <w:rFonts w:ascii="Calibri" w:hAnsi="Calibri"/>
          <w:sz w:val="24"/>
          <w:lang w:val="en-US"/>
        </w:rPr>
        <w:t xml:space="preserve">obese patients with comorbidities are at increased risk. Importantly, </w:t>
      </w:r>
      <w:r w:rsidR="00AC0245" w:rsidRPr="007F6D00">
        <w:rPr>
          <w:rFonts w:ascii="Calibri" w:hAnsi="Calibri"/>
          <w:sz w:val="24"/>
          <w:lang w:val="en-US"/>
        </w:rPr>
        <w:t>effective treatments are available for these conditions</w:t>
      </w:r>
      <w:r w:rsidR="00A24933" w:rsidRPr="007F6D00">
        <w:rPr>
          <w:rFonts w:ascii="Calibri" w:hAnsi="Calibri"/>
          <w:sz w:val="24"/>
          <w:lang w:val="en-US"/>
        </w:rPr>
        <w:t xml:space="preserve"> and when they are well controlled can lead to improved outcomes</w:t>
      </w:r>
      <w:r w:rsidR="00DB5307" w:rsidRPr="007F6D00">
        <w:rPr>
          <w:rFonts w:ascii="Calibri" w:hAnsi="Calibri"/>
          <w:sz w:val="24"/>
          <w:lang w:val="en-US"/>
        </w:rPr>
        <w:fldChar w:fldCharType="begin"/>
      </w:r>
      <w:r w:rsidR="00DB5307" w:rsidRPr="007F6D00">
        <w:rPr>
          <w:rFonts w:ascii="Calibri" w:hAnsi="Calibri"/>
          <w:sz w:val="24"/>
          <w:lang w:val="en-US"/>
        </w:rPr>
        <w:instrText>ADDIN RW.CITE{{446 Andersson, C 2012;447 Hansson, Lennart 1999;448 Naci, Huseyin 2013}}</w:instrText>
      </w:r>
      <w:r w:rsidR="00DB5307" w:rsidRPr="007F6D00">
        <w:rPr>
          <w:rFonts w:ascii="Calibri" w:hAnsi="Calibri"/>
          <w:sz w:val="24"/>
          <w:lang w:val="en-US"/>
        </w:rPr>
        <w:fldChar w:fldCharType="separate"/>
      </w:r>
      <w:r w:rsidR="00D04D75" w:rsidRPr="00D04D75">
        <w:rPr>
          <w:rFonts w:ascii="Calibri" w:hAnsi="Calibri"/>
          <w:sz w:val="24"/>
        </w:rPr>
        <w:t xml:space="preserve"> (28-30)</w:t>
      </w:r>
      <w:r w:rsidR="00DB5307" w:rsidRPr="007F6D00">
        <w:rPr>
          <w:rFonts w:ascii="Calibri" w:hAnsi="Calibri"/>
          <w:sz w:val="24"/>
          <w:lang w:val="en-US"/>
        </w:rPr>
        <w:fldChar w:fldCharType="end"/>
      </w:r>
      <w:r w:rsidR="00A24933" w:rsidRPr="007F6D00">
        <w:rPr>
          <w:rFonts w:ascii="Calibri" w:hAnsi="Calibri"/>
          <w:sz w:val="24"/>
          <w:lang w:val="en-US"/>
        </w:rPr>
        <w:t>. Subsequently</w:t>
      </w:r>
      <w:r w:rsidR="00410AB3" w:rsidRPr="007F6D00">
        <w:rPr>
          <w:rFonts w:ascii="Calibri" w:hAnsi="Calibri"/>
          <w:sz w:val="24"/>
          <w:lang w:val="en-US"/>
        </w:rPr>
        <w:t>,</w:t>
      </w:r>
      <w:r w:rsidR="00A24933" w:rsidRPr="007F6D00">
        <w:rPr>
          <w:rFonts w:ascii="Calibri" w:hAnsi="Calibri"/>
          <w:sz w:val="24"/>
          <w:lang w:val="en-US"/>
        </w:rPr>
        <w:t xml:space="preserve"> it is important these are identified early in the </w:t>
      </w:r>
      <w:r w:rsidR="00A24933" w:rsidRPr="0023678E">
        <w:rPr>
          <w:rFonts w:ascii="Calibri" w:hAnsi="Calibri"/>
          <w:strike/>
          <w:sz w:val="24"/>
          <w:highlight w:val="yellow"/>
          <w:lang w:val="en-US"/>
        </w:rPr>
        <w:t>morbidly</w:t>
      </w:r>
      <w:r w:rsidR="00A24933"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A24933" w:rsidRPr="007F6D00">
        <w:rPr>
          <w:rFonts w:ascii="Calibri" w:hAnsi="Calibri"/>
          <w:sz w:val="24"/>
          <w:lang w:val="en-US"/>
        </w:rPr>
        <w:t xml:space="preserve">obese in order to initiate appropriate therapy. </w:t>
      </w:r>
    </w:p>
    <w:p w14:paraId="2FD6499B" w14:textId="77777777" w:rsidR="00310D33" w:rsidRPr="007F6D00" w:rsidRDefault="00310D33" w:rsidP="004A03CC">
      <w:pPr>
        <w:widowControl w:val="0"/>
        <w:autoSpaceDE w:val="0"/>
        <w:autoSpaceDN w:val="0"/>
        <w:adjustRightInd w:val="0"/>
        <w:spacing w:line="480" w:lineRule="auto"/>
        <w:jc w:val="both"/>
        <w:rPr>
          <w:rFonts w:ascii="Calibri" w:hAnsi="Calibri"/>
          <w:sz w:val="24"/>
          <w:lang w:val="en-US"/>
        </w:rPr>
      </w:pPr>
    </w:p>
    <w:p w14:paraId="6CEE6562" w14:textId="6BB9E50E" w:rsidR="00310D33" w:rsidRPr="007F6D00" w:rsidRDefault="00DB5307" w:rsidP="007D6135">
      <w:pPr>
        <w:widowControl w:val="0"/>
        <w:autoSpaceDE w:val="0"/>
        <w:autoSpaceDN w:val="0"/>
        <w:adjustRightInd w:val="0"/>
        <w:spacing w:line="480" w:lineRule="auto"/>
        <w:jc w:val="both"/>
        <w:rPr>
          <w:rFonts w:ascii="Calibri" w:hAnsi="Calibri"/>
          <w:sz w:val="24"/>
          <w:lang w:val="en-US"/>
        </w:rPr>
      </w:pPr>
      <w:r w:rsidRPr="007F6D00">
        <w:rPr>
          <w:rFonts w:ascii="Calibri" w:hAnsi="Calibri"/>
          <w:sz w:val="24"/>
          <w:lang w:val="en-US"/>
        </w:rPr>
        <w:t>An interesting finding of this study is that those patients who underwent bariatric surgery were at reduced risk of all-cause mortality</w:t>
      </w:r>
      <w:r w:rsidR="006A59E5">
        <w:rPr>
          <w:rFonts w:ascii="Calibri" w:hAnsi="Calibri"/>
          <w:sz w:val="24"/>
          <w:lang w:val="en-US"/>
        </w:rPr>
        <w:t xml:space="preserve"> (HR=0.0487)</w:t>
      </w:r>
      <w:r w:rsidR="006A30BB" w:rsidRPr="007F6D00">
        <w:rPr>
          <w:rFonts w:ascii="Calibri" w:hAnsi="Calibri"/>
          <w:sz w:val="24"/>
          <w:lang w:val="en-US"/>
        </w:rPr>
        <w:t xml:space="preserve"> </w:t>
      </w:r>
      <w:r w:rsidR="006A30BB" w:rsidRPr="006A59E5">
        <w:rPr>
          <w:rFonts w:ascii="Calibri" w:hAnsi="Calibri"/>
          <w:strike/>
          <w:sz w:val="24"/>
          <w:highlight w:val="yellow"/>
          <w:lang w:val="en-US"/>
        </w:rPr>
        <w:t>(HR=</w:t>
      </w:r>
      <w:r w:rsidR="003A1539" w:rsidRPr="006A59E5">
        <w:rPr>
          <w:rFonts w:ascii="Calibri" w:hAnsi="Calibri"/>
          <w:strike/>
          <w:sz w:val="24"/>
          <w:highlight w:val="yellow"/>
          <w:lang w:val="en-US"/>
        </w:rPr>
        <w:t>0.502)</w:t>
      </w:r>
      <w:r w:rsidRPr="006A59E5">
        <w:rPr>
          <w:rFonts w:ascii="Calibri" w:hAnsi="Calibri"/>
          <w:strike/>
          <w:sz w:val="24"/>
          <w:highlight w:val="yellow"/>
          <w:lang w:val="en-US"/>
        </w:rPr>
        <w:t>.</w:t>
      </w:r>
      <w:r w:rsidRPr="007F6D00">
        <w:rPr>
          <w:rFonts w:ascii="Calibri" w:hAnsi="Calibri"/>
          <w:sz w:val="24"/>
          <w:lang w:val="en-US"/>
        </w:rPr>
        <w:t xml:space="preserve"> </w:t>
      </w:r>
      <w:r w:rsidR="006A30BB" w:rsidRPr="007F6D00">
        <w:rPr>
          <w:rFonts w:ascii="Calibri" w:hAnsi="Calibri"/>
          <w:sz w:val="24"/>
          <w:lang w:val="en-US"/>
        </w:rPr>
        <w:t>The most recent meta-analysis on the topic demonstrated similar findings</w:t>
      </w:r>
      <w:r w:rsidR="00E913D9" w:rsidRPr="007F6D00">
        <w:rPr>
          <w:rFonts w:ascii="Calibri" w:hAnsi="Calibri"/>
          <w:sz w:val="24"/>
          <w:lang w:val="en-US"/>
        </w:rPr>
        <w:fldChar w:fldCharType="begin"/>
      </w:r>
      <w:r w:rsidR="00E913D9" w:rsidRPr="007F6D00">
        <w:rPr>
          <w:rFonts w:ascii="Calibri" w:hAnsi="Calibri"/>
          <w:sz w:val="24"/>
          <w:lang w:val="en-US"/>
        </w:rPr>
        <w:instrText>ADDIN RW.CITE{{449 Pontiroli,A.E. 2011}}</w:instrText>
      </w:r>
      <w:r w:rsidR="00E913D9" w:rsidRPr="007F6D00">
        <w:rPr>
          <w:rFonts w:ascii="Calibri" w:hAnsi="Calibri"/>
          <w:sz w:val="24"/>
          <w:lang w:val="en-US"/>
        </w:rPr>
        <w:fldChar w:fldCharType="separate"/>
      </w:r>
      <w:r w:rsidR="00D04D75" w:rsidRPr="00D04D75">
        <w:rPr>
          <w:rFonts w:ascii="Calibri" w:hAnsi="Calibri"/>
          <w:sz w:val="24"/>
        </w:rPr>
        <w:t xml:space="preserve"> (31)</w:t>
      </w:r>
      <w:r w:rsidR="00E913D9" w:rsidRPr="007F6D00">
        <w:rPr>
          <w:rFonts w:ascii="Calibri" w:hAnsi="Calibri"/>
          <w:sz w:val="24"/>
          <w:lang w:val="en-US"/>
        </w:rPr>
        <w:fldChar w:fldCharType="end"/>
      </w:r>
      <w:r w:rsidR="003A1539" w:rsidRPr="007F6D00">
        <w:rPr>
          <w:rFonts w:ascii="Calibri" w:hAnsi="Calibri"/>
          <w:sz w:val="24"/>
          <w:lang w:val="en-US"/>
        </w:rPr>
        <w:t>.</w:t>
      </w:r>
      <w:r w:rsidR="007E6CFE" w:rsidRPr="007F6D00">
        <w:rPr>
          <w:rFonts w:ascii="Calibri" w:hAnsi="Calibri"/>
          <w:sz w:val="24"/>
          <w:lang w:val="en-US"/>
        </w:rPr>
        <w:t xml:space="preserve"> </w:t>
      </w:r>
      <w:r w:rsidR="00E913D9" w:rsidRPr="007F6D00">
        <w:rPr>
          <w:rFonts w:ascii="Calibri" w:hAnsi="Calibri"/>
          <w:sz w:val="24"/>
          <w:lang w:val="en-US"/>
        </w:rPr>
        <w:t xml:space="preserve">The evidence in support of bariatric surgery in regards to primary endpoints of reduced mortality is becoming increasingly </w:t>
      </w:r>
      <w:r w:rsidR="00AC0245" w:rsidRPr="007F6D00">
        <w:rPr>
          <w:rFonts w:ascii="Calibri" w:hAnsi="Calibri"/>
          <w:sz w:val="24"/>
          <w:lang w:val="en-US"/>
        </w:rPr>
        <w:t>convincing</w:t>
      </w:r>
      <w:r w:rsidR="00E913D9" w:rsidRPr="007F6D00">
        <w:rPr>
          <w:rFonts w:ascii="Calibri" w:hAnsi="Calibri"/>
          <w:sz w:val="24"/>
          <w:lang w:val="en-US"/>
        </w:rPr>
        <w:t>. This</w:t>
      </w:r>
      <w:r w:rsidR="00AC0245" w:rsidRPr="007F6D00">
        <w:rPr>
          <w:rFonts w:ascii="Calibri" w:hAnsi="Calibri"/>
          <w:sz w:val="24"/>
          <w:lang w:val="en-US"/>
        </w:rPr>
        <w:t xml:space="preserve"> is</w:t>
      </w:r>
      <w:r w:rsidR="00E913D9" w:rsidRPr="007F6D00">
        <w:rPr>
          <w:rFonts w:ascii="Calibri" w:hAnsi="Calibri"/>
          <w:sz w:val="24"/>
          <w:lang w:val="en-US"/>
        </w:rPr>
        <w:t xml:space="preserve"> in addition to long-standing evidence supporting its effects on type II diabetes and hypertension, as well as its cost-effectiveness</w:t>
      </w:r>
      <w:r w:rsidR="00BE22B9" w:rsidRPr="007F6D00">
        <w:rPr>
          <w:rFonts w:ascii="Calibri" w:hAnsi="Calibri"/>
          <w:sz w:val="24"/>
          <w:lang w:val="en-US"/>
        </w:rPr>
        <w:fldChar w:fldCharType="begin"/>
      </w:r>
      <w:r w:rsidR="00BE22B9" w:rsidRPr="007F6D00">
        <w:rPr>
          <w:rFonts w:ascii="Calibri" w:hAnsi="Calibri"/>
          <w:sz w:val="24"/>
          <w:lang w:val="en-US"/>
        </w:rPr>
        <w:instrText>ADDIN RW.CITE{{450 Sjöström, L 2013;451 Picot, J 2009;452 Terranova, Lorenzo 2012}}</w:instrText>
      </w:r>
      <w:r w:rsidR="00BE22B9" w:rsidRPr="007F6D00">
        <w:rPr>
          <w:rFonts w:ascii="Calibri" w:hAnsi="Calibri"/>
          <w:sz w:val="24"/>
          <w:lang w:val="en-US"/>
        </w:rPr>
        <w:fldChar w:fldCharType="separate"/>
      </w:r>
      <w:r w:rsidR="00D04D75" w:rsidRPr="00D04D75">
        <w:rPr>
          <w:rFonts w:ascii="Calibri" w:hAnsi="Calibri"/>
          <w:sz w:val="24"/>
        </w:rPr>
        <w:t xml:space="preserve"> (32-34)</w:t>
      </w:r>
      <w:r w:rsidR="00BE22B9" w:rsidRPr="007F6D00">
        <w:rPr>
          <w:rFonts w:ascii="Calibri" w:hAnsi="Calibri"/>
          <w:sz w:val="24"/>
          <w:lang w:val="en-US"/>
        </w:rPr>
        <w:fldChar w:fldCharType="end"/>
      </w:r>
      <w:r w:rsidR="00E913D9" w:rsidRPr="007F6D00">
        <w:rPr>
          <w:rFonts w:ascii="Calibri" w:hAnsi="Calibri"/>
          <w:sz w:val="24"/>
          <w:lang w:val="en-US"/>
        </w:rPr>
        <w:t xml:space="preserve">. It is clear from this analysis however that bariatric surgery </w:t>
      </w:r>
      <w:r w:rsidR="00BE22B9" w:rsidRPr="007F6D00">
        <w:rPr>
          <w:rFonts w:ascii="Calibri" w:hAnsi="Calibri"/>
          <w:sz w:val="24"/>
          <w:lang w:val="en-US"/>
        </w:rPr>
        <w:t xml:space="preserve">is not widely </w:t>
      </w:r>
      <w:r w:rsidR="007B6C7C" w:rsidRPr="007F6D00">
        <w:rPr>
          <w:rFonts w:ascii="Calibri" w:hAnsi="Calibri"/>
          <w:sz w:val="24"/>
          <w:lang w:val="en-US"/>
        </w:rPr>
        <w:t>utilized</w:t>
      </w:r>
      <w:r w:rsidR="00BE22B9" w:rsidRPr="007F6D00">
        <w:rPr>
          <w:rFonts w:ascii="Calibri" w:hAnsi="Calibri"/>
          <w:sz w:val="24"/>
          <w:lang w:val="en-US"/>
        </w:rPr>
        <w:t xml:space="preserve"> within the </w:t>
      </w:r>
      <w:r w:rsidR="00BE22B9" w:rsidRPr="0023678E">
        <w:rPr>
          <w:rFonts w:ascii="Calibri" w:hAnsi="Calibri"/>
          <w:strike/>
          <w:sz w:val="24"/>
          <w:highlight w:val="yellow"/>
          <w:lang w:val="en-US"/>
        </w:rPr>
        <w:t>morbidly</w:t>
      </w:r>
      <w:r w:rsidR="00BE22B9"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BE22B9" w:rsidRPr="007F6D00">
        <w:rPr>
          <w:rFonts w:ascii="Calibri" w:hAnsi="Calibri"/>
          <w:sz w:val="24"/>
          <w:lang w:val="en-US"/>
        </w:rPr>
        <w:t xml:space="preserve">obese population in the UK. </w:t>
      </w:r>
      <w:r w:rsidR="005876CF" w:rsidRPr="007F6D00">
        <w:rPr>
          <w:rFonts w:ascii="Calibri" w:hAnsi="Calibri"/>
          <w:sz w:val="24"/>
          <w:lang w:val="en-US"/>
        </w:rPr>
        <w:t xml:space="preserve">Out of those patients for who were eligible for bariatric surgery, only 4.1% of patients went on to have an intervention. </w:t>
      </w:r>
      <w:r w:rsidR="005F1739">
        <w:rPr>
          <w:rFonts w:ascii="Calibri" w:hAnsi="Calibri"/>
          <w:sz w:val="24"/>
          <w:lang w:val="en-US"/>
        </w:rPr>
        <w:t xml:space="preserve">Welbourn and colleagues have </w:t>
      </w:r>
      <w:r w:rsidR="005F1739">
        <w:rPr>
          <w:rFonts w:ascii="Calibri" w:hAnsi="Calibri"/>
          <w:sz w:val="24"/>
          <w:lang w:val="en-US"/>
        </w:rPr>
        <w:lastRenderedPageBreak/>
        <w:t>previously highlighted both national and global discrepancy in access to bariatric surgery due to a number of barriers along the referral pathway</w:t>
      </w:r>
      <w:r w:rsidR="00E078DD">
        <w:rPr>
          <w:rFonts w:ascii="Calibri" w:hAnsi="Calibri"/>
          <w:sz w:val="24"/>
          <w:lang w:val="en-US"/>
        </w:rPr>
        <w:fldChar w:fldCharType="begin"/>
      </w:r>
      <w:r w:rsidR="00E078DD">
        <w:rPr>
          <w:rFonts w:ascii="Calibri" w:hAnsi="Calibri"/>
          <w:sz w:val="24"/>
          <w:lang w:val="en-US"/>
        </w:rPr>
        <w:instrText>ADDIN RW.CITE{{459 Welbourn, Richard 2017;458 Welbourn,R. 2016}}</w:instrText>
      </w:r>
      <w:r w:rsidR="00E078DD">
        <w:rPr>
          <w:rFonts w:ascii="Calibri" w:hAnsi="Calibri"/>
          <w:sz w:val="24"/>
          <w:lang w:val="en-US"/>
        </w:rPr>
        <w:fldChar w:fldCharType="separate"/>
      </w:r>
      <w:r w:rsidR="00D04D75" w:rsidRPr="00D04D75">
        <w:rPr>
          <w:rFonts w:ascii="Calibri" w:hAnsi="Calibri"/>
          <w:sz w:val="24"/>
        </w:rPr>
        <w:t xml:space="preserve"> (35,36)</w:t>
      </w:r>
      <w:r w:rsidR="00E078DD">
        <w:rPr>
          <w:rFonts w:ascii="Calibri" w:hAnsi="Calibri"/>
          <w:sz w:val="24"/>
          <w:lang w:val="en-US"/>
        </w:rPr>
        <w:fldChar w:fldCharType="end"/>
      </w:r>
      <w:r w:rsidR="005F1739">
        <w:rPr>
          <w:rFonts w:ascii="Calibri" w:hAnsi="Calibri"/>
          <w:sz w:val="24"/>
          <w:lang w:val="en-US"/>
        </w:rPr>
        <w:t xml:space="preserve">. </w:t>
      </w:r>
      <w:r w:rsidR="00A00355" w:rsidRPr="007F6D00">
        <w:rPr>
          <w:rFonts w:ascii="Calibri" w:hAnsi="Calibri"/>
          <w:sz w:val="24"/>
          <w:lang w:val="en-US"/>
        </w:rPr>
        <w:t>A survey questionnaire of primary care staff in the UK identified that whilst 86% would use the bariatric service they encountered barriers such as ‘remote location’, ‘insufficient awareness’, ‘fear of complications’ and ‘lack of information’</w:t>
      </w:r>
      <w:r w:rsidR="00A00355" w:rsidRPr="007F6D00">
        <w:rPr>
          <w:rFonts w:ascii="Calibri" w:hAnsi="Calibri"/>
          <w:sz w:val="24"/>
          <w:lang w:val="en-US"/>
        </w:rPr>
        <w:fldChar w:fldCharType="begin"/>
      </w:r>
      <w:r w:rsidR="00A00355" w:rsidRPr="007F6D00">
        <w:rPr>
          <w:rFonts w:ascii="Calibri" w:hAnsi="Calibri"/>
          <w:sz w:val="24"/>
          <w:lang w:val="en-US"/>
        </w:rPr>
        <w:instrText>ADDIN RW.CITE{{453 Sherwin, M 2015}}</w:instrText>
      </w:r>
      <w:r w:rsidR="00A00355" w:rsidRPr="007F6D00">
        <w:rPr>
          <w:rFonts w:ascii="Calibri" w:hAnsi="Calibri"/>
          <w:sz w:val="24"/>
          <w:lang w:val="en-US"/>
        </w:rPr>
        <w:fldChar w:fldCharType="separate"/>
      </w:r>
      <w:r w:rsidR="00D04D75" w:rsidRPr="00D04D75">
        <w:rPr>
          <w:rFonts w:ascii="Calibri" w:hAnsi="Calibri"/>
          <w:sz w:val="24"/>
        </w:rPr>
        <w:t xml:space="preserve"> (37)</w:t>
      </w:r>
      <w:r w:rsidR="00A00355" w:rsidRPr="007F6D00">
        <w:rPr>
          <w:rFonts w:ascii="Calibri" w:hAnsi="Calibri"/>
          <w:sz w:val="24"/>
          <w:lang w:val="en-US"/>
        </w:rPr>
        <w:fldChar w:fldCharType="end"/>
      </w:r>
      <w:r w:rsidR="00A00355" w:rsidRPr="007F6D00">
        <w:rPr>
          <w:rFonts w:ascii="Calibri" w:hAnsi="Calibri"/>
          <w:sz w:val="24"/>
          <w:lang w:val="en-US"/>
        </w:rPr>
        <w:t xml:space="preserve">. </w:t>
      </w:r>
      <w:r w:rsidR="00702185" w:rsidRPr="007F6D00">
        <w:rPr>
          <w:rFonts w:ascii="Calibri" w:hAnsi="Calibri"/>
          <w:sz w:val="24"/>
          <w:lang w:val="en-US"/>
        </w:rPr>
        <w:t xml:space="preserve">A recent report form the Royal College of Surgeons </w:t>
      </w:r>
      <w:r w:rsidR="00A00355" w:rsidRPr="007F6D00">
        <w:rPr>
          <w:rFonts w:ascii="Calibri" w:hAnsi="Calibri"/>
          <w:sz w:val="24"/>
          <w:lang w:val="en-US"/>
        </w:rPr>
        <w:t>also</w:t>
      </w:r>
      <w:r w:rsidR="00702185" w:rsidRPr="007F6D00">
        <w:rPr>
          <w:rFonts w:ascii="Calibri" w:hAnsi="Calibri"/>
          <w:sz w:val="24"/>
          <w:lang w:val="en-US"/>
        </w:rPr>
        <w:t xml:space="preserve"> identified that 3% of Clinical </w:t>
      </w:r>
      <w:r w:rsidR="006A59E5" w:rsidRPr="007F6D00">
        <w:rPr>
          <w:rFonts w:ascii="Calibri" w:hAnsi="Calibri"/>
          <w:sz w:val="24"/>
          <w:lang w:val="en-US"/>
        </w:rPr>
        <w:t>Commissioning</w:t>
      </w:r>
      <w:r w:rsidR="00702185" w:rsidRPr="007F6D00">
        <w:rPr>
          <w:rFonts w:ascii="Calibri" w:hAnsi="Calibri"/>
          <w:sz w:val="24"/>
          <w:lang w:val="en-US"/>
        </w:rPr>
        <w:t xml:space="preserve"> Groups have policies that do not follow national guidelines</w:t>
      </w:r>
      <w:r w:rsidR="00A00355" w:rsidRPr="007F6D00">
        <w:rPr>
          <w:rFonts w:ascii="Calibri" w:hAnsi="Calibri"/>
          <w:sz w:val="24"/>
          <w:lang w:val="en-US"/>
        </w:rPr>
        <w:t xml:space="preserve"> and subsequently restrict access to</w:t>
      </w:r>
      <w:r w:rsidR="008A4499" w:rsidRPr="007F6D00">
        <w:rPr>
          <w:rFonts w:ascii="Calibri" w:hAnsi="Calibri"/>
          <w:sz w:val="24"/>
          <w:lang w:val="en-US"/>
        </w:rPr>
        <w:t xml:space="preserve"> bariatric</w:t>
      </w:r>
      <w:r w:rsidR="00A00355" w:rsidRPr="007F6D00">
        <w:rPr>
          <w:rFonts w:ascii="Calibri" w:hAnsi="Calibri"/>
          <w:sz w:val="24"/>
          <w:lang w:val="en-US"/>
        </w:rPr>
        <w:t xml:space="preserve"> surgery</w:t>
      </w:r>
      <w:r w:rsidR="00A00355" w:rsidRPr="007F6D00">
        <w:rPr>
          <w:rFonts w:ascii="Calibri" w:hAnsi="Calibri"/>
          <w:sz w:val="24"/>
          <w:lang w:val="en-US"/>
        </w:rPr>
        <w:fldChar w:fldCharType="begin"/>
      </w:r>
      <w:r w:rsidR="00A00355" w:rsidRPr="007F6D00">
        <w:rPr>
          <w:rFonts w:ascii="Calibri" w:hAnsi="Calibri"/>
          <w:sz w:val="24"/>
          <w:lang w:val="en-US"/>
        </w:rPr>
        <w:instrText>ADDIN RW.CITE{{454 Royal College of Surgeons (Eng.), and British Obesity and Metabolic Surgery Society 2017}}</w:instrText>
      </w:r>
      <w:r w:rsidR="00A00355" w:rsidRPr="007F6D00">
        <w:rPr>
          <w:rFonts w:ascii="Calibri" w:hAnsi="Calibri"/>
          <w:sz w:val="24"/>
          <w:lang w:val="en-US"/>
        </w:rPr>
        <w:fldChar w:fldCharType="separate"/>
      </w:r>
      <w:r w:rsidR="00D04D75" w:rsidRPr="00D04D75">
        <w:rPr>
          <w:rFonts w:ascii="Calibri" w:hAnsi="Calibri"/>
          <w:sz w:val="24"/>
        </w:rPr>
        <w:t xml:space="preserve"> (38)</w:t>
      </w:r>
      <w:r w:rsidR="00A00355" w:rsidRPr="007F6D00">
        <w:rPr>
          <w:rFonts w:ascii="Calibri" w:hAnsi="Calibri"/>
          <w:sz w:val="24"/>
          <w:lang w:val="en-US"/>
        </w:rPr>
        <w:fldChar w:fldCharType="end"/>
      </w:r>
      <w:r w:rsidR="00A00355" w:rsidRPr="007F6D00">
        <w:rPr>
          <w:rFonts w:ascii="Calibri" w:hAnsi="Calibri"/>
          <w:sz w:val="24"/>
          <w:lang w:val="en-US"/>
        </w:rPr>
        <w:t xml:space="preserve"> </w:t>
      </w:r>
      <w:r w:rsidR="006013F1" w:rsidRPr="00D04D75">
        <w:rPr>
          <w:rFonts w:ascii="Calibri" w:hAnsi="Calibri"/>
          <w:sz w:val="24"/>
          <w:highlight w:val="yellow"/>
          <w:lang w:val="en-US"/>
        </w:rPr>
        <w:t xml:space="preserve">Meanwhile, a recent analysis by Bhanderi et al. </w:t>
      </w:r>
      <w:r w:rsidR="00D04D75" w:rsidRPr="00D04D75">
        <w:rPr>
          <w:rFonts w:ascii="Calibri" w:hAnsi="Calibri"/>
          <w:sz w:val="24"/>
          <w:highlight w:val="yellow"/>
          <w:lang w:val="en-US"/>
        </w:rPr>
        <w:t>identified factors that may reduce access to bariatric procedures, including geographic variability and local deprivation</w:t>
      </w:r>
      <w:r w:rsidR="00D04D75" w:rsidRPr="00D04D75">
        <w:rPr>
          <w:rFonts w:ascii="Calibri" w:hAnsi="Calibri"/>
          <w:sz w:val="24"/>
          <w:highlight w:val="yellow"/>
          <w:lang w:val="en-US"/>
        </w:rPr>
        <w:fldChar w:fldCharType="begin"/>
      </w:r>
      <w:r w:rsidR="00D04D75" w:rsidRPr="00D04D75">
        <w:rPr>
          <w:rFonts w:ascii="Calibri" w:hAnsi="Calibri"/>
          <w:sz w:val="24"/>
          <w:highlight w:val="yellow"/>
          <w:lang w:val="en-US"/>
        </w:rPr>
        <w:instrText>ADDIN RW.CITE{{553 Bhanderi,S. 2017}}</w:instrText>
      </w:r>
      <w:r w:rsidR="00D04D75" w:rsidRPr="00D04D75">
        <w:rPr>
          <w:rFonts w:ascii="Calibri" w:hAnsi="Calibri"/>
          <w:sz w:val="24"/>
          <w:highlight w:val="yellow"/>
          <w:lang w:val="en-US"/>
        </w:rPr>
        <w:fldChar w:fldCharType="separate"/>
      </w:r>
      <w:r w:rsidR="00D04D75" w:rsidRPr="00D04D75">
        <w:rPr>
          <w:rFonts w:ascii="Calibri" w:hAnsi="Calibri"/>
          <w:sz w:val="24"/>
        </w:rPr>
        <w:t xml:space="preserve"> (39)</w:t>
      </w:r>
      <w:r w:rsidR="00D04D75" w:rsidRPr="00D04D75">
        <w:rPr>
          <w:rFonts w:ascii="Calibri" w:hAnsi="Calibri"/>
          <w:sz w:val="24"/>
          <w:highlight w:val="yellow"/>
          <w:lang w:val="en-US"/>
        </w:rPr>
        <w:fldChar w:fldCharType="end"/>
      </w:r>
      <w:r w:rsidR="006013F1" w:rsidRPr="00D04D75">
        <w:rPr>
          <w:rFonts w:ascii="Calibri" w:hAnsi="Calibri"/>
          <w:sz w:val="24"/>
          <w:highlight w:val="yellow"/>
          <w:lang w:val="en-US"/>
        </w:rPr>
        <w:t>Reduction</w:t>
      </w:r>
      <w:r w:rsidR="00A00355" w:rsidRPr="00D04D75">
        <w:rPr>
          <w:rFonts w:ascii="Calibri" w:hAnsi="Calibri"/>
          <w:sz w:val="24"/>
          <w:highlight w:val="yellow"/>
          <w:lang w:val="en-US"/>
        </w:rPr>
        <w:t xml:space="preserve"> of </w:t>
      </w:r>
      <w:r w:rsidR="00D04D75" w:rsidRPr="00D04D75">
        <w:rPr>
          <w:rFonts w:ascii="Calibri" w:hAnsi="Calibri"/>
          <w:sz w:val="24"/>
          <w:highlight w:val="yellow"/>
          <w:lang w:val="en-US"/>
        </w:rPr>
        <w:t xml:space="preserve">such </w:t>
      </w:r>
      <w:r w:rsidR="00A00355" w:rsidRPr="00D04D75">
        <w:rPr>
          <w:rFonts w:ascii="Calibri" w:hAnsi="Calibri"/>
          <w:sz w:val="24"/>
          <w:highlight w:val="yellow"/>
          <w:lang w:val="en-US"/>
        </w:rPr>
        <w:t xml:space="preserve">barriers to bariatric surgery would </w:t>
      </w:r>
      <w:r w:rsidR="00CA5311" w:rsidRPr="00D04D75">
        <w:rPr>
          <w:rFonts w:ascii="Calibri" w:hAnsi="Calibri"/>
          <w:sz w:val="24"/>
          <w:highlight w:val="yellow"/>
          <w:lang w:val="en-US"/>
        </w:rPr>
        <w:t xml:space="preserve">most likely </w:t>
      </w:r>
      <w:r w:rsidR="004A03CC" w:rsidRPr="00D04D75">
        <w:rPr>
          <w:rFonts w:ascii="Calibri" w:hAnsi="Calibri"/>
          <w:sz w:val="24"/>
          <w:highlight w:val="yellow"/>
          <w:lang w:val="en-US"/>
        </w:rPr>
        <w:t xml:space="preserve">therefore </w:t>
      </w:r>
      <w:r w:rsidR="00D04D75" w:rsidRPr="00D04D75">
        <w:rPr>
          <w:rFonts w:ascii="Calibri" w:hAnsi="Calibri"/>
          <w:sz w:val="24"/>
          <w:highlight w:val="yellow"/>
          <w:lang w:val="en-US"/>
        </w:rPr>
        <w:t xml:space="preserve">help </w:t>
      </w:r>
      <w:r w:rsidR="00CA5311" w:rsidRPr="00D04D75">
        <w:rPr>
          <w:rFonts w:ascii="Calibri" w:hAnsi="Calibri"/>
          <w:sz w:val="24"/>
          <w:highlight w:val="yellow"/>
          <w:lang w:val="en-US"/>
        </w:rPr>
        <w:t xml:space="preserve">improve all-cause mortality in the </w:t>
      </w:r>
      <w:r w:rsidR="0023678E">
        <w:rPr>
          <w:rFonts w:ascii="Calibri" w:hAnsi="Calibri"/>
          <w:sz w:val="24"/>
          <w:highlight w:val="yellow"/>
          <w:lang w:val="en-US"/>
        </w:rPr>
        <w:t xml:space="preserve">severely </w:t>
      </w:r>
      <w:r w:rsidR="00CA5311" w:rsidRPr="00D04D75">
        <w:rPr>
          <w:rFonts w:ascii="Calibri" w:hAnsi="Calibri"/>
          <w:sz w:val="24"/>
          <w:highlight w:val="yellow"/>
          <w:lang w:val="en-US"/>
        </w:rPr>
        <w:t>obese population in the UK</w:t>
      </w:r>
      <w:r w:rsidR="004A03CC" w:rsidRPr="00D04D75">
        <w:rPr>
          <w:rFonts w:ascii="Calibri" w:hAnsi="Calibri"/>
          <w:sz w:val="24"/>
          <w:highlight w:val="yellow"/>
          <w:lang w:val="en-US"/>
        </w:rPr>
        <w:t>.</w:t>
      </w:r>
    </w:p>
    <w:p w14:paraId="0D2261E0" w14:textId="77777777" w:rsidR="00326150" w:rsidRDefault="00326150" w:rsidP="007D6135">
      <w:pPr>
        <w:widowControl w:val="0"/>
        <w:autoSpaceDE w:val="0"/>
        <w:autoSpaceDN w:val="0"/>
        <w:adjustRightInd w:val="0"/>
        <w:spacing w:line="480" w:lineRule="auto"/>
        <w:jc w:val="both"/>
        <w:rPr>
          <w:rFonts w:ascii="Calibri" w:hAnsi="Calibri"/>
          <w:sz w:val="24"/>
          <w:lang w:val="en-US"/>
        </w:rPr>
      </w:pPr>
    </w:p>
    <w:p w14:paraId="24212B7A" w14:textId="55953FF2" w:rsidR="00E54A61" w:rsidRPr="007F6D00" w:rsidRDefault="008A4499" w:rsidP="007D6135">
      <w:pPr>
        <w:widowControl w:val="0"/>
        <w:autoSpaceDE w:val="0"/>
        <w:autoSpaceDN w:val="0"/>
        <w:adjustRightInd w:val="0"/>
        <w:spacing w:line="480" w:lineRule="auto"/>
        <w:jc w:val="both"/>
        <w:rPr>
          <w:rFonts w:ascii="Calibri" w:hAnsi="Calibri"/>
          <w:sz w:val="24"/>
          <w:lang w:val="en-US"/>
        </w:rPr>
      </w:pPr>
      <w:r w:rsidRPr="007F6D00">
        <w:rPr>
          <w:rFonts w:ascii="Calibri" w:hAnsi="Calibri"/>
          <w:sz w:val="24"/>
          <w:lang w:val="en-US"/>
        </w:rPr>
        <w:t xml:space="preserve">The present study reports on a large population of </w:t>
      </w:r>
      <w:r w:rsidRPr="0023678E">
        <w:rPr>
          <w:rFonts w:ascii="Calibri" w:hAnsi="Calibri"/>
          <w:strike/>
          <w:sz w:val="24"/>
          <w:highlight w:val="yellow"/>
          <w:lang w:val="en-US"/>
        </w:rPr>
        <w:t>morbidly</w:t>
      </w:r>
      <w:r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Pr="007F6D00">
        <w:rPr>
          <w:rFonts w:ascii="Calibri" w:hAnsi="Calibri"/>
          <w:sz w:val="24"/>
          <w:lang w:val="en-US"/>
        </w:rPr>
        <w:t xml:space="preserve">obese patients from the CPRD, a database that has been previously demonstrated to be representative of the </w:t>
      </w:r>
      <w:r w:rsidR="00AC0245" w:rsidRPr="007F6D00">
        <w:rPr>
          <w:rFonts w:ascii="Calibri" w:hAnsi="Calibri"/>
          <w:sz w:val="24"/>
          <w:lang w:val="en-US"/>
        </w:rPr>
        <w:t>UK pop</w:t>
      </w:r>
      <w:r w:rsidR="004B3BD7" w:rsidRPr="007F6D00">
        <w:rPr>
          <w:rFonts w:ascii="Calibri" w:hAnsi="Calibri"/>
          <w:sz w:val="24"/>
          <w:lang w:val="en-US"/>
        </w:rPr>
        <w:t>ulation</w:t>
      </w:r>
      <w:r w:rsidR="004B3BD7" w:rsidRPr="007F6D00">
        <w:rPr>
          <w:rFonts w:ascii="Calibri" w:hAnsi="Calibri"/>
          <w:sz w:val="24"/>
          <w:lang w:val="en-US"/>
        </w:rPr>
        <w:fldChar w:fldCharType="begin"/>
      </w:r>
      <w:r w:rsidR="004B3BD7" w:rsidRPr="007F6D00">
        <w:rPr>
          <w:rFonts w:ascii="Calibri" w:hAnsi="Calibri"/>
          <w:sz w:val="24"/>
          <w:lang w:val="en-US"/>
        </w:rPr>
        <w:instrText>ADDIN RW.CITE{{433 Herrett, Emily 2015;385 Campbell, Jennifer 2013}}</w:instrText>
      </w:r>
      <w:r w:rsidR="004B3BD7" w:rsidRPr="007F6D00">
        <w:rPr>
          <w:rFonts w:ascii="Calibri" w:hAnsi="Calibri"/>
          <w:sz w:val="24"/>
          <w:lang w:val="en-US"/>
        </w:rPr>
        <w:fldChar w:fldCharType="separate"/>
      </w:r>
      <w:r w:rsidR="00D04D75" w:rsidRPr="00D04D75">
        <w:rPr>
          <w:rFonts w:ascii="Calibri" w:hAnsi="Calibri"/>
          <w:sz w:val="24"/>
        </w:rPr>
        <w:t xml:space="preserve"> (13,15)</w:t>
      </w:r>
      <w:r w:rsidR="004B3BD7" w:rsidRPr="007F6D00">
        <w:rPr>
          <w:rFonts w:ascii="Calibri" w:hAnsi="Calibri"/>
          <w:sz w:val="24"/>
          <w:lang w:val="en-US"/>
        </w:rPr>
        <w:fldChar w:fldCharType="end"/>
      </w:r>
      <w:r w:rsidR="006A59E5">
        <w:rPr>
          <w:rFonts w:ascii="Calibri" w:hAnsi="Calibri"/>
          <w:sz w:val="24"/>
          <w:lang w:val="en-US"/>
        </w:rPr>
        <w:t xml:space="preserve">. </w:t>
      </w:r>
      <w:r w:rsidRPr="007F6D00">
        <w:rPr>
          <w:rFonts w:ascii="Calibri" w:hAnsi="Calibri"/>
          <w:sz w:val="24"/>
          <w:lang w:val="en-US"/>
        </w:rPr>
        <w:t>The number of patients involved significantly add</w:t>
      </w:r>
      <w:r w:rsidR="00E54A61" w:rsidRPr="007F6D00">
        <w:rPr>
          <w:rFonts w:ascii="Calibri" w:hAnsi="Calibri"/>
          <w:sz w:val="24"/>
          <w:lang w:val="en-US"/>
        </w:rPr>
        <w:t>s to the strength of the study and allows the results to be generalizable across the population as a whole as it is carried out in a real-life setting. A limitation of database research is that the quality of information is reliant on the accuracy of record</w:t>
      </w:r>
      <w:r w:rsidR="00032FC4" w:rsidRPr="007F6D00">
        <w:rPr>
          <w:rFonts w:ascii="Calibri" w:hAnsi="Calibri"/>
          <w:sz w:val="24"/>
          <w:lang w:val="en-US"/>
        </w:rPr>
        <w:t>ing</w:t>
      </w:r>
      <w:r w:rsidR="00E54A61" w:rsidRPr="007F6D00">
        <w:rPr>
          <w:rFonts w:ascii="Calibri" w:hAnsi="Calibri"/>
          <w:sz w:val="24"/>
          <w:lang w:val="en-US"/>
        </w:rPr>
        <w:t xml:space="preserve">. </w:t>
      </w:r>
      <w:r w:rsidR="009741C9" w:rsidRPr="007F6D00">
        <w:rPr>
          <w:rFonts w:ascii="Calibri" w:hAnsi="Calibri"/>
          <w:sz w:val="24"/>
          <w:lang w:val="en-US"/>
        </w:rPr>
        <w:t>To minimize the risk of misclassification, extremes of BMI beyond 80 kg/m</w:t>
      </w:r>
      <w:r w:rsidR="009741C9" w:rsidRPr="007F6D00">
        <w:rPr>
          <w:rFonts w:ascii="Calibri" w:hAnsi="Calibri"/>
          <w:sz w:val="24"/>
          <w:vertAlign w:val="superscript"/>
          <w:lang w:val="en-US"/>
        </w:rPr>
        <w:t>2</w:t>
      </w:r>
      <w:r w:rsidR="009741C9" w:rsidRPr="007F6D00">
        <w:rPr>
          <w:rFonts w:ascii="Calibri" w:hAnsi="Calibri"/>
          <w:sz w:val="24"/>
          <w:lang w:val="en-US"/>
        </w:rPr>
        <w:t xml:space="preserve"> were removed. This only removed 83 patients from the analysis, but helped improve accuracy of the patient coding by eliminating outliers.</w:t>
      </w:r>
      <w:r w:rsidR="009741C9">
        <w:rPr>
          <w:rFonts w:ascii="Calibri" w:hAnsi="Calibri"/>
          <w:sz w:val="24"/>
          <w:lang w:val="en-US"/>
        </w:rPr>
        <w:t xml:space="preserve"> </w:t>
      </w:r>
      <w:r w:rsidR="001B65CF" w:rsidRPr="00E27DF2">
        <w:rPr>
          <w:rFonts w:ascii="Calibri" w:hAnsi="Calibri"/>
          <w:sz w:val="24"/>
          <w:highlight w:val="yellow"/>
          <w:lang w:val="en-US"/>
        </w:rPr>
        <w:t>To further</w:t>
      </w:r>
      <w:r w:rsidR="00007600" w:rsidRPr="00E27DF2">
        <w:rPr>
          <w:rFonts w:ascii="Calibri" w:hAnsi="Calibri"/>
          <w:sz w:val="24"/>
          <w:highlight w:val="yellow"/>
          <w:lang w:val="en-US"/>
        </w:rPr>
        <w:t xml:space="preserve"> eliminate misclassification of BMI we used values calculated from heigh</w:t>
      </w:r>
      <w:r w:rsidR="001B65CF" w:rsidRPr="00E27DF2">
        <w:rPr>
          <w:rFonts w:ascii="Calibri" w:hAnsi="Calibri"/>
          <w:sz w:val="24"/>
          <w:highlight w:val="yellow"/>
          <w:lang w:val="en-US"/>
        </w:rPr>
        <w:t>t and weight in preference to clinical coded values, as previous reports have identified the coded BMI values are recorded less frequently</w:t>
      </w:r>
      <w:r w:rsidR="00E27DF2" w:rsidRPr="00E27DF2">
        <w:rPr>
          <w:rFonts w:ascii="Calibri" w:hAnsi="Calibri"/>
          <w:sz w:val="24"/>
          <w:highlight w:val="yellow"/>
          <w:lang w:val="en-US"/>
        </w:rPr>
        <w:fldChar w:fldCharType="begin"/>
      </w:r>
      <w:r w:rsidR="00E27DF2" w:rsidRPr="00E27DF2">
        <w:rPr>
          <w:rFonts w:ascii="Calibri" w:hAnsi="Calibri"/>
          <w:sz w:val="24"/>
          <w:highlight w:val="yellow"/>
          <w:lang w:val="en-US"/>
        </w:rPr>
        <w:instrText>ADDIN RW.CITE{{552 Bhaskaran,K. 2013}}</w:instrText>
      </w:r>
      <w:r w:rsidR="00E27DF2" w:rsidRPr="00E27DF2">
        <w:rPr>
          <w:rFonts w:ascii="Calibri" w:hAnsi="Calibri"/>
          <w:sz w:val="24"/>
          <w:highlight w:val="yellow"/>
          <w:lang w:val="en-US"/>
        </w:rPr>
        <w:fldChar w:fldCharType="separate"/>
      </w:r>
      <w:r w:rsidR="00D04D75" w:rsidRPr="00D04D75">
        <w:rPr>
          <w:rFonts w:ascii="Calibri" w:hAnsi="Calibri"/>
          <w:sz w:val="24"/>
        </w:rPr>
        <w:t xml:space="preserve"> (40)</w:t>
      </w:r>
      <w:r w:rsidR="00E27DF2" w:rsidRPr="00E27DF2">
        <w:rPr>
          <w:rFonts w:ascii="Calibri" w:hAnsi="Calibri"/>
          <w:sz w:val="24"/>
          <w:highlight w:val="yellow"/>
          <w:lang w:val="en-US"/>
        </w:rPr>
        <w:fldChar w:fldCharType="end"/>
      </w:r>
      <w:r w:rsidR="001B65CF" w:rsidRPr="00E27DF2">
        <w:rPr>
          <w:rFonts w:ascii="Calibri" w:hAnsi="Calibri"/>
          <w:sz w:val="24"/>
          <w:highlight w:val="yellow"/>
          <w:lang w:val="en-US"/>
        </w:rPr>
        <w:t xml:space="preserve">. </w:t>
      </w:r>
      <w:r w:rsidR="006C64CB" w:rsidRPr="00E27DF2">
        <w:rPr>
          <w:rFonts w:ascii="Calibri" w:hAnsi="Calibri"/>
          <w:sz w:val="24"/>
          <w:highlight w:val="yellow"/>
          <w:lang w:val="en-US"/>
        </w:rPr>
        <w:t xml:space="preserve">The </w:t>
      </w:r>
      <w:r w:rsidR="006C64CB" w:rsidRPr="009741C9">
        <w:rPr>
          <w:rFonts w:ascii="Calibri" w:hAnsi="Calibri"/>
          <w:sz w:val="24"/>
          <w:highlight w:val="yellow"/>
          <w:lang w:val="en-US"/>
        </w:rPr>
        <w:t>reported prevalence of comorbidities in the present study is lower than reported in series that are not reliant on coded data</w:t>
      </w:r>
      <w:r w:rsidR="006C64CB" w:rsidRPr="009741C9">
        <w:rPr>
          <w:rFonts w:ascii="Calibri" w:hAnsi="Calibri"/>
          <w:sz w:val="24"/>
          <w:highlight w:val="yellow"/>
          <w:lang w:val="en-US"/>
        </w:rPr>
        <w:fldChar w:fldCharType="begin"/>
      </w:r>
      <w:r w:rsidR="006C64CB" w:rsidRPr="009741C9">
        <w:rPr>
          <w:rFonts w:ascii="Calibri" w:hAnsi="Calibri"/>
          <w:sz w:val="24"/>
          <w:highlight w:val="yellow"/>
          <w:lang w:val="en-US"/>
        </w:rPr>
        <w:instrText>ADDIN RW.CITE{{436 Wilson, Peter WF 2002}}</w:instrText>
      </w:r>
      <w:r w:rsidR="006C64CB" w:rsidRPr="009741C9">
        <w:rPr>
          <w:rFonts w:ascii="Calibri" w:hAnsi="Calibri"/>
          <w:sz w:val="24"/>
          <w:highlight w:val="yellow"/>
          <w:lang w:val="en-US"/>
        </w:rPr>
        <w:fldChar w:fldCharType="separate"/>
      </w:r>
      <w:r w:rsidR="00D04D75" w:rsidRPr="00D04D75">
        <w:rPr>
          <w:rFonts w:ascii="Calibri" w:hAnsi="Calibri"/>
          <w:sz w:val="24"/>
        </w:rPr>
        <w:t xml:space="preserve"> (19)</w:t>
      </w:r>
      <w:r w:rsidR="006C64CB" w:rsidRPr="009741C9">
        <w:rPr>
          <w:rFonts w:ascii="Calibri" w:hAnsi="Calibri"/>
          <w:sz w:val="24"/>
          <w:highlight w:val="yellow"/>
          <w:lang w:val="en-US"/>
        </w:rPr>
        <w:fldChar w:fldCharType="end"/>
      </w:r>
      <w:r w:rsidR="00E27DF2">
        <w:rPr>
          <w:rFonts w:ascii="Calibri" w:hAnsi="Calibri"/>
          <w:sz w:val="24"/>
          <w:lang w:val="en-US"/>
        </w:rPr>
        <w:t xml:space="preserve">. </w:t>
      </w:r>
      <w:r w:rsidR="00E54A61" w:rsidRPr="007F6D00">
        <w:rPr>
          <w:rFonts w:ascii="Calibri" w:hAnsi="Calibri"/>
          <w:sz w:val="24"/>
          <w:lang w:val="en-US"/>
        </w:rPr>
        <w:t xml:space="preserve">As </w:t>
      </w:r>
      <w:r w:rsidR="00E54A61" w:rsidRPr="007F6D00">
        <w:rPr>
          <w:rFonts w:ascii="Calibri" w:hAnsi="Calibri"/>
          <w:sz w:val="24"/>
          <w:lang w:val="en-US"/>
        </w:rPr>
        <w:lastRenderedPageBreak/>
        <w:t xml:space="preserve">such this may </w:t>
      </w:r>
      <w:r w:rsidR="00032FC4" w:rsidRPr="007F6D00">
        <w:rPr>
          <w:rFonts w:ascii="Calibri" w:hAnsi="Calibri"/>
          <w:sz w:val="24"/>
          <w:lang w:val="en-US"/>
        </w:rPr>
        <w:t>bias the overall results</w:t>
      </w:r>
      <w:r w:rsidR="009741C9">
        <w:rPr>
          <w:rFonts w:ascii="Calibri" w:hAnsi="Calibri"/>
          <w:sz w:val="24"/>
          <w:lang w:val="en-US"/>
        </w:rPr>
        <w:t xml:space="preserve">, however any </w:t>
      </w:r>
      <w:r w:rsidR="00032FC4" w:rsidRPr="007F6D00">
        <w:rPr>
          <w:rFonts w:ascii="Calibri" w:hAnsi="Calibri"/>
          <w:sz w:val="24"/>
          <w:lang w:val="en-US"/>
        </w:rPr>
        <w:t>miscla</w:t>
      </w:r>
      <w:r w:rsidR="00AC0245" w:rsidRPr="007F6D00">
        <w:rPr>
          <w:rFonts w:ascii="Calibri" w:hAnsi="Calibri"/>
          <w:sz w:val="24"/>
          <w:lang w:val="en-US"/>
        </w:rPr>
        <w:t>ssification that is present</w:t>
      </w:r>
      <w:r w:rsidR="00032FC4" w:rsidRPr="007F6D00">
        <w:rPr>
          <w:rFonts w:ascii="Calibri" w:hAnsi="Calibri"/>
          <w:sz w:val="24"/>
          <w:lang w:val="en-US"/>
        </w:rPr>
        <w:t xml:space="preserve"> would likely bi</w:t>
      </w:r>
      <w:r w:rsidR="00AC0245" w:rsidRPr="007F6D00">
        <w:rPr>
          <w:rFonts w:ascii="Calibri" w:hAnsi="Calibri"/>
          <w:sz w:val="24"/>
          <w:lang w:val="en-US"/>
        </w:rPr>
        <w:t>as the results towards the null. A</w:t>
      </w:r>
      <w:r w:rsidR="00032FC4" w:rsidRPr="007F6D00">
        <w:rPr>
          <w:rFonts w:ascii="Calibri" w:hAnsi="Calibri"/>
          <w:sz w:val="24"/>
          <w:lang w:val="en-US"/>
        </w:rPr>
        <w:t>s a result</w:t>
      </w:r>
      <w:r w:rsidR="00AC7417" w:rsidRPr="007F6D00">
        <w:rPr>
          <w:rFonts w:ascii="Calibri" w:hAnsi="Calibri"/>
          <w:sz w:val="24"/>
          <w:lang w:val="en-US"/>
        </w:rPr>
        <w:t>,</w:t>
      </w:r>
      <w:r w:rsidR="00032FC4" w:rsidRPr="007F6D00">
        <w:rPr>
          <w:rFonts w:ascii="Calibri" w:hAnsi="Calibri"/>
          <w:sz w:val="24"/>
          <w:lang w:val="en-US"/>
        </w:rPr>
        <w:t xml:space="preserve"> this would under represent the strength of each factor on multivariate analysis rather than overstating the findings.</w:t>
      </w:r>
      <w:r w:rsidR="00D04D75">
        <w:rPr>
          <w:rFonts w:ascii="Calibri" w:hAnsi="Calibri"/>
          <w:sz w:val="24"/>
          <w:lang w:val="en-US"/>
        </w:rPr>
        <w:t xml:space="preserve"> </w:t>
      </w:r>
      <w:r w:rsidR="00D04D75" w:rsidRPr="00D04D75">
        <w:rPr>
          <w:rFonts w:ascii="Calibri" w:hAnsi="Calibri"/>
          <w:sz w:val="24"/>
          <w:highlight w:val="yellow"/>
          <w:lang w:val="en-US"/>
        </w:rPr>
        <w:t>Additionally, in comparison to Office of National Statistics data the CPRD has been shown to record deaths later than their actual date (median 5 days)</w:t>
      </w:r>
      <w:r w:rsidR="00D04D75" w:rsidRPr="00D04D75">
        <w:rPr>
          <w:rFonts w:ascii="Calibri" w:hAnsi="Calibri"/>
          <w:sz w:val="24"/>
          <w:highlight w:val="yellow"/>
          <w:lang w:val="en-US"/>
        </w:rPr>
        <w:fldChar w:fldCharType="begin"/>
      </w:r>
      <w:r w:rsidR="00D04D75" w:rsidRPr="00D04D75">
        <w:rPr>
          <w:rFonts w:ascii="Calibri" w:hAnsi="Calibri"/>
          <w:sz w:val="24"/>
          <w:highlight w:val="yellow"/>
          <w:lang w:val="en-US"/>
        </w:rPr>
        <w:instrText>ADDIN RW.CITE{{554 Harshfield, Amelia 2017}}</w:instrText>
      </w:r>
      <w:r w:rsidR="00D04D75" w:rsidRPr="00D04D75">
        <w:rPr>
          <w:rFonts w:ascii="Calibri" w:hAnsi="Calibri"/>
          <w:sz w:val="24"/>
          <w:highlight w:val="yellow"/>
          <w:lang w:val="en-US"/>
        </w:rPr>
        <w:fldChar w:fldCharType="separate"/>
      </w:r>
      <w:r w:rsidR="00D04D75" w:rsidRPr="00D04D75">
        <w:rPr>
          <w:rFonts w:ascii="Calibri" w:hAnsi="Calibri"/>
          <w:sz w:val="24"/>
          <w:highlight w:val="yellow"/>
        </w:rPr>
        <w:t xml:space="preserve"> (41)</w:t>
      </w:r>
      <w:r w:rsidR="00D04D75" w:rsidRPr="00D04D75">
        <w:rPr>
          <w:rFonts w:ascii="Calibri" w:hAnsi="Calibri"/>
          <w:sz w:val="24"/>
          <w:highlight w:val="yellow"/>
          <w:lang w:val="en-US"/>
        </w:rPr>
        <w:fldChar w:fldCharType="end"/>
      </w:r>
      <w:r w:rsidR="00D04D75" w:rsidRPr="00D04D75">
        <w:rPr>
          <w:rFonts w:ascii="Calibri" w:hAnsi="Calibri"/>
          <w:sz w:val="24"/>
          <w:highlight w:val="yellow"/>
          <w:lang w:val="en-US"/>
        </w:rPr>
        <w:t>. This however has limited impact on the present analysis which is conducted across the timescale of months to years.</w:t>
      </w:r>
      <w:r w:rsidR="00594728" w:rsidRPr="007F6D00">
        <w:rPr>
          <w:rFonts w:ascii="Calibri" w:hAnsi="Calibri"/>
          <w:sz w:val="24"/>
          <w:lang w:val="en-US"/>
        </w:rPr>
        <w:t xml:space="preserve"> Another factor that limits the results are inconsistencies in follow-up. Without a structured follow-up protocol, the protocol is reliant upon patients presenting to their primary care practitioner to enable diagnoses to be made. To reduce the effect of this bias, all comorbidities were taken at baseline diagnosis. This would subsequently again cause the results to tend towards the null, rather than overstate the findings.</w:t>
      </w:r>
      <w:r w:rsidR="00326150">
        <w:rPr>
          <w:rFonts w:ascii="Calibri" w:hAnsi="Calibri"/>
          <w:sz w:val="24"/>
          <w:lang w:val="en-US"/>
        </w:rPr>
        <w:t xml:space="preserve"> </w:t>
      </w:r>
      <w:r w:rsidR="00326150" w:rsidRPr="00326150">
        <w:rPr>
          <w:rFonts w:ascii="Calibri" w:hAnsi="Calibri"/>
          <w:sz w:val="24"/>
          <w:highlight w:val="yellow"/>
          <w:lang w:val="en-US"/>
        </w:rPr>
        <w:t>Finally, it is important to recognize that whilst multivariate analysis aims to identify the individual effect size of different risk factors, it is not able to control for all possible confounders.</w:t>
      </w:r>
    </w:p>
    <w:p w14:paraId="38DC0D7E" w14:textId="77777777" w:rsidR="00347E0E" w:rsidRPr="007F6D00" w:rsidRDefault="00347E0E" w:rsidP="003858EC">
      <w:pPr>
        <w:widowControl w:val="0"/>
        <w:autoSpaceDE w:val="0"/>
        <w:autoSpaceDN w:val="0"/>
        <w:adjustRightInd w:val="0"/>
        <w:spacing w:line="480" w:lineRule="auto"/>
        <w:ind w:left="640" w:hanging="640"/>
        <w:rPr>
          <w:rFonts w:ascii="Calibri" w:hAnsi="Calibri"/>
          <w:sz w:val="24"/>
          <w:lang w:val="en-US"/>
        </w:rPr>
      </w:pPr>
    </w:p>
    <w:p w14:paraId="46366A28" w14:textId="309359B2" w:rsidR="001171D0" w:rsidRPr="007F6D00" w:rsidRDefault="001171D0" w:rsidP="003858EC">
      <w:pPr>
        <w:widowControl w:val="0"/>
        <w:autoSpaceDE w:val="0"/>
        <w:autoSpaceDN w:val="0"/>
        <w:adjustRightInd w:val="0"/>
        <w:spacing w:line="480" w:lineRule="auto"/>
        <w:ind w:left="640" w:hanging="640"/>
        <w:rPr>
          <w:rFonts w:ascii="Calibri" w:hAnsi="Calibri"/>
          <w:sz w:val="24"/>
          <w:lang w:val="en-US"/>
        </w:rPr>
      </w:pPr>
      <w:r w:rsidRPr="007F6D00">
        <w:rPr>
          <w:rFonts w:ascii="Calibri" w:hAnsi="Calibri"/>
          <w:sz w:val="24"/>
          <w:lang w:val="en-US"/>
        </w:rPr>
        <w:t>Conclusion</w:t>
      </w:r>
    </w:p>
    <w:p w14:paraId="442A9C8C" w14:textId="02ECD9F2" w:rsidR="00FC5C37" w:rsidRDefault="001158E0" w:rsidP="007D6135">
      <w:pPr>
        <w:widowControl w:val="0"/>
        <w:autoSpaceDE w:val="0"/>
        <w:autoSpaceDN w:val="0"/>
        <w:adjustRightInd w:val="0"/>
        <w:spacing w:line="480" w:lineRule="auto"/>
        <w:jc w:val="both"/>
        <w:rPr>
          <w:rFonts w:ascii="Calibri" w:hAnsi="Calibri"/>
          <w:sz w:val="24"/>
          <w:lang w:val="en-US"/>
        </w:rPr>
      </w:pPr>
      <w:r w:rsidRPr="007F6D00">
        <w:rPr>
          <w:rFonts w:ascii="Calibri" w:hAnsi="Calibri"/>
          <w:sz w:val="24"/>
          <w:lang w:val="en-US"/>
        </w:rPr>
        <w:t>The results fro</w:t>
      </w:r>
      <w:r w:rsidR="007D6135" w:rsidRPr="007F6D00">
        <w:rPr>
          <w:rFonts w:ascii="Calibri" w:hAnsi="Calibri"/>
          <w:sz w:val="24"/>
          <w:lang w:val="en-US"/>
        </w:rPr>
        <w:t xml:space="preserve">m this study </w:t>
      </w:r>
      <w:r w:rsidRPr="007F6D00">
        <w:rPr>
          <w:rFonts w:ascii="Calibri" w:hAnsi="Calibri"/>
          <w:sz w:val="24"/>
          <w:lang w:val="en-US"/>
        </w:rPr>
        <w:t>suggest a number of factors</w:t>
      </w:r>
      <w:r w:rsidR="007D6135" w:rsidRPr="007F6D00">
        <w:rPr>
          <w:rFonts w:ascii="Calibri" w:hAnsi="Calibri"/>
          <w:sz w:val="24"/>
          <w:lang w:val="en-US"/>
        </w:rPr>
        <w:t xml:space="preserve"> are associated with a poorer </w:t>
      </w:r>
      <w:r w:rsidR="00AC0245" w:rsidRPr="007F6D00">
        <w:rPr>
          <w:rFonts w:ascii="Calibri" w:hAnsi="Calibri"/>
          <w:sz w:val="24"/>
          <w:lang w:val="en-US"/>
        </w:rPr>
        <w:t xml:space="preserve">prognosis in the </w:t>
      </w:r>
      <w:r w:rsidR="00AC0245" w:rsidRPr="0023678E">
        <w:rPr>
          <w:rFonts w:ascii="Calibri" w:hAnsi="Calibri"/>
          <w:strike/>
          <w:sz w:val="24"/>
          <w:highlight w:val="yellow"/>
          <w:lang w:val="en-US"/>
        </w:rPr>
        <w:t>morbidly</w:t>
      </w:r>
      <w:r w:rsidR="00AC0245"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AC0245" w:rsidRPr="007F6D00">
        <w:rPr>
          <w:rFonts w:ascii="Calibri" w:hAnsi="Calibri"/>
          <w:sz w:val="24"/>
          <w:lang w:val="en-US"/>
        </w:rPr>
        <w:t>obese, most notably: high BMI</w:t>
      </w:r>
      <w:r w:rsidR="006A59E5">
        <w:rPr>
          <w:rFonts w:ascii="Calibri" w:hAnsi="Calibri"/>
          <w:sz w:val="24"/>
          <w:lang w:val="en-US"/>
        </w:rPr>
        <w:t>,</w:t>
      </w:r>
      <w:r w:rsidR="00AC0245" w:rsidRPr="007F6D00">
        <w:rPr>
          <w:rFonts w:ascii="Calibri" w:hAnsi="Calibri"/>
          <w:sz w:val="24"/>
          <w:lang w:val="en-US"/>
        </w:rPr>
        <w:t xml:space="preserve"> </w:t>
      </w:r>
      <w:r w:rsidR="00AC0245" w:rsidRPr="006A59E5">
        <w:rPr>
          <w:rFonts w:ascii="Calibri" w:hAnsi="Calibri"/>
          <w:strike/>
          <w:sz w:val="24"/>
          <w:highlight w:val="yellow"/>
          <w:lang w:val="en-US"/>
        </w:rPr>
        <w:t>(≥55),</w:t>
      </w:r>
      <w:r w:rsidR="00AC0245" w:rsidRPr="007F6D00">
        <w:rPr>
          <w:rFonts w:ascii="Calibri" w:hAnsi="Calibri"/>
          <w:sz w:val="24"/>
          <w:lang w:val="en-US"/>
        </w:rPr>
        <w:t xml:space="preserve"> late age at diagnosis, hypertension, type II diabetes mellitus and obstructive sleep </w:t>
      </w:r>
      <w:r w:rsidR="007B6C7C" w:rsidRPr="007F6D00">
        <w:rPr>
          <w:rFonts w:ascii="Calibri" w:hAnsi="Calibri"/>
          <w:sz w:val="24"/>
          <w:lang w:val="en-US"/>
        </w:rPr>
        <w:t>apnea</w:t>
      </w:r>
      <w:r w:rsidR="007D6135" w:rsidRPr="007F6D00">
        <w:rPr>
          <w:rFonts w:ascii="Calibri" w:hAnsi="Calibri"/>
          <w:sz w:val="24"/>
          <w:lang w:val="en-US"/>
        </w:rPr>
        <w:t xml:space="preserve">. In addition to this bariatric surgery is associated with improved survival, however is under </w:t>
      </w:r>
      <w:r w:rsidR="007B6C7C" w:rsidRPr="007F6D00">
        <w:rPr>
          <w:rFonts w:ascii="Calibri" w:hAnsi="Calibri"/>
          <w:sz w:val="24"/>
          <w:lang w:val="en-US"/>
        </w:rPr>
        <w:t>utilized</w:t>
      </w:r>
      <w:r w:rsidR="007D6135" w:rsidRPr="007F6D00">
        <w:rPr>
          <w:rFonts w:ascii="Calibri" w:hAnsi="Calibri"/>
          <w:sz w:val="24"/>
          <w:lang w:val="en-US"/>
        </w:rPr>
        <w:t xml:space="preserve"> in the </w:t>
      </w:r>
      <w:r w:rsidR="007D6135" w:rsidRPr="0023678E">
        <w:rPr>
          <w:rFonts w:ascii="Calibri" w:hAnsi="Calibri"/>
          <w:strike/>
          <w:sz w:val="24"/>
          <w:highlight w:val="yellow"/>
          <w:lang w:val="en-US"/>
        </w:rPr>
        <w:t>morbidly</w:t>
      </w:r>
      <w:r w:rsidR="007D6135" w:rsidRPr="0023678E">
        <w:rPr>
          <w:rFonts w:ascii="Calibri" w:hAnsi="Calibri"/>
          <w:sz w:val="24"/>
          <w:highlight w:val="yellow"/>
          <w:lang w:val="en-US"/>
        </w:rPr>
        <w:t xml:space="preserve"> </w:t>
      </w:r>
      <w:r w:rsidR="0023678E" w:rsidRPr="0023678E">
        <w:rPr>
          <w:rFonts w:ascii="Calibri" w:hAnsi="Calibri"/>
          <w:sz w:val="24"/>
          <w:highlight w:val="yellow"/>
          <w:lang w:val="en-US"/>
        </w:rPr>
        <w:t>severely</w:t>
      </w:r>
      <w:r w:rsidR="0023678E">
        <w:rPr>
          <w:rFonts w:ascii="Calibri" w:hAnsi="Calibri"/>
          <w:sz w:val="24"/>
          <w:lang w:val="en-US"/>
        </w:rPr>
        <w:t xml:space="preserve"> </w:t>
      </w:r>
      <w:r w:rsidR="007D6135" w:rsidRPr="007F6D00">
        <w:rPr>
          <w:rFonts w:ascii="Calibri" w:hAnsi="Calibri"/>
          <w:sz w:val="24"/>
          <w:lang w:val="en-US"/>
        </w:rPr>
        <w:t xml:space="preserve">obese population of the United Kingdom. Effective public health campaigns, as well as improved access to bariatric surgery could improve outcomes in the </w:t>
      </w:r>
      <w:r w:rsidR="007D6135" w:rsidRPr="00415EF1">
        <w:rPr>
          <w:rFonts w:ascii="Calibri" w:hAnsi="Calibri"/>
          <w:strike/>
          <w:sz w:val="24"/>
          <w:highlight w:val="yellow"/>
          <w:lang w:val="en-US"/>
        </w:rPr>
        <w:t>morbidly</w:t>
      </w:r>
      <w:r w:rsidR="007D6135" w:rsidRPr="00415EF1">
        <w:rPr>
          <w:rFonts w:ascii="Calibri" w:hAnsi="Calibri"/>
          <w:sz w:val="24"/>
          <w:highlight w:val="yellow"/>
          <w:lang w:val="en-US"/>
        </w:rPr>
        <w:t xml:space="preserve"> </w:t>
      </w:r>
      <w:r w:rsidR="00415EF1" w:rsidRPr="00415EF1">
        <w:rPr>
          <w:rFonts w:ascii="Calibri" w:hAnsi="Calibri"/>
          <w:sz w:val="24"/>
          <w:highlight w:val="yellow"/>
          <w:lang w:val="en-US"/>
        </w:rPr>
        <w:t>severely</w:t>
      </w:r>
      <w:r w:rsidR="00415EF1">
        <w:rPr>
          <w:rFonts w:ascii="Calibri" w:hAnsi="Calibri"/>
          <w:sz w:val="24"/>
          <w:lang w:val="en-US"/>
        </w:rPr>
        <w:t xml:space="preserve"> </w:t>
      </w:r>
      <w:r w:rsidR="007D6135" w:rsidRPr="007F6D00">
        <w:rPr>
          <w:rFonts w:ascii="Calibri" w:hAnsi="Calibri"/>
          <w:sz w:val="24"/>
          <w:lang w:val="en-US"/>
        </w:rPr>
        <w:t>obese.</w:t>
      </w:r>
    </w:p>
    <w:p w14:paraId="4D12176D" w14:textId="77777777" w:rsidR="00AF2ABA" w:rsidRPr="006A59E5" w:rsidRDefault="00AF2ABA" w:rsidP="007D6135">
      <w:pPr>
        <w:widowControl w:val="0"/>
        <w:autoSpaceDE w:val="0"/>
        <w:autoSpaceDN w:val="0"/>
        <w:adjustRightInd w:val="0"/>
        <w:spacing w:line="480" w:lineRule="auto"/>
        <w:jc w:val="both"/>
        <w:rPr>
          <w:rFonts w:ascii="Calibri" w:hAnsi="Calibri"/>
          <w:sz w:val="24"/>
          <w:lang w:val="en-US"/>
        </w:rPr>
      </w:pPr>
    </w:p>
    <w:p w14:paraId="64758C62" w14:textId="0D12D0BA" w:rsidR="00D04D75" w:rsidRPr="00D04D75" w:rsidRDefault="0002281E" w:rsidP="00D04D75">
      <w:pPr>
        <w:pStyle w:val="NormalWeb"/>
        <w:jc w:val="center"/>
        <w:rPr>
          <w:sz w:val="22"/>
        </w:rPr>
      </w:pPr>
      <w:r w:rsidRPr="007F6D00">
        <w:rPr>
          <w:rFonts w:ascii="Calibri" w:hAnsi="Calibri"/>
          <w:sz w:val="22"/>
          <w:lang w:val="en-US"/>
        </w:rPr>
        <w:lastRenderedPageBreak/>
        <w:fldChar w:fldCharType="begin"/>
      </w:r>
      <w:r w:rsidRPr="007F6D00">
        <w:rPr>
          <w:rFonts w:ascii="Calibri" w:hAnsi="Calibri"/>
          <w:sz w:val="22"/>
          <w:lang w:val="en-US"/>
        </w:rPr>
        <w:instrText>ADDIN RW.BIB</w:instrText>
      </w:r>
      <w:r w:rsidRPr="007F6D00">
        <w:rPr>
          <w:rFonts w:ascii="Calibri" w:hAnsi="Calibri"/>
          <w:sz w:val="22"/>
          <w:lang w:val="en-US"/>
        </w:rPr>
        <w:fldChar w:fldCharType="separate"/>
      </w:r>
      <w:r w:rsidR="00D04D75" w:rsidRPr="00D04D75">
        <w:rPr>
          <w:sz w:val="22"/>
        </w:rPr>
        <w:t xml:space="preserve"> References</w:t>
      </w:r>
    </w:p>
    <w:p w14:paraId="0C976F42" w14:textId="77777777" w:rsidR="00D04D75" w:rsidRPr="00D04D75" w:rsidRDefault="00D04D75" w:rsidP="00D04D75">
      <w:pPr>
        <w:pStyle w:val="NormalWeb"/>
        <w:rPr>
          <w:sz w:val="22"/>
        </w:rPr>
      </w:pPr>
      <w:r w:rsidRPr="00D04D75">
        <w:rPr>
          <w:sz w:val="22"/>
        </w:rPr>
        <w:t xml:space="preserve">(1) Must A, Spadano J, Coakley EH, Field AE, Colditz G, Dietz WH. The disease burden associated with overweight and obesity. </w:t>
      </w:r>
      <w:r w:rsidRPr="00D04D75">
        <w:rPr>
          <w:i/>
          <w:iCs/>
          <w:sz w:val="22"/>
        </w:rPr>
        <w:t xml:space="preserve">Jama. </w:t>
      </w:r>
      <w:r w:rsidRPr="00D04D75">
        <w:rPr>
          <w:sz w:val="22"/>
        </w:rPr>
        <w:t xml:space="preserve">1999;282(16): 1523-1529. </w:t>
      </w:r>
    </w:p>
    <w:p w14:paraId="289400C8" w14:textId="77777777" w:rsidR="00D04D75" w:rsidRPr="00D04D75" w:rsidRDefault="00D04D75" w:rsidP="00D04D75">
      <w:pPr>
        <w:pStyle w:val="NormalWeb"/>
        <w:rPr>
          <w:sz w:val="22"/>
        </w:rPr>
      </w:pPr>
      <w:r w:rsidRPr="00D04D75">
        <w:rPr>
          <w:sz w:val="22"/>
        </w:rPr>
        <w:t xml:space="preserve">(2) Wang YC, McPherson K, Marsh T, Gortmaker SL, Brown M. Health and economic burden of the projected obesity trends in the USA and the UK. </w:t>
      </w:r>
      <w:r w:rsidRPr="00D04D75">
        <w:rPr>
          <w:i/>
          <w:iCs/>
          <w:sz w:val="22"/>
        </w:rPr>
        <w:t xml:space="preserve">The Lancet. </w:t>
      </w:r>
      <w:r w:rsidRPr="00D04D75">
        <w:rPr>
          <w:sz w:val="22"/>
        </w:rPr>
        <w:t xml:space="preserve">2011;378(9793): 815-825. </w:t>
      </w:r>
    </w:p>
    <w:p w14:paraId="50EECF46" w14:textId="77777777" w:rsidR="00D04D75" w:rsidRPr="00D04D75" w:rsidRDefault="00D04D75" w:rsidP="00D04D75">
      <w:pPr>
        <w:pStyle w:val="NormalWeb"/>
        <w:rPr>
          <w:sz w:val="22"/>
        </w:rPr>
      </w:pPr>
      <w:r w:rsidRPr="00D04D75">
        <w:rPr>
          <w:sz w:val="22"/>
        </w:rPr>
        <w:t xml:space="preserve">(3) Kahn SE, Hull RL, Utzschneider KM. Mechanisms linking obesity to insulin resistance and type 2 diabetes. </w:t>
      </w:r>
      <w:r w:rsidRPr="00D04D75">
        <w:rPr>
          <w:i/>
          <w:iCs/>
          <w:sz w:val="22"/>
        </w:rPr>
        <w:t xml:space="preserve">Nature. </w:t>
      </w:r>
      <w:r w:rsidRPr="00D04D75">
        <w:rPr>
          <w:sz w:val="22"/>
        </w:rPr>
        <w:t xml:space="preserve">2006;444(7121): 840. </w:t>
      </w:r>
    </w:p>
    <w:p w14:paraId="7492895E" w14:textId="77777777" w:rsidR="00D04D75" w:rsidRPr="00D04D75" w:rsidRDefault="00D04D75" w:rsidP="00D04D75">
      <w:pPr>
        <w:pStyle w:val="NormalWeb"/>
        <w:rPr>
          <w:sz w:val="22"/>
        </w:rPr>
      </w:pPr>
      <w:r w:rsidRPr="00D04D75">
        <w:rPr>
          <w:sz w:val="22"/>
        </w:rPr>
        <w:t xml:space="preserve">(4) Re RN. Obesity-related hypertension. </w:t>
      </w:r>
      <w:r w:rsidRPr="00D04D75">
        <w:rPr>
          <w:i/>
          <w:iCs/>
          <w:sz w:val="22"/>
        </w:rPr>
        <w:t xml:space="preserve">The Ochsner Journal. </w:t>
      </w:r>
      <w:r w:rsidRPr="00D04D75">
        <w:rPr>
          <w:sz w:val="22"/>
        </w:rPr>
        <w:t xml:space="preserve">2009;9(3): 133-136. </w:t>
      </w:r>
    </w:p>
    <w:p w14:paraId="34ACCC4B" w14:textId="77777777" w:rsidR="00D04D75" w:rsidRPr="00D04D75" w:rsidRDefault="00D04D75" w:rsidP="00D04D75">
      <w:pPr>
        <w:pStyle w:val="NormalWeb"/>
        <w:rPr>
          <w:sz w:val="22"/>
        </w:rPr>
      </w:pPr>
      <w:r w:rsidRPr="00D04D75">
        <w:rPr>
          <w:sz w:val="22"/>
        </w:rPr>
        <w:t xml:space="preserve">(5) Gordon T, Castelli WP, Hjortland MC, Kannel WB, Dawber TR. Diabetes, blood lipids, and the role of obesity in coronary heart disease risk for women: the Framingham Study. </w:t>
      </w:r>
      <w:r w:rsidRPr="00D04D75">
        <w:rPr>
          <w:i/>
          <w:iCs/>
          <w:sz w:val="22"/>
        </w:rPr>
        <w:t xml:space="preserve">Annals of Internal Medicine. </w:t>
      </w:r>
      <w:r w:rsidRPr="00D04D75">
        <w:rPr>
          <w:sz w:val="22"/>
        </w:rPr>
        <w:t xml:space="preserve">1977;87(4): 393-397. </w:t>
      </w:r>
    </w:p>
    <w:p w14:paraId="64261782" w14:textId="77777777" w:rsidR="00D04D75" w:rsidRPr="00D04D75" w:rsidRDefault="00D04D75" w:rsidP="00D04D75">
      <w:pPr>
        <w:pStyle w:val="NormalWeb"/>
        <w:rPr>
          <w:sz w:val="22"/>
        </w:rPr>
      </w:pPr>
      <w:r w:rsidRPr="00D04D75">
        <w:rPr>
          <w:sz w:val="22"/>
        </w:rPr>
        <w:t xml:space="preserve">(6) Calle EE, Thun MJ. Obesity and cancer. </w:t>
      </w:r>
      <w:r w:rsidRPr="00D04D75">
        <w:rPr>
          <w:i/>
          <w:iCs/>
          <w:sz w:val="22"/>
        </w:rPr>
        <w:t xml:space="preserve">Oncogene. </w:t>
      </w:r>
      <w:r w:rsidRPr="00D04D75">
        <w:rPr>
          <w:sz w:val="22"/>
        </w:rPr>
        <w:t xml:space="preserve">2004;23(38): 6365. </w:t>
      </w:r>
    </w:p>
    <w:p w14:paraId="2460D442" w14:textId="77777777" w:rsidR="00D04D75" w:rsidRPr="00D04D75" w:rsidRDefault="00D04D75" w:rsidP="00D04D75">
      <w:pPr>
        <w:pStyle w:val="NormalWeb"/>
        <w:rPr>
          <w:sz w:val="22"/>
        </w:rPr>
      </w:pPr>
      <w:r w:rsidRPr="00D04D75">
        <w:rPr>
          <w:sz w:val="22"/>
        </w:rPr>
        <w:t xml:space="preserve">(7) Hruby A, Hu FB. The epidemiology of obesity: a big picture. </w:t>
      </w:r>
      <w:r w:rsidRPr="00D04D75">
        <w:rPr>
          <w:i/>
          <w:iCs/>
          <w:sz w:val="22"/>
        </w:rPr>
        <w:t xml:space="preserve">PharmacoEconomics. </w:t>
      </w:r>
      <w:r w:rsidRPr="00D04D75">
        <w:rPr>
          <w:sz w:val="22"/>
        </w:rPr>
        <w:t xml:space="preserve">2015;33(7): 673-689. </w:t>
      </w:r>
    </w:p>
    <w:p w14:paraId="31BBAF62" w14:textId="77777777" w:rsidR="00D04D75" w:rsidRPr="00D04D75" w:rsidRDefault="00D04D75" w:rsidP="00D04D75">
      <w:pPr>
        <w:pStyle w:val="NormalWeb"/>
        <w:rPr>
          <w:sz w:val="22"/>
        </w:rPr>
      </w:pPr>
      <w:r w:rsidRPr="00D04D75">
        <w:rPr>
          <w:sz w:val="22"/>
        </w:rPr>
        <w:t xml:space="preserve">(8) Ogden CL, Carroll MD, Kit BK, Flegal KM. Prevalence of childhood and adult obesity in the United States, 2011-2012. </w:t>
      </w:r>
      <w:r w:rsidRPr="00D04D75">
        <w:rPr>
          <w:i/>
          <w:iCs/>
          <w:sz w:val="22"/>
        </w:rPr>
        <w:t xml:space="preserve">Jama. </w:t>
      </w:r>
      <w:r w:rsidRPr="00D04D75">
        <w:rPr>
          <w:sz w:val="22"/>
        </w:rPr>
        <w:t xml:space="preserve">2014;311(8): 806-814. </w:t>
      </w:r>
    </w:p>
    <w:p w14:paraId="0844206A" w14:textId="77777777" w:rsidR="00D04D75" w:rsidRPr="00D04D75" w:rsidRDefault="00D04D75" w:rsidP="00D04D75">
      <w:pPr>
        <w:pStyle w:val="NormalWeb"/>
        <w:rPr>
          <w:sz w:val="22"/>
        </w:rPr>
      </w:pPr>
      <w:r w:rsidRPr="00D04D75">
        <w:rPr>
          <w:sz w:val="22"/>
        </w:rPr>
        <w:t xml:space="preserve">(9) Aune D, Sen A, Prasad M, Norat T, Janszky I, Tonstad S, et al. BMI and all cause mortality: systematic review and non-linear dose-response meta-analysis of 230 cohort studies with 3.74 million deaths among 30.3 million participants. </w:t>
      </w:r>
      <w:r w:rsidRPr="00D04D75">
        <w:rPr>
          <w:i/>
          <w:iCs/>
          <w:sz w:val="22"/>
        </w:rPr>
        <w:t xml:space="preserve">BMJ (Clinical research ed.). </w:t>
      </w:r>
      <w:r w:rsidRPr="00D04D75">
        <w:rPr>
          <w:sz w:val="22"/>
        </w:rPr>
        <w:t xml:space="preserve">2016;353i2156. </w:t>
      </w:r>
    </w:p>
    <w:p w14:paraId="389C45DE" w14:textId="77777777" w:rsidR="00D04D75" w:rsidRPr="00D04D75" w:rsidRDefault="00D04D75" w:rsidP="00D04D75">
      <w:pPr>
        <w:pStyle w:val="NormalWeb"/>
        <w:rPr>
          <w:sz w:val="22"/>
        </w:rPr>
      </w:pPr>
      <w:r w:rsidRPr="00D04D75">
        <w:rPr>
          <w:sz w:val="22"/>
        </w:rPr>
        <w:t xml:space="preserve">(10) Global BMI Mortality Collaboration. Body-mass index and all-cause mortality: individual-participant-data meta-analysis of 239 prospective studies in four continents. </w:t>
      </w:r>
      <w:r w:rsidRPr="00D04D75">
        <w:rPr>
          <w:i/>
          <w:iCs/>
          <w:sz w:val="22"/>
        </w:rPr>
        <w:t xml:space="preserve">The Lancet. </w:t>
      </w:r>
      <w:r w:rsidRPr="00D04D75">
        <w:rPr>
          <w:sz w:val="22"/>
        </w:rPr>
        <w:t xml:space="preserve">2016;388(10046): 776-786. </w:t>
      </w:r>
    </w:p>
    <w:p w14:paraId="5E313ACD" w14:textId="77777777" w:rsidR="00D04D75" w:rsidRPr="00D04D75" w:rsidRDefault="00D04D75" w:rsidP="00D04D75">
      <w:pPr>
        <w:pStyle w:val="NormalWeb"/>
        <w:rPr>
          <w:sz w:val="22"/>
        </w:rPr>
      </w:pPr>
      <w:r w:rsidRPr="00D04D75">
        <w:rPr>
          <w:sz w:val="22"/>
        </w:rPr>
        <w:t xml:space="preserve">(11) Prospective Studies Collaboration. Body-mass index and cause-specific mortality in 900 000 adults: collaborative analyses of 57 prospective studies. </w:t>
      </w:r>
      <w:r w:rsidRPr="00D04D75">
        <w:rPr>
          <w:i/>
          <w:iCs/>
          <w:sz w:val="22"/>
        </w:rPr>
        <w:t xml:space="preserve">The Lancet. </w:t>
      </w:r>
      <w:r w:rsidRPr="00D04D75">
        <w:rPr>
          <w:sz w:val="22"/>
        </w:rPr>
        <w:t xml:space="preserve">2009;373(9669): 1083-1096. </w:t>
      </w:r>
    </w:p>
    <w:p w14:paraId="21A9AC8E" w14:textId="77777777" w:rsidR="00D04D75" w:rsidRPr="00D04D75" w:rsidRDefault="00D04D75" w:rsidP="00D04D75">
      <w:pPr>
        <w:pStyle w:val="NormalWeb"/>
        <w:rPr>
          <w:sz w:val="22"/>
        </w:rPr>
      </w:pPr>
      <w:r w:rsidRPr="00D04D75">
        <w:rPr>
          <w:sz w:val="22"/>
        </w:rPr>
        <w:t xml:space="preserve">(12) Padwal RS, Klarenbach SW, Wang X, Sharma AM, Karmali S, Birch DW, et al. A simple prediction rule for all-cause mortality in a cohort eligible for bariatric surgery. </w:t>
      </w:r>
      <w:r w:rsidRPr="00D04D75">
        <w:rPr>
          <w:i/>
          <w:iCs/>
          <w:sz w:val="22"/>
        </w:rPr>
        <w:t xml:space="preserve">JAMA surgery. </w:t>
      </w:r>
      <w:r w:rsidRPr="00D04D75">
        <w:rPr>
          <w:sz w:val="22"/>
        </w:rPr>
        <w:t xml:space="preserve">2013;148(12): 1109-1115. </w:t>
      </w:r>
    </w:p>
    <w:p w14:paraId="054D9483" w14:textId="77777777" w:rsidR="00D04D75" w:rsidRPr="00D04D75" w:rsidRDefault="00D04D75" w:rsidP="00D04D75">
      <w:pPr>
        <w:pStyle w:val="NormalWeb"/>
        <w:rPr>
          <w:sz w:val="22"/>
        </w:rPr>
      </w:pPr>
      <w:r w:rsidRPr="00D04D75">
        <w:rPr>
          <w:sz w:val="22"/>
        </w:rPr>
        <w:t xml:space="preserve">(13) Campbell J, Dedman DJ, Eaton SC, Gallagher AM, Williams TJ. Is the CPRD GOLD population comparable to the UK population? </w:t>
      </w:r>
      <w:r w:rsidRPr="00D04D75">
        <w:rPr>
          <w:i/>
          <w:iCs/>
          <w:sz w:val="22"/>
        </w:rPr>
        <w:t xml:space="preserve">Pharmacoepidemiology and drug safety. </w:t>
      </w:r>
      <w:r w:rsidRPr="00D04D75">
        <w:rPr>
          <w:sz w:val="22"/>
        </w:rPr>
        <w:t xml:space="preserve">2013;22280-281. </w:t>
      </w:r>
    </w:p>
    <w:p w14:paraId="0C471FAA" w14:textId="77777777" w:rsidR="00D04D75" w:rsidRPr="00D04D75" w:rsidRDefault="00D04D75" w:rsidP="00D04D75">
      <w:pPr>
        <w:pStyle w:val="NormalWeb"/>
        <w:rPr>
          <w:sz w:val="22"/>
        </w:rPr>
      </w:pPr>
      <w:r w:rsidRPr="00D04D75">
        <w:rPr>
          <w:sz w:val="22"/>
        </w:rPr>
        <w:t xml:space="preserve">(14) Blakemore AI, Buxton JL. Obesity, genetic risk, and environment. </w:t>
      </w:r>
      <w:r w:rsidRPr="00D04D75">
        <w:rPr>
          <w:i/>
          <w:iCs/>
          <w:sz w:val="22"/>
        </w:rPr>
        <w:t xml:space="preserve">BMJ (Clinical research ed.). </w:t>
      </w:r>
      <w:r w:rsidRPr="00D04D75">
        <w:rPr>
          <w:sz w:val="22"/>
        </w:rPr>
        <w:t xml:space="preserve">2014;348g1900. </w:t>
      </w:r>
    </w:p>
    <w:p w14:paraId="1F966778" w14:textId="77777777" w:rsidR="00D04D75" w:rsidRPr="00D04D75" w:rsidRDefault="00D04D75" w:rsidP="00D04D75">
      <w:pPr>
        <w:pStyle w:val="NormalWeb"/>
        <w:rPr>
          <w:sz w:val="22"/>
        </w:rPr>
      </w:pPr>
      <w:r w:rsidRPr="00D04D75">
        <w:rPr>
          <w:sz w:val="22"/>
        </w:rPr>
        <w:t xml:space="preserve">(15) Herrett E, Gallagher AM, Bhaskaran K, Forbes H, Mathur R, van Staa T, et al. Data resource profile: clinical practice research datalink (CPRD). </w:t>
      </w:r>
      <w:r w:rsidRPr="00D04D75">
        <w:rPr>
          <w:i/>
          <w:iCs/>
          <w:sz w:val="22"/>
        </w:rPr>
        <w:t xml:space="preserve">International journal of epidemiology. </w:t>
      </w:r>
      <w:r w:rsidRPr="00D04D75">
        <w:rPr>
          <w:sz w:val="22"/>
        </w:rPr>
        <w:t xml:space="preserve">2015;44(3): 827-836. </w:t>
      </w:r>
    </w:p>
    <w:p w14:paraId="680C2E99" w14:textId="77777777" w:rsidR="00D04D75" w:rsidRPr="00D04D75" w:rsidRDefault="00D04D75" w:rsidP="00D04D75">
      <w:pPr>
        <w:pStyle w:val="NormalWeb"/>
        <w:rPr>
          <w:sz w:val="22"/>
        </w:rPr>
      </w:pPr>
      <w:r w:rsidRPr="00D04D75">
        <w:rPr>
          <w:sz w:val="22"/>
        </w:rPr>
        <w:t xml:space="preserve">(16) National Institute for Health and Care Excellence (2014). </w:t>
      </w:r>
      <w:r w:rsidRPr="00D04D75">
        <w:rPr>
          <w:i/>
          <w:iCs/>
          <w:sz w:val="22"/>
        </w:rPr>
        <w:t xml:space="preserve">Obesity: identification, assessment and management. NICE Guideline (CG189). </w:t>
      </w:r>
      <w:r w:rsidRPr="00D04D75">
        <w:rPr>
          <w:sz w:val="22"/>
        </w:rPr>
        <w:t xml:space="preserve">Available from: </w:t>
      </w:r>
      <w:hyperlink r:id="rId9" w:tgtFrame="_blank" w:history="1">
        <w:r w:rsidRPr="00D04D75">
          <w:rPr>
            <w:rStyle w:val="Hyperlink"/>
            <w:sz w:val="22"/>
          </w:rPr>
          <w:t>https://www.nice.org.uk/guidance/cg189</w:t>
        </w:r>
      </w:hyperlink>
      <w:r w:rsidRPr="00D04D75">
        <w:rPr>
          <w:sz w:val="22"/>
        </w:rPr>
        <w:t xml:space="preserve"> [Accessed 17th April 2016].</w:t>
      </w:r>
    </w:p>
    <w:p w14:paraId="366492C7" w14:textId="77777777" w:rsidR="00D04D75" w:rsidRPr="00D04D75" w:rsidRDefault="00D04D75" w:rsidP="00D04D75">
      <w:pPr>
        <w:pStyle w:val="NormalWeb"/>
        <w:rPr>
          <w:sz w:val="22"/>
        </w:rPr>
      </w:pPr>
      <w:r w:rsidRPr="00D04D75">
        <w:rPr>
          <w:sz w:val="22"/>
        </w:rPr>
        <w:lastRenderedPageBreak/>
        <w:t xml:space="preserve">(17) Niggebrugge A, Haynes R, Jones A, Lovett A, Harvey I. The index of multiple deprivation 2000 access domain: a useful indicator for public health? </w:t>
      </w:r>
      <w:r w:rsidRPr="00D04D75">
        <w:rPr>
          <w:i/>
          <w:iCs/>
          <w:sz w:val="22"/>
        </w:rPr>
        <w:t xml:space="preserve">Social science &amp; medicine. </w:t>
      </w:r>
      <w:r w:rsidRPr="00D04D75">
        <w:rPr>
          <w:sz w:val="22"/>
        </w:rPr>
        <w:t xml:space="preserve">2005;60(12): 2743-2753. </w:t>
      </w:r>
    </w:p>
    <w:p w14:paraId="4B5FA50C" w14:textId="77777777" w:rsidR="00D04D75" w:rsidRPr="00D04D75" w:rsidRDefault="00D04D75" w:rsidP="00D04D75">
      <w:pPr>
        <w:pStyle w:val="NormalWeb"/>
        <w:rPr>
          <w:sz w:val="22"/>
        </w:rPr>
      </w:pPr>
      <w:r w:rsidRPr="00D04D75">
        <w:rPr>
          <w:sz w:val="22"/>
        </w:rPr>
        <w:t xml:space="preserve">(18) Zhang C, Rexrode KM, van Dam RM, Li TY, Hu FB. Abdominal obesity and the risk of all-cause, cardiovascular, and cancer mortality: sixteen years of follow-up in US women. </w:t>
      </w:r>
      <w:r w:rsidRPr="00D04D75">
        <w:rPr>
          <w:i/>
          <w:iCs/>
          <w:sz w:val="22"/>
        </w:rPr>
        <w:t xml:space="preserve">Circulation. </w:t>
      </w:r>
      <w:r w:rsidRPr="00D04D75">
        <w:rPr>
          <w:sz w:val="22"/>
        </w:rPr>
        <w:t xml:space="preserve">2008;117(13): 1658-1667. </w:t>
      </w:r>
    </w:p>
    <w:p w14:paraId="2F4BA583" w14:textId="77777777" w:rsidR="00D04D75" w:rsidRPr="00D04D75" w:rsidRDefault="00D04D75" w:rsidP="00D04D75">
      <w:pPr>
        <w:pStyle w:val="NormalWeb"/>
        <w:rPr>
          <w:sz w:val="22"/>
        </w:rPr>
      </w:pPr>
      <w:r w:rsidRPr="00D04D75">
        <w:rPr>
          <w:sz w:val="22"/>
        </w:rPr>
        <w:t xml:space="preserve">(19) Wilson PW, D'agostino RB, Sullivan L, Parise H, Kannel WB. Overweight and obesity as determinants of cardiovascular risk: the Framingham experience. </w:t>
      </w:r>
      <w:r w:rsidRPr="00D04D75">
        <w:rPr>
          <w:i/>
          <w:iCs/>
          <w:sz w:val="22"/>
        </w:rPr>
        <w:t xml:space="preserve">Archives of Internal Medicine. </w:t>
      </w:r>
      <w:r w:rsidRPr="00D04D75">
        <w:rPr>
          <w:sz w:val="22"/>
        </w:rPr>
        <w:t xml:space="preserve">2002;162(16): 1867-1872. </w:t>
      </w:r>
    </w:p>
    <w:p w14:paraId="04195880" w14:textId="77777777" w:rsidR="00D04D75" w:rsidRPr="00D04D75" w:rsidRDefault="00D04D75" w:rsidP="00D04D75">
      <w:pPr>
        <w:pStyle w:val="NormalWeb"/>
        <w:rPr>
          <w:sz w:val="22"/>
        </w:rPr>
      </w:pPr>
      <w:r w:rsidRPr="00D04D75">
        <w:rPr>
          <w:sz w:val="22"/>
        </w:rPr>
        <w:t xml:space="preserve">(20) Roberson LL, Aneni EC, Maziak W, Agatston A, Feldman T, Rouseff M, et al. Beyond BMI: The “Metabolically healthy obese” phenotype &amp; its association with clinical/subclinical cardiovascular disease and all-cause mortality--a systematic review. </w:t>
      </w:r>
      <w:r w:rsidRPr="00D04D75">
        <w:rPr>
          <w:i/>
          <w:iCs/>
          <w:sz w:val="22"/>
        </w:rPr>
        <w:t xml:space="preserve">BMC public health. </w:t>
      </w:r>
      <w:r w:rsidRPr="00D04D75">
        <w:rPr>
          <w:sz w:val="22"/>
        </w:rPr>
        <w:t xml:space="preserve">2014;14(1): 14. </w:t>
      </w:r>
    </w:p>
    <w:p w14:paraId="5B64EC08" w14:textId="77777777" w:rsidR="00D04D75" w:rsidRPr="00D04D75" w:rsidRDefault="00D04D75" w:rsidP="00D04D75">
      <w:pPr>
        <w:pStyle w:val="NormalWeb"/>
        <w:rPr>
          <w:sz w:val="22"/>
        </w:rPr>
      </w:pPr>
      <w:r w:rsidRPr="00D04D75">
        <w:rPr>
          <w:sz w:val="22"/>
        </w:rPr>
        <w:t xml:space="preserve">(21) Appleton SL, Seaborn CJ, Visvanathan R, Hill CL, Gill TK, Taylor AW, et al. Diabetes and cardiovascular disease outcomes in the metabolically healthy obese phenotype: a cohort study. </w:t>
      </w:r>
      <w:r w:rsidRPr="00D04D75">
        <w:rPr>
          <w:i/>
          <w:iCs/>
          <w:sz w:val="22"/>
        </w:rPr>
        <w:t xml:space="preserve">Diabetes care. </w:t>
      </w:r>
      <w:r w:rsidRPr="00D04D75">
        <w:rPr>
          <w:sz w:val="22"/>
        </w:rPr>
        <w:t xml:space="preserve">2013;36(8): 2388-2394. </w:t>
      </w:r>
    </w:p>
    <w:p w14:paraId="49BFDE53" w14:textId="77777777" w:rsidR="00D04D75" w:rsidRPr="00D04D75" w:rsidRDefault="00D04D75" w:rsidP="00D04D75">
      <w:pPr>
        <w:pStyle w:val="NormalWeb"/>
        <w:rPr>
          <w:sz w:val="22"/>
        </w:rPr>
      </w:pPr>
      <w:r w:rsidRPr="00D04D75">
        <w:rPr>
          <w:sz w:val="22"/>
        </w:rPr>
        <w:t xml:space="preserve">(22) Zukiewicz-Sobczak W, Wróblewska P, Zwolinski J, Chmielewska-Badora J, Adamczuk P, Krasowska E, et al. Obesity and poverty paradox in developed countries. </w:t>
      </w:r>
      <w:r w:rsidRPr="00D04D75">
        <w:rPr>
          <w:i/>
          <w:iCs/>
          <w:sz w:val="22"/>
        </w:rPr>
        <w:t xml:space="preserve">Annals of Agricultural and Environmental Medicine. </w:t>
      </w:r>
      <w:r w:rsidRPr="00D04D75">
        <w:rPr>
          <w:sz w:val="22"/>
        </w:rPr>
        <w:t>2014;21(3): .</w:t>
      </w:r>
    </w:p>
    <w:p w14:paraId="60C0F3D0" w14:textId="77777777" w:rsidR="00D04D75" w:rsidRPr="00D04D75" w:rsidRDefault="00D04D75" w:rsidP="00D04D75">
      <w:pPr>
        <w:pStyle w:val="NormalWeb"/>
        <w:rPr>
          <w:sz w:val="22"/>
        </w:rPr>
      </w:pPr>
      <w:r w:rsidRPr="00D04D75">
        <w:rPr>
          <w:sz w:val="22"/>
        </w:rPr>
        <w:t xml:space="preserve">(23) Dummer TJ. Health geography: supporting public health policy and planning. </w:t>
      </w:r>
      <w:r w:rsidRPr="00D04D75">
        <w:rPr>
          <w:i/>
          <w:iCs/>
          <w:sz w:val="22"/>
        </w:rPr>
        <w:t xml:space="preserve">CMAJ : Canadian Medical Association journal = journal de l'Association medicale canadienne. </w:t>
      </w:r>
      <w:r w:rsidRPr="00D04D75">
        <w:rPr>
          <w:sz w:val="22"/>
        </w:rPr>
        <w:t xml:space="preserve">2008;178(9): 1177-1180. </w:t>
      </w:r>
    </w:p>
    <w:p w14:paraId="65564E59" w14:textId="77777777" w:rsidR="00D04D75" w:rsidRPr="00D04D75" w:rsidRDefault="00D04D75" w:rsidP="00D04D75">
      <w:pPr>
        <w:pStyle w:val="NormalWeb"/>
        <w:rPr>
          <w:sz w:val="22"/>
        </w:rPr>
      </w:pPr>
      <w:r w:rsidRPr="00D04D75">
        <w:rPr>
          <w:sz w:val="22"/>
        </w:rPr>
        <w:t xml:space="preserve">(24) Pekkanen J, Linn S, Heiss G, Suchindran CM, Leon A, Rifkind BM, et al. Ten-year mortality from cardiovascular disease in relation to cholesterol level among men with and without preexisting cardiovascular disease. </w:t>
      </w:r>
      <w:r w:rsidRPr="00D04D75">
        <w:rPr>
          <w:i/>
          <w:iCs/>
          <w:sz w:val="22"/>
        </w:rPr>
        <w:t xml:space="preserve">New England Journal of Medicine. </w:t>
      </w:r>
      <w:r w:rsidRPr="00D04D75">
        <w:rPr>
          <w:sz w:val="22"/>
        </w:rPr>
        <w:t xml:space="preserve">1990;322(24): 1700-1707. </w:t>
      </w:r>
    </w:p>
    <w:p w14:paraId="3B0899BA" w14:textId="77777777" w:rsidR="00D04D75" w:rsidRPr="00D04D75" w:rsidRDefault="00D04D75" w:rsidP="00D04D75">
      <w:pPr>
        <w:pStyle w:val="NormalWeb"/>
        <w:rPr>
          <w:sz w:val="22"/>
        </w:rPr>
      </w:pPr>
      <w:r w:rsidRPr="00D04D75">
        <w:rPr>
          <w:sz w:val="22"/>
        </w:rPr>
        <w:t xml:space="preserve">(25) Demissie S, Levy D, Benjamin EJ, Cupples LA, Gardner JP, Herbert A, et al. Insulin resistance, oxidative stress, hypertension, and leukocyte telomere length in men from the Framingham Heart Study. </w:t>
      </w:r>
      <w:r w:rsidRPr="00D04D75">
        <w:rPr>
          <w:i/>
          <w:iCs/>
          <w:sz w:val="22"/>
        </w:rPr>
        <w:t xml:space="preserve">Aging cell. </w:t>
      </w:r>
      <w:r w:rsidRPr="00D04D75">
        <w:rPr>
          <w:sz w:val="22"/>
        </w:rPr>
        <w:t xml:space="preserve">2006;5(4): 325-330. </w:t>
      </w:r>
    </w:p>
    <w:p w14:paraId="53FE55E7" w14:textId="77777777" w:rsidR="00D04D75" w:rsidRPr="00D04D75" w:rsidRDefault="00D04D75" w:rsidP="00D04D75">
      <w:pPr>
        <w:pStyle w:val="NormalWeb"/>
        <w:rPr>
          <w:sz w:val="22"/>
        </w:rPr>
      </w:pPr>
      <w:r w:rsidRPr="00D04D75">
        <w:rPr>
          <w:sz w:val="22"/>
        </w:rPr>
        <w:t xml:space="preserve">(26) Hubert HB, Feinleib M, McNamara PM, Castelli WP. Obesity as an independent risk factor for cardiovascular disease: a 26-year follow-up of participants in the Framingham Heart Study. </w:t>
      </w:r>
      <w:r w:rsidRPr="00D04D75">
        <w:rPr>
          <w:i/>
          <w:iCs/>
          <w:sz w:val="22"/>
        </w:rPr>
        <w:t xml:space="preserve">Circulation. </w:t>
      </w:r>
      <w:r w:rsidRPr="00D04D75">
        <w:rPr>
          <w:sz w:val="22"/>
        </w:rPr>
        <w:t xml:space="preserve">1983;67(5): 968-977. </w:t>
      </w:r>
    </w:p>
    <w:p w14:paraId="5F3256E2" w14:textId="77777777" w:rsidR="00D04D75" w:rsidRPr="00D04D75" w:rsidRDefault="00D04D75" w:rsidP="00D04D75">
      <w:pPr>
        <w:pStyle w:val="NormalWeb"/>
        <w:rPr>
          <w:sz w:val="22"/>
        </w:rPr>
      </w:pPr>
      <w:r w:rsidRPr="00D04D75">
        <w:rPr>
          <w:sz w:val="22"/>
        </w:rPr>
        <w:t xml:space="preserve">(27) Mahmood SS, Levy D, Vasan RS, Wang TJ. The Framingham Heart Study and the epidemiology of cardiovascular disease: a historical perspective. </w:t>
      </w:r>
      <w:r w:rsidRPr="00D04D75">
        <w:rPr>
          <w:i/>
          <w:iCs/>
          <w:sz w:val="22"/>
        </w:rPr>
        <w:t xml:space="preserve">The Lancet. </w:t>
      </w:r>
      <w:r w:rsidRPr="00D04D75">
        <w:rPr>
          <w:sz w:val="22"/>
        </w:rPr>
        <w:t xml:space="preserve">2014;383(9921): 999-1008. </w:t>
      </w:r>
    </w:p>
    <w:p w14:paraId="293BFF62" w14:textId="77777777" w:rsidR="00D04D75" w:rsidRPr="00D04D75" w:rsidRDefault="00D04D75" w:rsidP="00D04D75">
      <w:pPr>
        <w:pStyle w:val="NormalWeb"/>
        <w:rPr>
          <w:sz w:val="22"/>
        </w:rPr>
      </w:pPr>
      <w:r w:rsidRPr="00D04D75">
        <w:rPr>
          <w:sz w:val="22"/>
        </w:rPr>
        <w:t xml:space="preserve">(28) Andersson C, Van Gaal L, Caterson I, Weeke P, James W, Couthino W, et al. Relationship between HbA1c levels and risk of cardiovascular adverse outcomes and all-cause mortality in overweight and obese cardiovascular high-risk women and men with type 2 diabetes. </w:t>
      </w:r>
      <w:r w:rsidRPr="00D04D75">
        <w:rPr>
          <w:i/>
          <w:iCs/>
          <w:sz w:val="22"/>
        </w:rPr>
        <w:t xml:space="preserve">Diabetologia. </w:t>
      </w:r>
      <w:r w:rsidRPr="00D04D75">
        <w:rPr>
          <w:sz w:val="22"/>
        </w:rPr>
        <w:t xml:space="preserve">2012;55(9): 2348-2355. </w:t>
      </w:r>
    </w:p>
    <w:p w14:paraId="7DC11FED" w14:textId="77777777" w:rsidR="00D04D75" w:rsidRPr="00D04D75" w:rsidRDefault="00D04D75" w:rsidP="00D04D75">
      <w:pPr>
        <w:pStyle w:val="NormalWeb"/>
        <w:rPr>
          <w:sz w:val="22"/>
        </w:rPr>
      </w:pPr>
      <w:r w:rsidRPr="00D04D75">
        <w:rPr>
          <w:sz w:val="22"/>
        </w:rPr>
        <w:t xml:space="preserve">(29) Hansson L, Lindholm LH, Niskanen L, Lanke J, Hedner T, Niklason A, et al. Effect of angiotensin-converting-enzyme inhibition compared with conventional therapy on cardiovascular morbidity and mortality in hypertension: the Captopril Prevention Project (CAPPP) randomised trial. </w:t>
      </w:r>
      <w:r w:rsidRPr="00D04D75">
        <w:rPr>
          <w:i/>
          <w:iCs/>
          <w:sz w:val="22"/>
        </w:rPr>
        <w:t xml:space="preserve">The Lancet. </w:t>
      </w:r>
      <w:r w:rsidRPr="00D04D75">
        <w:rPr>
          <w:sz w:val="22"/>
        </w:rPr>
        <w:t xml:space="preserve">1999;353(9153): 611-616. </w:t>
      </w:r>
    </w:p>
    <w:p w14:paraId="74F2B251" w14:textId="77777777" w:rsidR="00D04D75" w:rsidRPr="00D04D75" w:rsidRDefault="00D04D75" w:rsidP="00D04D75">
      <w:pPr>
        <w:pStyle w:val="NormalWeb"/>
        <w:rPr>
          <w:sz w:val="22"/>
        </w:rPr>
      </w:pPr>
      <w:r w:rsidRPr="00D04D75">
        <w:rPr>
          <w:sz w:val="22"/>
        </w:rPr>
        <w:lastRenderedPageBreak/>
        <w:t xml:space="preserve">(30) Naci H, Brugts JJ, Fleurence R, Tsoi B, Toor H, Ades A. Comparative benefits of statins in the primary and secondary prevention of major coronary events and all-cause mortality: a network meta-analysis of placebo-controlled and active-comparator trials. </w:t>
      </w:r>
      <w:r w:rsidRPr="00D04D75">
        <w:rPr>
          <w:i/>
          <w:iCs/>
          <w:sz w:val="22"/>
        </w:rPr>
        <w:t xml:space="preserve">european Journal of preventive Cardiology. </w:t>
      </w:r>
      <w:r w:rsidRPr="00D04D75">
        <w:rPr>
          <w:sz w:val="22"/>
        </w:rPr>
        <w:t xml:space="preserve">2013;20(4): 641-657. </w:t>
      </w:r>
    </w:p>
    <w:p w14:paraId="1DAFCAEF" w14:textId="77777777" w:rsidR="00D04D75" w:rsidRPr="00D04D75" w:rsidRDefault="00D04D75" w:rsidP="00D04D75">
      <w:pPr>
        <w:pStyle w:val="NormalWeb"/>
        <w:rPr>
          <w:sz w:val="22"/>
        </w:rPr>
      </w:pPr>
      <w:r w:rsidRPr="00D04D75">
        <w:rPr>
          <w:sz w:val="22"/>
        </w:rPr>
        <w:t xml:space="preserve">(31) Pontiroli AE, Morabito A. Long-term prevention of mortality in morbid obesity through bariatric surgery. a systematic review and meta-analysis of trials performed with gastric banding and gastric bypass. </w:t>
      </w:r>
      <w:r w:rsidRPr="00D04D75">
        <w:rPr>
          <w:i/>
          <w:iCs/>
          <w:sz w:val="22"/>
        </w:rPr>
        <w:t xml:space="preserve">Annals of Surgery. </w:t>
      </w:r>
      <w:r w:rsidRPr="00D04D75">
        <w:rPr>
          <w:sz w:val="22"/>
        </w:rPr>
        <w:t xml:space="preserve">2011;253(3): 484-487. </w:t>
      </w:r>
    </w:p>
    <w:p w14:paraId="7C08EFE3" w14:textId="77777777" w:rsidR="00D04D75" w:rsidRPr="00D04D75" w:rsidRDefault="00D04D75" w:rsidP="00D04D75">
      <w:pPr>
        <w:pStyle w:val="NormalWeb"/>
        <w:rPr>
          <w:sz w:val="22"/>
        </w:rPr>
      </w:pPr>
      <w:r w:rsidRPr="00D04D75">
        <w:rPr>
          <w:sz w:val="22"/>
        </w:rPr>
        <w:t xml:space="preserve">(32) Sjöström L. Review of the key results from the Swedish Obese Subjects (SOS) trial–a prospective controlled intervention study of bariatric surgery. </w:t>
      </w:r>
      <w:r w:rsidRPr="00D04D75">
        <w:rPr>
          <w:i/>
          <w:iCs/>
          <w:sz w:val="22"/>
        </w:rPr>
        <w:t xml:space="preserve">Journal of internal medicine. </w:t>
      </w:r>
      <w:r w:rsidRPr="00D04D75">
        <w:rPr>
          <w:sz w:val="22"/>
        </w:rPr>
        <w:t xml:space="preserve">2013;273(3): 219-234. </w:t>
      </w:r>
    </w:p>
    <w:p w14:paraId="7DE7D916" w14:textId="77777777" w:rsidR="00D04D75" w:rsidRPr="00D04D75" w:rsidRDefault="00D04D75" w:rsidP="00D04D75">
      <w:pPr>
        <w:pStyle w:val="NormalWeb"/>
        <w:rPr>
          <w:sz w:val="22"/>
        </w:rPr>
      </w:pPr>
      <w:r w:rsidRPr="00D04D75">
        <w:rPr>
          <w:sz w:val="22"/>
        </w:rPr>
        <w:t xml:space="preserve">(33) Picot J, Jones J, Colquitt J, Gospodarevskaya E, Loveman E, Baxter L, et al. The clinical effectiveness and cost-effectiveness of bariatric (weight loss) surgery for obesity: a systematic review and economic evaluation. </w:t>
      </w:r>
      <w:r w:rsidRPr="00D04D75">
        <w:rPr>
          <w:i/>
          <w:iCs/>
          <w:sz w:val="22"/>
        </w:rPr>
        <w:t xml:space="preserve">Health technology assessment (Winchester, England). </w:t>
      </w:r>
      <w:r w:rsidRPr="00D04D75">
        <w:rPr>
          <w:sz w:val="22"/>
        </w:rPr>
        <w:t xml:space="preserve">2009;13(41): 1-190. </w:t>
      </w:r>
    </w:p>
    <w:p w14:paraId="42802A7C" w14:textId="77777777" w:rsidR="00D04D75" w:rsidRPr="00D04D75" w:rsidRDefault="00D04D75" w:rsidP="00D04D75">
      <w:pPr>
        <w:pStyle w:val="NormalWeb"/>
        <w:rPr>
          <w:sz w:val="22"/>
        </w:rPr>
      </w:pPr>
      <w:r w:rsidRPr="00D04D75">
        <w:rPr>
          <w:sz w:val="22"/>
        </w:rPr>
        <w:t xml:space="preserve">(34) Terranova L, Busetto L, Vestri A, Zappa MA. Bariatric surgery: cost-effectiveness and budget impact. </w:t>
      </w:r>
      <w:r w:rsidRPr="00D04D75">
        <w:rPr>
          <w:i/>
          <w:iCs/>
          <w:sz w:val="22"/>
        </w:rPr>
        <w:t xml:space="preserve">Obesity Surgery. </w:t>
      </w:r>
      <w:r w:rsidRPr="00D04D75">
        <w:rPr>
          <w:sz w:val="22"/>
        </w:rPr>
        <w:t xml:space="preserve">2012;22(4): 646-653. </w:t>
      </w:r>
    </w:p>
    <w:p w14:paraId="49EABCE0" w14:textId="77777777" w:rsidR="00D04D75" w:rsidRPr="00D04D75" w:rsidRDefault="00D04D75" w:rsidP="00D04D75">
      <w:pPr>
        <w:pStyle w:val="NormalWeb"/>
        <w:rPr>
          <w:sz w:val="22"/>
        </w:rPr>
      </w:pPr>
      <w:r w:rsidRPr="00D04D75">
        <w:rPr>
          <w:sz w:val="22"/>
        </w:rPr>
        <w:t xml:space="preserve">(35) Welbourn R, Pournaras DJ, Dixon J, Higa K, Kinsman R, Ottosson J, et al. Bariatric Surgery Worldwide: Baseline Demographic Description and One-Year Outcomes from the Second IFSO Global Registry Report 2013–2015. </w:t>
      </w:r>
      <w:r w:rsidRPr="00D04D75">
        <w:rPr>
          <w:i/>
          <w:iCs/>
          <w:sz w:val="22"/>
        </w:rPr>
        <w:t xml:space="preserve">Obesity Surgery. </w:t>
      </w:r>
      <w:r w:rsidRPr="00D04D75">
        <w:rPr>
          <w:sz w:val="22"/>
        </w:rPr>
        <w:t xml:space="preserve">20171-10. </w:t>
      </w:r>
    </w:p>
    <w:p w14:paraId="4D5CB172" w14:textId="77777777" w:rsidR="00D04D75" w:rsidRPr="00D04D75" w:rsidRDefault="00D04D75" w:rsidP="00D04D75">
      <w:pPr>
        <w:pStyle w:val="NormalWeb"/>
        <w:rPr>
          <w:sz w:val="22"/>
        </w:rPr>
      </w:pPr>
      <w:r w:rsidRPr="00D04D75">
        <w:rPr>
          <w:sz w:val="22"/>
        </w:rPr>
        <w:t xml:space="preserve">(36) Welbourn R, le Roux CW, Owen-Smith A, Wordsworth S, Blazeby JM. Why the NHS should do more bariatric surgery; how much should we do? </w:t>
      </w:r>
      <w:r w:rsidRPr="00D04D75">
        <w:rPr>
          <w:i/>
          <w:iCs/>
          <w:sz w:val="22"/>
        </w:rPr>
        <w:t xml:space="preserve">BMJ (Clinical research ed.). </w:t>
      </w:r>
      <w:r w:rsidRPr="00D04D75">
        <w:rPr>
          <w:sz w:val="22"/>
        </w:rPr>
        <w:t xml:space="preserve">2016;353i1472. </w:t>
      </w:r>
    </w:p>
    <w:p w14:paraId="7810349B" w14:textId="77777777" w:rsidR="00D04D75" w:rsidRPr="00D04D75" w:rsidRDefault="00D04D75" w:rsidP="00D04D75">
      <w:pPr>
        <w:pStyle w:val="NormalWeb"/>
        <w:rPr>
          <w:sz w:val="22"/>
        </w:rPr>
      </w:pPr>
      <w:r w:rsidRPr="00D04D75">
        <w:rPr>
          <w:sz w:val="22"/>
        </w:rPr>
        <w:t xml:space="preserve">(37) Sherwin M, Larvin M. The discrepancy between the number of patients eligible for bariatric surgery and the number undergoing operations: What is stopping people having weight loss surgery on the NHS? </w:t>
      </w:r>
      <w:r w:rsidRPr="00D04D75">
        <w:rPr>
          <w:i/>
          <w:iCs/>
          <w:sz w:val="22"/>
        </w:rPr>
        <w:t xml:space="preserve">The Bulletin of the Royal College of Surgeons of England. </w:t>
      </w:r>
      <w:r w:rsidRPr="00D04D75">
        <w:rPr>
          <w:sz w:val="22"/>
        </w:rPr>
        <w:t xml:space="preserve">2015;97(4): E1-E10. </w:t>
      </w:r>
    </w:p>
    <w:p w14:paraId="20BF287B" w14:textId="77777777" w:rsidR="00D04D75" w:rsidRPr="00D04D75" w:rsidRDefault="00D04D75" w:rsidP="00D04D75">
      <w:pPr>
        <w:pStyle w:val="NormalWeb"/>
        <w:rPr>
          <w:sz w:val="22"/>
        </w:rPr>
      </w:pPr>
      <w:r w:rsidRPr="00D04D75">
        <w:rPr>
          <w:sz w:val="22"/>
        </w:rPr>
        <w:t xml:space="preserve">(38) Royal College of Surgeons (Eng.), and British Obesity and Metabolic Surgery Society. </w:t>
      </w:r>
      <w:r w:rsidRPr="00D04D75">
        <w:rPr>
          <w:i/>
          <w:iCs/>
          <w:sz w:val="22"/>
        </w:rPr>
        <w:t xml:space="preserve">Patient access to bariatric surgery. </w:t>
      </w:r>
      <w:r w:rsidRPr="00D04D75">
        <w:rPr>
          <w:sz w:val="22"/>
        </w:rPr>
        <w:t xml:space="preserve">2017. </w:t>
      </w:r>
    </w:p>
    <w:p w14:paraId="6080A80F" w14:textId="77777777" w:rsidR="00D04D75" w:rsidRPr="00D04D75" w:rsidRDefault="00D04D75" w:rsidP="00D04D75">
      <w:pPr>
        <w:pStyle w:val="NormalWeb"/>
        <w:rPr>
          <w:sz w:val="22"/>
        </w:rPr>
      </w:pPr>
      <w:r w:rsidRPr="00D04D75">
        <w:rPr>
          <w:sz w:val="22"/>
        </w:rPr>
        <w:t xml:space="preserve">(39) Bhanderi S, Alam M, Matthews JH, Rudge G, Noble H, Mahon D, et al. Influence of social deprivation on provision of bariatric surgery: 10-year comparative ecological study between two UK specialist centres. </w:t>
      </w:r>
      <w:r w:rsidRPr="00D04D75">
        <w:rPr>
          <w:i/>
          <w:iCs/>
          <w:sz w:val="22"/>
        </w:rPr>
        <w:t xml:space="preserve">BMJ open. </w:t>
      </w:r>
      <w:r w:rsidRPr="00D04D75">
        <w:rPr>
          <w:sz w:val="22"/>
        </w:rPr>
        <w:t xml:space="preserve">2017;7(10): e015453-2016-015453. </w:t>
      </w:r>
    </w:p>
    <w:p w14:paraId="42BC3C30" w14:textId="77777777" w:rsidR="00D04D75" w:rsidRPr="00D04D75" w:rsidRDefault="00D04D75" w:rsidP="00D04D75">
      <w:pPr>
        <w:pStyle w:val="NormalWeb"/>
        <w:rPr>
          <w:sz w:val="22"/>
        </w:rPr>
      </w:pPr>
      <w:r w:rsidRPr="00D04D75">
        <w:rPr>
          <w:sz w:val="22"/>
        </w:rPr>
        <w:t xml:space="preserve">(40) Bhaskaran K, Forbes HJ, Douglas I, Leon DA, Smeeth L. Representativeness and optimal use of body mass index (BMI) in the UK Clinical Practice Research Datalink (CPRD). </w:t>
      </w:r>
      <w:r w:rsidRPr="00D04D75">
        <w:rPr>
          <w:i/>
          <w:iCs/>
          <w:sz w:val="22"/>
        </w:rPr>
        <w:t xml:space="preserve">BMJ open. </w:t>
      </w:r>
      <w:r w:rsidRPr="00D04D75">
        <w:rPr>
          <w:sz w:val="22"/>
        </w:rPr>
        <w:t xml:space="preserve">2013;3(9): e003389-2013-003389. </w:t>
      </w:r>
    </w:p>
    <w:p w14:paraId="4A5DD720" w14:textId="77777777" w:rsidR="00D04D75" w:rsidRPr="00D04D75" w:rsidRDefault="00D04D75" w:rsidP="00D04D75">
      <w:pPr>
        <w:pStyle w:val="NormalWeb"/>
        <w:rPr>
          <w:sz w:val="22"/>
        </w:rPr>
      </w:pPr>
      <w:r w:rsidRPr="00D04D75">
        <w:rPr>
          <w:sz w:val="22"/>
        </w:rPr>
        <w:t>(41) Harshfield A, Rhodes K, Barclay S, Payne R. The accuracy of death dates recorded in the Clinical Practice Research Datalink (CPRD). 2017.</w:t>
      </w:r>
    </w:p>
    <w:p w14:paraId="0F7420E6" w14:textId="5E42AC98" w:rsidR="00594728" w:rsidRPr="007F6D00" w:rsidRDefault="0002281E" w:rsidP="00D04D75">
      <w:pPr>
        <w:pStyle w:val="NormalWeb"/>
        <w:jc w:val="center"/>
        <w:rPr>
          <w:rFonts w:ascii="Calibri" w:hAnsi="Calibri"/>
          <w:sz w:val="22"/>
          <w:lang w:val="en-US"/>
        </w:rPr>
      </w:pPr>
      <w:r w:rsidRPr="007F6D00">
        <w:rPr>
          <w:rFonts w:ascii="Calibri" w:hAnsi="Calibri"/>
          <w:sz w:val="22"/>
          <w:lang w:val="en-US"/>
        </w:rPr>
        <w:fldChar w:fldCharType="end"/>
      </w:r>
    </w:p>
    <w:sectPr w:rsidR="00594728" w:rsidRPr="007F6D00" w:rsidSect="005316DF">
      <w:footerReference w:type="even" r:id="rId10"/>
      <w:footerReference w:type="default" r:id="rId11"/>
      <w:pgSz w:w="11900" w:h="16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647F87" w14:textId="77777777" w:rsidR="00F667BF" w:rsidRDefault="00F667BF" w:rsidP="005316DF">
      <w:r>
        <w:separator/>
      </w:r>
    </w:p>
  </w:endnote>
  <w:endnote w:type="continuationSeparator" w:id="0">
    <w:p w14:paraId="18376661" w14:textId="77777777" w:rsidR="00F667BF" w:rsidRDefault="00F667BF" w:rsidP="00531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59B9E" w14:textId="77777777" w:rsidR="0023678E" w:rsidRDefault="0023678E" w:rsidP="003725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A74958" w14:textId="77777777" w:rsidR="0023678E" w:rsidRDefault="0023678E" w:rsidP="005316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4302F" w14:textId="77777777" w:rsidR="0023678E" w:rsidRDefault="0023678E" w:rsidP="003725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2ABA">
      <w:rPr>
        <w:rStyle w:val="PageNumber"/>
        <w:noProof/>
      </w:rPr>
      <w:t>4</w:t>
    </w:r>
    <w:r>
      <w:rPr>
        <w:rStyle w:val="PageNumber"/>
      </w:rPr>
      <w:fldChar w:fldCharType="end"/>
    </w:r>
  </w:p>
  <w:p w14:paraId="7B4A3BC7" w14:textId="77777777" w:rsidR="0023678E" w:rsidRDefault="0023678E" w:rsidP="005316D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757CE" w14:textId="77777777" w:rsidR="00F667BF" w:rsidRDefault="00F667BF" w:rsidP="005316DF">
      <w:r>
        <w:separator/>
      </w:r>
    </w:p>
  </w:footnote>
  <w:footnote w:type="continuationSeparator" w:id="0">
    <w:p w14:paraId="1031153A" w14:textId="77777777" w:rsidR="00F667BF" w:rsidRDefault="00F667BF" w:rsidP="00531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E5138"/>
    <w:multiLevelType w:val="hybridMultilevel"/>
    <w:tmpl w:val="37307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5E6F3A"/>
    <w:multiLevelType w:val="hybridMultilevel"/>
    <w:tmpl w:val="A0E01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5E9"/>
    <w:rsid w:val="00007600"/>
    <w:rsid w:val="000111F1"/>
    <w:rsid w:val="00014F36"/>
    <w:rsid w:val="00020653"/>
    <w:rsid w:val="0002281E"/>
    <w:rsid w:val="00024955"/>
    <w:rsid w:val="000254CC"/>
    <w:rsid w:val="00032FC4"/>
    <w:rsid w:val="00061DB6"/>
    <w:rsid w:val="000628CD"/>
    <w:rsid w:val="000834D4"/>
    <w:rsid w:val="0008783D"/>
    <w:rsid w:val="000A5BA7"/>
    <w:rsid w:val="000B0D90"/>
    <w:rsid w:val="000C1DDD"/>
    <w:rsid w:val="000C24E2"/>
    <w:rsid w:val="000C3A3F"/>
    <w:rsid w:val="000C4D19"/>
    <w:rsid w:val="000D1A3A"/>
    <w:rsid w:val="000D74FA"/>
    <w:rsid w:val="000E2CE0"/>
    <w:rsid w:val="000E3663"/>
    <w:rsid w:val="000E4700"/>
    <w:rsid w:val="000E5C8E"/>
    <w:rsid w:val="000F238F"/>
    <w:rsid w:val="000F33A9"/>
    <w:rsid w:val="001007FB"/>
    <w:rsid w:val="001115D4"/>
    <w:rsid w:val="0011239F"/>
    <w:rsid w:val="001158E0"/>
    <w:rsid w:val="001171D0"/>
    <w:rsid w:val="00130719"/>
    <w:rsid w:val="00131B58"/>
    <w:rsid w:val="001453A5"/>
    <w:rsid w:val="00154A71"/>
    <w:rsid w:val="001553EE"/>
    <w:rsid w:val="0016197F"/>
    <w:rsid w:val="001629A1"/>
    <w:rsid w:val="00165C97"/>
    <w:rsid w:val="001A061E"/>
    <w:rsid w:val="001A10F3"/>
    <w:rsid w:val="001A3372"/>
    <w:rsid w:val="001B1FB3"/>
    <w:rsid w:val="001B3EDB"/>
    <w:rsid w:val="001B65CF"/>
    <w:rsid w:val="001C5C1B"/>
    <w:rsid w:val="001D5A04"/>
    <w:rsid w:val="001D6C5D"/>
    <w:rsid w:val="001E179B"/>
    <w:rsid w:val="001E19C7"/>
    <w:rsid w:val="00201CF9"/>
    <w:rsid w:val="00203673"/>
    <w:rsid w:val="00206BD9"/>
    <w:rsid w:val="00211D17"/>
    <w:rsid w:val="00232EF7"/>
    <w:rsid w:val="00233AA3"/>
    <w:rsid w:val="0023678E"/>
    <w:rsid w:val="00260F85"/>
    <w:rsid w:val="00262A5E"/>
    <w:rsid w:val="00277198"/>
    <w:rsid w:val="0029491B"/>
    <w:rsid w:val="002C5D0E"/>
    <w:rsid w:val="002E73B7"/>
    <w:rsid w:val="002E77C6"/>
    <w:rsid w:val="002E7FCD"/>
    <w:rsid w:val="002F039F"/>
    <w:rsid w:val="002F530D"/>
    <w:rsid w:val="002F5C9E"/>
    <w:rsid w:val="00310D33"/>
    <w:rsid w:val="00310E29"/>
    <w:rsid w:val="00326150"/>
    <w:rsid w:val="00334D05"/>
    <w:rsid w:val="0034605D"/>
    <w:rsid w:val="0034737A"/>
    <w:rsid w:val="00347E0E"/>
    <w:rsid w:val="003552ED"/>
    <w:rsid w:val="00356FDB"/>
    <w:rsid w:val="00360BAB"/>
    <w:rsid w:val="00365903"/>
    <w:rsid w:val="003725F2"/>
    <w:rsid w:val="00376E8A"/>
    <w:rsid w:val="00380412"/>
    <w:rsid w:val="003858EC"/>
    <w:rsid w:val="003A0984"/>
    <w:rsid w:val="003A1539"/>
    <w:rsid w:val="003B0D77"/>
    <w:rsid w:val="003B3667"/>
    <w:rsid w:val="003B4DCF"/>
    <w:rsid w:val="003B51EA"/>
    <w:rsid w:val="003B562D"/>
    <w:rsid w:val="003C23EA"/>
    <w:rsid w:val="003C3950"/>
    <w:rsid w:val="003C3EE3"/>
    <w:rsid w:val="003C7B2A"/>
    <w:rsid w:val="003E3F6A"/>
    <w:rsid w:val="003E5CDB"/>
    <w:rsid w:val="003E5F14"/>
    <w:rsid w:val="003F1DFA"/>
    <w:rsid w:val="004067D9"/>
    <w:rsid w:val="00407F21"/>
    <w:rsid w:val="00410AB3"/>
    <w:rsid w:val="00415EF1"/>
    <w:rsid w:val="0043010F"/>
    <w:rsid w:val="00445EF9"/>
    <w:rsid w:val="004506D3"/>
    <w:rsid w:val="00475204"/>
    <w:rsid w:val="00476FC3"/>
    <w:rsid w:val="00477D76"/>
    <w:rsid w:val="004844A0"/>
    <w:rsid w:val="004A03CC"/>
    <w:rsid w:val="004A176B"/>
    <w:rsid w:val="004B3BD7"/>
    <w:rsid w:val="004C2D21"/>
    <w:rsid w:val="004C6E3E"/>
    <w:rsid w:val="004D1AE0"/>
    <w:rsid w:val="004E38C9"/>
    <w:rsid w:val="004F0068"/>
    <w:rsid w:val="004F2391"/>
    <w:rsid w:val="00502C75"/>
    <w:rsid w:val="00506470"/>
    <w:rsid w:val="005316DF"/>
    <w:rsid w:val="00537018"/>
    <w:rsid w:val="005708E9"/>
    <w:rsid w:val="005736BF"/>
    <w:rsid w:val="00575723"/>
    <w:rsid w:val="005876CF"/>
    <w:rsid w:val="00590A0F"/>
    <w:rsid w:val="00594728"/>
    <w:rsid w:val="0059513F"/>
    <w:rsid w:val="00595AE4"/>
    <w:rsid w:val="005C14A2"/>
    <w:rsid w:val="005C5E8E"/>
    <w:rsid w:val="005D1F47"/>
    <w:rsid w:val="005E0F37"/>
    <w:rsid w:val="005F0DA0"/>
    <w:rsid w:val="005F1739"/>
    <w:rsid w:val="005F5F48"/>
    <w:rsid w:val="005F751C"/>
    <w:rsid w:val="006013F1"/>
    <w:rsid w:val="00603493"/>
    <w:rsid w:val="00614BFF"/>
    <w:rsid w:val="00617ECD"/>
    <w:rsid w:val="00621619"/>
    <w:rsid w:val="006228B0"/>
    <w:rsid w:val="00624799"/>
    <w:rsid w:val="00624BEC"/>
    <w:rsid w:val="00630293"/>
    <w:rsid w:val="00670AB7"/>
    <w:rsid w:val="0068229B"/>
    <w:rsid w:val="0068785D"/>
    <w:rsid w:val="006A30BB"/>
    <w:rsid w:val="006A59E5"/>
    <w:rsid w:val="006C44F6"/>
    <w:rsid w:val="006C64CB"/>
    <w:rsid w:val="006D355E"/>
    <w:rsid w:val="006D4BAD"/>
    <w:rsid w:val="006E3335"/>
    <w:rsid w:val="006F0D99"/>
    <w:rsid w:val="00700654"/>
    <w:rsid w:val="00702185"/>
    <w:rsid w:val="007132DA"/>
    <w:rsid w:val="0071358A"/>
    <w:rsid w:val="00720611"/>
    <w:rsid w:val="007627CC"/>
    <w:rsid w:val="00773C2E"/>
    <w:rsid w:val="007965B0"/>
    <w:rsid w:val="007A160C"/>
    <w:rsid w:val="007A7E70"/>
    <w:rsid w:val="007B5127"/>
    <w:rsid w:val="007B6C7C"/>
    <w:rsid w:val="007C7A77"/>
    <w:rsid w:val="007D0359"/>
    <w:rsid w:val="007D5F95"/>
    <w:rsid w:val="007D6135"/>
    <w:rsid w:val="007E6CFE"/>
    <w:rsid w:val="007F0371"/>
    <w:rsid w:val="007F6D00"/>
    <w:rsid w:val="008061B9"/>
    <w:rsid w:val="0081210B"/>
    <w:rsid w:val="0081485B"/>
    <w:rsid w:val="00814E72"/>
    <w:rsid w:val="0082647F"/>
    <w:rsid w:val="00836EA7"/>
    <w:rsid w:val="00845C9B"/>
    <w:rsid w:val="00850DED"/>
    <w:rsid w:val="00854D2A"/>
    <w:rsid w:val="00862C08"/>
    <w:rsid w:val="00864642"/>
    <w:rsid w:val="00864813"/>
    <w:rsid w:val="00874BCF"/>
    <w:rsid w:val="008836FD"/>
    <w:rsid w:val="00884CE8"/>
    <w:rsid w:val="008A0E7E"/>
    <w:rsid w:val="008A4269"/>
    <w:rsid w:val="008A4499"/>
    <w:rsid w:val="008A69DB"/>
    <w:rsid w:val="008B23C3"/>
    <w:rsid w:val="008B2D97"/>
    <w:rsid w:val="008C3868"/>
    <w:rsid w:val="008C3D88"/>
    <w:rsid w:val="008D14C8"/>
    <w:rsid w:val="008E2364"/>
    <w:rsid w:val="008E6B82"/>
    <w:rsid w:val="008F557A"/>
    <w:rsid w:val="00906BE1"/>
    <w:rsid w:val="00925FB5"/>
    <w:rsid w:val="009304E3"/>
    <w:rsid w:val="00957DAA"/>
    <w:rsid w:val="00973ED5"/>
    <w:rsid w:val="009741C9"/>
    <w:rsid w:val="0098205F"/>
    <w:rsid w:val="00984F55"/>
    <w:rsid w:val="00995BB4"/>
    <w:rsid w:val="009A16CB"/>
    <w:rsid w:val="009C6C9F"/>
    <w:rsid w:val="009D1283"/>
    <w:rsid w:val="009D2834"/>
    <w:rsid w:val="009D52F1"/>
    <w:rsid w:val="009E1845"/>
    <w:rsid w:val="009E75BD"/>
    <w:rsid w:val="00A00355"/>
    <w:rsid w:val="00A21629"/>
    <w:rsid w:val="00A24933"/>
    <w:rsid w:val="00A302CC"/>
    <w:rsid w:val="00A326F5"/>
    <w:rsid w:val="00A41712"/>
    <w:rsid w:val="00A45858"/>
    <w:rsid w:val="00A465E9"/>
    <w:rsid w:val="00A511ED"/>
    <w:rsid w:val="00A8281D"/>
    <w:rsid w:val="00A92B16"/>
    <w:rsid w:val="00A9723A"/>
    <w:rsid w:val="00AA3129"/>
    <w:rsid w:val="00AC0245"/>
    <w:rsid w:val="00AC1F11"/>
    <w:rsid w:val="00AC7417"/>
    <w:rsid w:val="00AD006E"/>
    <w:rsid w:val="00AD76CC"/>
    <w:rsid w:val="00AE380D"/>
    <w:rsid w:val="00AE7526"/>
    <w:rsid w:val="00AF2ABA"/>
    <w:rsid w:val="00B06B3B"/>
    <w:rsid w:val="00B16C84"/>
    <w:rsid w:val="00B17037"/>
    <w:rsid w:val="00B349C6"/>
    <w:rsid w:val="00B437AE"/>
    <w:rsid w:val="00B525C4"/>
    <w:rsid w:val="00B527BC"/>
    <w:rsid w:val="00B531B2"/>
    <w:rsid w:val="00B5645B"/>
    <w:rsid w:val="00B57879"/>
    <w:rsid w:val="00B818BF"/>
    <w:rsid w:val="00B83201"/>
    <w:rsid w:val="00B847C8"/>
    <w:rsid w:val="00BA1AD3"/>
    <w:rsid w:val="00BA4835"/>
    <w:rsid w:val="00BA7EE5"/>
    <w:rsid w:val="00BC72FA"/>
    <w:rsid w:val="00BE22B9"/>
    <w:rsid w:val="00BE45A5"/>
    <w:rsid w:val="00BF2F65"/>
    <w:rsid w:val="00BF5E18"/>
    <w:rsid w:val="00BF6BD8"/>
    <w:rsid w:val="00C04921"/>
    <w:rsid w:val="00C26402"/>
    <w:rsid w:val="00C32A40"/>
    <w:rsid w:val="00C4207E"/>
    <w:rsid w:val="00C4499C"/>
    <w:rsid w:val="00C464F8"/>
    <w:rsid w:val="00C543DC"/>
    <w:rsid w:val="00C62CDD"/>
    <w:rsid w:val="00C67A16"/>
    <w:rsid w:val="00C71841"/>
    <w:rsid w:val="00C76447"/>
    <w:rsid w:val="00C818A3"/>
    <w:rsid w:val="00C9255F"/>
    <w:rsid w:val="00C96489"/>
    <w:rsid w:val="00C96A4C"/>
    <w:rsid w:val="00CA0759"/>
    <w:rsid w:val="00CA5311"/>
    <w:rsid w:val="00CD4B58"/>
    <w:rsid w:val="00CD608D"/>
    <w:rsid w:val="00D04D75"/>
    <w:rsid w:val="00D26D82"/>
    <w:rsid w:val="00D32D75"/>
    <w:rsid w:val="00D7188E"/>
    <w:rsid w:val="00D766AC"/>
    <w:rsid w:val="00D7757B"/>
    <w:rsid w:val="00D778BB"/>
    <w:rsid w:val="00D80FC1"/>
    <w:rsid w:val="00D90046"/>
    <w:rsid w:val="00D948AA"/>
    <w:rsid w:val="00DA1032"/>
    <w:rsid w:val="00DA4A98"/>
    <w:rsid w:val="00DA687C"/>
    <w:rsid w:val="00DB5307"/>
    <w:rsid w:val="00DD1336"/>
    <w:rsid w:val="00DD4876"/>
    <w:rsid w:val="00DE4F22"/>
    <w:rsid w:val="00DE7C2B"/>
    <w:rsid w:val="00E078DD"/>
    <w:rsid w:val="00E10EA8"/>
    <w:rsid w:val="00E22082"/>
    <w:rsid w:val="00E234A4"/>
    <w:rsid w:val="00E2540A"/>
    <w:rsid w:val="00E27DF2"/>
    <w:rsid w:val="00E315B7"/>
    <w:rsid w:val="00E54A61"/>
    <w:rsid w:val="00E657F9"/>
    <w:rsid w:val="00E75D5C"/>
    <w:rsid w:val="00E83A25"/>
    <w:rsid w:val="00E85B32"/>
    <w:rsid w:val="00E90EBF"/>
    <w:rsid w:val="00E913D9"/>
    <w:rsid w:val="00E95EC9"/>
    <w:rsid w:val="00EA5E8F"/>
    <w:rsid w:val="00EB4D3A"/>
    <w:rsid w:val="00EB6C27"/>
    <w:rsid w:val="00EB6DDD"/>
    <w:rsid w:val="00EC3D72"/>
    <w:rsid w:val="00EC6A16"/>
    <w:rsid w:val="00ED6F13"/>
    <w:rsid w:val="00EE19E0"/>
    <w:rsid w:val="00EF10A7"/>
    <w:rsid w:val="00EF4275"/>
    <w:rsid w:val="00EF5FE6"/>
    <w:rsid w:val="00F05058"/>
    <w:rsid w:val="00F11BF1"/>
    <w:rsid w:val="00F11E87"/>
    <w:rsid w:val="00F148F4"/>
    <w:rsid w:val="00F16B08"/>
    <w:rsid w:val="00F1750A"/>
    <w:rsid w:val="00F20DB1"/>
    <w:rsid w:val="00F31C1A"/>
    <w:rsid w:val="00F378DD"/>
    <w:rsid w:val="00F46FCC"/>
    <w:rsid w:val="00F667BF"/>
    <w:rsid w:val="00F87F88"/>
    <w:rsid w:val="00F944BA"/>
    <w:rsid w:val="00F94F9C"/>
    <w:rsid w:val="00F95254"/>
    <w:rsid w:val="00FA1D73"/>
    <w:rsid w:val="00FB2CF3"/>
    <w:rsid w:val="00FC4149"/>
    <w:rsid w:val="00FC5C37"/>
    <w:rsid w:val="00FD121B"/>
    <w:rsid w:val="00FD5B0D"/>
    <w:rsid w:val="00FE2162"/>
    <w:rsid w:val="00FF3FE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0171C"/>
  <w14:defaultImageDpi w14:val="32767"/>
  <w15:docId w15:val="{AAEA627C-7E33-8343-BE69-B0853E48D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281E"/>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51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C3D88"/>
    <w:rPr>
      <w:rFonts w:ascii="Lucida Grande" w:eastAsiaTheme="minorHAnsi" w:hAnsi="Lucida Grande" w:cs="Lucida Grande"/>
      <w:sz w:val="18"/>
      <w:szCs w:val="18"/>
    </w:rPr>
  </w:style>
  <w:style w:type="character" w:customStyle="1" w:styleId="BalloonTextChar">
    <w:name w:val="Balloon Text Char"/>
    <w:basedOn w:val="DefaultParagraphFont"/>
    <w:link w:val="BalloonText"/>
    <w:uiPriority w:val="99"/>
    <w:semiHidden/>
    <w:rsid w:val="008C3D88"/>
    <w:rPr>
      <w:rFonts w:ascii="Lucida Grande" w:hAnsi="Lucida Grande" w:cs="Lucida Grande"/>
      <w:sz w:val="18"/>
      <w:szCs w:val="18"/>
    </w:rPr>
  </w:style>
  <w:style w:type="paragraph" w:styleId="NoSpacing">
    <w:name w:val="No Spacing"/>
    <w:uiPriority w:val="1"/>
    <w:qFormat/>
    <w:rsid w:val="00130719"/>
  </w:style>
  <w:style w:type="paragraph" w:styleId="ListParagraph">
    <w:name w:val="List Paragraph"/>
    <w:basedOn w:val="Normal"/>
    <w:uiPriority w:val="34"/>
    <w:qFormat/>
    <w:rsid w:val="00E90EBF"/>
    <w:pPr>
      <w:ind w:left="720"/>
      <w:contextualSpacing/>
    </w:pPr>
    <w:rPr>
      <w:rFonts w:asciiTheme="minorHAnsi" w:eastAsiaTheme="minorHAnsi" w:hAnsiTheme="minorHAnsi" w:cstheme="minorBidi"/>
      <w:sz w:val="24"/>
      <w:szCs w:val="24"/>
    </w:rPr>
  </w:style>
  <w:style w:type="character" w:styleId="CommentReference">
    <w:name w:val="annotation reference"/>
    <w:basedOn w:val="DefaultParagraphFont"/>
    <w:uiPriority w:val="99"/>
    <w:semiHidden/>
    <w:unhideWhenUsed/>
    <w:rsid w:val="001D6C5D"/>
    <w:rPr>
      <w:sz w:val="18"/>
      <w:szCs w:val="18"/>
    </w:rPr>
  </w:style>
  <w:style w:type="paragraph" w:styleId="CommentText">
    <w:name w:val="annotation text"/>
    <w:basedOn w:val="Normal"/>
    <w:link w:val="CommentTextChar"/>
    <w:uiPriority w:val="99"/>
    <w:semiHidden/>
    <w:unhideWhenUsed/>
    <w:rsid w:val="001D6C5D"/>
    <w:rPr>
      <w:rFonts w:asciiTheme="minorHAnsi" w:eastAsiaTheme="minorHAnsi" w:hAnsiTheme="minorHAnsi" w:cstheme="minorBidi"/>
      <w:sz w:val="24"/>
      <w:szCs w:val="24"/>
    </w:rPr>
  </w:style>
  <w:style w:type="character" w:customStyle="1" w:styleId="CommentTextChar">
    <w:name w:val="Comment Text Char"/>
    <w:basedOn w:val="DefaultParagraphFont"/>
    <w:link w:val="CommentText"/>
    <w:uiPriority w:val="99"/>
    <w:semiHidden/>
    <w:rsid w:val="001D6C5D"/>
  </w:style>
  <w:style w:type="paragraph" w:styleId="CommentSubject">
    <w:name w:val="annotation subject"/>
    <w:basedOn w:val="CommentText"/>
    <w:next w:val="CommentText"/>
    <w:link w:val="CommentSubjectChar"/>
    <w:uiPriority w:val="99"/>
    <w:semiHidden/>
    <w:unhideWhenUsed/>
    <w:rsid w:val="001D6C5D"/>
    <w:rPr>
      <w:b/>
      <w:bCs/>
      <w:sz w:val="20"/>
      <w:szCs w:val="20"/>
    </w:rPr>
  </w:style>
  <w:style w:type="character" w:customStyle="1" w:styleId="CommentSubjectChar">
    <w:name w:val="Comment Subject Char"/>
    <w:basedOn w:val="CommentTextChar"/>
    <w:link w:val="CommentSubject"/>
    <w:uiPriority w:val="99"/>
    <w:semiHidden/>
    <w:rsid w:val="001D6C5D"/>
    <w:rPr>
      <w:b/>
      <w:bCs/>
      <w:sz w:val="20"/>
      <w:szCs w:val="20"/>
    </w:rPr>
  </w:style>
  <w:style w:type="paragraph" w:styleId="NormalWeb">
    <w:name w:val="Normal (Web)"/>
    <w:basedOn w:val="Normal"/>
    <w:uiPriority w:val="99"/>
    <w:unhideWhenUsed/>
    <w:rsid w:val="0002281E"/>
    <w:pPr>
      <w:spacing w:before="100" w:beforeAutospacing="1" w:after="100" w:afterAutospacing="1"/>
    </w:pPr>
    <w:rPr>
      <w:rFonts w:ascii="Times" w:eastAsiaTheme="minorHAnsi" w:hAnsi="Times"/>
    </w:rPr>
  </w:style>
  <w:style w:type="character" w:styleId="Hyperlink">
    <w:name w:val="Hyperlink"/>
    <w:basedOn w:val="DefaultParagraphFont"/>
    <w:uiPriority w:val="99"/>
    <w:semiHidden/>
    <w:unhideWhenUsed/>
    <w:rsid w:val="0002281E"/>
    <w:rPr>
      <w:color w:val="0000FF"/>
      <w:u w:val="single"/>
    </w:rPr>
  </w:style>
  <w:style w:type="paragraph" w:styleId="Footer">
    <w:name w:val="footer"/>
    <w:basedOn w:val="Normal"/>
    <w:link w:val="FooterChar"/>
    <w:uiPriority w:val="99"/>
    <w:unhideWhenUsed/>
    <w:rsid w:val="005316DF"/>
    <w:pPr>
      <w:tabs>
        <w:tab w:val="center" w:pos="4320"/>
        <w:tab w:val="right" w:pos="8640"/>
      </w:tabs>
    </w:pPr>
  </w:style>
  <w:style w:type="character" w:customStyle="1" w:styleId="FooterChar">
    <w:name w:val="Footer Char"/>
    <w:basedOn w:val="DefaultParagraphFont"/>
    <w:link w:val="Footer"/>
    <w:uiPriority w:val="99"/>
    <w:rsid w:val="005316DF"/>
    <w:rPr>
      <w:rFonts w:ascii="Times New Roman" w:eastAsia="Times New Roman" w:hAnsi="Times New Roman" w:cs="Times New Roman"/>
      <w:sz w:val="20"/>
      <w:szCs w:val="20"/>
    </w:rPr>
  </w:style>
  <w:style w:type="character" w:styleId="PageNumber">
    <w:name w:val="page number"/>
    <w:basedOn w:val="DefaultParagraphFont"/>
    <w:uiPriority w:val="99"/>
    <w:semiHidden/>
    <w:unhideWhenUsed/>
    <w:rsid w:val="00531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38356">
      <w:bodyDiv w:val="1"/>
      <w:marLeft w:val="0"/>
      <w:marRight w:val="0"/>
      <w:marTop w:val="0"/>
      <w:marBottom w:val="0"/>
      <w:divBdr>
        <w:top w:val="none" w:sz="0" w:space="0" w:color="auto"/>
        <w:left w:val="none" w:sz="0" w:space="0" w:color="auto"/>
        <w:bottom w:val="none" w:sz="0" w:space="0" w:color="auto"/>
        <w:right w:val="none" w:sz="0" w:space="0" w:color="auto"/>
      </w:divBdr>
    </w:div>
    <w:div w:id="235169978">
      <w:bodyDiv w:val="1"/>
      <w:marLeft w:val="0"/>
      <w:marRight w:val="0"/>
      <w:marTop w:val="0"/>
      <w:marBottom w:val="0"/>
      <w:divBdr>
        <w:top w:val="none" w:sz="0" w:space="0" w:color="auto"/>
        <w:left w:val="none" w:sz="0" w:space="0" w:color="auto"/>
        <w:bottom w:val="none" w:sz="0" w:space="0" w:color="auto"/>
        <w:right w:val="none" w:sz="0" w:space="0" w:color="auto"/>
      </w:divBdr>
    </w:div>
    <w:div w:id="238684655">
      <w:bodyDiv w:val="1"/>
      <w:marLeft w:val="0"/>
      <w:marRight w:val="0"/>
      <w:marTop w:val="0"/>
      <w:marBottom w:val="0"/>
      <w:divBdr>
        <w:top w:val="none" w:sz="0" w:space="0" w:color="auto"/>
        <w:left w:val="none" w:sz="0" w:space="0" w:color="auto"/>
        <w:bottom w:val="none" w:sz="0" w:space="0" w:color="auto"/>
        <w:right w:val="none" w:sz="0" w:space="0" w:color="auto"/>
      </w:divBdr>
    </w:div>
    <w:div w:id="282345174">
      <w:bodyDiv w:val="1"/>
      <w:marLeft w:val="0"/>
      <w:marRight w:val="0"/>
      <w:marTop w:val="0"/>
      <w:marBottom w:val="0"/>
      <w:divBdr>
        <w:top w:val="none" w:sz="0" w:space="0" w:color="auto"/>
        <w:left w:val="none" w:sz="0" w:space="0" w:color="auto"/>
        <w:bottom w:val="none" w:sz="0" w:space="0" w:color="auto"/>
        <w:right w:val="none" w:sz="0" w:space="0" w:color="auto"/>
      </w:divBdr>
    </w:div>
    <w:div w:id="399790976">
      <w:bodyDiv w:val="1"/>
      <w:marLeft w:val="0"/>
      <w:marRight w:val="0"/>
      <w:marTop w:val="0"/>
      <w:marBottom w:val="0"/>
      <w:divBdr>
        <w:top w:val="none" w:sz="0" w:space="0" w:color="auto"/>
        <w:left w:val="none" w:sz="0" w:space="0" w:color="auto"/>
        <w:bottom w:val="none" w:sz="0" w:space="0" w:color="auto"/>
        <w:right w:val="none" w:sz="0" w:space="0" w:color="auto"/>
      </w:divBdr>
    </w:div>
    <w:div w:id="433017714">
      <w:bodyDiv w:val="1"/>
      <w:marLeft w:val="0"/>
      <w:marRight w:val="0"/>
      <w:marTop w:val="0"/>
      <w:marBottom w:val="0"/>
      <w:divBdr>
        <w:top w:val="none" w:sz="0" w:space="0" w:color="auto"/>
        <w:left w:val="none" w:sz="0" w:space="0" w:color="auto"/>
        <w:bottom w:val="none" w:sz="0" w:space="0" w:color="auto"/>
        <w:right w:val="none" w:sz="0" w:space="0" w:color="auto"/>
      </w:divBdr>
      <w:divsChild>
        <w:div w:id="1769153449">
          <w:marLeft w:val="0"/>
          <w:marRight w:val="0"/>
          <w:marTop w:val="0"/>
          <w:marBottom w:val="0"/>
          <w:divBdr>
            <w:top w:val="none" w:sz="0" w:space="0" w:color="auto"/>
            <w:left w:val="none" w:sz="0" w:space="0" w:color="auto"/>
            <w:bottom w:val="none" w:sz="0" w:space="0" w:color="auto"/>
            <w:right w:val="none" w:sz="0" w:space="0" w:color="auto"/>
          </w:divBdr>
          <w:divsChild>
            <w:div w:id="86853493">
              <w:marLeft w:val="0"/>
              <w:marRight w:val="0"/>
              <w:marTop w:val="0"/>
              <w:marBottom w:val="0"/>
              <w:divBdr>
                <w:top w:val="none" w:sz="0" w:space="0" w:color="auto"/>
                <w:left w:val="none" w:sz="0" w:space="0" w:color="auto"/>
                <w:bottom w:val="none" w:sz="0" w:space="0" w:color="auto"/>
                <w:right w:val="none" w:sz="0" w:space="0" w:color="auto"/>
              </w:divBdr>
              <w:divsChild>
                <w:div w:id="124094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12178">
      <w:bodyDiv w:val="1"/>
      <w:marLeft w:val="0"/>
      <w:marRight w:val="0"/>
      <w:marTop w:val="0"/>
      <w:marBottom w:val="0"/>
      <w:divBdr>
        <w:top w:val="none" w:sz="0" w:space="0" w:color="auto"/>
        <w:left w:val="none" w:sz="0" w:space="0" w:color="auto"/>
        <w:bottom w:val="none" w:sz="0" w:space="0" w:color="auto"/>
        <w:right w:val="none" w:sz="0" w:space="0" w:color="auto"/>
      </w:divBdr>
    </w:div>
    <w:div w:id="708335519">
      <w:bodyDiv w:val="1"/>
      <w:marLeft w:val="0"/>
      <w:marRight w:val="0"/>
      <w:marTop w:val="0"/>
      <w:marBottom w:val="0"/>
      <w:divBdr>
        <w:top w:val="none" w:sz="0" w:space="0" w:color="auto"/>
        <w:left w:val="none" w:sz="0" w:space="0" w:color="auto"/>
        <w:bottom w:val="none" w:sz="0" w:space="0" w:color="auto"/>
        <w:right w:val="none" w:sz="0" w:space="0" w:color="auto"/>
      </w:divBdr>
    </w:div>
    <w:div w:id="754589844">
      <w:bodyDiv w:val="1"/>
      <w:marLeft w:val="0"/>
      <w:marRight w:val="0"/>
      <w:marTop w:val="0"/>
      <w:marBottom w:val="0"/>
      <w:divBdr>
        <w:top w:val="none" w:sz="0" w:space="0" w:color="auto"/>
        <w:left w:val="none" w:sz="0" w:space="0" w:color="auto"/>
        <w:bottom w:val="none" w:sz="0" w:space="0" w:color="auto"/>
        <w:right w:val="none" w:sz="0" w:space="0" w:color="auto"/>
      </w:divBdr>
      <w:divsChild>
        <w:div w:id="1677732698">
          <w:marLeft w:val="0"/>
          <w:marRight w:val="0"/>
          <w:marTop w:val="0"/>
          <w:marBottom w:val="0"/>
          <w:divBdr>
            <w:top w:val="none" w:sz="0" w:space="0" w:color="auto"/>
            <w:left w:val="none" w:sz="0" w:space="0" w:color="auto"/>
            <w:bottom w:val="none" w:sz="0" w:space="0" w:color="auto"/>
            <w:right w:val="none" w:sz="0" w:space="0" w:color="auto"/>
          </w:divBdr>
          <w:divsChild>
            <w:div w:id="1056856423">
              <w:marLeft w:val="0"/>
              <w:marRight w:val="0"/>
              <w:marTop w:val="0"/>
              <w:marBottom w:val="0"/>
              <w:divBdr>
                <w:top w:val="none" w:sz="0" w:space="0" w:color="auto"/>
                <w:left w:val="none" w:sz="0" w:space="0" w:color="auto"/>
                <w:bottom w:val="none" w:sz="0" w:space="0" w:color="auto"/>
                <w:right w:val="none" w:sz="0" w:space="0" w:color="auto"/>
              </w:divBdr>
              <w:divsChild>
                <w:div w:id="27081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4241">
      <w:bodyDiv w:val="1"/>
      <w:marLeft w:val="0"/>
      <w:marRight w:val="0"/>
      <w:marTop w:val="0"/>
      <w:marBottom w:val="0"/>
      <w:divBdr>
        <w:top w:val="none" w:sz="0" w:space="0" w:color="auto"/>
        <w:left w:val="none" w:sz="0" w:space="0" w:color="auto"/>
        <w:bottom w:val="none" w:sz="0" w:space="0" w:color="auto"/>
        <w:right w:val="none" w:sz="0" w:space="0" w:color="auto"/>
      </w:divBdr>
      <w:divsChild>
        <w:div w:id="1687436403">
          <w:marLeft w:val="0"/>
          <w:marRight w:val="0"/>
          <w:marTop w:val="0"/>
          <w:marBottom w:val="0"/>
          <w:divBdr>
            <w:top w:val="none" w:sz="0" w:space="0" w:color="auto"/>
            <w:left w:val="none" w:sz="0" w:space="0" w:color="auto"/>
            <w:bottom w:val="none" w:sz="0" w:space="0" w:color="auto"/>
            <w:right w:val="none" w:sz="0" w:space="0" w:color="auto"/>
          </w:divBdr>
          <w:divsChild>
            <w:div w:id="1311517241">
              <w:marLeft w:val="0"/>
              <w:marRight w:val="0"/>
              <w:marTop w:val="0"/>
              <w:marBottom w:val="0"/>
              <w:divBdr>
                <w:top w:val="none" w:sz="0" w:space="0" w:color="auto"/>
                <w:left w:val="none" w:sz="0" w:space="0" w:color="auto"/>
                <w:bottom w:val="none" w:sz="0" w:space="0" w:color="auto"/>
                <w:right w:val="none" w:sz="0" w:space="0" w:color="auto"/>
              </w:divBdr>
              <w:divsChild>
                <w:div w:id="113772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035807">
      <w:bodyDiv w:val="1"/>
      <w:marLeft w:val="0"/>
      <w:marRight w:val="0"/>
      <w:marTop w:val="0"/>
      <w:marBottom w:val="0"/>
      <w:divBdr>
        <w:top w:val="none" w:sz="0" w:space="0" w:color="auto"/>
        <w:left w:val="none" w:sz="0" w:space="0" w:color="auto"/>
        <w:bottom w:val="none" w:sz="0" w:space="0" w:color="auto"/>
        <w:right w:val="none" w:sz="0" w:space="0" w:color="auto"/>
      </w:divBdr>
    </w:div>
    <w:div w:id="1106467555">
      <w:bodyDiv w:val="1"/>
      <w:marLeft w:val="0"/>
      <w:marRight w:val="0"/>
      <w:marTop w:val="0"/>
      <w:marBottom w:val="0"/>
      <w:divBdr>
        <w:top w:val="none" w:sz="0" w:space="0" w:color="auto"/>
        <w:left w:val="none" w:sz="0" w:space="0" w:color="auto"/>
        <w:bottom w:val="none" w:sz="0" w:space="0" w:color="auto"/>
        <w:right w:val="none" w:sz="0" w:space="0" w:color="auto"/>
      </w:divBdr>
    </w:div>
    <w:div w:id="1188448081">
      <w:bodyDiv w:val="1"/>
      <w:marLeft w:val="0"/>
      <w:marRight w:val="0"/>
      <w:marTop w:val="0"/>
      <w:marBottom w:val="0"/>
      <w:divBdr>
        <w:top w:val="none" w:sz="0" w:space="0" w:color="auto"/>
        <w:left w:val="none" w:sz="0" w:space="0" w:color="auto"/>
        <w:bottom w:val="none" w:sz="0" w:space="0" w:color="auto"/>
        <w:right w:val="none" w:sz="0" w:space="0" w:color="auto"/>
      </w:divBdr>
    </w:div>
    <w:div w:id="1248883596">
      <w:bodyDiv w:val="1"/>
      <w:marLeft w:val="0"/>
      <w:marRight w:val="0"/>
      <w:marTop w:val="0"/>
      <w:marBottom w:val="0"/>
      <w:divBdr>
        <w:top w:val="none" w:sz="0" w:space="0" w:color="auto"/>
        <w:left w:val="none" w:sz="0" w:space="0" w:color="auto"/>
        <w:bottom w:val="none" w:sz="0" w:space="0" w:color="auto"/>
        <w:right w:val="none" w:sz="0" w:space="0" w:color="auto"/>
      </w:divBdr>
    </w:div>
    <w:div w:id="1470632600">
      <w:bodyDiv w:val="1"/>
      <w:marLeft w:val="0"/>
      <w:marRight w:val="0"/>
      <w:marTop w:val="0"/>
      <w:marBottom w:val="0"/>
      <w:divBdr>
        <w:top w:val="none" w:sz="0" w:space="0" w:color="auto"/>
        <w:left w:val="none" w:sz="0" w:space="0" w:color="auto"/>
        <w:bottom w:val="none" w:sz="0" w:space="0" w:color="auto"/>
        <w:right w:val="none" w:sz="0" w:space="0" w:color="auto"/>
      </w:divBdr>
    </w:div>
    <w:div w:id="1470781247">
      <w:bodyDiv w:val="1"/>
      <w:marLeft w:val="0"/>
      <w:marRight w:val="0"/>
      <w:marTop w:val="0"/>
      <w:marBottom w:val="0"/>
      <w:divBdr>
        <w:top w:val="none" w:sz="0" w:space="0" w:color="auto"/>
        <w:left w:val="none" w:sz="0" w:space="0" w:color="auto"/>
        <w:bottom w:val="none" w:sz="0" w:space="0" w:color="auto"/>
        <w:right w:val="none" w:sz="0" w:space="0" w:color="auto"/>
      </w:divBdr>
    </w:div>
    <w:div w:id="1476213931">
      <w:bodyDiv w:val="1"/>
      <w:marLeft w:val="0"/>
      <w:marRight w:val="0"/>
      <w:marTop w:val="0"/>
      <w:marBottom w:val="0"/>
      <w:divBdr>
        <w:top w:val="none" w:sz="0" w:space="0" w:color="auto"/>
        <w:left w:val="none" w:sz="0" w:space="0" w:color="auto"/>
        <w:bottom w:val="none" w:sz="0" w:space="0" w:color="auto"/>
        <w:right w:val="none" w:sz="0" w:space="0" w:color="auto"/>
      </w:divBdr>
    </w:div>
    <w:div w:id="1572423528">
      <w:bodyDiv w:val="1"/>
      <w:marLeft w:val="0"/>
      <w:marRight w:val="0"/>
      <w:marTop w:val="0"/>
      <w:marBottom w:val="0"/>
      <w:divBdr>
        <w:top w:val="none" w:sz="0" w:space="0" w:color="auto"/>
        <w:left w:val="none" w:sz="0" w:space="0" w:color="auto"/>
        <w:bottom w:val="none" w:sz="0" w:space="0" w:color="auto"/>
        <w:right w:val="none" w:sz="0" w:space="0" w:color="auto"/>
      </w:divBdr>
    </w:div>
    <w:div w:id="1580748070">
      <w:bodyDiv w:val="1"/>
      <w:marLeft w:val="0"/>
      <w:marRight w:val="0"/>
      <w:marTop w:val="0"/>
      <w:marBottom w:val="0"/>
      <w:divBdr>
        <w:top w:val="none" w:sz="0" w:space="0" w:color="auto"/>
        <w:left w:val="none" w:sz="0" w:space="0" w:color="auto"/>
        <w:bottom w:val="none" w:sz="0" w:space="0" w:color="auto"/>
        <w:right w:val="none" w:sz="0" w:space="0" w:color="auto"/>
      </w:divBdr>
    </w:div>
    <w:div w:id="1684093359">
      <w:bodyDiv w:val="1"/>
      <w:marLeft w:val="0"/>
      <w:marRight w:val="0"/>
      <w:marTop w:val="0"/>
      <w:marBottom w:val="0"/>
      <w:divBdr>
        <w:top w:val="none" w:sz="0" w:space="0" w:color="auto"/>
        <w:left w:val="none" w:sz="0" w:space="0" w:color="auto"/>
        <w:bottom w:val="none" w:sz="0" w:space="0" w:color="auto"/>
        <w:right w:val="none" w:sz="0" w:space="0" w:color="auto"/>
      </w:divBdr>
    </w:div>
    <w:div w:id="1731071689">
      <w:bodyDiv w:val="1"/>
      <w:marLeft w:val="0"/>
      <w:marRight w:val="0"/>
      <w:marTop w:val="0"/>
      <w:marBottom w:val="0"/>
      <w:divBdr>
        <w:top w:val="none" w:sz="0" w:space="0" w:color="auto"/>
        <w:left w:val="none" w:sz="0" w:space="0" w:color="auto"/>
        <w:bottom w:val="none" w:sz="0" w:space="0" w:color="auto"/>
        <w:right w:val="none" w:sz="0" w:space="0" w:color="auto"/>
      </w:divBdr>
    </w:div>
    <w:div w:id="1931963443">
      <w:bodyDiv w:val="1"/>
      <w:marLeft w:val="0"/>
      <w:marRight w:val="0"/>
      <w:marTop w:val="0"/>
      <w:marBottom w:val="0"/>
      <w:divBdr>
        <w:top w:val="none" w:sz="0" w:space="0" w:color="auto"/>
        <w:left w:val="none" w:sz="0" w:space="0" w:color="auto"/>
        <w:bottom w:val="none" w:sz="0" w:space="0" w:color="auto"/>
        <w:right w:val="none" w:sz="0" w:space="0" w:color="auto"/>
      </w:divBdr>
    </w:div>
    <w:div w:id="2004699911">
      <w:bodyDiv w:val="1"/>
      <w:marLeft w:val="0"/>
      <w:marRight w:val="0"/>
      <w:marTop w:val="0"/>
      <w:marBottom w:val="0"/>
      <w:divBdr>
        <w:top w:val="none" w:sz="0" w:space="0" w:color="auto"/>
        <w:left w:val="none" w:sz="0" w:space="0" w:color="auto"/>
        <w:bottom w:val="none" w:sz="0" w:space="0" w:color="auto"/>
        <w:right w:val="none" w:sz="0" w:space="0" w:color="auto"/>
      </w:divBdr>
    </w:div>
    <w:div w:id="2069455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nice.org.uk/guidance/cg1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661E9B5-AA27-A345-956E-1EF1F792E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4685</Words>
  <Characters>26711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_</vt:lpstr>
    </vt:vector>
  </TitlesOfParts>
  <Company/>
  <LinksUpToDate>false</LinksUpToDate>
  <CharactersWithSpaces>31334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Moussa, Osama M A A</dc:creator>
  <cp:keywords/>
  <dc:description/>
  <cp:lastModifiedBy>Microsoft Office User</cp:lastModifiedBy>
  <cp:revision>2</cp:revision>
  <cp:lastPrinted>2017-08-11T10:54:00Z</cp:lastPrinted>
  <dcterms:created xsi:type="dcterms:W3CDTF">2018-04-30T17:28:00Z</dcterms:created>
  <dcterms:modified xsi:type="dcterms:W3CDTF">2018-04-30T17:28:00Z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68129ecd-0941-3b5d-a547-2c8d695cdd02</vt:lpwstr>
  </property>
  <property fmtid="{D5CDD505-2E9C-101B-9397-08002B2CF9AE}" pid="24" name="Mendeley Citation Style_1">
    <vt:lpwstr>http://www.zotero.org/styles/vancouver</vt:lpwstr>
  </property>
  <property fmtid="{D5CDD505-2E9C-101B-9397-08002B2CF9AE}" pid="25" name="WnCUserId">
    <vt:lpwstr>19059</vt:lpwstr>
  </property>
  <property fmtid="{D5CDD505-2E9C-101B-9397-08002B2CF9AE}" pid="26" name="WnCSubscriberId">
    <vt:lpwstr>3534</vt:lpwstr>
  </property>
  <property fmtid="{D5CDD505-2E9C-101B-9397-08002B2CF9AE}" pid="27" name="WnCOutputStyleId">
    <vt:lpwstr>12511</vt:lpwstr>
  </property>
  <property fmtid="{D5CDD505-2E9C-101B-9397-08002B2CF9AE}" pid="28" name="RWProductId">
    <vt:lpwstr>WnC</vt:lpwstr>
  </property>
  <property fmtid="{D5CDD505-2E9C-101B-9397-08002B2CF9AE}" pid="29" name="WnCUser">
    <vt:lpwstr>RW_3534_1zRqSoO2F38GtT6BIqgrdXDtTz2Bo3D_3534</vt:lpwstr>
  </property>
  <property fmtid="{D5CDD505-2E9C-101B-9397-08002B2CF9AE}" pid="30" name="WnC4Folder">
    <vt:lpwstr>Documents///Mortality within the morbidly obese Annals Submission Resubmission Dirty</vt:lpwstr>
  </property>
</Properties>
</file>