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855D" w14:textId="77777777" w:rsidR="00672135" w:rsidRDefault="00120DF0">
      <w:pPr>
        <w:jc w:val="center"/>
        <w:rPr>
          <w:rFonts w:ascii="Times New Roman" w:hAnsi="Times New Roman" w:cs="Times New Roman"/>
          <w:b/>
          <w:bCs/>
          <w:sz w:val="40"/>
          <w:szCs w:val="44"/>
        </w:rPr>
      </w:pPr>
      <w:bookmarkStart w:id="0" w:name="OLE_LINK2"/>
      <w:r>
        <w:rPr>
          <w:rFonts w:ascii="Times New Roman" w:hAnsi="Times New Roman" w:cs="Times New Roman" w:hint="eastAsia"/>
          <w:b/>
          <w:bCs/>
          <w:sz w:val="40"/>
          <w:szCs w:val="44"/>
        </w:rPr>
        <w:t xml:space="preserve">Implementation </w:t>
      </w:r>
      <w:r>
        <w:rPr>
          <w:rFonts w:ascii="Times New Roman" w:hAnsi="Times New Roman" w:cs="Times New Roman"/>
          <w:b/>
          <w:bCs/>
          <w:sz w:val="40"/>
          <w:szCs w:val="44"/>
        </w:rPr>
        <w:t>for a</w:t>
      </w:r>
      <w:r>
        <w:rPr>
          <w:rFonts w:ascii="Times New Roman" w:hAnsi="Times New Roman" w:cs="Times New Roman" w:hint="eastAsia"/>
          <w:b/>
          <w:bCs/>
          <w:sz w:val="40"/>
          <w:szCs w:val="44"/>
        </w:rPr>
        <w:t xml:space="preserve"> c</w:t>
      </w:r>
      <w:r>
        <w:rPr>
          <w:rFonts w:ascii="Times New Roman" w:hAnsi="Times New Roman" w:cs="Times New Roman"/>
          <w:b/>
          <w:bCs/>
          <w:sz w:val="40"/>
          <w:szCs w:val="44"/>
        </w:rPr>
        <w:t xml:space="preserve">loud </w:t>
      </w:r>
      <w:r>
        <w:rPr>
          <w:rFonts w:ascii="Times New Roman" w:hAnsi="Times New Roman" w:cs="Times New Roman" w:hint="eastAsia"/>
          <w:b/>
          <w:bCs/>
          <w:sz w:val="40"/>
          <w:szCs w:val="44"/>
        </w:rPr>
        <w:t xml:space="preserve">battery management system based on </w:t>
      </w:r>
      <w:r>
        <w:rPr>
          <w:rFonts w:ascii="Times New Roman" w:hAnsi="Times New Roman" w:cs="Times New Roman"/>
          <w:b/>
          <w:bCs/>
          <w:sz w:val="40"/>
          <w:szCs w:val="44"/>
        </w:rPr>
        <w:t xml:space="preserve">the </w:t>
      </w:r>
      <w:r>
        <w:rPr>
          <w:rFonts w:ascii="Times New Roman" w:hAnsi="Times New Roman" w:cs="Times New Roman" w:hint="eastAsia"/>
          <w:b/>
          <w:bCs/>
          <w:sz w:val="40"/>
          <w:szCs w:val="44"/>
        </w:rPr>
        <w:t>CHAIN</w:t>
      </w:r>
      <w:r>
        <w:rPr>
          <w:rFonts w:ascii="Times New Roman" w:hAnsi="Times New Roman" w:cs="Times New Roman"/>
          <w:b/>
          <w:bCs/>
          <w:sz w:val="40"/>
          <w:szCs w:val="44"/>
        </w:rPr>
        <w:t xml:space="preserve"> framework</w:t>
      </w:r>
      <w:r>
        <w:rPr>
          <w:rFonts w:ascii="Times New Roman" w:hAnsi="Times New Roman" w:cs="Times New Roman" w:hint="eastAsia"/>
          <w:b/>
          <w:bCs/>
          <w:sz w:val="40"/>
          <w:szCs w:val="44"/>
        </w:rPr>
        <w:t xml:space="preserve"> </w:t>
      </w:r>
      <w:bookmarkEnd w:id="0"/>
    </w:p>
    <w:p w14:paraId="351119F3" w14:textId="77777777" w:rsidR="00672135" w:rsidRDefault="00120DF0">
      <w:pPr>
        <w:widowControl/>
        <w:rPr>
          <w:rFonts w:ascii="Times New Roman" w:eastAsia="Arial Unicode MS" w:hAnsi="Times New Roman" w:cs="Times New Roman"/>
          <w:kern w:val="0"/>
          <w:sz w:val="20"/>
          <w:szCs w:val="21"/>
        </w:rPr>
      </w:pPr>
      <w:proofErr w:type="spellStart"/>
      <w:r>
        <w:rPr>
          <w:rFonts w:ascii="Times New Roman" w:eastAsia="Arial Unicode MS" w:hAnsi="Times New Roman" w:cs="Times New Roman" w:hint="eastAsia"/>
          <w:kern w:val="0"/>
          <w:sz w:val="20"/>
          <w:szCs w:val="21"/>
        </w:rPr>
        <w:t>S</w:t>
      </w:r>
      <w:r>
        <w:rPr>
          <w:rFonts w:ascii="Times New Roman" w:eastAsia="Arial Unicode MS" w:hAnsi="Times New Roman" w:cs="Times New Roman"/>
          <w:kern w:val="0"/>
          <w:sz w:val="20"/>
          <w:szCs w:val="21"/>
        </w:rPr>
        <w:t>hichun</w:t>
      </w:r>
      <w:proofErr w:type="spellEnd"/>
      <w:r>
        <w:rPr>
          <w:rFonts w:ascii="Times New Roman" w:eastAsia="Arial Unicode MS" w:hAnsi="Times New Roman" w:cs="Times New Roman"/>
          <w:kern w:val="0"/>
          <w:sz w:val="20"/>
          <w:szCs w:val="21"/>
        </w:rPr>
        <w:t xml:space="preserve"> </w:t>
      </w:r>
      <w:proofErr w:type="spellStart"/>
      <w:proofErr w:type="gramStart"/>
      <w:r>
        <w:rPr>
          <w:rFonts w:ascii="Times New Roman" w:eastAsia="Arial Unicode MS" w:hAnsi="Times New Roman" w:cs="Times New Roman"/>
          <w:kern w:val="0"/>
          <w:sz w:val="20"/>
          <w:szCs w:val="21"/>
        </w:rPr>
        <w:t>Yang,</w:t>
      </w:r>
      <w:r>
        <w:rPr>
          <w:rFonts w:ascii="Times New Roman" w:hAnsi="Times New Roman"/>
          <w:i/>
          <w:iCs/>
          <w:sz w:val="20"/>
          <w:szCs w:val="21"/>
          <w:vertAlign w:val="superscript"/>
        </w:rPr>
        <w:t>a</w:t>
      </w:r>
      <w:proofErr w:type="spellEnd"/>
      <w:proofErr w:type="gram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Zhengjie</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Zhang,</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Rui </w:t>
      </w:r>
      <w:proofErr w:type="spellStart"/>
      <w:r>
        <w:rPr>
          <w:rFonts w:ascii="Times New Roman" w:eastAsia="Arial Unicode MS" w:hAnsi="Times New Roman" w:cs="Times New Roman"/>
          <w:kern w:val="0"/>
          <w:sz w:val="20"/>
          <w:szCs w:val="21"/>
        </w:rPr>
        <w:t>Cao,</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Mingyue</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Wang,</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Hanchao</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Cheng,</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Lisheng</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Zhang,</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Yinan </w:t>
      </w:r>
      <w:proofErr w:type="spellStart"/>
      <w:r>
        <w:rPr>
          <w:rFonts w:ascii="Times New Roman" w:eastAsia="Arial Unicode MS" w:hAnsi="Times New Roman" w:cs="Times New Roman"/>
          <w:kern w:val="0"/>
          <w:sz w:val="20"/>
          <w:szCs w:val="21"/>
        </w:rPr>
        <w:t>Jiang,</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Yonglin</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Li,</w:t>
      </w:r>
      <w:r>
        <w:rPr>
          <w:rFonts w:ascii="Times New Roman" w:hAnsi="Times New Roman"/>
          <w:i/>
          <w:iCs/>
          <w:sz w:val="20"/>
          <w:szCs w:val="21"/>
          <w:vertAlign w:val="superscript"/>
        </w:rPr>
        <w:t>a</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Binbin</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Chen,</w:t>
      </w:r>
      <w:r>
        <w:rPr>
          <w:rFonts w:ascii="Times New Roman" w:hAnsi="Times New Roman"/>
          <w:i/>
          <w:iCs/>
          <w:sz w:val="20"/>
          <w:szCs w:val="21"/>
          <w:vertAlign w:val="superscript"/>
        </w:rPr>
        <w:t>b</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Heping</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Ling,</w:t>
      </w:r>
      <w:r>
        <w:rPr>
          <w:rFonts w:ascii="Times New Roman" w:hAnsi="Times New Roman"/>
          <w:i/>
          <w:iCs/>
          <w:sz w:val="20"/>
          <w:szCs w:val="21"/>
          <w:vertAlign w:val="superscript"/>
        </w:rPr>
        <w:t>b</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Yubo</w:t>
      </w:r>
      <w:proofErr w:type="spellEnd"/>
      <w:r>
        <w:rPr>
          <w:rFonts w:ascii="Times New Roman" w:eastAsia="Arial Unicode MS" w:hAnsi="Times New Roman" w:cs="Times New Roman"/>
          <w:kern w:val="0"/>
          <w:sz w:val="20"/>
          <w:szCs w:val="21"/>
        </w:rPr>
        <w:t xml:space="preserve"> </w:t>
      </w:r>
      <w:proofErr w:type="spellStart"/>
      <w:r>
        <w:rPr>
          <w:rFonts w:ascii="Times New Roman" w:eastAsia="Arial Unicode MS" w:hAnsi="Times New Roman" w:cs="Times New Roman"/>
          <w:kern w:val="0"/>
          <w:sz w:val="20"/>
          <w:szCs w:val="21"/>
        </w:rPr>
        <w:t>Lian,</w:t>
      </w:r>
      <w:r>
        <w:rPr>
          <w:rFonts w:ascii="Times New Roman" w:hAnsi="Times New Roman"/>
          <w:i/>
          <w:iCs/>
          <w:sz w:val="20"/>
          <w:szCs w:val="21"/>
          <w:vertAlign w:val="superscript"/>
        </w:rPr>
        <w:t>b</w:t>
      </w:r>
      <w:proofErr w:type="spellEnd"/>
      <w:r>
        <w:rPr>
          <w:rFonts w:ascii="Times New Roman" w:eastAsia="Arial Unicode MS" w:hAnsi="Times New Roman" w:cs="Times New Roman"/>
          <w:kern w:val="0"/>
          <w:sz w:val="20"/>
          <w:szCs w:val="21"/>
        </w:rPr>
        <w:t xml:space="preserve"> </w:t>
      </w:r>
      <w:r>
        <w:rPr>
          <w:rFonts w:ascii="Times New Roman" w:eastAsia="Arial Unicode MS" w:hAnsi="Times New Roman" w:cs="Times New Roman" w:hint="eastAsia"/>
          <w:kern w:val="0"/>
          <w:sz w:val="20"/>
          <w:szCs w:val="21"/>
        </w:rPr>
        <w:t xml:space="preserve">Billy </w:t>
      </w:r>
      <w:proofErr w:type="spellStart"/>
      <w:r>
        <w:rPr>
          <w:rFonts w:ascii="Times New Roman" w:eastAsia="Arial Unicode MS" w:hAnsi="Times New Roman" w:cs="Times New Roman" w:hint="eastAsia"/>
          <w:kern w:val="0"/>
          <w:sz w:val="20"/>
          <w:szCs w:val="21"/>
        </w:rPr>
        <w:t>Wu,</w:t>
      </w:r>
      <w:r>
        <w:rPr>
          <w:rFonts w:ascii="Times New Roman" w:eastAsia="Arial Unicode MS" w:hAnsi="Times New Roman" w:hint="eastAsia"/>
          <w:i/>
          <w:iCs/>
          <w:sz w:val="20"/>
          <w:szCs w:val="21"/>
          <w:vertAlign w:val="superscript"/>
        </w:rPr>
        <w:t>c</w:t>
      </w:r>
      <w:r>
        <w:rPr>
          <w:rFonts w:ascii="Times New Roman" w:eastAsia="Arial Unicode MS" w:hAnsi="Times New Roman"/>
          <w:i/>
          <w:iCs/>
          <w:sz w:val="20"/>
          <w:szCs w:val="21"/>
          <w:vertAlign w:val="superscript"/>
        </w:rPr>
        <w:t>,d</w:t>
      </w:r>
      <w:proofErr w:type="spellEnd"/>
      <w:r>
        <w:rPr>
          <w:rFonts w:ascii="Times New Roman" w:eastAsia="Arial Unicode MS" w:hAnsi="Times New Roman" w:cs="Times New Roman" w:hint="eastAsia"/>
          <w:kern w:val="0"/>
          <w:sz w:val="20"/>
          <w:szCs w:val="21"/>
        </w:rPr>
        <w:t xml:space="preserve"> </w:t>
      </w:r>
      <w:r>
        <w:rPr>
          <w:rFonts w:ascii="Times New Roman" w:eastAsia="Arial Unicode MS" w:hAnsi="Times New Roman" w:cs="Times New Roman"/>
          <w:kern w:val="0"/>
          <w:sz w:val="20"/>
          <w:szCs w:val="21"/>
        </w:rPr>
        <w:t xml:space="preserve">Xinhua </w:t>
      </w:r>
      <w:proofErr w:type="spellStart"/>
      <w:r>
        <w:rPr>
          <w:rFonts w:ascii="Times New Roman" w:eastAsia="Arial Unicode MS" w:hAnsi="Times New Roman" w:cs="Times New Roman"/>
          <w:kern w:val="0"/>
          <w:sz w:val="20"/>
          <w:szCs w:val="21"/>
        </w:rPr>
        <w:t>Liu</w:t>
      </w:r>
      <w:r>
        <w:rPr>
          <w:rFonts w:ascii="Times New Roman" w:hAnsi="Times New Roman"/>
          <w:i/>
          <w:iCs/>
          <w:sz w:val="20"/>
          <w:szCs w:val="21"/>
          <w:vertAlign w:val="superscript"/>
        </w:rPr>
        <w:t>a</w:t>
      </w:r>
      <w:r>
        <w:rPr>
          <w:rFonts w:ascii="Times New Roman" w:eastAsia="Arial Unicode MS" w:hAnsi="Times New Roman" w:cs="Times New Roman" w:hint="eastAsia"/>
          <w:kern w:val="0"/>
          <w:sz w:val="20"/>
          <w:szCs w:val="21"/>
          <w:vertAlign w:val="superscript"/>
        </w:rPr>
        <w:t>,</w:t>
      </w:r>
      <w:r>
        <w:rPr>
          <w:rFonts w:ascii="Times New Roman" w:eastAsia="Arial Unicode MS" w:hAnsi="Times New Roman" w:hint="eastAsia"/>
          <w:i/>
          <w:iCs/>
          <w:sz w:val="20"/>
          <w:szCs w:val="21"/>
          <w:vertAlign w:val="superscript"/>
        </w:rPr>
        <w:t>c</w:t>
      </w:r>
      <w:proofErr w:type="spellEnd"/>
      <w:r>
        <w:rPr>
          <w:rFonts w:ascii="Times New Roman" w:eastAsia="Arial Unicode MS" w:hAnsi="Times New Roman" w:cs="Times New Roman" w:hint="eastAsia"/>
          <w:kern w:val="0"/>
          <w:sz w:val="20"/>
          <w:szCs w:val="21"/>
          <w:vertAlign w:val="superscript"/>
        </w:rPr>
        <w:t>,</w:t>
      </w:r>
      <w:r>
        <w:rPr>
          <w:rFonts w:ascii="Times New Roman" w:eastAsia="Arial Unicode MS" w:hAnsi="Times New Roman" w:cs="Times New Roman"/>
          <w:kern w:val="0"/>
          <w:sz w:val="20"/>
          <w:szCs w:val="21"/>
          <w:vertAlign w:val="superscript"/>
        </w:rPr>
        <w:t>*</w:t>
      </w:r>
    </w:p>
    <w:p w14:paraId="6C1D5EF5" w14:textId="77777777" w:rsidR="00672135" w:rsidRDefault="00120DF0">
      <w:pPr>
        <w:pStyle w:val="BHBriefs"/>
        <w:rPr>
          <w:rFonts w:ascii="Times New Roman" w:eastAsia="宋体" w:hAnsi="Times New Roman"/>
          <w:color w:val="FF0000"/>
          <w:sz w:val="18"/>
          <w:szCs w:val="18"/>
        </w:rPr>
      </w:pPr>
      <w:proofErr w:type="spellStart"/>
      <w:r>
        <w:rPr>
          <w:rFonts w:ascii="Times New Roman" w:hAnsi="Times New Roman"/>
          <w:i/>
          <w:iCs/>
          <w:vertAlign w:val="superscript"/>
        </w:rPr>
        <w:t>a</w:t>
      </w:r>
      <w:r>
        <w:rPr>
          <w:rFonts w:ascii="Times New Roman" w:hAnsi="Times New Roman"/>
          <w:i/>
          <w:iCs/>
        </w:rPr>
        <w:t>School</w:t>
      </w:r>
      <w:proofErr w:type="spellEnd"/>
      <w:r>
        <w:rPr>
          <w:rFonts w:ascii="Times New Roman" w:hAnsi="Times New Roman"/>
          <w:i/>
          <w:iCs/>
        </w:rPr>
        <w:t xml:space="preserve"> of Transportation Science and Engineering, </w:t>
      </w:r>
      <w:proofErr w:type="spellStart"/>
      <w:r>
        <w:rPr>
          <w:rFonts w:ascii="Times New Roman" w:hAnsi="Times New Roman"/>
          <w:i/>
          <w:iCs/>
        </w:rPr>
        <w:t>Beihang</w:t>
      </w:r>
      <w:proofErr w:type="spellEnd"/>
      <w:r>
        <w:rPr>
          <w:rFonts w:ascii="Times New Roman" w:hAnsi="Times New Roman"/>
          <w:i/>
          <w:iCs/>
        </w:rPr>
        <w:t xml:space="preserve"> University, Beijing, China</w:t>
      </w:r>
    </w:p>
    <w:p w14:paraId="3DD0DB7C" w14:textId="77777777" w:rsidR="00672135" w:rsidRDefault="00120DF0">
      <w:pPr>
        <w:widowControl/>
        <w:rPr>
          <w:rFonts w:ascii="Times New Roman" w:eastAsia="Arial Unicode MS" w:hAnsi="Times New Roman" w:cs="Times New Roman"/>
          <w:kern w:val="0"/>
        </w:rPr>
      </w:pPr>
      <w:proofErr w:type="spellStart"/>
      <w:r>
        <w:rPr>
          <w:rFonts w:ascii="Times New Roman" w:hAnsi="Times New Roman"/>
          <w:i/>
          <w:iCs/>
          <w:vertAlign w:val="superscript"/>
        </w:rPr>
        <w:t>b</w:t>
      </w:r>
      <w:r>
        <w:rPr>
          <w:rFonts w:ascii="Times New Roman" w:eastAsia="Times New Roman" w:hAnsi="Times New Roman" w:cs="Times New Roman" w:hint="eastAsia"/>
          <w:i/>
          <w:iCs/>
          <w:kern w:val="22"/>
          <w:sz w:val="20"/>
          <w:szCs w:val="20"/>
        </w:rPr>
        <w:t>BYD</w:t>
      </w:r>
      <w:proofErr w:type="spellEnd"/>
      <w:r>
        <w:rPr>
          <w:rFonts w:ascii="Times New Roman" w:eastAsia="Times New Roman" w:hAnsi="Times New Roman" w:cs="Times New Roman" w:hint="eastAsia"/>
          <w:i/>
          <w:iCs/>
          <w:kern w:val="22"/>
          <w:sz w:val="20"/>
          <w:szCs w:val="20"/>
        </w:rPr>
        <w:t xml:space="preserve"> Co. Ltd., 3009 BYD Road, Pingshan District, Shenzhen, China </w:t>
      </w:r>
    </w:p>
    <w:p w14:paraId="1080EEE7" w14:textId="77777777" w:rsidR="00672135" w:rsidRDefault="00120DF0">
      <w:pPr>
        <w:widowControl/>
        <w:rPr>
          <w:rFonts w:ascii="Times New Roman" w:eastAsia="Times New Roman" w:hAnsi="Times New Roman" w:cs="Times New Roman"/>
          <w:i/>
          <w:iCs/>
          <w:kern w:val="22"/>
          <w:sz w:val="20"/>
          <w:szCs w:val="20"/>
        </w:rPr>
      </w:pPr>
      <w:proofErr w:type="spellStart"/>
      <w:r>
        <w:rPr>
          <w:rFonts w:ascii="Times New Roman" w:eastAsia="Arial Unicode MS" w:hAnsi="Times New Roman" w:hint="eastAsia"/>
          <w:i/>
          <w:iCs/>
          <w:vertAlign w:val="superscript"/>
        </w:rPr>
        <w:t>c</w:t>
      </w:r>
      <w:r>
        <w:rPr>
          <w:rFonts w:ascii="Times New Roman" w:eastAsia="Times New Roman" w:hAnsi="Times New Roman" w:cs="Times New Roman" w:hint="eastAsia"/>
          <w:i/>
          <w:iCs/>
          <w:kern w:val="22"/>
          <w:sz w:val="20"/>
          <w:szCs w:val="20"/>
        </w:rPr>
        <w:t>Dyson</w:t>
      </w:r>
      <w:proofErr w:type="spellEnd"/>
      <w:r>
        <w:rPr>
          <w:rFonts w:ascii="Times New Roman" w:eastAsia="Times New Roman" w:hAnsi="Times New Roman" w:cs="Times New Roman" w:hint="eastAsia"/>
          <w:i/>
          <w:iCs/>
          <w:kern w:val="22"/>
          <w:sz w:val="20"/>
          <w:szCs w:val="20"/>
        </w:rPr>
        <w:t xml:space="preserve"> School of Design Engineering, Imperial College London, London, U</w:t>
      </w:r>
      <w:r>
        <w:rPr>
          <w:rFonts w:ascii="Times New Roman" w:eastAsia="Times New Roman" w:hAnsi="Times New Roman" w:cs="Times New Roman"/>
          <w:i/>
          <w:iCs/>
          <w:kern w:val="22"/>
          <w:sz w:val="20"/>
          <w:szCs w:val="20"/>
        </w:rPr>
        <w:t xml:space="preserve">nited </w:t>
      </w:r>
      <w:r>
        <w:rPr>
          <w:rFonts w:ascii="Times New Roman" w:eastAsia="Times New Roman" w:hAnsi="Times New Roman" w:cs="Times New Roman" w:hint="eastAsia"/>
          <w:i/>
          <w:iCs/>
          <w:kern w:val="22"/>
          <w:sz w:val="20"/>
          <w:szCs w:val="20"/>
        </w:rPr>
        <w:t>K</w:t>
      </w:r>
      <w:r>
        <w:rPr>
          <w:rFonts w:ascii="Times New Roman" w:eastAsia="Times New Roman" w:hAnsi="Times New Roman" w:cs="Times New Roman"/>
          <w:i/>
          <w:iCs/>
          <w:kern w:val="22"/>
          <w:sz w:val="20"/>
          <w:szCs w:val="20"/>
        </w:rPr>
        <w:t>ingdom</w:t>
      </w:r>
    </w:p>
    <w:p w14:paraId="3D59D901" w14:textId="77777777" w:rsidR="00672135" w:rsidRDefault="00120DF0">
      <w:pPr>
        <w:widowControl/>
        <w:rPr>
          <w:rFonts w:ascii="Times New Roman" w:eastAsia="Arial Unicode MS" w:hAnsi="Times New Roman" w:cs="Times New Roman"/>
          <w:kern w:val="0"/>
        </w:rPr>
      </w:pPr>
      <w:proofErr w:type="spellStart"/>
      <w:r>
        <w:rPr>
          <w:rFonts w:ascii="Times New Roman" w:eastAsia="Times New Roman" w:hAnsi="Times New Roman" w:cs="Times New Roman"/>
          <w:i/>
          <w:iCs/>
          <w:kern w:val="22"/>
          <w:sz w:val="20"/>
          <w:szCs w:val="20"/>
          <w:vertAlign w:val="superscript"/>
        </w:rPr>
        <w:t>d</w:t>
      </w:r>
      <w:r>
        <w:rPr>
          <w:rFonts w:ascii="Times New Roman" w:eastAsia="Times New Roman" w:hAnsi="Times New Roman" w:cs="Times New Roman"/>
          <w:i/>
          <w:iCs/>
          <w:kern w:val="22"/>
          <w:sz w:val="20"/>
          <w:szCs w:val="20"/>
        </w:rPr>
        <w:t>The</w:t>
      </w:r>
      <w:proofErr w:type="spellEnd"/>
      <w:r>
        <w:rPr>
          <w:rFonts w:ascii="Times New Roman" w:eastAsia="Times New Roman" w:hAnsi="Times New Roman" w:cs="Times New Roman"/>
          <w:i/>
          <w:iCs/>
          <w:kern w:val="22"/>
          <w:sz w:val="20"/>
          <w:szCs w:val="20"/>
        </w:rPr>
        <w:t xml:space="preserve"> Faraday Institution, Quad One, Harwell Science and Innovation Campus, </w:t>
      </w:r>
      <w:proofErr w:type="spellStart"/>
      <w:r>
        <w:rPr>
          <w:rFonts w:ascii="Times New Roman" w:eastAsia="Times New Roman" w:hAnsi="Times New Roman" w:cs="Times New Roman"/>
          <w:i/>
          <w:iCs/>
          <w:kern w:val="22"/>
          <w:sz w:val="20"/>
          <w:szCs w:val="20"/>
        </w:rPr>
        <w:t>Didcot</w:t>
      </w:r>
      <w:proofErr w:type="spellEnd"/>
      <w:r>
        <w:rPr>
          <w:rFonts w:ascii="Times New Roman" w:eastAsia="Times New Roman" w:hAnsi="Times New Roman" w:cs="Times New Roman"/>
          <w:i/>
          <w:iCs/>
          <w:kern w:val="22"/>
          <w:sz w:val="20"/>
          <w:szCs w:val="20"/>
        </w:rPr>
        <w:t>, United Kingdom</w:t>
      </w:r>
    </w:p>
    <w:p w14:paraId="3AE6C0F9" w14:textId="77777777" w:rsidR="00672135" w:rsidRDefault="00120DF0">
      <w:pPr>
        <w:widowControl/>
        <w:rPr>
          <w:rFonts w:ascii="Times New Roman" w:eastAsia="Arial Unicode MS" w:hAnsi="Times New Roman" w:cs="Times New Roman"/>
          <w:kern w:val="0"/>
        </w:rPr>
      </w:pPr>
      <w:r>
        <w:rPr>
          <w:rFonts w:ascii="Times New Roman" w:eastAsia="Arial Unicode MS" w:hAnsi="Times New Roman" w:cs="Times New Roman"/>
          <w:kern w:val="0"/>
        </w:rPr>
        <w:t xml:space="preserve">Email: </w:t>
      </w:r>
      <w:hyperlink r:id="rId9" w:history="1">
        <w:r>
          <w:rPr>
            <w:rStyle w:val="af0"/>
            <w:rFonts w:ascii="Times New Roman" w:eastAsia="Arial Unicode MS" w:hAnsi="Times New Roman" w:cs="Times New Roman"/>
            <w:kern w:val="0"/>
          </w:rPr>
          <w:t>liuxinhua19@buaa.edu.cn</w:t>
        </w:r>
      </w:hyperlink>
    </w:p>
    <w:p w14:paraId="4185E07B" w14:textId="77777777" w:rsidR="00672135" w:rsidRDefault="00672135">
      <w:pPr>
        <w:widowControl/>
        <w:rPr>
          <w:rFonts w:ascii="Times New Roman" w:eastAsia="Arial Unicode MS" w:hAnsi="Times New Roman" w:cs="Times New Roman"/>
          <w:kern w:val="0"/>
        </w:rPr>
      </w:pPr>
    </w:p>
    <w:p w14:paraId="4801A839" w14:textId="77777777" w:rsidR="00672135" w:rsidRDefault="00672135">
      <w:pPr>
        <w:widowControl/>
        <w:rPr>
          <w:rFonts w:ascii="Times New Roman" w:eastAsia="Arial Unicode MS" w:hAnsi="Times New Roman" w:cs="Times New Roman"/>
          <w:kern w:val="0"/>
        </w:rPr>
      </w:pPr>
    </w:p>
    <w:p w14:paraId="029F6EDF" w14:textId="77777777" w:rsidR="00672135" w:rsidRDefault="00120DF0">
      <w:pPr>
        <w:rPr>
          <w:rFonts w:ascii="Times New Roman" w:hAnsi="Times New Roman" w:cs="Times New Roman"/>
        </w:rPr>
      </w:pPr>
      <w:r>
        <w:rPr>
          <w:rFonts w:ascii="Times New Roman" w:hAnsi="Times New Roman" w:cs="Times New Roman" w:hint="eastAsia"/>
        </w:rPr>
        <w:t>Context &amp; Scale</w:t>
      </w:r>
    </w:p>
    <w:p w14:paraId="396D2486" w14:textId="129BEFCD" w:rsidR="00672135" w:rsidRPr="00457DEA" w:rsidRDefault="00120DF0">
      <w:pPr>
        <w:rPr>
          <w:rFonts w:ascii="Times New Roman" w:eastAsia="Arial Unicode MS" w:hAnsi="Times New Roman" w:cs="Times New Roman"/>
          <w:color w:val="0D0D0D" w:themeColor="text1" w:themeTint="F2"/>
          <w:kern w:val="0"/>
        </w:rPr>
      </w:pPr>
      <w:r w:rsidRPr="00457DEA">
        <w:rPr>
          <w:rFonts w:ascii="Times New Roman" w:eastAsia="Arial Unicode MS" w:hAnsi="Times New Roman" w:cs="Times New Roman" w:hint="eastAsia"/>
          <w:color w:val="0D0D0D" w:themeColor="text1" w:themeTint="F2"/>
          <w:kern w:val="0"/>
        </w:rPr>
        <w:t>T</w:t>
      </w:r>
      <w:r w:rsidRPr="00457DEA">
        <w:rPr>
          <w:rFonts w:ascii="Times New Roman" w:eastAsia="Arial Unicode MS" w:hAnsi="Times New Roman" w:cs="Times New Roman"/>
          <w:color w:val="0D0D0D" w:themeColor="text1" w:themeTint="F2"/>
          <w:kern w:val="0"/>
        </w:rPr>
        <w:t xml:space="preserve">here is an </w:t>
      </w:r>
      <w:hyperlink r:id="rId10" w:anchor="/javascript:;" w:history="1">
        <w:r w:rsidRPr="00457DEA">
          <w:rPr>
            <w:rFonts w:ascii="Times New Roman" w:eastAsia="Arial Unicode MS" w:hAnsi="Times New Roman" w:cs="Times New Roman"/>
            <w:color w:val="0D0D0D" w:themeColor="text1" w:themeTint="F2"/>
            <w:kern w:val="0"/>
          </w:rPr>
          <w:t>explosive</w:t>
        </w:r>
      </w:hyperlink>
      <w:r w:rsidRPr="00457DEA">
        <w:rPr>
          <w:rFonts w:ascii="Times New Roman" w:eastAsia="Arial Unicode MS" w:hAnsi="Times New Roman" w:cs="Times New Roman"/>
          <w:color w:val="0D0D0D" w:themeColor="text1" w:themeTint="F2"/>
          <w:kern w:val="0"/>
        </w:rPr>
        <w:t> growing interest in electric vehicles</w:t>
      </w:r>
      <w:r w:rsidRPr="00457DEA">
        <w:rPr>
          <w:rFonts w:ascii="Times New Roman" w:eastAsia="Arial Unicode MS" w:hAnsi="Times New Roman" w:cs="Times New Roman" w:hint="eastAsia"/>
          <w:color w:val="0D0D0D" w:themeColor="text1" w:themeTint="F2"/>
          <w:kern w:val="0"/>
        </w:rPr>
        <w:t xml:space="preserve"> because of their </w:t>
      </w:r>
      <w:r w:rsidRPr="00457DEA">
        <w:rPr>
          <w:rFonts w:ascii="Times New Roman" w:eastAsia="Arial Unicode MS" w:hAnsi="Times New Roman" w:cs="Times New Roman"/>
          <w:color w:val="0D0D0D" w:themeColor="text1" w:themeTint="F2"/>
          <w:kern w:val="0"/>
        </w:rPr>
        <w:t>great potential benefits to reduce greenhouse gas emission</w:t>
      </w:r>
      <w:r w:rsidRPr="00457DEA">
        <w:rPr>
          <w:rFonts w:ascii="Times New Roman" w:eastAsia="Arial Unicode MS" w:hAnsi="Times New Roman" w:cs="Times New Roman" w:hint="eastAsia"/>
          <w:color w:val="0D0D0D" w:themeColor="text1" w:themeTint="F2"/>
          <w:kern w:val="0"/>
        </w:rPr>
        <w:t>s</w:t>
      </w:r>
      <w:r w:rsidRPr="00457DEA">
        <w:rPr>
          <w:rFonts w:ascii="Times New Roman" w:eastAsia="Arial Unicode MS" w:hAnsi="Times New Roman" w:cs="Times New Roman"/>
          <w:color w:val="0D0D0D" w:themeColor="text1" w:themeTint="F2"/>
          <w:kern w:val="0"/>
        </w:rPr>
        <w:t xml:space="preserve"> up to </w:t>
      </w:r>
      <w:r w:rsidRPr="00457DEA">
        <w:rPr>
          <w:rFonts w:ascii="Times New Roman" w:eastAsia="Arial Unicode MS" w:hAnsi="Times New Roman" w:cs="Times New Roman" w:hint="eastAsia"/>
          <w:color w:val="0D0D0D" w:themeColor="text1" w:themeTint="F2"/>
          <w:kern w:val="0"/>
        </w:rPr>
        <w:t>~</w:t>
      </w:r>
      <w:r w:rsidRPr="00457DEA">
        <w:rPr>
          <w:rFonts w:ascii="Times New Roman" w:eastAsia="Arial Unicode MS" w:hAnsi="Times New Roman" w:cs="Times New Roman"/>
          <w:color w:val="0D0D0D" w:themeColor="text1" w:themeTint="F2"/>
          <w:kern w:val="0"/>
        </w:rPr>
        <w:t>43% as compared to diesel engine vehicles</w:t>
      </w:r>
      <w:r w:rsidRPr="00457DEA">
        <w:rPr>
          <w:rFonts w:ascii="Times New Roman" w:eastAsia="Arial Unicode MS" w:hAnsi="Times New Roman" w:cs="Times New Roman" w:hint="eastAsia"/>
          <w:color w:val="0D0D0D" w:themeColor="text1" w:themeTint="F2"/>
          <w:kern w:val="0"/>
        </w:rPr>
        <w:t>. However, the battery problem is the main bottleneck of electric vehicle implementation and grid integration, yet the power batteries and battery management systems remain strategically crucial problems concerning safety, reliability, longevity and economy. Toward innovative solution for battery full-lifespan management, cloud battery management system based on the Cyber Hierarchy and Interactional Network</w:t>
      </w:r>
      <w:r w:rsidRPr="00457DEA">
        <w:rPr>
          <w:rFonts w:ascii="Times New Roman" w:eastAsia="Arial Unicode MS" w:hAnsi="Times New Roman" w:cs="Times New Roman"/>
          <w:color w:val="0D0D0D" w:themeColor="text1" w:themeTint="F2"/>
          <w:kern w:val="0"/>
        </w:rPr>
        <w:t xml:space="preserve"> (CHAIN) </w:t>
      </w:r>
      <w:r w:rsidRPr="00457DEA">
        <w:rPr>
          <w:rFonts w:ascii="Times New Roman" w:eastAsia="Arial Unicode MS" w:hAnsi="Times New Roman" w:cs="Times New Roman" w:hint="eastAsia"/>
          <w:color w:val="0D0D0D" w:themeColor="text1" w:themeTint="F2"/>
          <w:kern w:val="0"/>
        </w:rPr>
        <w:t xml:space="preserve">framework is considered as the most promising approach to feature emerging industries. </w:t>
      </w:r>
      <w:bookmarkStart w:id="1" w:name="OLE_LINK4"/>
      <w:r w:rsidRPr="00457DEA">
        <w:rPr>
          <w:rFonts w:ascii="Times New Roman" w:eastAsia="Arial Unicode MS" w:hAnsi="Times New Roman" w:cs="Times New Roman"/>
          <w:color w:val="0D0D0D" w:themeColor="text1" w:themeTint="F2"/>
          <w:kern w:val="0"/>
        </w:rPr>
        <w:t xml:space="preserve">We </w:t>
      </w:r>
      <w:r w:rsidRPr="00457DEA">
        <w:rPr>
          <w:rFonts w:ascii="Times New Roman" w:eastAsia="Arial Unicode MS" w:hAnsi="Times New Roman" w:cs="Times New Roman" w:hint="eastAsia"/>
          <w:color w:val="0D0D0D" w:themeColor="text1" w:themeTint="F2"/>
          <w:kern w:val="0"/>
        </w:rPr>
        <w:t>proposed a</w:t>
      </w:r>
      <w:r w:rsidRPr="00457DEA">
        <w:rPr>
          <w:rFonts w:ascii="Times New Roman" w:eastAsia="Arial Unicode MS" w:hAnsi="Times New Roman" w:cs="Times New Roman"/>
          <w:color w:val="0D0D0D" w:themeColor="text1" w:themeTint="F2"/>
          <w:kern w:val="0"/>
        </w:rPr>
        <w:t xml:space="preserve"> cloud to things framework</w:t>
      </w:r>
      <w:r w:rsidRPr="00457DEA">
        <w:rPr>
          <w:rFonts w:ascii="Times New Roman" w:eastAsia="Arial Unicode MS" w:hAnsi="Times New Roman" w:cs="Times New Roman" w:hint="eastAsia"/>
          <w:color w:val="0D0D0D" w:themeColor="text1" w:themeTint="F2"/>
          <w:kern w:val="0"/>
        </w:rPr>
        <w:t xml:space="preserve"> with </w:t>
      </w:r>
      <w:r w:rsidRPr="00457DEA">
        <w:rPr>
          <w:rFonts w:ascii="Times New Roman" w:eastAsia="Arial Unicode MS" w:hAnsi="Times New Roman" w:cs="Times New Roman"/>
          <w:color w:val="0D0D0D" w:themeColor="text1" w:themeTint="F2"/>
          <w:kern w:val="0"/>
        </w:rPr>
        <w:t>four subsystems: end, edge, cloud and knowledge</w:t>
      </w:r>
      <w:r w:rsidRPr="00457DEA">
        <w:rPr>
          <w:rFonts w:ascii="Times New Roman" w:eastAsia="Arial Unicode MS" w:hAnsi="Times New Roman" w:cs="Times New Roman" w:hint="eastAsia"/>
          <w:color w:val="0D0D0D" w:themeColor="text1" w:themeTint="F2"/>
          <w:kern w:val="0"/>
        </w:rPr>
        <w:t xml:space="preserve"> by </w:t>
      </w:r>
      <w:r w:rsidRPr="00457DEA">
        <w:rPr>
          <w:rFonts w:ascii="Times New Roman" w:eastAsia="Arial Unicode MS" w:hAnsi="Times New Roman" w:cs="Times New Roman"/>
          <w:color w:val="0D0D0D" w:themeColor="text1" w:themeTint="F2"/>
          <w:kern w:val="0"/>
        </w:rPr>
        <w:t xml:space="preserve">combining digital twin with deep learning approaches, </w:t>
      </w:r>
      <w:r w:rsidRPr="00457DEA">
        <w:rPr>
          <w:rFonts w:ascii="Times New Roman" w:eastAsia="Arial Unicode MS" w:hAnsi="Times New Roman" w:cs="Times New Roman" w:hint="eastAsia"/>
          <w:color w:val="0D0D0D" w:themeColor="text1" w:themeTint="F2"/>
          <w:kern w:val="0"/>
        </w:rPr>
        <w:t>complex d</w:t>
      </w:r>
      <w:r w:rsidRPr="00457DEA">
        <w:rPr>
          <w:rFonts w:ascii="Times New Roman" w:eastAsia="Arial Unicode MS" w:hAnsi="Times New Roman" w:cs="Times New Roman"/>
          <w:color w:val="0D0D0D" w:themeColor="text1" w:themeTint="F2"/>
          <w:kern w:val="0"/>
        </w:rPr>
        <w:t>etection, prediction and optimization functions</w:t>
      </w:r>
      <w:r w:rsidRPr="00457DEA">
        <w:rPr>
          <w:rFonts w:ascii="Times New Roman" w:eastAsia="Arial Unicode MS" w:hAnsi="Times New Roman" w:cs="Times New Roman" w:hint="eastAsia"/>
          <w:color w:val="0D0D0D" w:themeColor="text1" w:themeTint="F2"/>
          <w:kern w:val="0"/>
        </w:rPr>
        <w:t xml:space="preserve">. Further, we </w:t>
      </w:r>
      <w:r w:rsidRPr="00457DEA">
        <w:rPr>
          <w:rFonts w:ascii="Times New Roman" w:eastAsia="Arial Unicode MS" w:hAnsi="Times New Roman" w:cs="Times New Roman"/>
          <w:color w:val="0D0D0D" w:themeColor="text1" w:themeTint="F2"/>
          <w:kern w:val="0"/>
        </w:rPr>
        <w:t>demonstrated a</w:t>
      </w:r>
      <w:r w:rsidR="006A5A81" w:rsidRPr="00457DEA">
        <w:rPr>
          <w:rFonts w:ascii="Times New Roman" w:eastAsia="Arial Unicode MS" w:hAnsi="Times New Roman" w:cs="Times New Roman"/>
          <w:color w:val="0D0D0D" w:themeColor="text1" w:themeTint="F2"/>
          <w:kern w:val="0"/>
        </w:rPr>
        <w:t xml:space="preserve"> </w:t>
      </w:r>
      <w:r w:rsidR="006A5A81" w:rsidRPr="00457DEA">
        <w:rPr>
          <w:rFonts w:ascii="Times New Roman" w:eastAsia="Arial Unicode MS" w:hAnsi="Times New Roman" w:cs="Times New Roman" w:hint="eastAsia"/>
          <w:color w:val="0D0D0D" w:themeColor="text1" w:themeTint="F2"/>
          <w:kern w:val="0"/>
        </w:rPr>
        <w:t>general</w:t>
      </w:r>
      <w:r w:rsidRPr="00457DEA">
        <w:rPr>
          <w:rFonts w:ascii="Times New Roman" w:eastAsia="Arial Unicode MS" w:hAnsi="Times New Roman" w:cs="Times New Roman"/>
          <w:color w:val="0D0D0D" w:themeColor="text1" w:themeTint="F2"/>
          <w:kern w:val="0"/>
        </w:rPr>
        <w:t xml:space="preserve"> framework utilizing an end-edge-cloud architecture for a cloud-based </w:t>
      </w:r>
      <w:r w:rsidRPr="00457DEA">
        <w:rPr>
          <w:rFonts w:ascii="Times New Roman" w:eastAsia="Arial Unicode MS" w:hAnsi="Times New Roman" w:cs="Times New Roman" w:hint="eastAsia"/>
          <w:color w:val="0D0D0D" w:themeColor="text1" w:themeTint="F2"/>
          <w:kern w:val="0"/>
        </w:rPr>
        <w:t xml:space="preserve">battery </w:t>
      </w:r>
      <w:r w:rsidRPr="00457DEA">
        <w:rPr>
          <w:rFonts w:ascii="Times New Roman" w:eastAsia="Arial Unicode MS" w:hAnsi="Times New Roman" w:cs="Times New Roman"/>
          <w:color w:val="0D0D0D" w:themeColor="text1" w:themeTint="F2"/>
          <w:kern w:val="0"/>
        </w:rPr>
        <w:t xml:space="preserve">management </w:t>
      </w:r>
      <w:r w:rsidRPr="00457DEA">
        <w:rPr>
          <w:rFonts w:ascii="Times New Roman" w:eastAsia="Arial Unicode MS" w:hAnsi="Times New Roman" w:cs="Times New Roman" w:hint="eastAsia"/>
          <w:color w:val="0D0D0D" w:themeColor="text1" w:themeTint="F2"/>
          <w:kern w:val="0"/>
        </w:rPr>
        <w:t xml:space="preserve">system </w:t>
      </w:r>
      <w:r w:rsidRPr="00457DEA">
        <w:rPr>
          <w:rFonts w:ascii="Times New Roman" w:eastAsia="Arial Unicode MS" w:hAnsi="Times New Roman" w:cs="Times New Roman"/>
          <w:color w:val="0D0D0D" w:themeColor="text1" w:themeTint="F2"/>
          <w:kern w:val="0"/>
        </w:rPr>
        <w:t xml:space="preserve">with </w:t>
      </w:r>
      <w:r w:rsidRPr="00457DEA">
        <w:rPr>
          <w:rFonts w:ascii="Times New Roman" w:eastAsia="Arial Unicode MS" w:hAnsi="Times New Roman" w:cs="Times New Roman" w:hint="eastAsia"/>
          <w:color w:val="0D0D0D" w:themeColor="text1" w:themeTint="F2"/>
          <w:kern w:val="0"/>
        </w:rPr>
        <w:t xml:space="preserve">multi-scale data visualization from </w:t>
      </w:r>
      <w:r w:rsidRPr="00457DEA">
        <w:rPr>
          <w:rFonts w:ascii="Times New Roman" w:eastAsia="Arial Unicode MS" w:hAnsi="Times New Roman" w:cs="Times New Roman"/>
          <w:color w:val="0D0D0D" w:themeColor="text1" w:themeTint="F2"/>
          <w:kern w:val="0"/>
        </w:rPr>
        <w:t>“</w:t>
      </w:r>
      <w:r w:rsidRPr="00457DEA">
        <w:rPr>
          <w:rFonts w:ascii="Times New Roman" w:eastAsia="Arial Unicode MS" w:hAnsi="Times New Roman" w:cs="Times New Roman" w:hint="eastAsia"/>
          <w:color w:val="0D0D0D" w:themeColor="text1" w:themeTint="F2"/>
          <w:kern w:val="0"/>
        </w:rPr>
        <w:t>cell-battery</w:t>
      </w:r>
      <w:r w:rsidR="00000CFC" w:rsidRPr="00457DEA">
        <w:rPr>
          <w:rFonts w:ascii="Times New Roman" w:eastAsia="Arial Unicode MS" w:hAnsi="Times New Roman" w:cs="Times New Roman"/>
          <w:color w:val="0D0D0D" w:themeColor="text1" w:themeTint="F2"/>
          <w:kern w:val="0"/>
        </w:rPr>
        <w:t>-</w:t>
      </w:r>
      <w:r w:rsidRPr="00457DEA">
        <w:rPr>
          <w:rFonts w:ascii="Times New Roman" w:eastAsia="Arial Unicode MS" w:hAnsi="Times New Roman" w:cs="Times New Roman" w:hint="eastAsia"/>
          <w:color w:val="0D0D0D" w:themeColor="text1" w:themeTint="F2"/>
          <w:kern w:val="0"/>
        </w:rPr>
        <w:t>system-vehicle-transportation system</w:t>
      </w:r>
      <w:r w:rsidRPr="00457DEA">
        <w:rPr>
          <w:rFonts w:ascii="Times New Roman" w:eastAsia="Arial Unicode MS" w:hAnsi="Times New Roman" w:cs="Times New Roman"/>
          <w:color w:val="0D0D0D" w:themeColor="text1" w:themeTint="F2"/>
          <w:kern w:val="0"/>
        </w:rPr>
        <w:t>”.</w:t>
      </w:r>
      <w:r w:rsidRPr="00457DEA">
        <w:rPr>
          <w:rFonts w:ascii="Times New Roman" w:eastAsia="Arial Unicode MS" w:hAnsi="Times New Roman" w:cs="Times New Roman" w:hint="eastAsia"/>
          <w:color w:val="0D0D0D" w:themeColor="text1" w:themeTint="F2"/>
          <w:kern w:val="0"/>
        </w:rPr>
        <w:t xml:space="preserve"> </w:t>
      </w:r>
      <w:r w:rsidRPr="00457DEA">
        <w:rPr>
          <w:rFonts w:ascii="Times New Roman" w:eastAsia="Arial Unicode MS" w:hAnsi="Times New Roman" w:cs="Times New Roman"/>
          <w:color w:val="0D0D0D" w:themeColor="text1" w:themeTint="F2"/>
          <w:kern w:val="0"/>
        </w:rPr>
        <w:t xml:space="preserve">The proposed </w:t>
      </w:r>
      <w:r w:rsidRPr="00457DEA">
        <w:rPr>
          <w:rFonts w:ascii="Times New Roman" w:eastAsia="Arial Unicode MS" w:hAnsi="Times New Roman" w:cs="Times New Roman" w:hint="eastAsia"/>
          <w:color w:val="0D0D0D" w:themeColor="text1" w:themeTint="F2"/>
          <w:kern w:val="0"/>
        </w:rPr>
        <w:t>innovative</w:t>
      </w:r>
      <w:r w:rsidRPr="00457DEA">
        <w:rPr>
          <w:rFonts w:ascii="Times New Roman" w:eastAsia="Arial Unicode MS" w:hAnsi="Times New Roman" w:cs="Times New Roman"/>
          <w:color w:val="0D0D0D" w:themeColor="text1" w:themeTint="F2"/>
          <w:kern w:val="0"/>
        </w:rPr>
        <w:t xml:space="preserve"> </w:t>
      </w:r>
      <w:r w:rsidRPr="00457DEA">
        <w:rPr>
          <w:rFonts w:ascii="Times New Roman" w:eastAsia="Arial Unicode MS" w:hAnsi="Times New Roman" w:cs="Times New Roman" w:hint="eastAsia"/>
          <w:color w:val="0D0D0D" w:themeColor="text1" w:themeTint="F2"/>
          <w:kern w:val="0"/>
        </w:rPr>
        <w:t>framework</w:t>
      </w:r>
      <w:r w:rsidRPr="00457DEA">
        <w:rPr>
          <w:rFonts w:ascii="Times New Roman" w:eastAsia="Arial Unicode MS" w:hAnsi="Times New Roman" w:cs="Times New Roman"/>
          <w:color w:val="0D0D0D" w:themeColor="text1" w:themeTint="F2"/>
          <w:kern w:val="0"/>
        </w:rPr>
        <w:t xml:space="preserve"> of </w:t>
      </w:r>
      <w:r w:rsidRPr="00457DEA">
        <w:rPr>
          <w:rFonts w:ascii="Times New Roman" w:eastAsia="Arial Unicode MS" w:hAnsi="Times New Roman" w:cs="Times New Roman" w:hint="eastAsia"/>
          <w:color w:val="0D0D0D" w:themeColor="text1" w:themeTint="F2"/>
          <w:kern w:val="0"/>
        </w:rPr>
        <w:t>c</w:t>
      </w:r>
      <w:r w:rsidRPr="00457DEA">
        <w:rPr>
          <w:rFonts w:ascii="Times New Roman" w:eastAsia="Arial Unicode MS" w:hAnsi="Times New Roman" w:cs="Times New Roman"/>
          <w:color w:val="0D0D0D" w:themeColor="text1" w:themeTint="F2"/>
          <w:kern w:val="0"/>
        </w:rPr>
        <w:t xml:space="preserve">loud </w:t>
      </w:r>
      <w:r w:rsidRPr="00457DEA">
        <w:rPr>
          <w:rFonts w:ascii="Times New Roman" w:eastAsia="Arial Unicode MS" w:hAnsi="Times New Roman" w:cs="Times New Roman" w:hint="eastAsia"/>
          <w:color w:val="0D0D0D" w:themeColor="text1" w:themeTint="F2"/>
          <w:kern w:val="0"/>
        </w:rPr>
        <w:t>battery management system</w:t>
      </w:r>
      <w:r w:rsidRPr="00457DEA">
        <w:rPr>
          <w:rFonts w:ascii="Times New Roman" w:eastAsia="Arial Unicode MS" w:hAnsi="Times New Roman" w:cs="Times New Roman"/>
          <w:color w:val="0D0D0D" w:themeColor="text1" w:themeTint="F2"/>
          <w:kern w:val="0"/>
        </w:rPr>
        <w:t xml:space="preserve"> leverag</w:t>
      </w:r>
      <w:r w:rsidRPr="00457DEA">
        <w:rPr>
          <w:rFonts w:ascii="Times New Roman" w:eastAsia="Arial Unicode MS" w:hAnsi="Times New Roman" w:cs="Times New Roman" w:hint="eastAsia"/>
          <w:color w:val="0D0D0D" w:themeColor="text1" w:themeTint="F2"/>
          <w:kern w:val="0"/>
        </w:rPr>
        <w:t>ing</w:t>
      </w:r>
      <w:r w:rsidRPr="00457DEA">
        <w:rPr>
          <w:rFonts w:ascii="Times New Roman" w:eastAsia="Arial Unicode MS" w:hAnsi="Times New Roman" w:cs="Times New Roman"/>
          <w:color w:val="0D0D0D" w:themeColor="text1" w:themeTint="F2"/>
          <w:kern w:val="0"/>
        </w:rPr>
        <w:t xml:space="preserve"> from the</w:t>
      </w:r>
      <w:r w:rsidRPr="00457DEA">
        <w:rPr>
          <w:rFonts w:ascii="Times New Roman" w:eastAsia="Arial Unicode MS" w:hAnsi="Times New Roman" w:cs="Times New Roman" w:hint="eastAsia"/>
          <w:color w:val="0D0D0D" w:themeColor="text1" w:themeTint="F2"/>
          <w:kern w:val="0"/>
        </w:rPr>
        <w:t xml:space="preserve"> CHAIN</w:t>
      </w:r>
      <w:r w:rsidRPr="00457DEA">
        <w:rPr>
          <w:rFonts w:ascii="Times New Roman" w:eastAsia="Arial Unicode MS" w:hAnsi="Times New Roman" w:cs="Times New Roman"/>
          <w:color w:val="0D0D0D" w:themeColor="text1" w:themeTint="F2"/>
          <w:kern w:val="0"/>
        </w:rPr>
        <w:t xml:space="preserve"> framework provides huge potential</w:t>
      </w:r>
      <w:r w:rsidRPr="00457DEA">
        <w:rPr>
          <w:rFonts w:ascii="Times New Roman" w:eastAsia="Arial Unicode MS" w:hAnsi="Times New Roman" w:cs="Times New Roman" w:hint="eastAsia"/>
          <w:color w:val="0D0D0D" w:themeColor="text1" w:themeTint="F2"/>
          <w:kern w:val="0"/>
          <w:lang w:eastAsia="zh-Hans"/>
        </w:rPr>
        <w:t>s</w:t>
      </w:r>
      <w:r w:rsidRPr="00457DEA">
        <w:rPr>
          <w:rFonts w:ascii="Times New Roman" w:eastAsia="Arial Unicode MS" w:hAnsi="Times New Roman" w:cs="Times New Roman"/>
          <w:color w:val="0D0D0D" w:themeColor="text1" w:themeTint="F2"/>
          <w:kern w:val="0"/>
        </w:rPr>
        <w:t xml:space="preserve"> for further improvement of </w:t>
      </w:r>
      <w:r w:rsidRPr="00457DEA">
        <w:rPr>
          <w:rFonts w:ascii="Times New Roman" w:eastAsia="Arial Unicode MS" w:hAnsi="Times New Roman" w:cs="Times New Roman" w:hint="eastAsia"/>
          <w:color w:val="0D0D0D" w:themeColor="text1" w:themeTint="F2"/>
          <w:kern w:val="0"/>
        </w:rPr>
        <w:t>battery and management system in a smart and sustainable manner.</w:t>
      </w:r>
      <w:bookmarkEnd w:id="1"/>
    </w:p>
    <w:p w14:paraId="3194CDBB" w14:textId="77777777" w:rsidR="00672135" w:rsidRPr="00066849" w:rsidRDefault="00672135">
      <w:pPr>
        <w:rPr>
          <w:rFonts w:ascii="Times New Roman" w:eastAsia="Arial Unicode MS" w:hAnsi="Times New Roman" w:cs="Times New Roman"/>
          <w:kern w:val="0"/>
        </w:rPr>
      </w:pPr>
    </w:p>
    <w:p w14:paraId="34A55926" w14:textId="77777777" w:rsidR="00672135" w:rsidRDefault="00672135">
      <w:pPr>
        <w:rPr>
          <w:rFonts w:ascii="Times New Roman" w:hAnsi="Times New Roman" w:cs="Times New Roman"/>
          <w:b/>
          <w:sz w:val="24"/>
        </w:rPr>
      </w:pPr>
    </w:p>
    <w:p w14:paraId="4659D4F4" w14:textId="77777777" w:rsidR="00672135" w:rsidRDefault="00672135">
      <w:pPr>
        <w:rPr>
          <w:rFonts w:ascii="Times New Roman" w:hAnsi="Times New Roman" w:cs="Times New Roman"/>
          <w:b/>
          <w:sz w:val="24"/>
        </w:rPr>
      </w:pPr>
    </w:p>
    <w:p w14:paraId="7F4B7FC9" w14:textId="77777777" w:rsidR="00672135" w:rsidRDefault="00120DF0">
      <w:pPr>
        <w:rPr>
          <w:rFonts w:ascii="Times New Roman" w:hAnsi="Times New Roman" w:cs="Times New Roman"/>
          <w:b/>
        </w:rPr>
      </w:pPr>
      <w:r>
        <w:rPr>
          <w:rFonts w:ascii="Times New Roman" w:hAnsi="Times New Roman" w:cs="Times New Roman" w:hint="eastAsia"/>
          <w:b/>
          <w:sz w:val="24"/>
        </w:rPr>
        <w:lastRenderedPageBreak/>
        <w:t>SUMMARY</w:t>
      </w:r>
    </w:p>
    <w:p w14:paraId="0E72387C" w14:textId="345C1898" w:rsidR="00672135" w:rsidRPr="00457DEA" w:rsidRDefault="00120DF0">
      <w:pPr>
        <w:widowControl/>
        <w:rPr>
          <w:rFonts w:ascii="Times New Roman" w:eastAsia="Arial Unicode MS" w:hAnsi="Times New Roman" w:cs="Times New Roman"/>
          <w:color w:val="0D0D0D" w:themeColor="text1" w:themeTint="F2"/>
          <w:kern w:val="0"/>
        </w:rPr>
      </w:pPr>
      <w:r w:rsidRPr="00457DEA">
        <w:rPr>
          <w:rFonts w:ascii="Times New Roman" w:eastAsia="Arial Unicode MS" w:hAnsi="Times New Roman" w:cs="Times New Roman" w:hint="eastAsia"/>
          <w:color w:val="0D0D0D" w:themeColor="text1" w:themeTint="F2"/>
          <w:kern w:val="0"/>
        </w:rPr>
        <w:t>A</w:t>
      </w:r>
      <w:r w:rsidRPr="00457DEA">
        <w:rPr>
          <w:rFonts w:ascii="Times New Roman" w:eastAsia="Arial Unicode MS" w:hAnsi="Times New Roman" w:cs="Times New Roman"/>
          <w:color w:val="0D0D0D" w:themeColor="text1" w:themeTint="F2"/>
          <w:kern w:val="0"/>
        </w:rPr>
        <w:t>n intelligent</w:t>
      </w:r>
      <w:r w:rsidRPr="00457DEA">
        <w:rPr>
          <w:rFonts w:ascii="Times New Roman" w:eastAsia="Arial Unicode MS" w:hAnsi="Times New Roman" w:cs="Times New Roman" w:hint="eastAsia"/>
          <w:color w:val="0D0D0D" w:themeColor="text1" w:themeTint="F2"/>
          <w:kern w:val="0"/>
        </w:rPr>
        <w:t xml:space="preserve"> b</w:t>
      </w:r>
      <w:r w:rsidRPr="00457DEA">
        <w:rPr>
          <w:rFonts w:ascii="Times New Roman" w:eastAsia="Arial Unicode MS" w:hAnsi="Times New Roman" w:cs="Times New Roman"/>
          <w:color w:val="0D0D0D" w:themeColor="text1" w:themeTint="F2"/>
          <w:kern w:val="0"/>
        </w:rPr>
        <w:t xml:space="preserve">attery management system is a </w:t>
      </w:r>
      <w:r w:rsidRPr="00457DEA">
        <w:rPr>
          <w:rFonts w:ascii="Times New Roman" w:eastAsia="Arial Unicode MS" w:hAnsi="Times New Roman" w:cs="Times New Roman" w:hint="eastAsia"/>
          <w:color w:val="0D0D0D" w:themeColor="text1" w:themeTint="F2"/>
          <w:kern w:val="0"/>
        </w:rPr>
        <w:t>crucial</w:t>
      </w:r>
      <w:r w:rsidRPr="00457DEA">
        <w:rPr>
          <w:rFonts w:ascii="Times New Roman" w:eastAsia="Arial Unicode MS" w:hAnsi="Times New Roman" w:cs="Times New Roman"/>
          <w:color w:val="0D0D0D" w:themeColor="text1" w:themeTint="F2"/>
          <w:kern w:val="0"/>
        </w:rPr>
        <w:t xml:space="preserve"> enabler for energy storage systems with high </w:t>
      </w:r>
      <w:r w:rsidRPr="00457DEA">
        <w:rPr>
          <w:rFonts w:ascii="Times New Roman" w:eastAsia="Arial Unicode MS" w:hAnsi="Times New Roman" w:cs="Times New Roman" w:hint="eastAsia"/>
          <w:color w:val="0D0D0D" w:themeColor="text1" w:themeTint="F2"/>
          <w:kern w:val="0"/>
        </w:rPr>
        <w:t>power output</w:t>
      </w:r>
      <w:r w:rsidRPr="00457DEA">
        <w:rPr>
          <w:rFonts w:ascii="Times New Roman" w:eastAsia="Arial Unicode MS" w:hAnsi="Times New Roman" w:cs="Times New Roman"/>
          <w:color w:val="0D0D0D" w:themeColor="text1" w:themeTint="F2"/>
          <w:kern w:val="0"/>
        </w:rPr>
        <w:t xml:space="preserve">, increased safety and long lifetimes. With recent developments in </w:t>
      </w:r>
      <w:r w:rsidRPr="00457DEA">
        <w:rPr>
          <w:rFonts w:ascii="Times New Roman" w:eastAsia="Arial Unicode MS" w:hAnsi="Times New Roman" w:cs="Times New Roman" w:hint="eastAsia"/>
          <w:color w:val="0D0D0D" w:themeColor="text1" w:themeTint="F2"/>
          <w:kern w:val="0"/>
        </w:rPr>
        <w:t>cloud computing</w:t>
      </w:r>
      <w:r w:rsidRPr="00457DEA">
        <w:rPr>
          <w:rFonts w:ascii="Times New Roman" w:eastAsia="Arial Unicode MS" w:hAnsi="Times New Roman" w:cs="Times New Roman"/>
          <w:color w:val="0D0D0D" w:themeColor="text1" w:themeTint="F2"/>
          <w:kern w:val="0"/>
        </w:rPr>
        <w:t xml:space="preserve"> and the proliferation of big data, machine learning approaches have begun to deliver invaluable insights, which drives adaptive control of </w:t>
      </w:r>
      <w:r w:rsidRPr="00457DEA">
        <w:rPr>
          <w:rFonts w:ascii="Times New Roman" w:eastAsia="Arial Unicode MS" w:hAnsi="Times New Roman" w:cs="Times New Roman" w:hint="eastAsia"/>
          <w:color w:val="0D0D0D" w:themeColor="text1" w:themeTint="F2"/>
          <w:kern w:val="0"/>
        </w:rPr>
        <w:t>battery management system</w:t>
      </w:r>
      <w:r w:rsidRPr="00457DEA">
        <w:rPr>
          <w:rFonts w:ascii="Times New Roman" w:eastAsia="Arial Unicode MS" w:hAnsi="Times New Roman" w:cs="Times New Roman"/>
          <w:color w:val="0D0D0D" w:themeColor="text1" w:themeTint="F2"/>
          <w:kern w:val="0"/>
        </w:rPr>
        <w:t>s</w:t>
      </w:r>
      <w:r w:rsidRPr="00457DEA">
        <w:rPr>
          <w:rFonts w:ascii="Times New Roman" w:eastAsia="Arial Unicode MS" w:hAnsi="Times New Roman" w:cs="Times New Roman" w:hint="eastAsia"/>
          <w:color w:val="0D0D0D" w:themeColor="text1" w:themeTint="F2"/>
          <w:kern w:val="0"/>
        </w:rPr>
        <w:t xml:space="preserve"> (</w:t>
      </w:r>
      <w:r w:rsidRPr="00457DEA">
        <w:rPr>
          <w:rFonts w:ascii="Times New Roman" w:eastAsia="Arial Unicode MS" w:hAnsi="Times New Roman" w:cs="Times New Roman"/>
          <w:color w:val="0D0D0D" w:themeColor="text1" w:themeTint="F2"/>
          <w:kern w:val="0"/>
        </w:rPr>
        <w:t>BMS</w:t>
      </w:r>
      <w:r w:rsidRPr="00457DEA">
        <w:rPr>
          <w:rFonts w:ascii="Times New Roman" w:eastAsia="Arial Unicode MS" w:hAnsi="Times New Roman" w:cs="Times New Roman" w:hint="eastAsia"/>
          <w:color w:val="0D0D0D" w:themeColor="text1" w:themeTint="F2"/>
          <w:kern w:val="0"/>
        </w:rPr>
        <w:t>)</w:t>
      </w:r>
      <w:r w:rsidRPr="00457DEA">
        <w:rPr>
          <w:rFonts w:ascii="Times New Roman" w:eastAsia="Arial Unicode MS" w:hAnsi="Times New Roman" w:cs="Times New Roman"/>
          <w:color w:val="0D0D0D" w:themeColor="text1" w:themeTint="F2"/>
          <w:kern w:val="0"/>
        </w:rPr>
        <w:t xml:space="preserve"> with improved performance. </w:t>
      </w:r>
      <w:bookmarkStart w:id="2" w:name="OLE_LINK3"/>
      <w:r w:rsidRPr="00457DEA">
        <w:rPr>
          <w:rFonts w:ascii="Times New Roman" w:eastAsia="Arial Unicode MS" w:hAnsi="Times New Roman" w:cs="Times New Roman"/>
          <w:color w:val="0D0D0D" w:themeColor="text1" w:themeTint="F2"/>
          <w:kern w:val="0"/>
        </w:rPr>
        <w:t xml:space="preserve">In this paper, a </w:t>
      </w:r>
      <w:r w:rsidR="00207E55" w:rsidRPr="00457DEA">
        <w:rPr>
          <w:rFonts w:ascii="Times New Roman" w:eastAsia="Arial Unicode MS" w:hAnsi="Times New Roman" w:cs="Times New Roman" w:hint="eastAsia"/>
          <w:color w:val="0D0D0D" w:themeColor="text1" w:themeTint="F2"/>
          <w:kern w:val="0"/>
        </w:rPr>
        <w:t>general</w:t>
      </w:r>
      <w:r w:rsidR="00207E55" w:rsidRPr="00457DEA">
        <w:rPr>
          <w:rFonts w:ascii="Times New Roman" w:eastAsia="Arial Unicode MS" w:hAnsi="Times New Roman" w:cs="Times New Roman"/>
          <w:color w:val="0D0D0D" w:themeColor="text1" w:themeTint="F2"/>
          <w:kern w:val="0"/>
        </w:rPr>
        <w:t xml:space="preserve"> </w:t>
      </w:r>
      <w:r w:rsidRPr="00457DEA">
        <w:rPr>
          <w:rFonts w:ascii="Times New Roman" w:eastAsia="Arial Unicode MS" w:hAnsi="Times New Roman" w:cs="Times New Roman"/>
          <w:color w:val="0D0D0D" w:themeColor="text1" w:themeTint="F2"/>
          <w:kern w:val="0"/>
        </w:rPr>
        <w:t xml:space="preserve">framework utilizing an end-edge-cloud architecture for a cloud-based BMS is proposed, with the composition and function of each link described. </w:t>
      </w:r>
      <w:bookmarkStart w:id="3" w:name="_Hlk70712074"/>
      <w:bookmarkEnd w:id="2"/>
      <w:r w:rsidRPr="00457DEA">
        <w:rPr>
          <w:rFonts w:ascii="Times New Roman" w:eastAsia="Arial Unicode MS" w:hAnsi="Times New Roman" w:cs="Times New Roman"/>
          <w:color w:val="0D0D0D" w:themeColor="text1" w:themeTint="F2"/>
          <w:kern w:val="0"/>
        </w:rPr>
        <w:t xml:space="preserve">Cloud-based BMS leverages from the Cyber Hierarchy and Interactional Network (CHAIN) framework to provide multi-scale insights, more advanced and efficient algorithms can be used to realize the state-of-X estimation, thermal management, cell balancing, fault diagnosis and other functions of traditional BMS system. The battery intelligent monitoring and management platform can visually present battery performance, store working-data to help in-depth understanding of the microscopic evolutionary law, and provide support for the development of control strategies. Currently, </w:t>
      </w:r>
      <w:r w:rsidRPr="00457DEA">
        <w:rPr>
          <w:rFonts w:ascii="Times New Roman" w:eastAsia="Arial Unicode MS" w:hAnsi="Times New Roman" w:cs="Times New Roman" w:hint="eastAsia"/>
          <w:color w:val="0D0D0D" w:themeColor="text1" w:themeTint="F2"/>
          <w:kern w:val="0"/>
          <w:lang w:eastAsia="zh-Hans"/>
        </w:rPr>
        <w:t>t</w:t>
      </w:r>
      <w:r w:rsidRPr="00457DEA">
        <w:rPr>
          <w:rFonts w:ascii="Times New Roman" w:eastAsia="Arial Unicode MS" w:hAnsi="Times New Roman" w:cs="Times New Roman"/>
          <w:color w:val="0D0D0D" w:themeColor="text1" w:themeTint="F2"/>
          <w:kern w:val="0"/>
        </w:rPr>
        <w:t xml:space="preserve">he cloud-based BMS </w:t>
      </w:r>
      <w:r w:rsidRPr="00457DEA">
        <w:rPr>
          <w:rFonts w:ascii="Times New Roman" w:eastAsia="Arial Unicode MS" w:hAnsi="Times New Roman" w:cs="Times New Roman" w:hint="eastAsia"/>
          <w:color w:val="0D0D0D" w:themeColor="text1" w:themeTint="F2"/>
          <w:kern w:val="0"/>
          <w:lang w:eastAsia="zh-Hans"/>
        </w:rPr>
        <w:t>requires</w:t>
      </w:r>
      <w:r w:rsidRPr="00457DEA">
        <w:rPr>
          <w:rFonts w:ascii="Times New Roman" w:eastAsia="Arial Unicode MS" w:hAnsi="Times New Roman" w:cs="Times New Roman"/>
          <w:color w:val="0D0D0D" w:themeColor="text1" w:themeTint="F2"/>
          <w:kern w:val="0"/>
          <w:lang w:eastAsia="zh-Hans"/>
        </w:rPr>
        <w:t xml:space="preserve"> </w:t>
      </w:r>
      <w:r w:rsidRPr="00457DEA">
        <w:rPr>
          <w:rFonts w:ascii="Times New Roman" w:eastAsia="Arial Unicode MS" w:hAnsi="Times New Roman" w:cs="Times New Roman"/>
          <w:color w:val="0D0D0D" w:themeColor="text1" w:themeTint="F2"/>
          <w:kern w:val="0"/>
        </w:rPr>
        <w:t xml:space="preserve">more researches on the multi-scale integrated modeling methods and remote upgrading capability of the controller, these two aspects are very important for the precise management and online upgrade of the system. </w:t>
      </w:r>
      <w:bookmarkEnd w:id="3"/>
      <w:r w:rsidRPr="00457DEA">
        <w:rPr>
          <w:rFonts w:ascii="Times New Roman" w:eastAsia="Arial Unicode MS" w:hAnsi="Times New Roman" w:cs="Times New Roman"/>
          <w:color w:val="0D0D0D" w:themeColor="text1" w:themeTint="F2"/>
          <w:kern w:val="0"/>
        </w:rPr>
        <w:t xml:space="preserve">The utility of this approach is highlighted not only for automotive applications, but for any battery energy storage system, providing a holistic framework for future intelligent and connected battery management. </w:t>
      </w:r>
    </w:p>
    <w:p w14:paraId="4EEDA744" w14:textId="77777777" w:rsidR="00672135" w:rsidRDefault="00120DF0">
      <w:pPr>
        <w:widowControl/>
        <w:rPr>
          <w:rFonts w:ascii="Times New Roman" w:eastAsia="Arial Unicode MS" w:hAnsi="Times New Roman" w:cs="Times New Roman"/>
          <w:kern w:val="0"/>
        </w:rPr>
      </w:pPr>
      <w:r>
        <w:rPr>
          <w:rFonts w:ascii="Times New Roman" w:eastAsia="Arial Unicode MS" w:hAnsi="Times New Roman" w:cs="Times New Roman"/>
          <w:kern w:val="0"/>
        </w:rPr>
        <w:t>K</w:t>
      </w:r>
      <w:r>
        <w:rPr>
          <w:rFonts w:ascii="Times New Roman" w:eastAsia="Arial Unicode MS" w:hAnsi="Times New Roman" w:cs="Times New Roman" w:hint="eastAsia"/>
          <w:kern w:val="0"/>
        </w:rPr>
        <w:t>eywords</w:t>
      </w:r>
      <w:r>
        <w:rPr>
          <w:rFonts w:ascii="Times New Roman" w:eastAsia="Arial Unicode MS" w:hAnsi="Times New Roman" w:cs="Times New Roman" w:hint="eastAsia"/>
          <w:kern w:val="0"/>
        </w:rPr>
        <w:t>：</w:t>
      </w:r>
      <w:r>
        <w:rPr>
          <w:rFonts w:ascii="Times New Roman" w:eastAsia="Arial Unicode MS" w:hAnsi="Times New Roman" w:cs="Times New Roman"/>
          <w:kern w:val="0"/>
        </w:rPr>
        <w:t xml:space="preserve">Battery, </w:t>
      </w:r>
      <w:r>
        <w:rPr>
          <w:rFonts w:ascii="Times New Roman" w:eastAsia="Arial Unicode MS" w:hAnsi="Times New Roman" w:cs="Times New Roman" w:hint="eastAsia"/>
          <w:kern w:val="0"/>
        </w:rPr>
        <w:t>C</w:t>
      </w:r>
      <w:r>
        <w:rPr>
          <w:rFonts w:ascii="Times New Roman" w:eastAsia="Arial Unicode MS" w:hAnsi="Times New Roman" w:cs="Times New Roman"/>
          <w:kern w:val="0"/>
        </w:rPr>
        <w:t xml:space="preserve">HAIN, </w:t>
      </w:r>
      <w:r>
        <w:rPr>
          <w:rFonts w:ascii="Times New Roman" w:eastAsia="Arial Unicode MS" w:hAnsi="Times New Roman" w:cs="Times New Roman" w:hint="eastAsia"/>
          <w:kern w:val="0"/>
        </w:rPr>
        <w:t>c</w:t>
      </w:r>
      <w:r>
        <w:rPr>
          <w:rFonts w:ascii="Times New Roman" w:eastAsia="Arial Unicode MS" w:hAnsi="Times New Roman" w:cs="Times New Roman"/>
          <w:kern w:val="0"/>
        </w:rPr>
        <w:t xml:space="preserve">loud, </w:t>
      </w:r>
      <w:r>
        <w:rPr>
          <w:rFonts w:ascii="Times New Roman" w:eastAsia="Arial Unicode MS" w:hAnsi="Times New Roman" w:cs="Times New Roman" w:hint="eastAsia"/>
          <w:kern w:val="0"/>
        </w:rPr>
        <w:t>battery management system</w:t>
      </w:r>
      <w:r>
        <w:rPr>
          <w:rFonts w:ascii="Times New Roman" w:eastAsia="Arial Unicode MS" w:hAnsi="Times New Roman" w:cs="Times New Roman"/>
          <w:kern w:val="0"/>
        </w:rPr>
        <w:t>, SOX estimation, end-edge-cloud architecture</w:t>
      </w:r>
    </w:p>
    <w:p w14:paraId="0E36BAB7" w14:textId="77777777" w:rsidR="00672135" w:rsidRDefault="00672135">
      <w:pPr>
        <w:widowControl/>
        <w:rPr>
          <w:rFonts w:ascii="Times New Roman" w:eastAsia="Arial Unicode MS" w:hAnsi="Times New Roman" w:cs="Times New Roman"/>
          <w:kern w:val="0"/>
        </w:rPr>
      </w:pPr>
    </w:p>
    <w:p w14:paraId="64A5BE3E" w14:textId="77777777" w:rsidR="00672135" w:rsidRDefault="00120DF0">
      <w:pPr>
        <w:pStyle w:val="1"/>
      </w:pPr>
      <w:r>
        <w:t>I</w:t>
      </w:r>
      <w:r>
        <w:rPr>
          <w:rFonts w:hint="eastAsia"/>
        </w:rPr>
        <w:t>NTRODUCTION</w:t>
      </w:r>
    </w:p>
    <w:p w14:paraId="45804077" w14:textId="7B3FB1E5" w:rsidR="00672135" w:rsidRDefault="00120DF0">
      <w:pPr>
        <w:widowControl/>
        <w:ind w:firstLineChars="200" w:firstLine="441"/>
        <w:rPr>
          <w:rFonts w:ascii="Times New Roman" w:hAnsi="Times New Roman" w:cs="Times New Roman"/>
        </w:rPr>
      </w:pPr>
      <w:r>
        <w:rPr>
          <w:rFonts w:ascii="Times New Roman" w:eastAsia="Arial Unicode MS" w:hAnsi="Times New Roman" w:cs="Times New Roman"/>
          <w:kern w:val="0"/>
          <w:szCs w:val="24"/>
        </w:rPr>
        <w:t xml:space="preserve">The energy crisis and environmental pollution are two major global problems that are </w:t>
      </w:r>
      <w:r>
        <w:rPr>
          <w:rFonts w:ascii="Times New Roman" w:eastAsia="Arial Unicode MS" w:hAnsi="Times New Roman" w:cs="Times New Roman" w:hint="eastAsia"/>
          <w:kern w:val="0"/>
          <w:szCs w:val="24"/>
          <w:lang w:eastAsia="zh-Hans"/>
        </w:rPr>
        <w:t>currently undermining</w:t>
      </w:r>
      <w:r>
        <w:rPr>
          <w:rFonts w:ascii="Times New Roman" w:eastAsia="Arial Unicode MS" w:hAnsi="Times New Roman" w:cs="Times New Roman"/>
          <w:kern w:val="0"/>
          <w:szCs w:val="24"/>
          <w:lang w:eastAsia="zh-Hans"/>
        </w:rPr>
        <w:t xml:space="preserve"> </w:t>
      </w:r>
      <w:r>
        <w:rPr>
          <w:rFonts w:ascii="Times New Roman" w:eastAsia="Arial Unicode MS" w:hAnsi="Times New Roman" w:cs="Times New Roman" w:hint="eastAsia"/>
          <w:kern w:val="0"/>
          <w:szCs w:val="24"/>
          <w:lang w:eastAsia="zh-Hans"/>
        </w:rPr>
        <w:t>the sustainable development of the whole world</w:t>
      </w:r>
      <w:r>
        <w:rPr>
          <w:rFonts w:ascii="Times New Roman" w:eastAsia="Arial Unicode MS" w:hAnsi="Times New Roman" w:cs="Times New Roman"/>
          <w:kern w:val="0"/>
          <w:szCs w:val="24"/>
        </w:rPr>
        <w:t xml:space="preserve">. </w:t>
      </w:r>
      <w:r>
        <w:rPr>
          <w:rFonts w:ascii="Times New Roman" w:eastAsia="Arial Unicode MS" w:hAnsi="Times New Roman" w:cs="Times New Roman" w:hint="eastAsia"/>
          <w:kern w:val="0"/>
          <w:szCs w:val="24"/>
        </w:rPr>
        <w:t>An</w:t>
      </w:r>
      <w:r>
        <w:rPr>
          <w:rFonts w:ascii="Times New Roman" w:eastAsia="Arial Unicode MS" w:hAnsi="Times New Roman" w:cs="Times New Roman"/>
          <w:kern w:val="0"/>
          <w:szCs w:val="24"/>
        </w:rPr>
        <w:t xml:space="preserve"> EU research report highlighted that approximately 27% of carbon dioxide emissions </w:t>
      </w:r>
      <w:r>
        <w:rPr>
          <w:rFonts w:ascii="Times New Roman" w:eastAsia="Arial Unicode MS" w:hAnsi="Times New Roman" w:cs="Times New Roman" w:hint="eastAsia"/>
          <w:kern w:val="0"/>
          <w:szCs w:val="24"/>
        </w:rPr>
        <w:t xml:space="preserve">came from </w:t>
      </w:r>
      <w:r>
        <w:rPr>
          <w:rFonts w:ascii="Times New Roman" w:eastAsia="Arial Unicode MS" w:hAnsi="Times New Roman" w:cs="Times New Roman"/>
          <w:kern w:val="0"/>
          <w:szCs w:val="24"/>
        </w:rPr>
        <w:t>the transportation industry, of which motor vehicles accounted for more than 70%</w:t>
      </w:r>
      <w:r>
        <w:rPr>
          <w:rFonts w:ascii="Times New Roman" w:eastAsia="Arial Unicode MS" w:hAnsi="Times New Roman" w:cs="Times New Roman"/>
          <w:kern w:val="0"/>
          <w:szCs w:val="24"/>
        </w:rPr>
        <w:fldChar w:fldCharType="begin" w:fldLock="1"/>
      </w:r>
      <w:r>
        <w:rPr>
          <w:rFonts w:ascii="Times New Roman" w:eastAsia="Arial Unicode MS" w:hAnsi="Times New Roman" w:cs="Times New Roman"/>
          <w:kern w:val="0"/>
          <w:szCs w:val="24"/>
        </w:rPr>
        <w:instrText>ADDIN CSL_CITATION {"citationItems":[{"id":"ITEM-1","itemData":{"DOI":"10.1016/j.jclepro.2021.126044","ISSN":"09596526","author":[{"dropping-particle":"","family":"Lipu","given":"M.S.Hossain","non-dropping-particle":"","parse-names":false,"suffix":""},{"dropping-particle":"","family":"Hannan","given":"M.A.","non-dropping-particle":"","parse-names":false,"suffix":""},{"dropping-particle":"","family":"Karim","given":"Tahia F.","non-dropping-particle":"","parse-names":false,"suffix":""},{"dropping-particle":"","family":"Hussain","given":"Aini","non-dropping-particle":"","parse-names":false,"suffix":""},{"dropping-particle":"","family":"Saad","given":"Mohamad H.M.","non-dropping-particle":"","parse-names":false,"suffix":""},{"dropping-particle":"","family":"Ayob","given":"Afida","non-dropping-particle":"","parse-names":false,"suffix":""},{"dropping-particle":"","family":"Miah","given":"Md.Sazal","non-dropping-particle":"","parse-names":false,"suffix":""},{"dropping-particle":"","family":"Mahlia","given":"T.M.I.","non-dropping-particle":"","parse-names":false,"suffix":""}],"container-title":"Journal of Cleaner Production","id":"ITEM-1","issued":{"date-parts":[["2021"]]},"page":"126044","title":"Intelligent algorithms and control strategies for battery management system in electric vehicles: Progress, challenges and future outlook","type":"article-journal","volume":"292"},"uris":["http://www.mendeley.com/documents/?uuid=e28bc0d7-a1d6-4f8a-b32f-1f6040986343","http://www.mendeley.com/documents/?uuid=91793b84-b3ec-4ef7-bbff-cf083deb0148","http://www.mendeley.com/documents/?uuid=6b5234e3-ac77-4961-80a2-b31fa9cdc75e","http://www.mendeley.com/documents/?uuid=f632f3c8-3b72-44c4-be1e-7d54d14b71e5"]}],"mendeley":{"formattedCitation":"[1]","plainTextFormattedCitation":"[1]","previouslyFormattedCitation":"[1]"},"properties":{"noteIndex":0},"schema":"https://github.com/citation-style-language/schema/raw/master/csl-citation.json"}</w:instrText>
      </w:r>
      <w:r>
        <w:rPr>
          <w:rFonts w:ascii="Times New Roman" w:eastAsia="Arial Unicode MS" w:hAnsi="Times New Roman" w:cs="Times New Roman"/>
          <w:kern w:val="0"/>
          <w:szCs w:val="24"/>
        </w:rPr>
        <w:fldChar w:fldCharType="separate"/>
      </w:r>
      <w:r>
        <w:rPr>
          <w:rFonts w:ascii="Times New Roman" w:eastAsia="Arial Unicode MS" w:hAnsi="Times New Roman" w:cs="Times New Roman"/>
          <w:noProof/>
          <w:kern w:val="0"/>
          <w:szCs w:val="24"/>
        </w:rPr>
        <w:t>[1]</w:t>
      </w:r>
      <w:r>
        <w:rPr>
          <w:rFonts w:ascii="Times New Roman" w:eastAsia="Arial Unicode MS" w:hAnsi="Times New Roman" w:cs="Times New Roman"/>
          <w:kern w:val="0"/>
          <w:szCs w:val="24"/>
        </w:rPr>
        <w:fldChar w:fldCharType="end"/>
      </w:r>
      <w:r>
        <w:rPr>
          <w:rFonts w:ascii="Times New Roman" w:eastAsia="Arial Unicode MS" w:hAnsi="Times New Roman" w:cs="Times New Roman"/>
          <w:kern w:val="0"/>
          <w:szCs w:val="24"/>
        </w:rPr>
        <w:t xml:space="preserve">. </w:t>
      </w:r>
      <w:r>
        <w:rPr>
          <w:rFonts w:ascii="Times New Roman" w:eastAsia="Arial Unicode MS" w:hAnsi="Times New Roman" w:cs="Times New Roman" w:hint="eastAsia"/>
          <w:kern w:val="0"/>
          <w:szCs w:val="24"/>
        </w:rPr>
        <w:t>In recent year</w:t>
      </w:r>
      <w:r>
        <w:rPr>
          <w:rFonts w:ascii="Times New Roman" w:eastAsia="Arial Unicode MS" w:hAnsi="Times New Roman" w:cs="Times New Roman"/>
          <w:kern w:val="0"/>
          <w:szCs w:val="24"/>
        </w:rPr>
        <w:t>s</w:t>
      </w:r>
      <w:r>
        <w:rPr>
          <w:rFonts w:ascii="Times New Roman" w:eastAsia="Arial Unicode MS" w:hAnsi="Times New Roman" w:cs="Times New Roman" w:hint="eastAsia"/>
          <w:kern w:val="0"/>
          <w:szCs w:val="24"/>
        </w:rPr>
        <w:t>, e</w:t>
      </w:r>
      <w:r>
        <w:rPr>
          <w:rFonts w:ascii="Times New Roman" w:eastAsia="Arial Unicode MS" w:hAnsi="Times New Roman" w:cs="Times New Roman"/>
          <w:kern w:val="0"/>
          <w:szCs w:val="24"/>
        </w:rPr>
        <w:t>lectric vehicles</w:t>
      </w:r>
      <w:r>
        <w:rPr>
          <w:rFonts w:ascii="Times New Roman" w:eastAsia="Arial Unicode MS" w:hAnsi="Times New Roman" w:cs="Times New Roman" w:hint="eastAsia"/>
          <w:kern w:val="0"/>
          <w:szCs w:val="24"/>
        </w:rPr>
        <w:t xml:space="preserve"> (EVs)</w:t>
      </w:r>
      <w:r>
        <w:rPr>
          <w:rFonts w:ascii="Times New Roman" w:eastAsia="Arial Unicode MS" w:hAnsi="Times New Roman" w:cs="Times New Roman"/>
          <w:kern w:val="0"/>
          <w:szCs w:val="24"/>
        </w:rPr>
        <w:t xml:space="preserve"> have</w:t>
      </w:r>
      <w:r>
        <w:rPr>
          <w:rFonts w:ascii="Times New Roman" w:eastAsia="Arial Unicode MS" w:hAnsi="Times New Roman" w:cs="Times New Roman" w:hint="eastAsia"/>
          <w:kern w:val="0"/>
          <w:szCs w:val="24"/>
        </w:rPr>
        <w:t xml:space="preserve"> been</w:t>
      </w:r>
      <w:r>
        <w:rPr>
          <w:rFonts w:ascii="Times New Roman" w:eastAsia="Arial Unicode MS" w:hAnsi="Times New Roman" w:cs="Times New Roman"/>
          <w:kern w:val="0"/>
          <w:szCs w:val="24"/>
        </w:rPr>
        <w:t xml:space="preserve"> increasingly deployed due to their high-efficiency</w:t>
      </w:r>
      <w:r>
        <w:rPr>
          <w:rFonts w:ascii="Times New Roman" w:eastAsia="Arial Unicode MS" w:hAnsi="Times New Roman" w:cs="Times New Roman" w:hint="eastAsia"/>
          <w:kern w:val="0"/>
          <w:szCs w:val="24"/>
        </w:rPr>
        <w:t xml:space="preserve">, low-noise and </w:t>
      </w:r>
      <w:r>
        <w:rPr>
          <w:rFonts w:ascii="Times New Roman" w:eastAsia="Arial Unicode MS" w:hAnsi="Times New Roman" w:cs="Times New Roman"/>
          <w:kern w:val="0"/>
          <w:szCs w:val="24"/>
        </w:rPr>
        <w:t xml:space="preserve">zero local </w:t>
      </w:r>
      <w:r>
        <w:rPr>
          <w:rFonts w:ascii="Times New Roman" w:eastAsia="Arial Unicode MS" w:hAnsi="Times New Roman" w:cs="Times New Roman" w:hint="eastAsia"/>
          <w:kern w:val="0"/>
          <w:szCs w:val="24"/>
        </w:rPr>
        <w:t>emission</w:t>
      </w:r>
      <w:r>
        <w:rPr>
          <w:rFonts w:ascii="Times New Roman" w:eastAsia="Arial Unicode MS" w:hAnsi="Times New Roman" w:cs="Times New Roman"/>
          <w:kern w:val="0"/>
          <w:szCs w:val="24"/>
        </w:rPr>
        <w:t xml:space="preserve"> characteristics. The lithium-ion batter</w:t>
      </w:r>
      <w:r>
        <w:rPr>
          <w:rFonts w:ascii="Times New Roman" w:eastAsia="Arial Unicode MS" w:hAnsi="Times New Roman" w:cs="Times New Roman" w:hint="eastAsia"/>
          <w:kern w:val="0"/>
          <w:szCs w:val="24"/>
        </w:rPr>
        <w:t>y</w:t>
      </w:r>
      <w:r>
        <w:rPr>
          <w:rFonts w:ascii="Times New Roman" w:eastAsia="Arial Unicode MS" w:hAnsi="Times New Roman" w:cs="Times New Roman"/>
          <w:kern w:val="0"/>
          <w:szCs w:val="24"/>
        </w:rPr>
        <w:t xml:space="preserve"> is currently the preferred power source for </w:t>
      </w:r>
      <w:r>
        <w:rPr>
          <w:rFonts w:ascii="Times New Roman" w:eastAsia="Arial Unicode MS" w:hAnsi="Times New Roman" w:cs="Times New Roman" w:hint="eastAsia"/>
          <w:kern w:val="0"/>
          <w:szCs w:val="24"/>
        </w:rPr>
        <w:t>EV</w:t>
      </w:r>
      <w:r>
        <w:rPr>
          <w:rFonts w:ascii="Times New Roman" w:eastAsia="Arial Unicode MS" w:hAnsi="Times New Roman" w:cs="Times New Roman"/>
          <w:kern w:val="0"/>
          <w:szCs w:val="24"/>
        </w:rPr>
        <w:t>s</w:t>
      </w:r>
      <w:r>
        <w:rPr>
          <w:rFonts w:ascii="Times New Roman" w:eastAsia="Arial Unicode MS" w:hAnsi="Times New Roman" w:cs="Times New Roman" w:hint="eastAsia"/>
          <w:kern w:val="0"/>
          <w:szCs w:val="24"/>
        </w:rPr>
        <w:t xml:space="preserve">, </w:t>
      </w:r>
      <w:r>
        <w:rPr>
          <w:rFonts w:ascii="Times New Roman" w:eastAsia="Arial Unicode MS" w:hAnsi="Times New Roman" w:cs="Times New Roman"/>
          <w:kern w:val="0"/>
          <w:szCs w:val="24"/>
        </w:rPr>
        <w:t>and ha</w:t>
      </w:r>
      <w:r>
        <w:rPr>
          <w:rFonts w:ascii="Times New Roman" w:eastAsia="Arial Unicode MS" w:hAnsi="Times New Roman" w:cs="Times New Roman" w:hint="eastAsia"/>
          <w:kern w:val="0"/>
          <w:szCs w:val="24"/>
        </w:rPr>
        <w:t>s</w:t>
      </w:r>
      <w:r>
        <w:rPr>
          <w:rFonts w:ascii="Times New Roman" w:eastAsia="Arial Unicode MS" w:hAnsi="Times New Roman" w:cs="Times New Roman"/>
          <w:kern w:val="0"/>
          <w:szCs w:val="24"/>
        </w:rPr>
        <w:t xml:space="preserve"> ignited research activities in </w:t>
      </w:r>
      <w:r>
        <w:rPr>
          <w:rFonts w:ascii="Times New Roman" w:eastAsia="Arial Unicode MS" w:hAnsi="Times New Roman" w:cs="Times New Roman" w:hint="eastAsia"/>
          <w:kern w:val="0"/>
          <w:szCs w:val="24"/>
        </w:rPr>
        <w:t xml:space="preserve">both </w:t>
      </w:r>
      <w:r>
        <w:rPr>
          <w:rFonts w:ascii="Times New Roman" w:eastAsia="Arial Unicode MS" w:hAnsi="Times New Roman" w:cs="Times New Roman"/>
          <w:kern w:val="0"/>
          <w:szCs w:val="24"/>
        </w:rPr>
        <w:t>academia and industry. Key considerations for the successful deployment of the technology spans its complete life cycle value chain, including: raw material mining, cell component manufacturing, cell assembling, battery pack manufacturing, EV manufacturing and recycling</w:t>
      </w:r>
      <w:r>
        <w:rPr>
          <w:rFonts w:ascii="Times New Roman" w:eastAsia="Arial Unicode MS" w:hAnsi="Times New Roman" w:cs="Times New Roman"/>
          <w:kern w:val="0"/>
          <w:szCs w:val="24"/>
        </w:rPr>
        <w:fldChar w:fldCharType="begin" w:fldLock="1"/>
      </w:r>
      <w:r>
        <w:rPr>
          <w:rFonts w:ascii="Times New Roman" w:eastAsia="Arial Unicode MS" w:hAnsi="Times New Roman" w:cs="Times New Roman"/>
          <w:kern w:val="0"/>
          <w:szCs w:val="24"/>
        </w:rPr>
        <w:instrText>ADDIN CSL_CITATION {"citationItems":[{"id":"ITEM-1","itemData":{"DOI":"10.1016/j.apenergy.2011.08.005","ISSN":"03062619","abstract":"The accurate estimation of internal parameters and state-of-charge (SoC) of battery, which greatly depends on proper models and corresponding high-efficiency, high-accuracy algorithms, is one of the critical issues for the battery management system. A model-based online estimation method of a LiFePO4 battery is presented for application in electric vehicles (EVs) by using an adaptive extended Kalman filter (AEKF) algorithm. The Thevenin equivalent circuit model is selected to model the LiFePO4 battery and its mathematics equations are deduced to some extent. Additionally, an implementation of the AEKF algorithm is elaborated and employed for the online parameters' estimation of the LiFePO4 battery model. To illustrate advantages of the online parameters' estimation, a comparison analysis is performed on the terminal voltages between the online estimation and the offline calculation under the Hybrid pulse power characteristic (HPPC) test and the Urban Dynamometer Driving Schedule (UDDS) test. Furthermore, an efficient online SoC estimation approach based on the online estimation result of open-circuit voltage (OCV) is proposed. The experimental results show that the online SoC estimation based on OCV-SoC can efficiently limit the error below 0.041. © 2011 Elsevier Ltd.","author":[{"dropping-particle":"","family":"He","given":"Hongwen","non-dropping-particle":"","parse-names":false,"suffix":""},{"dropping-particle":"","family":"Xiong","given":"Rui","non-dropping-particle":"","parse-names":false,"suffix":""},{"dropping-particle":"","family":"Guo","given":"Hongqiang","non-dropping-particle":"","parse-names":false,"suffix":""}],"container-title":"Applied Energy","id":"ITEM-1","issue":"1","issued":{"date-parts":[["2012"]]},"page":"413-420","publisher":"Elsevier Ltd","title":"Online estimation of model parameters and state-of-charge of LiFePO4 batteries in electric vehicles","type":"article-journal","volume":"89"},"uris":["http://www.mendeley.com/documents/?uuid=40ee3fa3-3410-4da3-9815-c2faa8426fd2","http://www.mendeley.com/documents/?uuid=7e25a70f-8003-4ec5-8304-591685f1f72c"]}],"mendeley":{"formattedCitation":"[2]","plainTextFormattedCitation":"[2]","previouslyFormattedCitation":"[2]"},"properties":{"noteIndex":0},"schema":"https://github.com/citation-style-language/schema/raw/master/csl-citation.json"}</w:instrText>
      </w:r>
      <w:r>
        <w:rPr>
          <w:rFonts w:ascii="Times New Roman" w:eastAsia="Arial Unicode MS" w:hAnsi="Times New Roman" w:cs="Times New Roman"/>
          <w:kern w:val="0"/>
          <w:szCs w:val="24"/>
        </w:rPr>
        <w:fldChar w:fldCharType="separate"/>
      </w:r>
      <w:r>
        <w:rPr>
          <w:rFonts w:ascii="Times New Roman" w:eastAsia="Arial Unicode MS" w:hAnsi="Times New Roman" w:cs="Times New Roman"/>
          <w:noProof/>
          <w:kern w:val="0"/>
          <w:szCs w:val="24"/>
        </w:rPr>
        <w:t>[2]</w:t>
      </w:r>
      <w:r>
        <w:rPr>
          <w:rFonts w:ascii="Times New Roman" w:eastAsia="Arial Unicode MS" w:hAnsi="Times New Roman" w:cs="Times New Roman"/>
          <w:kern w:val="0"/>
          <w:szCs w:val="24"/>
        </w:rPr>
        <w:fldChar w:fldCharType="end"/>
      </w:r>
      <w:r>
        <w:rPr>
          <w:rFonts w:ascii="Times New Roman" w:eastAsia="Arial Unicode MS" w:hAnsi="Times New Roman" w:cs="Times New Roman"/>
          <w:kern w:val="0"/>
          <w:szCs w:val="24"/>
        </w:rPr>
        <w:t xml:space="preserve">. During </w:t>
      </w:r>
      <w:r>
        <w:rPr>
          <w:rFonts w:ascii="Times New Roman" w:eastAsia="Arial Unicode MS" w:hAnsi="Times New Roman" w:cs="Times New Roman" w:hint="eastAsia"/>
          <w:kern w:val="0"/>
          <w:szCs w:val="24"/>
          <w:lang w:eastAsia="zh-Hans"/>
        </w:rPr>
        <w:t>the</w:t>
      </w:r>
      <w:r>
        <w:rPr>
          <w:rFonts w:ascii="Times New Roman" w:eastAsia="Arial Unicode MS" w:hAnsi="Times New Roman" w:cs="Times New Roman"/>
          <w:kern w:val="0"/>
          <w:szCs w:val="24"/>
        </w:rPr>
        <w:t xml:space="preserve"> </w:t>
      </w:r>
      <w:r>
        <w:rPr>
          <w:rFonts w:ascii="Times New Roman" w:eastAsia="Arial Unicode MS" w:hAnsi="Times New Roman" w:cs="Times New Roman" w:hint="eastAsia"/>
          <w:kern w:val="0"/>
          <w:szCs w:val="24"/>
          <w:lang w:eastAsia="zh-Hans"/>
        </w:rPr>
        <w:t>usage</w:t>
      </w:r>
      <w:r>
        <w:rPr>
          <w:rFonts w:ascii="Times New Roman" w:eastAsia="Arial Unicode MS" w:hAnsi="Times New Roman" w:cs="Times New Roman"/>
          <w:kern w:val="0"/>
          <w:szCs w:val="24"/>
        </w:rPr>
        <w:t xml:space="preserve"> of the </w:t>
      </w:r>
      <w:r>
        <w:rPr>
          <w:rFonts w:ascii="Times New Roman" w:eastAsia="Arial Unicode MS" w:hAnsi="Times New Roman" w:cs="Times New Roman" w:hint="eastAsia"/>
          <w:kern w:val="0"/>
          <w:szCs w:val="24"/>
        </w:rPr>
        <w:t>lithium-ion battery,</w:t>
      </w:r>
      <w:r>
        <w:rPr>
          <w:rFonts w:ascii="Times New Roman" w:eastAsia="Arial Unicode MS" w:hAnsi="Times New Roman" w:cs="Times New Roman"/>
          <w:kern w:val="0"/>
          <w:szCs w:val="24"/>
        </w:rPr>
        <w:t xml:space="preserve"> degradation processes occur which</w:t>
      </w:r>
      <w:r>
        <w:rPr>
          <w:rFonts w:ascii="Times New Roman" w:eastAsia="Arial Unicode MS" w:hAnsi="Times New Roman" w:cs="Times New Roman" w:hint="eastAsia"/>
          <w:kern w:val="0"/>
          <w:szCs w:val="24"/>
        </w:rPr>
        <w:t xml:space="preserve"> </w:t>
      </w:r>
      <w:r>
        <w:rPr>
          <w:rFonts w:ascii="Times New Roman" w:eastAsia="Arial Unicode MS" w:hAnsi="Times New Roman" w:cs="Times New Roman"/>
          <w:kern w:val="0"/>
          <w:szCs w:val="24"/>
        </w:rPr>
        <w:t>increase internal resistance</w:t>
      </w:r>
      <w:r>
        <w:rPr>
          <w:rFonts w:ascii="Times New Roman" w:eastAsia="Arial Unicode MS" w:hAnsi="Times New Roman" w:cs="Times New Roman" w:hint="eastAsia"/>
          <w:kern w:val="0"/>
          <w:szCs w:val="24"/>
        </w:rPr>
        <w:t xml:space="preserve"> and</w:t>
      </w:r>
      <w:r>
        <w:rPr>
          <w:rFonts w:ascii="Times New Roman" w:eastAsia="Arial Unicode MS" w:hAnsi="Times New Roman" w:cs="Times New Roman"/>
          <w:kern w:val="0"/>
          <w:szCs w:val="24"/>
        </w:rPr>
        <w:t xml:space="preserve"> decrease capacity </w:t>
      </w:r>
      <w:r>
        <w:rPr>
          <w:rFonts w:ascii="Times New Roman" w:eastAsia="Arial Unicode MS" w:hAnsi="Times New Roman" w:cs="Times New Roman" w:hint="eastAsia"/>
          <w:kern w:val="0"/>
          <w:szCs w:val="24"/>
          <w:lang w:eastAsia="zh-Hans"/>
        </w:rPr>
        <w:t>retention</w:t>
      </w:r>
      <w:r>
        <w:rPr>
          <w:rFonts w:ascii="Times New Roman" w:eastAsia="Arial Unicode MS" w:hAnsi="Times New Roman" w:cs="Times New Roman"/>
          <w:kern w:val="0"/>
          <w:szCs w:val="24"/>
        </w:rPr>
        <w:t xml:space="preserve">, compounding existing concerns around "range anxiety" and safety. This performance loss also </w:t>
      </w:r>
      <w:r>
        <w:rPr>
          <w:rFonts w:ascii="Times New Roman" w:eastAsia="Arial Unicode MS" w:hAnsi="Times New Roman" w:cs="Times New Roman" w:hint="eastAsia"/>
          <w:kern w:val="0"/>
          <w:szCs w:val="24"/>
        </w:rPr>
        <w:t xml:space="preserve">restrict </w:t>
      </w:r>
      <w:r>
        <w:rPr>
          <w:rFonts w:ascii="Times New Roman" w:eastAsia="Arial Unicode MS" w:hAnsi="Times New Roman" w:cs="Times New Roman"/>
          <w:kern w:val="0"/>
          <w:szCs w:val="24"/>
        </w:rPr>
        <w:t>the potential utilization of the batteries after retirement in 2</w:t>
      </w:r>
      <w:r>
        <w:rPr>
          <w:rFonts w:ascii="Times New Roman" w:eastAsia="Arial Unicode MS" w:hAnsi="Times New Roman" w:cs="Times New Roman"/>
          <w:kern w:val="0"/>
          <w:szCs w:val="24"/>
          <w:vertAlign w:val="superscript"/>
        </w:rPr>
        <w:t>nd</w:t>
      </w:r>
      <w:r>
        <w:rPr>
          <w:rFonts w:ascii="Times New Roman" w:eastAsia="Arial Unicode MS" w:hAnsi="Times New Roman" w:cs="Times New Roman"/>
          <w:kern w:val="0"/>
          <w:szCs w:val="24"/>
        </w:rPr>
        <w:t xml:space="preserve"> life applications</w:t>
      </w:r>
      <w:r>
        <w:rPr>
          <w:rFonts w:ascii="Times New Roman" w:eastAsia="Arial Unicode MS" w:hAnsi="Times New Roman" w:cs="Times New Roman"/>
          <w:kern w:val="0"/>
          <w:szCs w:val="24"/>
        </w:rPr>
        <w:fldChar w:fldCharType="begin" w:fldLock="1"/>
      </w:r>
      <w:r>
        <w:rPr>
          <w:rFonts w:ascii="Times New Roman" w:eastAsia="Arial Unicode MS" w:hAnsi="Times New Roman" w:cs="Times New Roman"/>
          <w:kern w:val="0"/>
          <w:szCs w:val="24"/>
        </w:rPr>
        <w:instrText>ADDIN CSL_CITATION {"citationItems":[{"id":"ITEM-1","itemData":{"DOI":"10.1016/j.xcrp.2020.100285","ISSN":"2666-3864","author":[{"dropping-particle":"","family":"Huang","given":"Wensheng","non-dropping-particle":"","parse-names":false,"suffix":""},{"dropping-particle":"","family":"Feng","given":"Xuning","non-dropping-particle":"","parse-names":false,"suffix":""},{"dropping-particle":"","family":"Han","given":"Xuebing","non-dropping-particle":"","parse-names":false,"suffix":""},{"dropping-particle":"","family":"Zhang","given":"Weifeng","non-dropping-particle":"","parse-names":false,"suffix":""},{"dropping-particle":"","family":"Jiang","given":"Fachao","non-dropping-particle":"","parse-names":false,"suffix":""}],"container-title":"Cell Reports Physical Science","id":"ITEM-1","issue":"2020","issued":{"date-parts":[["2021"]]},"page":"100285","publisher":"Elsevier Inc.","title":"Perspective Questions and Answers Relating to Lithium-Ion Battery Safety Issues","type":"article-journal","volume":"2"},"uris":["http://www.mendeley.com/documents/?uuid=36e482e6-c739-4c19-a0e9-0a9af8c6f9ae","http://www.mendeley.com/documents/?uuid=cc7ba428-cf37-47d1-b4d9-eb3de75b307b","http://www.mendeley.com/documents/?uuid=99aa061f-1790-471b-9561-a0a62ede44f8","http://www.mendeley.com/documents/?uuid=6d56a856-088d-4cb3-9609-f0cab8145fae"]}],"mendeley":{"formattedCitation":"[3]","plainTextFormattedCitation":"[3]","previouslyFormattedCitation":"[3]"},"properties":{"noteIndex":0},"schema":"https://github.com/citation-style-language/schema/raw/master/csl-citation.json"}</w:instrText>
      </w:r>
      <w:r>
        <w:rPr>
          <w:rFonts w:ascii="Times New Roman" w:eastAsia="Arial Unicode MS" w:hAnsi="Times New Roman" w:cs="Times New Roman"/>
          <w:kern w:val="0"/>
          <w:szCs w:val="24"/>
        </w:rPr>
        <w:fldChar w:fldCharType="separate"/>
      </w:r>
      <w:r>
        <w:rPr>
          <w:rFonts w:ascii="Times New Roman" w:eastAsia="Arial Unicode MS" w:hAnsi="Times New Roman" w:cs="Times New Roman"/>
          <w:noProof/>
          <w:kern w:val="0"/>
          <w:szCs w:val="24"/>
        </w:rPr>
        <w:t>[3]</w:t>
      </w:r>
      <w:r>
        <w:rPr>
          <w:rFonts w:ascii="Times New Roman" w:eastAsia="Arial Unicode MS" w:hAnsi="Times New Roman" w:cs="Times New Roman"/>
          <w:kern w:val="0"/>
          <w:szCs w:val="24"/>
        </w:rPr>
        <w:fldChar w:fldCharType="end"/>
      </w:r>
      <w:r>
        <w:rPr>
          <w:rFonts w:ascii="Times New Roman" w:eastAsia="Arial Unicode MS" w:hAnsi="Times New Roman" w:cs="Times New Roman"/>
          <w:kern w:val="0"/>
          <w:szCs w:val="24"/>
        </w:rPr>
        <w:fldChar w:fldCharType="begin" w:fldLock="1"/>
      </w:r>
      <w:r>
        <w:rPr>
          <w:rFonts w:ascii="Times New Roman" w:eastAsia="Arial Unicode MS" w:hAnsi="Times New Roman" w:cs="Times New Roman"/>
          <w:kern w:val="0"/>
          <w:szCs w:val="24"/>
        </w:rPr>
        <w:instrText>ADDIN CSL_CITATION {"citationItems":[{"id":"ITEM-1","itemData":{"DOI":"10.1038/s41560-018-0130-3","ISSN":"20587546","abstract":"Production technology for automotive lithium-ion battery (LIB) cells and packs has improved considerably in the past five years. However, the transfer of developments in materials, cell design and processes from lab scale to production scale remains a challenge due to the large number of consecutive process steps and the significant impact of material properties, electrode compositions and cell designs on processes. This requires an in-depth understanding of the individual production processes and their interactions, and pilot-scale investigations into process parameter selection and prototype cell production. Furthermore, emerging process concepts must be developed at lab and pilot scale that reduce production costs and improve cell performance. Here, we present an introductory summary of the state-of-the-art production technologies for automotive LIBs. We then discuss the key relationships between process, quality and performance, as well as explore the impact of materials and processes on scale and cost. Finally, future developments and innovations that aim to overcome the main challenges are presented.","author":[{"dropping-particle":"","family":"Kwade","given":"Arno","non-dropping-particle":"","parse-names":false,"suffix":""},{"dropping-particle":"","family":"Haselrieder","given":"Wolfgang","non-dropping-particle":"","parse-names":false,"suffix":""},{"dropping-particle":"","family":"Leithoff","given":"Ruben","non-dropping-particle":"","parse-names":false,"suffix":""},{"dropping-particle":"","family":"Modlinger","given":"Armin","non-dropping-particle":"","parse-names":false,"suffix":""},{"dropping-particle":"","family":"Dietrich","given":"Franz","non-dropping-particle":"","parse-names":false,"suffix":""},{"dropping-particle":"","family":"Droeder","given":"Klaus","non-dropping-particle":"","parse-names":false,"suffix":""}],"container-title":"Nature Energy","id":"ITEM-1","issue":"4","issued":{"date-parts":[["2018","4"]]},"page":"290-300","publisher":"Nature Publishing Group","title":"Current status and challenges for automotive battery production technologies","type":"article","volume":"3"},"uris":["http://www.mendeley.com/documents/?uuid=4c57255f-cad9-3b03-ba0a-8cd5edc3ab3e","http://www.mendeley.com/documents/?uuid=fa401168-0c4f-4ed5-a4e9-0850fc098b95","http://www.mendeley.com/documents/?uuid=3eb0f53f-ca59-4d43-a99c-c713b0d3c706"]}],"mendeley":{"formattedCitation":"[4]","plainTextFormattedCitation":"[4]","previouslyFormattedCitation":"[4]"},"properties":{"noteIndex":0},"schema":"https://github.com/citation-style-language/schema/raw/master/csl-citation.json"}</w:instrText>
      </w:r>
      <w:r>
        <w:rPr>
          <w:rFonts w:ascii="Times New Roman" w:eastAsia="Arial Unicode MS" w:hAnsi="Times New Roman" w:cs="Times New Roman"/>
          <w:kern w:val="0"/>
          <w:szCs w:val="24"/>
        </w:rPr>
        <w:fldChar w:fldCharType="separate"/>
      </w:r>
      <w:r>
        <w:rPr>
          <w:rFonts w:ascii="Times New Roman" w:eastAsia="Arial Unicode MS" w:hAnsi="Times New Roman" w:cs="Times New Roman"/>
          <w:noProof/>
          <w:kern w:val="0"/>
          <w:szCs w:val="24"/>
        </w:rPr>
        <w:t>[4]</w:t>
      </w:r>
      <w:r>
        <w:rPr>
          <w:rFonts w:ascii="Times New Roman" w:eastAsia="Arial Unicode MS" w:hAnsi="Times New Roman" w:cs="Times New Roman"/>
          <w:kern w:val="0"/>
          <w:szCs w:val="24"/>
        </w:rPr>
        <w:fldChar w:fldCharType="end"/>
      </w:r>
      <w:r>
        <w:rPr>
          <w:rFonts w:ascii="Times New Roman" w:eastAsia="Arial Unicode MS" w:hAnsi="Times New Roman" w:cs="Times New Roman"/>
          <w:kern w:val="0"/>
          <w:szCs w:val="24"/>
        </w:rPr>
        <w:t xml:space="preserve">. Therefore, </w:t>
      </w:r>
      <w:r>
        <w:rPr>
          <w:rFonts w:ascii="Times New Roman" w:eastAsia="Arial Unicode MS" w:hAnsi="Times New Roman" w:cs="Times New Roman" w:hint="eastAsia"/>
          <w:kern w:val="0"/>
          <w:szCs w:val="24"/>
        </w:rPr>
        <w:t xml:space="preserve">a </w:t>
      </w:r>
      <w:r>
        <w:rPr>
          <w:rFonts w:ascii="Times New Roman" w:eastAsia="Arial Unicode MS" w:hAnsi="Times New Roman" w:cs="Times New Roman" w:hint="eastAsia"/>
          <w:kern w:val="0"/>
        </w:rPr>
        <w:t>sophisticated</w:t>
      </w:r>
      <w:r>
        <w:rPr>
          <w:rFonts w:ascii="Times New Roman" w:eastAsia="Arial Unicode MS" w:hAnsi="Times New Roman" w:cs="Times New Roman"/>
          <w:kern w:val="0"/>
          <w:szCs w:val="24"/>
        </w:rPr>
        <w:t xml:space="preserve"> </w:t>
      </w:r>
      <w:r>
        <w:rPr>
          <w:rFonts w:ascii="Times New Roman" w:eastAsia="Arial Unicode MS" w:hAnsi="Times New Roman" w:cs="Times New Roman"/>
          <w:kern w:val="0"/>
          <w:szCs w:val="24"/>
        </w:rPr>
        <w:lastRenderedPageBreak/>
        <w:t>battery management system</w:t>
      </w:r>
      <w:r>
        <w:rPr>
          <w:rFonts w:ascii="Times New Roman" w:eastAsia="Arial Unicode MS" w:hAnsi="Times New Roman" w:cs="Times New Roman" w:hint="eastAsia"/>
          <w:kern w:val="0"/>
          <w:szCs w:val="24"/>
        </w:rPr>
        <w:t xml:space="preserve"> </w:t>
      </w:r>
      <w:r>
        <w:rPr>
          <w:rFonts w:ascii="Times New Roman" w:eastAsia="Arial Unicode MS" w:hAnsi="Times New Roman" w:cs="Times New Roman"/>
          <w:kern w:val="0"/>
        </w:rPr>
        <w:t xml:space="preserve">(BMS) capable of: </w:t>
      </w:r>
      <w:r>
        <w:rPr>
          <w:rFonts w:ascii="Times New Roman" w:eastAsia="Arial Unicode MS" w:hAnsi="Times New Roman" w:cs="Times New Roman"/>
          <w:kern w:val="0"/>
          <w:szCs w:val="24"/>
        </w:rPr>
        <w:t>data processing, analysis, modeling, state estimation, thermal management, fault diagnosis and communication with other controllers</w:t>
      </w:r>
      <w:r>
        <w:rPr>
          <w:rFonts w:ascii="Times New Roman" w:eastAsia="Arial Unicode MS" w:hAnsi="Times New Roman" w:cs="Times New Roman" w:hint="eastAsia"/>
          <w:kern w:val="0"/>
          <w:szCs w:val="24"/>
        </w:rPr>
        <w:t xml:space="preserve"> </w:t>
      </w:r>
      <w:r>
        <w:rPr>
          <w:rFonts w:ascii="Times New Roman" w:eastAsia="Arial Unicode MS" w:hAnsi="Times New Roman" w:cs="Times New Roman" w:hint="eastAsia"/>
          <w:kern w:val="0"/>
        </w:rPr>
        <w:t>is crucial</w:t>
      </w:r>
      <w:r>
        <w:rPr>
          <w:rFonts w:ascii="Times New Roman" w:eastAsia="Arial Unicode MS" w:hAnsi="Times New Roman" w:cs="Times New Roman"/>
          <w:kern w:val="0"/>
          <w:szCs w:val="24"/>
        </w:rPr>
        <w:t xml:space="preserve"> </w:t>
      </w:r>
      <w:r>
        <w:rPr>
          <w:rFonts w:ascii="Times New Roman" w:eastAsia="Arial Unicode MS" w:hAnsi="Times New Roman" w:cs="Times New Roman" w:hint="eastAsia"/>
          <w:kern w:val="0"/>
          <w:szCs w:val="24"/>
        </w:rPr>
        <w:t xml:space="preserve">to </w:t>
      </w:r>
      <w:r>
        <w:rPr>
          <w:rFonts w:ascii="Times New Roman" w:eastAsia="Arial Unicode MS" w:hAnsi="Times New Roman" w:cs="Times New Roman"/>
          <w:kern w:val="0"/>
          <w:szCs w:val="24"/>
        </w:rPr>
        <w:t xml:space="preserve">ensure the efficiency, safe and reliable operation of the </w:t>
      </w:r>
      <w:r>
        <w:rPr>
          <w:rFonts w:ascii="Times New Roman" w:eastAsia="Arial Unicode MS" w:hAnsi="Times New Roman" w:cs="Times New Roman" w:hint="eastAsia"/>
          <w:kern w:val="0"/>
          <w:szCs w:val="24"/>
        </w:rPr>
        <w:t xml:space="preserve">battery </w:t>
      </w:r>
      <w:r>
        <w:rPr>
          <w:rFonts w:ascii="Times New Roman" w:eastAsia="Arial Unicode MS" w:hAnsi="Times New Roman" w:cs="Times New Roman"/>
          <w:kern w:val="0"/>
          <w:szCs w:val="24"/>
        </w:rPr>
        <w:t xml:space="preserve">pack. </w:t>
      </w:r>
    </w:p>
    <w:p w14:paraId="665E233B" w14:textId="4422E062" w:rsidR="00672135" w:rsidRDefault="00120DF0">
      <w:pPr>
        <w:widowControl/>
        <w:rPr>
          <w:rStyle w:val="jlqj4b"/>
          <w:rFonts w:ascii="Times New Roman" w:eastAsia="Arial Unicode MS" w:hAnsi="Times New Roman" w:cs="Times New Roman"/>
        </w:rPr>
      </w:pPr>
      <w:r>
        <w:rPr>
          <w:rFonts w:ascii="Times New Roman" w:eastAsia="Arial Unicode MS" w:hAnsi="Times New Roman" w:cs="Times New Roman" w:hint="eastAsia"/>
          <w:kern w:val="0"/>
          <w:sz w:val="24"/>
          <w:szCs w:val="24"/>
        </w:rPr>
        <w:tab/>
      </w:r>
      <w:r>
        <w:rPr>
          <w:rStyle w:val="jlqj4b"/>
          <w:rFonts w:ascii="Times New Roman" w:eastAsia="Arial Unicode MS" w:hAnsi="Times New Roman" w:cs="Times New Roman"/>
        </w:rPr>
        <w:t xml:space="preserve">In traditional </w:t>
      </w:r>
      <w:r>
        <w:rPr>
          <w:rStyle w:val="jlqj4b"/>
          <w:rFonts w:ascii="Times New Roman" w:eastAsia="Arial Unicode MS" w:hAnsi="Times New Roman" w:cs="Times New Roman" w:hint="eastAsia"/>
        </w:rPr>
        <w:t xml:space="preserve">electricity </w:t>
      </w:r>
      <w:r>
        <w:rPr>
          <w:rStyle w:val="jlqj4b"/>
          <w:rFonts w:ascii="Times New Roman" w:eastAsia="Arial Unicode MS" w:hAnsi="Times New Roman" w:cs="Times New Roman"/>
        </w:rPr>
        <w:t xml:space="preserve">grids, energy </w:t>
      </w:r>
      <w:r>
        <w:rPr>
          <w:rStyle w:val="jlqj4b"/>
          <w:rFonts w:ascii="Times New Roman" w:eastAsia="Arial Unicode MS" w:hAnsi="Times New Roman" w:cs="Times New Roman" w:hint="eastAsia"/>
        </w:rPr>
        <w:t xml:space="preserve">generation </w:t>
      </w:r>
      <w:r>
        <w:rPr>
          <w:rStyle w:val="jlqj4b"/>
          <w:rFonts w:ascii="Times New Roman" w:eastAsia="Arial Unicode MS" w:hAnsi="Times New Roman" w:cs="Times New Roman"/>
        </w:rPr>
        <w:t xml:space="preserve">and consumption are directly linked, which requires the need for dynamic balancing of supply and demand to maintain power quality. Issues with this electrical system architecture include: transmission inefficiencies, reliability and security, </w:t>
      </w:r>
      <w:r>
        <w:rPr>
          <w:rStyle w:val="jlqj4b"/>
          <w:rFonts w:ascii="Times New Roman" w:eastAsia="Arial Unicode MS" w:hAnsi="Times New Roman" w:cs="Times New Roman" w:hint="eastAsia"/>
          <w:lang w:eastAsia="zh-Hans"/>
        </w:rPr>
        <w:t>each</w:t>
      </w:r>
      <w:r>
        <w:rPr>
          <w:rStyle w:val="jlqj4b"/>
          <w:rFonts w:ascii="Times New Roman" w:eastAsia="Arial Unicode MS" w:hAnsi="Times New Roman" w:cs="Times New Roman"/>
          <w:lang w:eastAsia="zh-Hans"/>
        </w:rPr>
        <w:t xml:space="preserve"> </w:t>
      </w:r>
      <w:r>
        <w:rPr>
          <w:rStyle w:val="jlqj4b"/>
          <w:rFonts w:ascii="Times New Roman" w:eastAsia="Arial Unicode MS" w:hAnsi="Times New Roman" w:cs="Times New Roman" w:hint="eastAsia"/>
          <w:lang w:eastAsia="zh-Hans"/>
        </w:rPr>
        <w:t>of</w:t>
      </w:r>
      <w:r>
        <w:rPr>
          <w:rStyle w:val="jlqj4b"/>
          <w:rFonts w:ascii="Times New Roman" w:eastAsia="Arial Unicode MS" w:hAnsi="Times New Roman" w:cs="Times New Roman"/>
          <w:lang w:eastAsia="zh-Hans"/>
        </w:rPr>
        <w:t xml:space="preserve"> </w:t>
      </w:r>
      <w:r>
        <w:rPr>
          <w:rStyle w:val="jlqj4b"/>
          <w:rFonts w:ascii="Times New Roman" w:eastAsia="Arial Unicode MS" w:hAnsi="Times New Roman" w:cs="Times New Roman"/>
        </w:rPr>
        <w:t xml:space="preserve">which </w:t>
      </w:r>
      <w:r>
        <w:rPr>
          <w:rStyle w:val="jlqj4b"/>
          <w:rFonts w:ascii="Times New Roman" w:eastAsia="Arial Unicode MS" w:hAnsi="Times New Roman" w:cs="Times New Roman" w:hint="eastAsia"/>
          <w:lang w:eastAsia="zh-Hans"/>
        </w:rPr>
        <w:t>is</w:t>
      </w:r>
      <w:r>
        <w:rPr>
          <w:rStyle w:val="jlqj4b"/>
          <w:rFonts w:ascii="Times New Roman" w:eastAsia="Arial Unicode MS" w:hAnsi="Times New Roman" w:cs="Times New Roman"/>
        </w:rPr>
        <w:t xml:space="preserve"> increasingly important as the proportion of intermittent renewables increases</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{"citationItems":[{"id":"ITEM-1","itemData":{"ISSN":"23318422","abstract":"Traditional power grids are being transformed into Smart Grids (SGs) to address the issues in existing power system due to uni-directional information flow, energy wastage, growing energy demand, reliability and security. SGs offer bi-directional energy flow between service providers and consumers, involving power generation, transmission, distribution and utilization systems. SGs employ various devices for the monitoring, analysis and control of the grid, deployed at power plants, distribution centers and in consumers' premises in a very large number. Hence, an SG requires connectivity, automation and the tracking of such devices. This is achieved with the help of Internet of Things (IoT). IoT helps SG systems to support various network functions throughout the generation, transmission, distribution and consumption of energy by incorporating IoT devices (such as sensors, actuators and smart meters), as well as by providing the connectivity, automation and tracking for such devices. In this paper, we provide a comprehensive survey on IoTaided SG systems, which includes the existing architectures, applications and prototypes of IoT-aided SG systems. This survey also highlights the open issues, challenges and future research directions for IoT-aided SG systems.","author":[{"dropping-particle":"","family":"Saleem","given":"Yasir","non-dropping-particle":"","parse-names":false,"suffix":""},{"dropping-particle":"","family":"Crespi","given":"Noel","non-dropping-particle":"","parse-names":false,"suffix":""},{"dropping-particle":"","family":"Rehmani","given":"Mubashir Husain","non-dropping-particle":"","parse-names":false,"suffix":""},{"dropping-particle":"","family":"Copeland","given":"Rebecca","non-dropping-particle":"","parse-names":false,"suffix":""}],"container-title":"arXiv","id":"ITEM-1","issued":{"date-parts":[["2017"]]},"title":"Internet of things-aided smart grid: Technologies, architectures, applications, prototypes, and future research directions","type":"article-journal","volume":"7"},"uris":["http://www.mendeley.com/documents/?uuid=23c96297-104b-470b-92d3-ba84178a4a99","http://www.mendeley.com/documents/?uuid=493b537a-232f-4489-9142-c7b3a1e0dcd3","http://www.mendeley.com/documents/?uuid=61a8f1d7-6a0d-4de2-a899-43171bebbf34","http://www.mendeley.com/documents/?uuid=b8e6cecb-8945-42a5-932c-23d32ee8348e"]}],"mendeley":{"formattedCitation":"[5]","plainTextFormattedCitation":"[5]","previouslyFormattedCitation":"[5]"},"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[5]</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Grid scale energy storage systems, are one way to balance these supply and demand issues, and with the continued development of connected devices and artificial intelligence, the merits of having intelligently controlled energy storage systems </w:t>
      </w:r>
      <w:proofErr w:type="gramStart"/>
      <w:r>
        <w:rPr>
          <w:rStyle w:val="jlqj4b"/>
          <w:rFonts w:ascii="Times New Roman" w:eastAsia="Arial Unicode MS" w:hAnsi="Times New Roman" w:cs="Times New Roman"/>
        </w:rPr>
        <w:t>is</w:t>
      </w:r>
      <w:proofErr w:type="gramEnd"/>
      <w:r>
        <w:rPr>
          <w:rStyle w:val="jlqj4b"/>
          <w:rFonts w:ascii="Times New Roman" w:eastAsia="Arial Unicode MS" w:hAnsi="Times New Roman" w:cs="Times New Roman"/>
        </w:rPr>
        <w:t xml:space="preserve"> becoming increasingly apparent</w:t>
      </w:r>
      <w:r>
        <w:rPr>
          <w:rStyle w:val="jlqj4b"/>
          <w:rFonts w:ascii="Times New Roman" w:eastAsia="Arial Unicode MS" w:hAnsi="Times New Roman" w:cs="Times New Roman" w:hint="eastAsia"/>
        </w:rPr>
        <w:t xml:space="preserve">. </w:t>
      </w:r>
      <w:r>
        <w:rPr>
          <w:rStyle w:val="jlqj4b"/>
          <w:rFonts w:ascii="Times New Roman" w:eastAsia="Arial Unicode MS" w:hAnsi="Times New Roman" w:cs="Times New Roman"/>
        </w:rPr>
        <w:t xml:space="preserve">This shift in the automotive power source has profound implications on the electrical grid, not only due to the need to provide increased amounts of electricity for the vehicles, but also from the potential to utilize the energy storage capabilities in these vehicles to balance the grid. </w:t>
      </w:r>
      <w:r>
        <w:rPr>
          <w:rStyle w:val="jlqj4b"/>
          <w:rFonts w:ascii="Times New Roman" w:eastAsia="Arial Unicode MS" w:hAnsi="Times New Roman" w:cs="Times New Roman" w:hint="eastAsia"/>
        </w:rPr>
        <w:t>This interaction is called vehicle</w:t>
      </w:r>
      <w:r>
        <w:rPr>
          <w:rStyle w:val="jlqj4b"/>
          <w:rFonts w:ascii="Times New Roman" w:eastAsia="Arial Unicode MS" w:hAnsi="Times New Roman" w:cs="Times New Roman"/>
        </w:rPr>
        <w:t>-</w:t>
      </w:r>
      <w:r>
        <w:rPr>
          <w:rStyle w:val="jlqj4b"/>
          <w:rFonts w:ascii="Times New Roman" w:eastAsia="Arial Unicode MS" w:hAnsi="Times New Roman" w:cs="Times New Roman" w:hint="eastAsia"/>
        </w:rPr>
        <w:t>to</w:t>
      </w:r>
      <w:r>
        <w:rPr>
          <w:rStyle w:val="jlqj4b"/>
          <w:rFonts w:ascii="Times New Roman" w:eastAsia="Arial Unicode MS" w:hAnsi="Times New Roman" w:cs="Times New Roman"/>
        </w:rPr>
        <w:t>-</w:t>
      </w:r>
      <w:r>
        <w:rPr>
          <w:rStyle w:val="jlqj4b"/>
          <w:rFonts w:ascii="Times New Roman" w:eastAsia="Arial Unicode MS" w:hAnsi="Times New Roman" w:cs="Times New Roman" w:hint="eastAsia"/>
        </w:rPr>
        <w:t>grid (V2G)</w:t>
      </w:r>
      <w:r>
        <w:rPr>
          <w:rStyle w:val="jlqj4b"/>
          <w:rFonts w:ascii="Times New Roman" w:eastAsia="Arial Unicode MS" w:hAnsi="Times New Roman" w:cs="Times New Roman"/>
        </w:rPr>
        <w:t xml:space="preserve"> which is an active area for both academic and industrial research</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{"citationItems":[{"id":"ITEM-1","itemData":{"DOI":"10.1016/j.rser.2017.11.004","ISSN":"18790690","abstract":"Due to the environmental and energy crisis, many countries around the world are electrifying transportation, which will significantly change the way the current power grid operates. It is expected that the deployment of future smart grids will allow two-way energy and information flows through plug-and-play operation of small distributed mobile power generators like electric vehicles (EVs) to benefit the prosumers and at the same time make the grid more efficient and robust. However, the issues associated with the energy and information transfer, battery technologies, battery charging schemes, their standards and management need to be addressed in order to achieve the full benefits of EV integration in the future smart grids and internet of energy (IoE) with local renewable generation. As the current grid with existing infrastructure cannot ensure maximum benefits from EVs, this paper reviews the EV technologies, their connectivity, impacts on grid and standards required for the efficient and economic operation of EVs with distributed energy resources in the IoE. The evolution, comparison, and storage potential of EV technologies are thoroughly discussed. This paper also extensively reviews the connectivity issues, for example current EV charging schemes, software tools required to design smart charging, associated challenges, and possible solutions. The architecture of distributed energy management schemes with EVs and the IoE is discussed in detail. Finally, the standards related to EV integration, energy transfers, and safety aspects are provided. Based on the comprehensive review, future directions are put forward which will be useful for researchers and engineers working with EVs.","author":[{"dropping-particle":"","family":"Mahmud","given":"Khizir","non-dropping-particle":"","parse-names":false,"suffix":""},{"dropping-particle":"","family":"Town","given":"Graham E.","non-dropping-particle":"","parse-names":false,"suffix":""},{"dropping-particle":"","family":"Morsalin","given":"Sayidul","non-dropping-particle":"","parse-names":false,"suffix":""},{"dropping-particle":"","family":"Hossain","given":"M. J.","non-dropping-particle":"","parse-names":false,"suffix":""}],"container-title":"Renewable and Sustainable Energy Reviews","id":"ITEM-1","issue":"November 2017","issued":{"date-parts":[["2018"]]},"page":"4179-4203","publisher":"Elsevier Ltd","title":"Integration of electric vehicles and management in the internet of energy","type":"article-journal","volume":"82"},"uris":["http://www.mendeley.com/documents/?uuid=a80159d2-53f3-43af-b5cc-65905eae1f05","http://www.mendeley.com/documents/?uuid=7ddab8f7-30bd-45fa-af58-ac446e44a3c4","http://www.mendeley.com/documents/?uuid=8f9105e8-383d-4d5f-84fd-ba5a50b56bc1","http://www.mendeley.com/documents/?uuid=9a464b5b-5a0f-406d-8e03-91e27b34fa63"]}],"mendeley":{"formattedCitation":"[6]","plainTextFormattedCitation":"[6]","previouslyFormattedCitation":"[6]"},"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[6]</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w:t>
      </w:r>
    </w:p>
    <w:p w14:paraId="2A2C9281" w14:textId="77777777" w:rsidR="00672135" w:rsidRDefault="00120DF0">
      <w:pPr>
        <w:widowControl/>
        <w:ind w:firstLineChars="200" w:firstLine="441"/>
        <w:rPr>
          <w:rStyle w:val="jlqj4b"/>
          <w:rFonts w:ascii="Times New Roman" w:eastAsia="Arial Unicode MS" w:hAnsi="Times New Roman" w:cs="Times New Roman"/>
        </w:rPr>
      </w:pPr>
      <w:r>
        <w:rPr>
          <w:rStyle w:val="jlqj4b"/>
          <w:rFonts w:ascii="Times New Roman" w:eastAsia="Arial Unicode MS" w:hAnsi="Times New Roman" w:cs="Times New Roman"/>
        </w:rPr>
        <w:t>Yet, to fully reali</w:t>
      </w:r>
      <w:r>
        <w:rPr>
          <w:rStyle w:val="jlqj4b"/>
          <w:rFonts w:ascii="Times New Roman" w:eastAsia="Arial Unicode MS" w:hAnsi="Times New Roman" w:cs="Times New Roman" w:hint="eastAsia"/>
        </w:rPr>
        <w:t>z</w:t>
      </w:r>
      <w:r>
        <w:rPr>
          <w:rStyle w:val="jlqj4b"/>
          <w:rFonts w:ascii="Times New Roman" w:eastAsia="Arial Unicode MS" w:hAnsi="Times New Roman" w:cs="Times New Roman"/>
        </w:rPr>
        <w:t>e the real-world potential of energy storage technologies, constant monitoring and control is needed, which has motivated various research efforts in connected EV and energy storage system applications. In 2013, Mi</w:t>
      </w:r>
      <w:r>
        <w:rPr>
          <w:rStyle w:val="jlqj4b"/>
          <w:rFonts w:ascii="Times New Roman" w:eastAsia="Arial Unicode MS" w:hAnsi="Times New Roman" w:cs="Times New Roman" w:hint="eastAsia"/>
        </w:rPr>
        <w:t>chael</w:t>
      </w:r>
      <w:r>
        <w:rPr>
          <w:rStyle w:val="jlqj4b"/>
          <w:rFonts w:ascii="Times New Roman" w:eastAsia="Arial Unicode MS" w:hAnsi="Times New Roman" w:cs="Times New Roman"/>
        </w:rPr>
        <w:t xml:space="preserve"> </w:t>
      </w:r>
      <w:r>
        <w:rPr>
          <w:rFonts w:ascii="Times New Roman" w:eastAsia="Arial Unicode MS" w:hAnsi="Times New Roman" w:cs="Times New Roman"/>
        </w:rPr>
        <w:t xml:space="preserve">et al. </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{"citationItems":[{"id":"ITEM-1","itemData":{"DOI":"10.3390/wevj6041125","ISSN":"20326653","abstract":"The paper proposes a system architecture for charging infrastructure that serves the requirements of future fleets of shared-use electric vehicles in urban scenarios. The focus of the development is on the interfaces to central stakeholders such as mobility service providers, distribution network operators and utilities. The main concept of the proposed system is the adherence to a stringent resource-oriented design approach, following the design principles of the Representational State Transfer (REST) architectural software style for distributed systems. This design approach is used from the cloud-based services down to the implementation of the charging infrastructure's control algorithms. Focusing on the resources of the various entities simplifies the implementation of their interactions, compared to the explicit declaration of services that are available. The system design ensures that the charging infrastructure is open to all users and generates a benefit beyond basic charging operations. Integration in emerging smart markets is done via open web-based interfaces. These allow for the generation of an added value of concrete services for shared-use electric mobility. A link to the field of grid operation is proposed using the ISO/IEC 61850 telecontrol standard. The smart meter capabilities of the charging stations can be used to gain additional information on the current state of the distribution grid. As an exemplary service a load management service for a fleet of shared-use electric vehicles is going to be implemented.","author":[{"dropping-particle":"","family":"Mierau","given":"Michael","non-dropping-particle":"","parse-names":false,"suffix":""},{"dropping-particle":"","family":"Fey","given":"Simon","non-dropping-particle":"","parse-names":false,"suffix":""},{"dropping-particle":"","family":"Kohrs","given":"Robert","non-dropping-particle":"","parse-names":false,"suffix":""},{"dropping-particle":"","family":"Wittwer","given":"Christof","non-dropping-particle":"","parse-names":false,"suffix":""}],"container-title":"World Electric Vehicle Journal","id":"ITEM-1","issue":"4","issued":{"date-parts":[["2013"]]},"page":"1125-1135","publisher":"IEEE","title":"Communication solutions for a cloud-based charging management system for a fleet of shared-use electric vehicles","type":"article-journal","volume":"6"},"uris":["http://www.mendeley.com/documents/?uuid=df49236b-061d-44cb-acf6-dc39e3a00b7e","http://www.mendeley.com/documents/?uuid=496fca80-c072-48eb-ab20-95b2865ed15c","http://www.mendeley.com/documents/?uuid=9c6f43a6-a085-4f31-b77d-6876764e5b56","http://www.mendeley.com/documents/?uuid=0449b05d-e85e-49af-8a42-c72522311c0c"]}],"mendeley":{"formattedCitation":"[7]","plainTextFormattedCitation":"[7]","previouslyFormattedCitation":"[7]"},"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[7]</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proposed an urban electrical system architecture whereby connected EVs with cloud-controlled battery charging strategies could optimize fleet charging for a resource constrained system. In 2018, researchers</w:t>
      </w:r>
      <w:r>
        <w:rPr>
          <w:rStyle w:val="jlqj4b"/>
          <w:rFonts w:ascii="Times New Roman" w:eastAsia="Arial Unicode MS" w:hAnsi="Times New Roman" w:cs="Times New Roman" w:hint="eastAsia"/>
        </w:rPr>
        <w:t xml:space="preserve"> from </w:t>
      </w:r>
      <w:r>
        <w:rPr>
          <w:rStyle w:val="jlqj4b"/>
          <w:rFonts w:ascii="Times New Roman" w:eastAsia="Arial Unicode MS" w:hAnsi="Times New Roman" w:cs="Times New Roman"/>
        </w:rPr>
        <w:t>Fujitsu</w:t>
      </w:r>
      <w:r>
        <w:rPr>
          <w:rStyle w:val="jlqj4b"/>
          <w:rFonts w:ascii="Times New Roman" w:eastAsia="Arial Unicode MS" w:hAnsi="Times New Roman" w:cs="Times New Roman" w:hint="eastAsia"/>
        </w:rPr>
        <w:t xml:space="preserve"> developed</w:t>
      </w:r>
      <w:r>
        <w:rPr>
          <w:rStyle w:val="jlqj4b"/>
          <w:rFonts w:ascii="Times New Roman" w:eastAsia="Arial Unicode MS" w:hAnsi="Times New Roman" w:cs="Times New Roman"/>
        </w:rPr>
        <w:t xml:space="preserve"> a cloud-connected </w:t>
      </w:r>
      <w:r>
        <w:rPr>
          <w:rStyle w:val="jlqj4b"/>
          <w:rFonts w:ascii="Times New Roman" w:eastAsia="Arial Unicode MS" w:hAnsi="Times New Roman" w:cs="Times New Roman" w:hint="eastAsia"/>
        </w:rPr>
        <w:t>BMS</w:t>
      </w:r>
      <w:r>
        <w:rPr>
          <w:rStyle w:val="jlqj4b"/>
          <w:rFonts w:ascii="Times New Roman" w:eastAsia="Arial Unicode MS" w:hAnsi="Times New Roman" w:cs="Times New Roman"/>
        </w:rPr>
        <w:t xml:space="preserve"> monitor real time vehicle data and perfect state estimation, with key metrics including state-of-charge (SOC) and the states-of-health (SOH) which is an invaluable element of a shared battery swapping ecosystem</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{"citationItems":[{"id":"ITEM-1","itemData":{"ISSN":"00162523","abstract":"Electric vehicles have evolved along with a reduction in the size and weight of batteries. This has led to the development of bicycles, motorcycles, and small vehicles suitable for short distances that are driven by batteries small enough to be replaced by the user. Once batteries become readily replaceable even when away from the home or office, problems such as lengthy charging times and limited running distances will be overcome, and the practicality of electric vehicles will further increase. S ince it would be difficult for users to carry replacement batteries with them or to store them at convenient locations, a battery-sharing system is essential. Fujitsu aims to establish a mechanism for grasping the status of shared batteries that will enable users to replace batteries with peace of mind and with no perceived degradation in battery quality. This cloud-connected battery management system will maximize the value of the shared batteries by using a location data cloud to continuously connect to the batteries, manage the state of their charge, and monitor changes in their characteristics. This paper presents the technology to be used to achieve this system and discusses how it will create new value.","author":[{"dropping-particle":"","family":"Tanizawa","given":"Tetsu","non-dropping-particle":"","parse-names":false,"suffix":""},{"dropping-particle":"","family":"Suzumiya","given":"Takayuki","non-dropping-particle":"","parse-names":false,"suffix":""},{"dropping-particle":"","family":"Ikeda","given":"Kazuto","non-dropping-particle":"","parse-names":false,"suffix":""}],"container-title":"Fujitsu Scientific and Technical Journal","id":"ITEM-1","issue":"4","issued":{"date-parts":[["2015"]]},"page":"27-35","title":"Cloud-connected battery management system supporting e-mobility","type":"article-journal","volume":"51"},"uris":["http://www.mendeley.com/documents/?uuid=7bc636b5-0416-49f3-bca4-23d46bd1b6ed","http://www.mendeley.com/documents/?uuid=4c6fcec7-0336-4bae-9263-c628ed0d750d","http://www.mendeley.com/documents/?uuid=98539101-9f87-4b42-ad70-215ebf47ef58","http://www.mendeley.com/documents/?uuid=1f665d14-c9ec-47cf-82d8-64e2768b21c3"]}],"mendeley":{"formattedCitation":"[8]","plainTextFormattedCitation":"[8]","previouslyFormattedCitation":"[8]"},"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[8]</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Lifetime estimation is an especially critical metric as demonstrated by Baumann et al. </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{"citationItems":[{"id":"ITEM-1","itemData":{"DOI":"10.1109/EVER.2018.8362355","ISBN":"9781538659663","abstract":"The Second-Life use of retired electric vehicles' (EV) batteries in stationary storage systems can not only help to reduce the CO2 footprint of EVs but also generate a significant residual value before recycling. However, the nowadays repurposing process from vehicle batteries to Second-Life storage systems is characterized by time and cost intensive process steps like disassembly to module level and manual state of health (SOH) measurements with costly test equipment. Therefore, the aim of this paper is to introduce a novel cloud-connected battery management approach to estimate the residual value of vehicle batteries in respect to various potential Second-Life applications. Based on measurement data acquired by the battery management system (BMS) during regular vehicle operation, the state of the vehicle battery is continuously updated in the form of an electric-Thermal system model on a server backend. In combination with an empirical aging model, the degradation behaviour for different Second-Life scenarios' load cycles can be predicted and thus the residual value calculated. Besides the introduction of the overall concept, the focus of this paper lies on the electric-Thermal modelling approach as well as the algorithms used for dynamic electric parameter estimation.","author":[{"dropping-particle":"","family":"Baumann","given":"Michael","non-dropping-particle":"","parse-names":false,"suffix":""},{"dropping-particle":"","family":"Rohr","given":"Stephan","non-dropping-particle":"","parse-names":false,"suffix":""},{"dropping-particle":"","family":"Lienkamp","given":"Markus","non-dropping-particle":"","parse-names":false,"suffix":""}],"container-title":"2018 13th International Conference on Ecological Vehicles and Renewable Energies, EVER 2018","id":"ITEM-1","issued":{"date-parts":[["2018"]]},"page":"1-6","publisher":"IEEE","title":"Cloud-connected battery management for decision making on second-life of electric vehicle batteries","type":"article-journal"},"uris":["http://www.mendeley.com/documents/?uuid=7702f955-975a-4fc5-bdc2-c2595f6c1fb7","http://www.mendeley.com/documents/?uuid=dd69ae28-4bec-4a4e-9495-cb17c5cbe393","http://www.mendeley.com/documents/?uuid=c976845c-0b69-4340-986e-ec128ffbb599","http://www.mendeley.com/documents/?uuid=15bf829a-eae8-4755-8afb-577087b76f41"]}],"mendeley":{"formattedCitation":"[9]","plainTextFormattedCitation":"[9]","previouslyFormattedCitation":"[9]"},"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[9]</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who used a electrothermal model</w:t>
      </w:r>
      <w:r>
        <w:rPr>
          <w:rStyle w:val="jlqj4b"/>
          <w:rFonts w:ascii="Times New Roman" w:eastAsia="Arial Unicode MS" w:hAnsi="Times New Roman" w:cs="Times New Roman" w:hint="eastAsia"/>
        </w:rPr>
        <w:t xml:space="preserve"> </w:t>
      </w:r>
      <w:r>
        <w:rPr>
          <w:rStyle w:val="jlqj4b"/>
          <w:rFonts w:ascii="Times New Roman" w:eastAsia="Arial Unicode MS" w:hAnsi="Times New Roman" w:cs="Times New Roman"/>
        </w:rPr>
        <w:t xml:space="preserve">with an empirical degradation model combined with measurement data to estimate SOH to assess battery suitability for second life applications. </w:t>
      </w:r>
    </w:p>
    <w:p w14:paraId="0AFD28E5" w14:textId="77777777" w:rsidR="00672135" w:rsidRDefault="00120DF0">
      <w:pPr>
        <w:widowControl/>
        <w:ind w:firstLineChars="200" w:firstLine="441"/>
        <w:rPr>
          <w:rStyle w:val="jlqj4b"/>
          <w:rFonts w:ascii="Times New Roman" w:eastAsia="Arial Unicode MS" w:hAnsi="Times New Roman" w:cs="Times New Roman"/>
        </w:rPr>
      </w:pPr>
      <w:r>
        <w:rPr>
          <w:rStyle w:val="jlqj4b"/>
          <w:rFonts w:ascii="Times New Roman" w:eastAsia="Arial Unicode MS" w:hAnsi="Times New Roman" w:cs="Times New Roman"/>
        </w:rPr>
        <w:t>Methods of fusing measurement data with models together is therefore an underpinning element of the emerging field of battery digital twins, which is a cyber-physical system with close interactions of the two. In 2020, Li et al. demonstrated the use of a Raspberry Pi as the main controller</w:t>
      </w:r>
      <w:r>
        <w:rPr>
          <w:rStyle w:val="jlqj4b"/>
          <w:rFonts w:ascii="Times New Roman" w:eastAsia="Arial Unicode MS" w:hAnsi="Times New Roman" w:cs="Times New Roman" w:hint="eastAsia"/>
        </w:rPr>
        <w:t xml:space="preserve"> </w:t>
      </w:r>
      <w:r>
        <w:rPr>
          <w:rStyle w:val="jlqj4b"/>
          <w:rFonts w:ascii="Times New Roman" w:eastAsia="Arial Unicode MS" w:hAnsi="Times New Roman" w:cs="Times New Roman"/>
        </w:rPr>
        <w:t>to this digital twin framework. Here accurate online</w:t>
      </w:r>
      <w:r>
        <w:rPr>
          <w:rStyle w:val="jlqj4b"/>
          <w:rFonts w:ascii="Times New Roman" w:eastAsia="Arial Unicode MS" w:hAnsi="Times New Roman" w:cs="Times New Roman" w:hint="eastAsia"/>
        </w:rPr>
        <w:t xml:space="preserve"> </w:t>
      </w:r>
      <w:r>
        <w:rPr>
          <w:rStyle w:val="jlqj4b"/>
          <w:rFonts w:ascii="Times New Roman" w:eastAsia="Arial Unicode MS" w:hAnsi="Times New Roman" w:cs="Times New Roman"/>
        </w:rPr>
        <w:t xml:space="preserve">estimation of the SOC and SOH was achieved with an equivalent circuit model </w:t>
      </w:r>
      <w:r>
        <w:rPr>
          <w:rStyle w:val="jlqj4b"/>
          <w:rFonts w:ascii="Times New Roman" w:eastAsia="Arial Unicode MS" w:hAnsi="Times New Roman" w:cs="Times New Roman" w:hint="eastAsia"/>
        </w:rPr>
        <w:t>deriv</w:t>
      </w:r>
      <w:r>
        <w:rPr>
          <w:rStyle w:val="jlqj4b"/>
          <w:rFonts w:ascii="Times New Roman" w:eastAsia="Arial Unicode MS" w:hAnsi="Times New Roman" w:cs="Times New Roman"/>
        </w:rPr>
        <w:t xml:space="preserve">ed parameterized with the </w:t>
      </w:r>
      <w:r>
        <w:rPr>
          <w:rFonts w:ascii="Times New Roman" w:eastAsia="宋体" w:hAnsi="Times New Roman" w:cs="Times New Roman" w:hint="eastAsia"/>
          <w:sz w:val="22"/>
        </w:rPr>
        <w:t>A</w:t>
      </w:r>
      <w:r>
        <w:rPr>
          <w:rFonts w:ascii="Times New Roman" w:eastAsia="宋体" w:hAnsi="Times New Roman" w:cs="Times New Roman"/>
          <w:sz w:val="22"/>
        </w:rPr>
        <w:t xml:space="preserve">ugmented </w:t>
      </w:r>
      <w:r>
        <w:rPr>
          <w:rFonts w:ascii="Times New Roman" w:eastAsia="宋体" w:hAnsi="Times New Roman" w:cs="Times New Roman" w:hint="eastAsia"/>
          <w:sz w:val="22"/>
        </w:rPr>
        <w:t>e</w:t>
      </w:r>
      <w:r>
        <w:rPr>
          <w:rFonts w:ascii="Times New Roman" w:eastAsia="宋体" w:hAnsi="Times New Roman" w:cs="Times New Roman"/>
          <w:sz w:val="22"/>
        </w:rPr>
        <w:t>xtended Kalman Filter</w:t>
      </w:r>
      <w:r>
        <w:rPr>
          <w:rFonts w:ascii="Times New Roman" w:eastAsia="宋体" w:hAnsi="Times New Roman" w:cs="Times New Roman" w:hint="eastAsia"/>
          <w:sz w:val="22"/>
        </w:rPr>
        <w:t xml:space="preserve"> (</w:t>
      </w:r>
      <w:r>
        <w:rPr>
          <w:rStyle w:val="jlqj4b"/>
          <w:rFonts w:ascii="Times New Roman" w:eastAsia="Arial Unicode MS" w:hAnsi="Times New Roman" w:cs="Times New Roman"/>
        </w:rPr>
        <w:t>AEKF</w:t>
      </w:r>
      <w:r>
        <w:rPr>
          <w:rStyle w:val="jlqj4b"/>
          <w:rFonts w:ascii="Times New Roman" w:eastAsia="Arial Unicode MS" w:hAnsi="Times New Roman" w:cs="Times New Roman" w:hint="eastAsia"/>
        </w:rPr>
        <w:t>)</w:t>
      </w:r>
      <w:r>
        <w:rPr>
          <w:rStyle w:val="jlqj4b"/>
          <w:rFonts w:ascii="Times New Roman" w:eastAsia="Arial Unicode MS" w:hAnsi="Times New Roman" w:cs="Times New Roman"/>
        </w:rPr>
        <w:t xml:space="preserve"> and </w:t>
      </w:r>
      <w:r>
        <w:rPr>
          <w:rFonts w:ascii="Times New Roman" w:eastAsia="宋体" w:hAnsi="Times New Roman" w:cs="Times New Roman" w:hint="eastAsia"/>
          <w:sz w:val="22"/>
        </w:rPr>
        <w:t>Particle swarm optimization (</w:t>
      </w:r>
      <w:r>
        <w:rPr>
          <w:rStyle w:val="jlqj4b"/>
          <w:rFonts w:ascii="Times New Roman" w:eastAsia="Arial Unicode MS" w:hAnsi="Times New Roman" w:cs="Times New Roman"/>
        </w:rPr>
        <w:t>PSO</w:t>
      </w:r>
      <w:r>
        <w:rPr>
          <w:rStyle w:val="jlqj4b"/>
          <w:rFonts w:ascii="Times New Roman" w:eastAsia="Arial Unicode MS" w:hAnsi="Times New Roman" w:cs="Times New Roman" w:hint="eastAsia"/>
        </w:rPr>
        <w:t>)</w:t>
      </w:r>
      <w:r>
        <w:rPr>
          <w:rStyle w:val="jlqj4b"/>
          <w:rFonts w:ascii="Times New Roman" w:eastAsia="Arial Unicode MS" w:hAnsi="Times New Roman" w:cs="Times New Roman"/>
        </w:rPr>
        <w:t xml:space="preserve"> algorithm</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{"citationItems":[{"id":"ITEM-1","itemData":{"DOI":"10.1016/j.est.2020.101557","ISSN":"2352152X","abstract":"Battery management is critical to enhancing the safety, reliability, and performance of the battery systems. This paper presents a cloud battery management system for battery systems to improve the computational power and data storage capability by cloud computing. With the Internet of Things, all battery relevant data are measured and transmitted to the cloud seamlessly, building up the digital twin for the battery system, where battery diagnostic algorithms evaluate the data and open the window into battery's charge and aging level. The application of equivalent circuit models in the digital twin for battery systems is explored with the development of cloud-suited state-of-charge and state-of-health estimation approaches. The proposed state-of-charge estimation with an adaptive extended H-infinity filter is robust and accurate for both lithium-ion and lead-acid batteries, even with a significant initialization error. Furthermore, a state-of-health estimation algorithm with particle swarm optimization is innovatively exploited to monitor both capacity fade and power fade of the battery during aging. The functionalities and stability of both hardware and software of the cloud battery management system are validated with prototypes under field operation and experimental validation for both stationary and mobile applications.","author":[{"dropping-particle":"","family":"Li","given":"Weihan","non-dropping-particle":"","parse-names":false,"suffix":""},{"dropping-particle":"","family":"Rentemeister","given":"Monika","non-dropping-particle":"","parse-names":false,"suffix":""},{"dropping-particle":"","family":"Badeda","given":"Julia","non-dropping-particle":"","parse-names":false,"suffix":""},{"dropping-particle":"","family":"Jöst","given":"Dominik","non-dropping-particle":"","parse-names":false,"suffix":""},{"dropping-particle":"","family":"Schulte","given":"Dominik","non-dropping-particle":"","parse-names":false,"suffix":""},{"dropping-particle":"","family":"Sauer","given":"Dirk Uwe","non-dropping-particle":"","parse-names":false,"suffix":""}],"container-title":"Journal of Energy Storage","id":"ITEM-1","issue":"June","issued":{"date-parts":[["2020"]]},"page":"101557","publisher":"Elsevier","title":"Digital twin for battery systems: Cloud battery management system with online state-of-charge and state-of-health estimation","type":"article-journal","volume":"30"},"uris":["http://www.mendeley.com/documents/?uuid=ea19b234-9bd3-4335-b887-009177a64ffc"]}],"mendeley":{"formattedCitation":"[10]","plainTextFormattedCitation":"[10]","previouslyFormattedCitation":"[10]"},"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[10]</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Yet, whilst these approaches are promising the real potential of battery digital twins comes from the promise of using more physics informed models, new on-board diagnostic data and machine learning approaches, as suggested by Wu et al.</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{"citationItems":[{"id":"ITEM-1","itemData":{"DOI":"10.1016/j.egyai.2020.100016","ISSN":"26665468","author":[{"dropping-particle":"","family":"Wu","given":"Billy","non-dropping-particle":"","parse-names":false,"suffix":""},{"dropping-particle":"","family":"Widanage","given":"W. Dhammika","non-dropping-particle":"","parse-names":false,"suffix":""},{"dropping-particle":"","family":"Yang","given":"Shichun","non-dropping-particle":"","parse-names":false,"suffix":""},{"dropping-particle":"","family":"Liu","given":"Xinhua","non-dropping-particle":"","parse-names":false,"suffix":""}],"container-title":"Energy and AI","id":"ITEM-1","issued":{"date-parts":[["2020","8"]]},"page":"100016","publisher":"Elsevier","title":"Battery digital twins: Perspectives on the fusion of models, data and artificial intelligence for smart battery management systems","type":"article-journal","volume":"1"},"uris":["http://www.mendeley.com/documents/?uuid=d9e47161-167f-3984-98c0-56baba27bb40","http://www.mendeley.com/documents/?uuid=f3deed57-450a-4995-87e9-a42f761b48dd","http://www.mendeley.com/documents/?uuid=d3b01b96-5fc5-43cd-bb53-715e419c126a"]}],"mendeley":{"formattedCitation":"[11]","plainTextFormattedCitation":"[11]","previouslyFormattedCitation":"[11]"},"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[11]</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This prognostic capability was demonstrated by Li et al.</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{"citationItems":[{"id":"ITEM-1","itemData":{"DOI":"10.1016/j.jpowsour.2020.228863","ISSN":"03787753","abstract":"There is an increasing demand for modern diagnostic systems for batteries under real-world operation, specifically for the estimation of their state of health, for example, via their remaining capacity. The online estimation of the capacity of a cell is challenging due to the dynamic nature of cell aging and the limited variety of inputs available from a cell under operation. The scope of this work is the development of a data-driven capacity estimation model for cells under real-world working conditions with recurrent neural networks having long short-term memory capability. Voltage-time sensor data from the partial constant current phase charging curve is used as input, reflecting input availability in the real world. The network achieves a best-case mean absolute percentage error of 0.76% and is extremely robust while handling input noise. It also has the ability to handle variations in the length of the input time series and can generate a viable estimation even with an incomplete collection of input due to sensor errors. The model validation with several scenarios is done in a local embedded device, highlighting the use case of such models in future battery management systems.","author":[{"dropping-particle":"","family":"Li","given":"Weihan","non-dropping-particle":"","parse-names":false,"suffix":""},{"dropping-particle":"","family":"Sengupta","given":"Neil","non-dropping-particle":"","parse-names":false,"suffix":""},{"dropping-particle":"","family":"Dechent","given":"Philipp","non-dropping-particle":"","parse-names":false,"suffix":""},{"dropping-particle":"","family":"Howey","given":"David","non-dropping-particle":"","parse-names":false,"suffix":""},{"dropping-particle":"","family":"Annaswamy","given":"Anuradha","non-dropping-particle":"","parse-names":false,"suffix":""},{"dropping-particle":"","family":"Sauer","given":"Dirk Uwe","non-dropping-particle":"","parse-names":false,"suffix":""}],"container-title":"Journal of Power Sources","id":"ITEM-1","issue":"October 2020","issued":{"date-parts":[["2021"]]},"page":"228863","publisher":"Elsevier B.V.","title":"Online capacity estimation of lithium-ion batteries with deep long short-term memory networks","type":"article-journal","volume":"482"},"uris":["http://www.mendeley.com/documents/?uuid=9d54716b-e251-4ce9-9365-239d9ffadce2","http://www.mendeley.com/documents/?uuid=850e23b8-899f-46b0-9ac4-87e6140a7779"]}],"mendeley":{"formattedCitation":"[12]","plainTextFormattedCitation":"[12]","previouslyFormattedCitation":"[12]"},"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[12]</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in 2021 who used deep long short-term memory networks embedded into a Processor-in-the-loop (PIL) system leveraging off an Nvidia Jetson Nano system was able to predict lifetime to with an error between 0.7-4.5% using charging data. </w:t>
      </w:r>
    </w:p>
    <w:p w14:paraId="2D169E5A" w14:textId="77777777" w:rsidR="00672135" w:rsidRDefault="00120DF0">
      <w:pPr>
        <w:widowControl/>
        <w:ind w:firstLineChars="200" w:firstLine="441"/>
        <w:rPr>
          <w:rFonts w:ascii="Times New Roman" w:eastAsia="Arial Unicode MS" w:hAnsi="Times New Roman" w:cs="Times New Roman"/>
        </w:rPr>
      </w:pPr>
      <w:r>
        <w:rPr>
          <w:rStyle w:val="jlqj4b"/>
          <w:rFonts w:ascii="Times New Roman" w:eastAsia="Arial Unicode MS" w:hAnsi="Times New Roman" w:cs="Times New Roman"/>
        </w:rPr>
        <w:lastRenderedPageBreak/>
        <w:t xml:space="preserve">In addition to the research based on the battery system itself, the investigation of how these intelligent systems can help manage distributed, multi-tasking and heterogeneous self-organizing electric vehicle scheduling has been investigated. Given the multiple agents in the system such </w:t>
      </w:r>
      <w:proofErr w:type="spellStart"/>
      <w:r>
        <w:rPr>
          <w:rStyle w:val="jlqj4b"/>
          <w:rFonts w:ascii="Times New Roman" w:eastAsia="Arial Unicode MS" w:hAnsi="Times New Roman" w:cs="Times New Roman"/>
        </w:rPr>
        <w:t>a</w:t>
      </w:r>
      <w:proofErr w:type="spellEnd"/>
      <w:r>
        <w:rPr>
          <w:rStyle w:val="jlqj4b"/>
          <w:rFonts w:ascii="Times New Roman" w:eastAsia="Arial Unicode MS" w:hAnsi="Times New Roman" w:cs="Times New Roman"/>
        </w:rPr>
        <w:t xml:space="preserve"> Internet of Things (IoT) approach is essential to ensure effective resource utilization which is underpinned by high quality network connection in mobile vehicle conditions</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{"citationItems":[{"id":"ITEM-1","itemData":{"DOI":"10.1109/NOMS.2014.6838365","ISBN":"9781479909131","abstract":"The growing interest in the Internet of Things (IoT) has resulted in a number of wide-area deployments of IoT subnetworks, where multiple heterogeneous wireless communication solutions coexist: from multiple access technologies such as cellular, WiFi, ZigBee, and Bluetooth, to multi-hop ad-hoc and MANET routing protocols, they all must be effectively integrated to create a seamless communication platform. Managing these open, geographically distributed, and heterogeneous networking infrastructures, especially in dynamic environments, is a key technical challenge. In order to take full advantage of the many opportunities they provide, techniques to concurrently provision the different classes of IoT traffic across a common set of sensors and networking resources must be designed. In this paper, we will design a software-defined approach for the IoT environment to dynamically achieve differentiated quality levels to different IoT tasks in very heterogeneous wireless networking scenarios. For this, we extend the Multinetwork INformation Architecture (MINA), a reflective (self-observing and adapting via an embodied Observe-Analyze-Adapt loop) middleware with a layered IoT SDN controller. The developed IoT SDN controller originally i) incorporates and supports commands to differentiate flow scheduling over task-level, multi-hop, and heterogeneous ad-hoc paths and ii) exploits Network Calculus and Genetic Algorithms to optimize the usage of currently available IoT network opportunities. We have applied the extended MINA SDN prototype in the challenging IoT scenario of wide-scale integration of electric vehicles, electric charging sites, smart grid infrastructures, and a wide set of pilot users, as targeted by the Artemis Internet of Energy and Arrowhead projects. Preliminary simulation performance results indicate that our approach and the extended MINA system can support efficient exploitation of the IoT multinetwork capabilities. © 2014 IEEE.","author":[{"dropping-particle":"","family":"Qin","given":"Zhijing","non-dropping-particle":"","parse-names":false,"suffix":""},{"dropping-particle":"","family":"Denker","given":"Grit","non-dropping-particle":"","parse-names":false,"suffix":""},{"dropping-particle":"","family":"Giannelli","given":"Carlo","non-dropping-particle":"","parse-names":false,"suffix":""},{"dropping-particle":"","family":"Bellavista","given":"Paolo","non-dropping-particle":"","parse-names":false,"suffix":""},{"dropping-particle":"","family":"Venkatasubramanian","given":"Nalini","non-dropping-particle":"","parse-names":false,"suffix":""}],"container-title":"IEEE/IFIP NOMS 2014 - IEEE/IFIP Network Operations and Management Symposium: Management in a Software Defined World","id":"ITEM-1","issued":{"date-parts":[["2014"]]},"publisher":"IEEE","title":"A software defined networking architecture for the internet-of-things","type":"article-journal"},"uris":["http://www.mendeley.com/documents/?uuid=7ea84d20-f1d7-468c-9935-c3b31a6ffb92","http://www.mendeley.com/documents/?uuid=4328fac1-9556-4055-a423-8f9057cac7d1","http://www.mendeley.com/documents/?uuid=37688068-3205-4da0-a2b4-1632a0dd1880","http://www.mendeley.com/documents/?uuid=79693fcf-5ce0-4830-a4c9-45a316bd2dcc"]}],"mendeley":{"formattedCitation":"[13]","plainTextFormattedCitation":"[13]","previouslyFormattedCitation":"[13]"},"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[13]</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{"citationItems":[{"id":"ITEM-1","itemData":{"DOI":"10.1109/DICTAP.2012.6215350","ISBN":"9781467307338","abstract":"Mobile Cloud Computing (MCC) which combines mobile computing and cloud computing, has become one of the industry buzz words and a major discussion thread in the IT world since 2009. As MCC is still at the early stage of development, it is necessary to grasp a thorough understanding of the technology in order to point out the direction of future research. With the latter aim, this paper presents a review on the background and principle of MCC, characteristics, recent research work, and future research trends. A brief account on the background of MCC: from mobile computing to cloud computing is presented and then followed with a discussion on characteristics and recent research work. It then analyses the features and infrastructure of mobile cloud computing. The rest of the paper analyses the challenges of mobile cloud computing, summary of some research projects related to this area, and points out promising future research directions. © 2012 IEEE.","author":[{"dropping-particle":"","family":"Qi","given":"Han","non-dropping-particle":"","parse-names":false,"suffix":""},{"dropping-particle":"","family":"Gani","given":"Abdullah","non-dropping-particle":"","parse-names":false,"suffix":""}],"container-title":"2012 2nd International Conference on Digital Information and Communication Technology and its Applications, DICTAP 2012","id":"ITEM-1","issued":{"date-parts":[["2012"]]},"page":"195-202","publisher":"IEEE","title":"Research on mobile cloud computing: Review, trend and perspectives","type":"article-journal"},"uris":["http://www.mendeley.com/documents/?uuid=87c1154d-a69a-49b7-9fd6-ece6dc729f97","http://www.mendeley.com/documents/?uuid=1151f81f-24fe-43a4-b4d7-458a778e52b5","http://www.mendeley.com/documents/?uuid=48d531e5-c4f3-4a70-8be7-3172788c5ac8","http://www.mendeley.com/documents/?uuid=0f464a48-3695-4ef7-a986-d4cc2d28da7f"]}],"mendeley":{"formattedCitation":"[14]","plainTextFormattedCitation":"[14]","previouslyFormattedCitation":"[14]"},"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[14]</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However, security in such a connect system should not be overlooked. </w:t>
      </w:r>
      <w:r>
        <w:rPr>
          <w:rStyle w:val="jlqj4b"/>
          <w:rFonts w:ascii="Times New Roman" w:eastAsia="Arial Unicode MS" w:hAnsi="Times New Roman" w:cs="Times New Roman" w:hint="eastAsia"/>
        </w:rPr>
        <w:t>Sourabh</w:t>
      </w:r>
      <w:r>
        <w:rPr>
          <w:rStyle w:val="jlqj4b"/>
          <w:rFonts w:ascii="Times New Roman" w:eastAsia="Arial Unicode MS" w:hAnsi="Times New Roman" w:cs="Times New Roman"/>
        </w:rPr>
        <w:t xml:space="preserve"> et al.</w:t>
      </w:r>
      <w:r>
        <w:rPr>
          <w:rStyle w:val="jlqj4b"/>
          <w:rFonts w:ascii="Times New Roman" w:eastAsia="Arial Unicode MS" w:hAnsi="Times New Roman" w:cs="Times New Roman"/>
        </w:rPr>
        <w:fldChar w:fldCharType="begin" w:fldLock="1"/>
      </w:r>
      <w:r>
        <w:rPr>
          <w:rStyle w:val="jlqj4b"/>
          <w:rFonts w:ascii="Times New Roman" w:eastAsia="Arial Unicode MS" w:hAnsi="Times New Roman" w:cs="Times New Roman"/>
        </w:rPr>
        <w:instrText>ADDIN CSL_CITATION {"citationItems":[{"id":"ITEM-1","itemData":{"DOI":"10.1109/ITEC.2018.8450159","ISBN":"9781538630488","abstract":"The emerging Internet of Things (IoT) and cloud computing technologies are expected to advance the battery management systems (BMSs) by fully utilizing IoT wireless network, powerful computing and unlimited cloud support, resulting in providing significant value in cost reduction, extended scalability, and greater visibility in the lithium-ion battery energy storage systems. However, IoT presents a growing threat from cyber-attacks as the IoT devices are always connected on networks. The paper provides potential cyber-attack schemes and defense strategies to protect an IoTenabled BMS systems from malicious cyber-attacks, ensuring the secure utilization of the next-generation BMSs in cyberphysical environments.","author":[{"dropping-particle":"","family":"Kumbhar","given":"Sourabh","non-dropping-particle":"","parse-names":false,"suffix":""},{"dropping-particle":"","family":"Faika","given":"Tasnimun","non-dropping-particle":"","parse-names":false,"suffix":""},{"dropping-particle":"","family":"Makwana","given":"Darshan","non-dropping-particle":"","parse-names":false,"suffix":""},{"dropping-particle":"","family":"Kim","given":"Taesic","non-dropping-particle":"","parse-names":false,"suffix":""},{"dropping-particle":"","family":"Lee","given":"Young","non-dropping-particle":"","parse-names":false,"suffix":""}],"container-title":"2018 IEEE Transportation and Electrification Conference and Expo, ITEC 2018","id":"ITEM-1","issued":{"date-parts":[["2018"]]},"page":"761-766","publisher":"IEEE","title":"Cybersecurity for Battery Management Systems in Cyber-Physical Environments","type":"article-journal"},"uris":["http://www.mendeley.com/documents/?uuid=9462af66-9cb7-42d4-a75c-b8127fd8e8ca","http://www.mendeley.com/documents/?uuid=55b5f3e8-7aa5-46b7-924c-3c03508c6ea3","http://www.mendeley.com/documents/?uuid=64cad01f-babe-442f-8aaa-6ce7fa873a02","http://www.mendeley.com/documents/?uuid=78827c92-7841-465f-90c6-0064566ffa59"]}],"mendeley":{"formattedCitation":"[15]","plainTextFormattedCitation":"[15]","previouslyFormattedCitation":"[15]"},"properties":{"noteIndex":0},"schema":"https://github.com/citation-style-language/schema/raw/master/csl-citation.json"}</w:instrText>
      </w:r>
      <w:r>
        <w:rPr>
          <w:rStyle w:val="jlqj4b"/>
          <w:rFonts w:ascii="Times New Roman" w:eastAsia="Arial Unicode MS" w:hAnsi="Times New Roman" w:cs="Times New Roman"/>
        </w:rPr>
        <w:fldChar w:fldCharType="separate"/>
      </w:r>
      <w:r>
        <w:rPr>
          <w:rStyle w:val="jlqj4b"/>
          <w:rFonts w:ascii="Times New Roman" w:eastAsia="Arial Unicode MS" w:hAnsi="Times New Roman" w:cs="Times New Roman"/>
          <w:noProof/>
        </w:rPr>
        <w:t>[15]</w:t>
      </w:r>
      <w:r>
        <w:rPr>
          <w:rStyle w:val="jlqj4b"/>
          <w:rFonts w:ascii="Times New Roman" w:eastAsia="Arial Unicode MS" w:hAnsi="Times New Roman" w:cs="Times New Roman"/>
        </w:rPr>
        <w:fldChar w:fldCharType="end"/>
      </w:r>
      <w:r>
        <w:rPr>
          <w:rStyle w:val="jlqj4b"/>
          <w:rFonts w:ascii="Times New Roman" w:eastAsia="Arial Unicode MS" w:hAnsi="Times New Roman" w:cs="Times New Roman"/>
        </w:rPr>
        <w:t xml:space="preserve"> studied the network security issues in cyber-physical systems and proposed corresponding solutions</w:t>
      </w:r>
      <w:r>
        <w:rPr>
          <w:rStyle w:val="jlqj4b"/>
          <w:rFonts w:ascii="Times New Roman" w:eastAsia="Arial Unicode MS" w:hAnsi="Times New Roman" w:cs="Times New Roman" w:hint="eastAsia"/>
        </w:rPr>
        <w:t xml:space="preserve"> to ensure network security</w:t>
      </w:r>
      <w:r>
        <w:rPr>
          <w:rStyle w:val="jlqj4b"/>
          <w:rFonts w:ascii="Times New Roman" w:eastAsia="Arial Unicode MS" w:hAnsi="Times New Roman" w:cs="Times New Roman"/>
        </w:rPr>
        <w:t xml:space="preserve"> from a range of attack. These include: unauthorized cloud access, database attacks and unauthorized software updates with potential solutions ranging from authentication keys to use of distributed ledger technologies.</w:t>
      </w:r>
      <w:r>
        <w:rPr>
          <w:rFonts w:ascii="Times New Roman" w:eastAsia="Arial Unicode MS" w:hAnsi="Times New Roman" w:cs="Times New Roman"/>
        </w:rPr>
        <w:t xml:space="preserve"> </w:t>
      </w:r>
    </w:p>
    <w:p w14:paraId="57C5AF45" w14:textId="77777777" w:rsidR="00672135" w:rsidRDefault="00120DF0">
      <w:pPr>
        <w:widowControl/>
        <w:ind w:firstLineChars="200" w:firstLine="441"/>
        <w:rPr>
          <w:rFonts w:ascii="Times New Roman" w:eastAsia="Arial Unicode MS" w:hAnsi="Times New Roman" w:cs="Times New Roman"/>
        </w:rPr>
      </w:pPr>
      <w:r>
        <w:rPr>
          <w:rFonts w:ascii="Times New Roman" w:eastAsia="Arial Unicode MS" w:hAnsi="Times New Roman" w:cs="Times New Roman"/>
        </w:rPr>
        <w:t>Thus, w</w:t>
      </w:r>
      <w:r>
        <w:rPr>
          <w:rFonts w:ascii="Times New Roman" w:eastAsia="Arial Unicode MS" w:hAnsi="Times New Roman" w:cs="Times New Roman" w:hint="eastAsia"/>
        </w:rPr>
        <w:t>i</w:t>
      </w:r>
      <w:r>
        <w:rPr>
          <w:rFonts w:ascii="Times New Roman" w:eastAsia="Arial Unicode MS" w:hAnsi="Times New Roman" w:cs="Times New Roman"/>
        </w:rPr>
        <w:t>th new technologies such as: 5G, big data and artificial intelligence</w:t>
      </w:r>
      <w:r>
        <w:rPr>
          <w:rFonts w:ascii="Times New Roman" w:eastAsia="Arial Unicode MS" w:hAnsi="Times New Roman" w:cs="Times New Roman" w:hint="eastAsia"/>
        </w:rPr>
        <w:t xml:space="preserve">, </w:t>
      </w:r>
      <w:r>
        <w:rPr>
          <w:rFonts w:ascii="Times New Roman" w:eastAsia="Arial Unicode MS" w:hAnsi="Times New Roman" w:cs="Times New Roman"/>
        </w:rPr>
        <w:t xml:space="preserve">a </w:t>
      </w:r>
      <w:r>
        <w:rPr>
          <w:rFonts w:ascii="Times New Roman" w:eastAsia="Arial Unicode MS" w:hAnsi="Times New Roman" w:cs="Times New Roman" w:hint="eastAsia"/>
        </w:rPr>
        <w:t>vehicle</w:t>
      </w:r>
      <w:r>
        <w:rPr>
          <w:rFonts w:ascii="Times New Roman" w:eastAsia="Arial Unicode MS" w:hAnsi="Times New Roman" w:cs="Times New Roman"/>
        </w:rPr>
        <w:t xml:space="preserve"> is no longer </w:t>
      </w:r>
      <w:r>
        <w:rPr>
          <w:rFonts w:ascii="Times New Roman" w:eastAsia="Arial Unicode MS" w:hAnsi="Times New Roman" w:cs="Times New Roman" w:hint="eastAsia"/>
        </w:rPr>
        <w:t xml:space="preserve">only </w:t>
      </w:r>
      <w:r>
        <w:rPr>
          <w:rFonts w:ascii="Times New Roman" w:eastAsia="Arial Unicode MS" w:hAnsi="Times New Roman" w:cs="Times New Roman"/>
        </w:rPr>
        <w:t xml:space="preserve">a means of transportation, but is a technology which is increasingly integrated into a connected urban and electrical network. However, challenges remain in terms of how these potential functionalities will be implemented in a </w:t>
      </w:r>
      <w:proofErr w:type="gramStart"/>
      <w:r>
        <w:rPr>
          <w:rFonts w:ascii="Times New Roman" w:eastAsia="Arial Unicode MS" w:hAnsi="Times New Roman" w:cs="Times New Roman"/>
        </w:rPr>
        <w:t>real world</w:t>
      </w:r>
      <w:proofErr w:type="gramEnd"/>
      <w:r>
        <w:rPr>
          <w:rFonts w:ascii="Times New Roman" w:eastAsia="Arial Unicode MS" w:hAnsi="Times New Roman" w:cs="Times New Roman"/>
        </w:rPr>
        <w:t xml:space="preserve"> system, which provides the core motivation for this work. </w:t>
      </w:r>
    </w:p>
    <w:p w14:paraId="55E1DC55" w14:textId="7CEBB17E" w:rsidR="00672135" w:rsidRPr="00457DEA" w:rsidRDefault="00120DF0">
      <w:pPr>
        <w:ind w:firstLineChars="200" w:firstLine="441"/>
        <w:rPr>
          <w:rFonts w:ascii="Times New Roman" w:eastAsia="宋体" w:hAnsi="Times New Roman" w:cs="Times New Roman"/>
          <w:color w:val="0D0D0D" w:themeColor="text1" w:themeTint="F2"/>
          <w:kern w:val="0"/>
        </w:rPr>
      </w:pPr>
      <w:r w:rsidRPr="00457DEA">
        <w:rPr>
          <w:rFonts w:ascii="Times New Roman" w:eastAsia="Arial Unicode MS" w:hAnsi="Times New Roman" w:cs="Times New Roman"/>
          <w:color w:val="0D0D0D" w:themeColor="text1" w:themeTint="F2"/>
          <w:kern w:val="0"/>
        </w:rPr>
        <w:t>Therefore, t</w:t>
      </w:r>
      <w:r w:rsidRPr="00457DEA">
        <w:rPr>
          <w:rFonts w:ascii="Times New Roman" w:eastAsia="Arial Unicode MS" w:hAnsi="Times New Roman" w:cs="Times New Roman" w:hint="eastAsia"/>
          <w:color w:val="0D0D0D" w:themeColor="text1" w:themeTint="F2"/>
          <w:kern w:val="0"/>
        </w:rPr>
        <w:t xml:space="preserve">he organization of this article is arranged as follows: In </w:t>
      </w:r>
      <w:r w:rsidRPr="00457DEA">
        <w:rPr>
          <w:rFonts w:ascii="Times New Roman" w:eastAsia="Arial Unicode MS" w:hAnsi="Times New Roman" w:cs="Times New Roman"/>
          <w:color w:val="0D0D0D" w:themeColor="text1" w:themeTint="F2"/>
          <w:kern w:val="0"/>
        </w:rPr>
        <w:t>S</w:t>
      </w:r>
      <w:r w:rsidRPr="00457DEA">
        <w:rPr>
          <w:rFonts w:ascii="Times New Roman" w:eastAsia="Arial Unicode MS" w:hAnsi="Times New Roman" w:cs="Times New Roman" w:hint="eastAsia"/>
          <w:color w:val="0D0D0D" w:themeColor="text1" w:themeTint="F2"/>
          <w:kern w:val="0"/>
        </w:rPr>
        <w:t xml:space="preserve">ection 2, </w:t>
      </w:r>
      <w:r w:rsidRPr="00457DEA">
        <w:rPr>
          <w:rFonts w:ascii="Times New Roman" w:eastAsia="Arial Unicode MS" w:hAnsi="Times New Roman" w:cs="Times New Roman"/>
          <w:color w:val="0D0D0D" w:themeColor="text1" w:themeTint="F2"/>
          <w:kern w:val="0"/>
        </w:rPr>
        <w:t>the cloud</w:t>
      </w:r>
      <w:r w:rsidRPr="00457DEA">
        <w:rPr>
          <w:rFonts w:ascii="Times New Roman" w:eastAsia="Arial Unicode MS" w:hAnsi="Times New Roman" w:cs="Times New Roman" w:hint="eastAsia"/>
          <w:color w:val="0D0D0D" w:themeColor="text1" w:themeTint="F2"/>
          <w:kern w:val="0"/>
        </w:rPr>
        <w:t>-</w:t>
      </w:r>
      <w:r w:rsidRPr="00457DEA">
        <w:rPr>
          <w:rFonts w:ascii="Times New Roman" w:eastAsia="Arial Unicode MS" w:hAnsi="Times New Roman" w:cs="Times New Roman"/>
          <w:color w:val="0D0D0D" w:themeColor="text1" w:themeTint="F2"/>
          <w:kern w:val="0"/>
        </w:rPr>
        <w:t>to</w:t>
      </w:r>
      <w:r w:rsidRPr="00457DEA">
        <w:rPr>
          <w:rFonts w:ascii="Times New Roman" w:eastAsia="Arial Unicode MS" w:hAnsi="Times New Roman" w:cs="Times New Roman" w:hint="eastAsia"/>
          <w:color w:val="0D0D0D" w:themeColor="text1" w:themeTint="F2"/>
          <w:kern w:val="0"/>
        </w:rPr>
        <w:t>-</w:t>
      </w:r>
      <w:r w:rsidRPr="00457DEA">
        <w:rPr>
          <w:rFonts w:ascii="Times New Roman" w:eastAsia="Arial Unicode MS" w:hAnsi="Times New Roman" w:cs="Times New Roman"/>
          <w:color w:val="0D0D0D" w:themeColor="text1" w:themeTint="F2"/>
          <w:kern w:val="0"/>
        </w:rPr>
        <w:t xml:space="preserve">things framework for </w:t>
      </w:r>
      <w:r w:rsidRPr="00457DEA">
        <w:rPr>
          <w:rFonts w:ascii="Times New Roman" w:eastAsia="Arial Unicode MS" w:hAnsi="Times New Roman" w:cs="Times New Roman" w:hint="eastAsia"/>
          <w:color w:val="0D0D0D" w:themeColor="text1" w:themeTint="F2"/>
          <w:kern w:val="0"/>
        </w:rPr>
        <w:t>cloud</w:t>
      </w:r>
      <w:r w:rsidRPr="00457DEA">
        <w:rPr>
          <w:rFonts w:ascii="Times New Roman" w:eastAsia="Arial Unicode MS" w:hAnsi="Times New Roman" w:cs="Times New Roman"/>
          <w:color w:val="0D0D0D" w:themeColor="text1" w:themeTint="F2"/>
          <w:kern w:val="0"/>
        </w:rPr>
        <w:t>-based</w:t>
      </w:r>
      <w:r w:rsidRPr="00457DEA">
        <w:rPr>
          <w:rFonts w:ascii="Times New Roman" w:eastAsia="Arial Unicode MS" w:hAnsi="Times New Roman" w:cs="Times New Roman" w:hint="eastAsia"/>
          <w:color w:val="0D0D0D" w:themeColor="text1" w:themeTint="F2"/>
          <w:kern w:val="0"/>
        </w:rPr>
        <w:t xml:space="preserve"> BMS</w:t>
      </w:r>
      <w:r w:rsidRPr="00457DEA">
        <w:rPr>
          <w:rFonts w:ascii="Times New Roman" w:eastAsia="Arial Unicode MS" w:hAnsi="Times New Roman" w:cs="Times New Roman"/>
          <w:color w:val="0D0D0D" w:themeColor="text1" w:themeTint="F2"/>
          <w:kern w:val="0"/>
        </w:rPr>
        <w:t>s</w:t>
      </w:r>
      <w:r w:rsidRPr="00457DEA">
        <w:rPr>
          <w:rFonts w:ascii="Times New Roman" w:eastAsia="Arial Unicode MS" w:hAnsi="Times New Roman" w:cs="Times New Roman" w:hint="eastAsia"/>
          <w:color w:val="0D0D0D" w:themeColor="text1" w:themeTint="F2"/>
          <w:kern w:val="0"/>
        </w:rPr>
        <w:t xml:space="preserve"> </w:t>
      </w:r>
      <w:r w:rsidRPr="00457DEA">
        <w:rPr>
          <w:rFonts w:ascii="Times New Roman" w:eastAsia="Arial Unicode MS" w:hAnsi="Times New Roman" w:cs="Times New Roman"/>
          <w:color w:val="0D0D0D" w:themeColor="text1" w:themeTint="F2"/>
          <w:kern w:val="0"/>
        </w:rPr>
        <w:t>consist</w:t>
      </w:r>
      <w:r w:rsidRPr="00457DEA">
        <w:rPr>
          <w:rFonts w:ascii="Times New Roman" w:eastAsia="Arial Unicode MS" w:hAnsi="Times New Roman" w:cs="Times New Roman" w:hint="eastAsia"/>
          <w:color w:val="0D0D0D" w:themeColor="text1" w:themeTint="F2"/>
          <w:kern w:val="0"/>
        </w:rPr>
        <w:t>ing</w:t>
      </w:r>
      <w:r w:rsidRPr="00457DEA">
        <w:rPr>
          <w:rFonts w:ascii="Times New Roman" w:eastAsia="Arial Unicode MS" w:hAnsi="Times New Roman" w:cs="Times New Roman"/>
          <w:color w:val="0D0D0D" w:themeColor="text1" w:themeTint="F2"/>
          <w:kern w:val="0"/>
        </w:rPr>
        <w:t xml:space="preserve"> of four subsystems: end, edge, cloud and knowledge</w:t>
      </w:r>
      <w:r w:rsidR="00207E55" w:rsidRPr="00457DEA">
        <w:rPr>
          <w:rFonts w:ascii="Times New Roman" w:eastAsia="Arial Unicode MS" w:hAnsi="Times New Roman" w:cs="Times New Roman"/>
          <w:color w:val="0D0D0D" w:themeColor="text1" w:themeTint="F2"/>
          <w:kern w:val="0"/>
        </w:rPr>
        <w:t xml:space="preserve"> </w:t>
      </w:r>
      <w:r w:rsidR="00207E55" w:rsidRPr="00457DEA">
        <w:rPr>
          <w:rFonts w:ascii="Times New Roman" w:eastAsia="Arial Unicode MS" w:hAnsi="Times New Roman" w:cs="Times New Roman" w:hint="eastAsia"/>
          <w:color w:val="0D0D0D" w:themeColor="text1" w:themeTint="F2"/>
          <w:kern w:val="0"/>
        </w:rPr>
        <w:t>was</w:t>
      </w:r>
      <w:r w:rsidR="00207E55" w:rsidRPr="00457DEA">
        <w:rPr>
          <w:rFonts w:ascii="Times New Roman" w:eastAsia="Arial Unicode MS" w:hAnsi="Times New Roman" w:cs="Times New Roman"/>
          <w:color w:val="0D0D0D" w:themeColor="text1" w:themeTint="F2"/>
          <w:kern w:val="0"/>
        </w:rPr>
        <w:t xml:space="preserve"> described</w:t>
      </w:r>
      <w:r w:rsidRPr="00457DEA">
        <w:rPr>
          <w:rFonts w:ascii="Times New Roman" w:eastAsia="Arial Unicode MS" w:hAnsi="Times New Roman" w:cs="Times New Roman" w:hint="eastAsia"/>
          <w:color w:val="0D0D0D" w:themeColor="text1" w:themeTint="F2"/>
          <w:kern w:val="0"/>
        </w:rPr>
        <w:t xml:space="preserve">. </w:t>
      </w:r>
      <w:r w:rsidRPr="00457DEA">
        <w:rPr>
          <w:rFonts w:ascii="Times New Roman" w:eastAsia="Arial Unicode MS" w:hAnsi="Times New Roman" w:cs="Times New Roman"/>
          <w:color w:val="0D0D0D" w:themeColor="text1" w:themeTint="F2"/>
          <w:kern w:val="0"/>
        </w:rPr>
        <w:t xml:space="preserve">In Section 3, we review the </w:t>
      </w:r>
      <w:r w:rsidR="00207E55" w:rsidRPr="00457DEA">
        <w:rPr>
          <w:rFonts w:ascii="Times New Roman" w:eastAsia="Arial Unicode MS" w:hAnsi="Times New Roman" w:cs="Times New Roman"/>
          <w:color w:val="0D0D0D" w:themeColor="text1" w:themeTint="F2"/>
          <w:kern w:val="0"/>
        </w:rPr>
        <w:t>key function</w:t>
      </w:r>
      <w:r w:rsidRPr="00457DEA">
        <w:rPr>
          <w:rFonts w:ascii="Times New Roman" w:eastAsia="Arial Unicode MS" w:hAnsi="Times New Roman" w:cs="Times New Roman"/>
          <w:color w:val="0D0D0D" w:themeColor="text1" w:themeTint="F2"/>
          <w:kern w:val="0"/>
        </w:rPr>
        <w:t>s for high-precision state-of-X (SOX) estimation</w:t>
      </w:r>
      <w:r w:rsidR="00207E55" w:rsidRPr="00457DEA">
        <w:rPr>
          <w:rFonts w:ascii="Times New Roman" w:eastAsia="Arial Unicode MS" w:hAnsi="Times New Roman" w:cs="Times New Roman"/>
          <w:color w:val="0D0D0D" w:themeColor="text1" w:themeTint="F2"/>
          <w:kern w:val="0"/>
        </w:rPr>
        <w:t xml:space="preserve">, thermal management, cell balancing, fault diagnosis </w:t>
      </w:r>
      <w:r w:rsidRPr="00457DEA">
        <w:rPr>
          <w:rFonts w:ascii="Times New Roman" w:eastAsia="Arial Unicode MS" w:hAnsi="Times New Roman" w:cs="Times New Roman"/>
          <w:color w:val="0D0D0D" w:themeColor="text1" w:themeTint="F2"/>
          <w:kern w:val="0"/>
        </w:rPr>
        <w:t>for cloud-based BMSs.</w:t>
      </w:r>
      <w:r w:rsidRPr="00457DEA">
        <w:rPr>
          <w:rFonts w:ascii="Times New Roman" w:eastAsia="Arial Unicode MS" w:hAnsi="Times New Roman" w:cs="Times New Roman" w:hint="eastAsia"/>
          <w:color w:val="0D0D0D" w:themeColor="text1" w:themeTint="F2"/>
          <w:kern w:val="0"/>
        </w:rPr>
        <w:t xml:space="preserve"> In </w:t>
      </w:r>
      <w:r w:rsidRPr="00457DEA">
        <w:rPr>
          <w:rFonts w:ascii="Times New Roman" w:eastAsia="Arial Unicode MS" w:hAnsi="Times New Roman" w:cs="Times New Roman"/>
          <w:color w:val="0D0D0D" w:themeColor="text1" w:themeTint="F2"/>
          <w:kern w:val="0"/>
        </w:rPr>
        <w:t>S</w:t>
      </w:r>
      <w:r w:rsidRPr="00457DEA">
        <w:rPr>
          <w:rFonts w:ascii="Times New Roman" w:eastAsia="Arial Unicode MS" w:hAnsi="Times New Roman" w:cs="Times New Roman" w:hint="eastAsia"/>
          <w:color w:val="0D0D0D" w:themeColor="text1" w:themeTint="F2"/>
          <w:kern w:val="0"/>
        </w:rPr>
        <w:t xml:space="preserve">ection 4, </w:t>
      </w:r>
      <w:r w:rsidRPr="00457DEA">
        <w:rPr>
          <w:rFonts w:ascii="Times New Roman" w:eastAsia="Arial Unicode MS" w:hAnsi="Times New Roman" w:cs="Times New Roman"/>
          <w:color w:val="0D0D0D" w:themeColor="text1" w:themeTint="F2"/>
          <w:kern w:val="0"/>
        </w:rPr>
        <w:t>an observation cloud platform</w:t>
      </w:r>
      <w:r w:rsidRPr="00457DEA">
        <w:rPr>
          <w:rFonts w:ascii="Times New Roman" w:eastAsia="Arial Unicode MS" w:hAnsi="Times New Roman" w:cs="Times New Roman" w:hint="eastAsia"/>
          <w:color w:val="0D0D0D" w:themeColor="text1" w:themeTint="F2"/>
          <w:kern w:val="0"/>
        </w:rPr>
        <w:t xml:space="preserve"> </w:t>
      </w:r>
      <w:r w:rsidRPr="00457DEA">
        <w:rPr>
          <w:rFonts w:ascii="Times New Roman" w:eastAsia="Arial Unicode MS" w:hAnsi="Times New Roman" w:cs="Times New Roman"/>
          <w:color w:val="0D0D0D" w:themeColor="text1" w:themeTint="F2"/>
          <w:kern w:val="0"/>
        </w:rPr>
        <w:t xml:space="preserve">based on the </w:t>
      </w:r>
      <w:r w:rsidRPr="00457DEA">
        <w:rPr>
          <w:rFonts w:ascii="Times New Roman" w:eastAsia="Arial Unicode MS" w:hAnsi="Times New Roman" w:cs="Times New Roman" w:hint="eastAsia"/>
          <w:color w:val="0D0D0D" w:themeColor="text1" w:themeTint="F2"/>
          <w:kern w:val="0"/>
        </w:rPr>
        <w:t>Cyber Hierarchy and Interactional Network</w:t>
      </w:r>
      <w:r w:rsidRPr="00457DEA">
        <w:rPr>
          <w:rFonts w:ascii="Times New Roman" w:eastAsia="Arial Unicode MS" w:hAnsi="Times New Roman" w:cs="Times New Roman"/>
          <w:color w:val="0D0D0D" w:themeColor="text1" w:themeTint="F2"/>
          <w:kern w:val="0"/>
        </w:rPr>
        <w:t xml:space="preserve"> (CHAIN) multi-scale framework</w:t>
      </w:r>
      <w:r w:rsidR="00066849" w:rsidRPr="00457DEA">
        <w:rPr>
          <w:rFonts w:ascii="Times New Roman" w:eastAsia="Arial Unicode MS" w:hAnsi="Times New Roman" w:cs="Times New Roman"/>
          <w:color w:val="0D0D0D" w:themeColor="text1" w:themeTint="F2"/>
          <w:kern w:val="0"/>
        </w:rPr>
        <w:t xml:space="preserve"> was proposed</w:t>
      </w:r>
      <w:r w:rsidRPr="00457DEA">
        <w:rPr>
          <w:rFonts w:ascii="Times New Roman" w:eastAsia="Arial Unicode MS" w:hAnsi="Times New Roman" w:cs="Times New Roman" w:hint="eastAsia"/>
          <w:color w:val="0D0D0D" w:themeColor="text1" w:themeTint="F2"/>
          <w:kern w:val="0"/>
        </w:rPr>
        <w:t xml:space="preserve">. In </w:t>
      </w:r>
      <w:r w:rsidRPr="00457DEA">
        <w:rPr>
          <w:rFonts w:ascii="Times New Roman" w:eastAsia="Arial Unicode MS" w:hAnsi="Times New Roman" w:cs="Times New Roman"/>
          <w:color w:val="0D0D0D" w:themeColor="text1" w:themeTint="F2"/>
          <w:kern w:val="0"/>
        </w:rPr>
        <w:t>S</w:t>
      </w:r>
      <w:r w:rsidRPr="00457DEA">
        <w:rPr>
          <w:rFonts w:ascii="Times New Roman" w:eastAsia="Arial Unicode MS" w:hAnsi="Times New Roman" w:cs="Times New Roman" w:hint="eastAsia"/>
          <w:color w:val="0D0D0D" w:themeColor="text1" w:themeTint="F2"/>
          <w:kern w:val="0"/>
        </w:rPr>
        <w:t xml:space="preserve">ection 5, we </w:t>
      </w:r>
      <w:r w:rsidRPr="00457DEA">
        <w:rPr>
          <w:rFonts w:ascii="Times New Roman" w:eastAsia="Arial Unicode MS" w:hAnsi="Times New Roman" w:cs="Times New Roman"/>
          <w:color w:val="0D0D0D" w:themeColor="text1" w:themeTint="F2"/>
          <w:kern w:val="0"/>
        </w:rPr>
        <w:t>provide</w:t>
      </w:r>
      <w:r w:rsidRPr="00457DEA">
        <w:rPr>
          <w:rFonts w:ascii="Times New Roman" w:eastAsia="Arial Unicode MS" w:hAnsi="Times New Roman" w:cs="Times New Roman" w:hint="eastAsia"/>
          <w:color w:val="0D0D0D" w:themeColor="text1" w:themeTint="F2"/>
          <w:kern w:val="0"/>
        </w:rPr>
        <w:t xml:space="preserve"> </w:t>
      </w:r>
      <w:r w:rsidRPr="00457DEA">
        <w:rPr>
          <w:rFonts w:ascii="Times New Roman" w:eastAsia="宋体" w:hAnsi="Times New Roman" w:cs="Times New Roman"/>
          <w:color w:val="0D0D0D" w:themeColor="text1" w:themeTint="F2"/>
          <w:sz w:val="22"/>
        </w:rPr>
        <w:t>two prospects for the CHAIN architecture</w:t>
      </w:r>
      <w:r w:rsidRPr="00457DEA">
        <w:rPr>
          <w:rFonts w:ascii="Times New Roman" w:eastAsia="宋体" w:hAnsi="Times New Roman" w:cs="Times New Roman" w:hint="eastAsia"/>
          <w:color w:val="0D0D0D" w:themeColor="text1" w:themeTint="F2"/>
          <w:sz w:val="22"/>
        </w:rPr>
        <w:t>: m</w:t>
      </w:r>
      <w:r w:rsidRPr="00457DEA">
        <w:rPr>
          <w:rFonts w:ascii="Times New Roman" w:eastAsia="宋体" w:hAnsi="Times New Roman" w:cs="Times New Roman"/>
          <w:color w:val="0D0D0D" w:themeColor="text1" w:themeTint="F2"/>
          <w:sz w:val="22"/>
        </w:rPr>
        <w:t xml:space="preserve">ulti-scale </w:t>
      </w:r>
      <w:r w:rsidRPr="00457DEA">
        <w:rPr>
          <w:rFonts w:ascii="Times New Roman" w:eastAsia="宋体" w:hAnsi="Times New Roman" w:cs="Times New Roman" w:hint="eastAsia"/>
          <w:color w:val="0D0D0D" w:themeColor="text1" w:themeTint="F2"/>
          <w:sz w:val="22"/>
        </w:rPr>
        <w:t>i</w:t>
      </w:r>
      <w:r w:rsidRPr="00457DEA">
        <w:rPr>
          <w:rFonts w:ascii="Times New Roman" w:eastAsia="宋体" w:hAnsi="Times New Roman" w:cs="Times New Roman"/>
          <w:color w:val="0D0D0D" w:themeColor="text1" w:themeTint="F2"/>
          <w:sz w:val="22"/>
        </w:rPr>
        <w:t xml:space="preserve">ntegrated </w:t>
      </w:r>
      <w:r w:rsidRPr="00457DEA">
        <w:rPr>
          <w:rFonts w:ascii="Times New Roman" w:eastAsia="宋体" w:hAnsi="Times New Roman" w:cs="Times New Roman" w:hint="eastAsia"/>
          <w:color w:val="0D0D0D" w:themeColor="text1" w:themeTint="F2"/>
          <w:sz w:val="22"/>
        </w:rPr>
        <w:t>m</w:t>
      </w:r>
      <w:r w:rsidRPr="00457DEA">
        <w:rPr>
          <w:rFonts w:ascii="Times New Roman" w:eastAsia="宋体" w:hAnsi="Times New Roman" w:cs="Times New Roman"/>
          <w:color w:val="0D0D0D" w:themeColor="text1" w:themeTint="F2"/>
          <w:sz w:val="22"/>
        </w:rPr>
        <w:t xml:space="preserve">odeling </w:t>
      </w:r>
      <w:r w:rsidRPr="00457DEA">
        <w:rPr>
          <w:rFonts w:ascii="Times New Roman" w:eastAsia="宋体" w:hAnsi="Times New Roman" w:cs="Times New Roman" w:hint="eastAsia"/>
          <w:color w:val="0D0D0D" w:themeColor="text1" w:themeTint="F2"/>
          <w:sz w:val="22"/>
        </w:rPr>
        <w:t>s</w:t>
      </w:r>
      <w:r w:rsidRPr="00457DEA">
        <w:rPr>
          <w:rFonts w:ascii="Times New Roman" w:eastAsia="宋体" w:hAnsi="Times New Roman" w:cs="Times New Roman"/>
          <w:color w:val="0D0D0D" w:themeColor="text1" w:themeTint="F2"/>
          <w:sz w:val="22"/>
        </w:rPr>
        <w:t xml:space="preserve">trategy for </w:t>
      </w:r>
      <w:r w:rsidRPr="00457DEA">
        <w:rPr>
          <w:rFonts w:ascii="Times New Roman" w:eastAsia="宋体" w:hAnsi="Times New Roman" w:cs="Times New Roman" w:hint="eastAsia"/>
          <w:color w:val="0D0D0D" w:themeColor="text1" w:themeTint="F2"/>
          <w:sz w:val="22"/>
        </w:rPr>
        <w:t>b</w:t>
      </w:r>
      <w:r w:rsidRPr="00457DEA">
        <w:rPr>
          <w:rFonts w:ascii="Times New Roman" w:eastAsia="宋体" w:hAnsi="Times New Roman" w:cs="Times New Roman"/>
          <w:color w:val="0D0D0D" w:themeColor="text1" w:themeTint="F2"/>
          <w:sz w:val="22"/>
        </w:rPr>
        <w:t>atteries and</w:t>
      </w:r>
      <w:r w:rsidRPr="00457DEA">
        <w:rPr>
          <w:rFonts w:ascii="Times New Roman" w:eastAsia="宋体" w:hAnsi="Times New Roman" w:cs="Times New Roman" w:hint="eastAsia"/>
          <w:color w:val="0D0D0D" w:themeColor="text1" w:themeTint="F2"/>
          <w:sz w:val="22"/>
        </w:rPr>
        <w:t xml:space="preserve"> r</w:t>
      </w:r>
      <w:r w:rsidRPr="00457DEA">
        <w:rPr>
          <w:rFonts w:ascii="Times New Roman" w:eastAsia="宋体" w:hAnsi="Times New Roman" w:cs="Times New Roman"/>
          <w:color w:val="0D0D0D" w:themeColor="text1" w:themeTint="F2"/>
          <w:sz w:val="22"/>
        </w:rPr>
        <w:t xml:space="preserve">emote </w:t>
      </w:r>
      <w:r w:rsidRPr="00457DEA">
        <w:rPr>
          <w:rFonts w:ascii="Times New Roman" w:eastAsia="宋体" w:hAnsi="Times New Roman" w:cs="Times New Roman" w:hint="eastAsia"/>
          <w:color w:val="0D0D0D" w:themeColor="text1" w:themeTint="F2"/>
          <w:sz w:val="22"/>
        </w:rPr>
        <w:t>u</w:t>
      </w:r>
      <w:r w:rsidRPr="00457DEA">
        <w:rPr>
          <w:rFonts w:ascii="Times New Roman" w:eastAsia="宋体" w:hAnsi="Times New Roman" w:cs="Times New Roman"/>
          <w:color w:val="0D0D0D" w:themeColor="text1" w:themeTint="F2"/>
          <w:sz w:val="22"/>
        </w:rPr>
        <w:t xml:space="preserve">pgrade </w:t>
      </w:r>
      <w:r w:rsidRPr="00457DEA">
        <w:rPr>
          <w:rFonts w:ascii="Times New Roman" w:eastAsia="宋体" w:hAnsi="Times New Roman" w:cs="Times New Roman" w:hint="eastAsia"/>
          <w:color w:val="0D0D0D" w:themeColor="text1" w:themeTint="F2"/>
          <w:sz w:val="22"/>
        </w:rPr>
        <w:t>c</w:t>
      </w:r>
      <w:r w:rsidRPr="00457DEA">
        <w:rPr>
          <w:rFonts w:ascii="Times New Roman" w:eastAsia="宋体" w:hAnsi="Times New Roman" w:cs="Times New Roman"/>
          <w:color w:val="0D0D0D" w:themeColor="text1" w:themeTint="F2"/>
          <w:sz w:val="22"/>
        </w:rPr>
        <w:t xml:space="preserve">apability of the </w:t>
      </w:r>
      <w:r w:rsidRPr="00457DEA">
        <w:rPr>
          <w:rFonts w:ascii="Times New Roman" w:eastAsia="宋体" w:hAnsi="Times New Roman" w:cs="Times New Roman" w:hint="eastAsia"/>
          <w:color w:val="0D0D0D" w:themeColor="text1" w:themeTint="F2"/>
          <w:sz w:val="22"/>
        </w:rPr>
        <w:t>c</w:t>
      </w:r>
      <w:r w:rsidRPr="00457DEA">
        <w:rPr>
          <w:rFonts w:ascii="Times New Roman" w:eastAsia="宋体" w:hAnsi="Times New Roman" w:cs="Times New Roman"/>
          <w:color w:val="0D0D0D" w:themeColor="text1" w:themeTint="F2"/>
          <w:sz w:val="22"/>
        </w:rPr>
        <w:t>ontroller</w:t>
      </w:r>
      <w:r w:rsidRPr="00457DEA">
        <w:rPr>
          <w:rFonts w:ascii="Times New Roman" w:eastAsia="宋体" w:hAnsi="Times New Roman" w:cs="Times New Roman" w:hint="eastAsia"/>
          <w:color w:val="0D0D0D" w:themeColor="text1" w:themeTint="F2"/>
          <w:sz w:val="22"/>
        </w:rPr>
        <w:t>.</w:t>
      </w:r>
    </w:p>
    <w:p w14:paraId="7009713B" w14:textId="77777777" w:rsidR="00672135" w:rsidRDefault="00672135">
      <w:pPr>
        <w:ind w:firstLine="420"/>
        <w:rPr>
          <w:rFonts w:ascii="Times New Roman" w:hAnsi="Times New Roman" w:cs="Times New Roman"/>
        </w:rPr>
      </w:pPr>
    </w:p>
    <w:p w14:paraId="3549D966" w14:textId="77777777" w:rsidR="00672135" w:rsidRDefault="00120DF0">
      <w:pPr>
        <w:pStyle w:val="1"/>
      </w:pPr>
      <w:r>
        <w:t>Cloud battery management system</w:t>
      </w:r>
    </w:p>
    <w:p w14:paraId="6D25E65C" w14:textId="77777777" w:rsidR="00672135" w:rsidRPr="00457DEA" w:rsidRDefault="00120DF0">
      <w:pPr>
        <w:ind w:firstLine="420"/>
        <w:rPr>
          <w:rFonts w:ascii="Times New Roman" w:hAnsi="Times New Roman" w:cs="Times New Roman"/>
          <w:color w:val="0D0D0D" w:themeColor="text1" w:themeTint="F2"/>
          <w:szCs w:val="21"/>
        </w:rPr>
      </w:pPr>
      <w:r w:rsidRPr="00457DEA">
        <w:rPr>
          <w:rFonts w:ascii="Times New Roman" w:hAnsi="Times New Roman" w:cs="Times New Roman"/>
          <w:color w:val="0D0D0D" w:themeColor="text1" w:themeTint="F2"/>
        </w:rPr>
        <w:t xml:space="preserve">With the advent of </w:t>
      </w:r>
      <w:r w:rsidRPr="00457DEA">
        <w:rPr>
          <w:rFonts w:ascii="Times New Roman" w:hAnsi="Times New Roman" w:cs="Times New Roman"/>
          <w:color w:val="0D0D0D" w:themeColor="text1" w:themeTint="F2"/>
          <w:szCs w:val="21"/>
        </w:rPr>
        <w:t>cloud computing, access to more computationally intensive software and data storage/access can be achieved anywhere with an internet connection. This allows for devices to deliver functionality that would normally only be possible with high end hardware and also the analysis of aggregated big data sets</w:t>
      </w:r>
      <w:r w:rsidRPr="00457DEA">
        <w:rPr>
          <w:rFonts w:ascii="Times New Roman" w:hAnsi="Times New Roman"/>
          <w:color w:val="0D0D0D" w:themeColor="text1" w:themeTint="F2"/>
          <w:szCs w:val="21"/>
        </w:rPr>
        <w:fldChar w:fldCharType="begin" w:fldLock="1"/>
      </w:r>
      <w:r w:rsidRPr="00457DEA">
        <w:rPr>
          <w:rFonts w:ascii="Times New Roman" w:hAnsi="Times New Roman"/>
          <w:color w:val="0D0D0D" w:themeColor="text1" w:themeTint="F2"/>
          <w:szCs w:val="21"/>
        </w:rPr>
        <w:instrText>ADDIN CSL_CITATION {"citationItems":[{"id":"ITEM-1","itemData":{"DOI":"10.1016/j.est.2020.101557","ISSN":"2352152X","abstract":"Battery management is critical to enhancing the safety, reliability, and performance of the battery systems. This paper presents a cloud battery management system for battery systems to improve the computational power and data storage capability by cloud computing. With the Internet of Things, all battery relevant data are measured and transmitted to the cloud seamlessly, building up the digital twin for the battery system, where battery diagnostic algorithms evaluate the data and open the window into battery's charge and aging level. The application of equivalent circuit models in the digital twin for battery systems is explored with the development of cloud-suited state-of-charge and state-of-health estimation approaches. The proposed state-of-charge estimation with an adaptive extended H-infinity filter is robust and accurate for both lithium-ion and lead-acid batteries, even with a significant initialization error. Furthermore, a state-of-health estimation algorithm with particle swarm optimization is innovatively exploited to monitor both capacity fade and power fade of the battery during aging. The functionalities and stability of both hardware and software of the cloud battery management system are validated with prototypes under field operation and experimental validation for both stationary and mobile applications.","author":[{"dropping-particle":"","family":"Li","given":"Weihan","non-dropping-particle":"","parse-names":false,"suffix":""},{"dropping-particle":"","family":"Rentemeister","given":"Monika","non-dropping-particle":"","parse-names":false,"suffix":""},{"dropping-particle":"","family":"Badeda","given":"Julia","non-dropping-particle":"","parse-names":false,"suffix":""},{"dropping-particle":"","family":"Jöst","given":"Dominik","non-dropping-particle":"","parse-names":false,"suffix":""},{"dropping-particle":"","family":"Schulte","given":"Dominik","non-dropping-particle":"","parse-names":false,"suffix":""},{"dropping-particle":"","family":"Sauer","given":"Dirk Uwe","non-dropping-particle":"","parse-names":false,"suffix":""}],"container-title":"Journal of Energy Storage","id":"ITEM-1","issue":"June","issued":{"date-parts":[["2020"]]},"page":"101557","publisher":"Elsevier","title":"Digital twin for battery systems: Cloud battery management system with online state-of-charge and state-of-health estimation","type":"article-journal","volume":"30"},"uris":["http://www.mendeley.com/documents/?uuid=ea19b234-9bd3-4335-b887-009177a64ffc"]}],"mendeley":{"formattedCitation":"[10]","plainTextFormattedCitation":"[10]","previouslyFormattedCitation":"[10]"},"properties":{"noteIndex":0},"schema":"https://github.com/citation-style-language/schema/raw/master/csl-citation.json"}</w:instrText>
      </w:r>
      <w:r w:rsidRPr="00457DEA">
        <w:rPr>
          <w:rFonts w:ascii="Times New Roman" w:hAnsi="Times New Roman"/>
          <w:color w:val="0D0D0D" w:themeColor="text1" w:themeTint="F2"/>
          <w:szCs w:val="21"/>
        </w:rPr>
        <w:fldChar w:fldCharType="separate"/>
      </w:r>
      <w:r w:rsidRPr="00457DEA">
        <w:rPr>
          <w:rFonts w:ascii="Times New Roman" w:hAnsi="Times New Roman"/>
          <w:noProof/>
          <w:color w:val="0D0D0D" w:themeColor="text1" w:themeTint="F2"/>
          <w:szCs w:val="21"/>
        </w:rPr>
        <w:t>[10]</w:t>
      </w:r>
      <w:r w:rsidRPr="00457DEA">
        <w:rPr>
          <w:rFonts w:ascii="Times New Roman" w:hAnsi="Times New Roman"/>
          <w:color w:val="0D0D0D" w:themeColor="text1" w:themeTint="F2"/>
          <w:szCs w:val="21"/>
        </w:rPr>
        <w:fldChar w:fldCharType="end"/>
      </w:r>
      <w:r w:rsidRPr="00457DEA">
        <w:rPr>
          <w:rFonts w:ascii="Times New Roman" w:hAnsi="Times New Roman"/>
          <w:color w:val="0D0D0D" w:themeColor="text1" w:themeTint="F2"/>
          <w:szCs w:val="21"/>
        </w:rPr>
        <w:t>.</w:t>
      </w:r>
      <w:r w:rsidRPr="00457DEA">
        <w:rPr>
          <w:rFonts w:ascii="Times New Roman" w:hAnsi="Times New Roman" w:cs="Times New Roman"/>
          <w:color w:val="0D0D0D" w:themeColor="text1" w:themeTint="F2"/>
          <w:szCs w:val="21"/>
        </w:rPr>
        <w:t xml:space="preserve"> </w:t>
      </w:r>
      <w:bookmarkStart w:id="4" w:name="_Hlk70711855"/>
      <w:r w:rsidRPr="00457DEA">
        <w:rPr>
          <w:rFonts w:ascii="Times New Roman" w:hAnsi="Times New Roman" w:cs="Times New Roman"/>
          <w:color w:val="0D0D0D" w:themeColor="text1" w:themeTint="F2"/>
          <w:szCs w:val="21"/>
        </w:rPr>
        <w:t xml:space="preserve">This </w:t>
      </w:r>
      <w:r w:rsidRPr="00457DEA">
        <w:rPr>
          <w:rFonts w:ascii="Times New Roman" w:hAnsi="Times New Roman" w:cs="Times New Roman" w:hint="eastAsia"/>
          <w:color w:val="0D0D0D" w:themeColor="text1" w:themeTint="F2"/>
          <w:szCs w:val="21"/>
        </w:rPr>
        <w:t xml:space="preserve">connection </w:t>
      </w:r>
      <w:r w:rsidRPr="00457DEA">
        <w:rPr>
          <w:rFonts w:ascii="Times New Roman" w:hAnsi="Times New Roman" w:cs="Times New Roman"/>
          <w:color w:val="0D0D0D" w:themeColor="text1" w:themeTint="F2"/>
          <w:szCs w:val="21"/>
        </w:rPr>
        <w:t>between the physical and virtual world</w:t>
      </w:r>
      <w:r w:rsidRPr="00457DEA">
        <w:rPr>
          <w:rFonts w:ascii="Times New Roman" w:hAnsi="Times New Roman" w:cs="Times New Roman" w:hint="eastAsia"/>
          <w:color w:val="0D0D0D" w:themeColor="text1" w:themeTint="F2"/>
          <w:szCs w:val="21"/>
        </w:rPr>
        <w:t xml:space="preserve"> </w:t>
      </w:r>
      <w:r w:rsidRPr="00457DEA">
        <w:rPr>
          <w:rFonts w:ascii="Times New Roman" w:hAnsi="Times New Roman" w:cs="Times New Roman"/>
          <w:color w:val="0D0D0D" w:themeColor="text1" w:themeTint="F2"/>
          <w:szCs w:val="21"/>
        </w:rPr>
        <w:t xml:space="preserve">is often enabled </w:t>
      </w:r>
      <w:r w:rsidRPr="00457DEA">
        <w:rPr>
          <w:rFonts w:ascii="Times New Roman" w:hAnsi="Times New Roman" w:cs="Times New Roman" w:hint="eastAsia"/>
          <w:color w:val="0D0D0D" w:themeColor="text1" w:themeTint="F2"/>
          <w:szCs w:val="21"/>
        </w:rPr>
        <w:t xml:space="preserve">by </w:t>
      </w:r>
      <w:r w:rsidRPr="00457DEA">
        <w:rPr>
          <w:rFonts w:ascii="Times New Roman" w:hAnsi="Times New Roman" w:cs="Times New Roman"/>
          <w:color w:val="0D0D0D" w:themeColor="text1" w:themeTint="F2"/>
          <w:szCs w:val="21"/>
        </w:rPr>
        <w:t>framework consisting of end, edge and cloud elements, the application of digital twin technology can better monitor battery states and improve battery performance</w:t>
      </w:r>
      <w:bookmarkEnd w:id="4"/>
      <w:r w:rsidRPr="00457DEA">
        <w:rPr>
          <w:rFonts w:ascii="Times New Roman" w:hAnsi="Times New Roman" w:cs="Times New Roman"/>
          <w:color w:val="0D0D0D" w:themeColor="text1" w:themeTint="F2"/>
          <w:szCs w:val="21"/>
        </w:rPr>
        <w:t xml:space="preserve"> </w:t>
      </w:r>
      <w:r w:rsidRPr="00457DEA">
        <w:rPr>
          <w:rFonts w:ascii="Times New Roman" w:hAnsi="Times New Roman"/>
          <w:color w:val="0D0D0D" w:themeColor="text1" w:themeTint="F2"/>
          <w:szCs w:val="21"/>
        </w:rPr>
        <w:fldChar w:fldCharType="begin" w:fldLock="1"/>
      </w:r>
      <w:r w:rsidRPr="00457DEA">
        <w:rPr>
          <w:rFonts w:ascii="Times New Roman" w:hAnsi="Times New Roman"/>
          <w:color w:val="0D0D0D" w:themeColor="text1" w:themeTint="F2"/>
          <w:szCs w:val="21"/>
        </w:rPr>
        <w:instrText>ADDIN CSL_CITATION {"citationItems":[{"id":"ITEM-1","itemData":{"DOI":"10.1016/j.eti.2021.101369","ISSN":"23521864","author":[{"dropping-particle":"","family":"Liu","given":"Rongzheng","non-dropping-particle":"","parse-names":false,"suffix":""},{"dropping-particle":"","family":"Jia","given":"Baoshan","non-dropping-particle":"","parse-names":false,"suffix":""},{"dropping-particle":"","family":"Wang","given":"Wei","non-dropping-particle":"","parse-names":false,"suffix":""}],"container-title":"Environmental Technology &amp; Innovation","id":"ITEM-1","issued":{"date-parts":[["2021"]]},"page":"101369","publisher":"Elsevier B.V.","title":"Numerical simulation of gas explosion suppression by ultrasonic water mist based on the Cloud, Fog, and Edge Computing","type":"article-journal","volume":"21"},"uris":["http://www.mendeley.com/documents/?uuid=2510daf4-cb70-4d6f-b693-34ccb7073da5","http://www.mendeley.com/documents/?uuid=79f709a6-d1c0-47a4-8dd7-721125863eae","http://www.mendeley.com/documents/?uuid=310ce3ab-158f-4baa-98cd-d8514540e2a0"]}],"mendeley":{"formattedCitation":"[16]","plainTextFormattedCitation":"[16]","previouslyFormattedCitation":"[16]"},"properties":{"noteIndex":0},"schema":"https://github.com/citation-style-language/schema/raw/master/csl-citation.json"}</w:instrText>
      </w:r>
      <w:r w:rsidRPr="00457DEA">
        <w:rPr>
          <w:rFonts w:ascii="Times New Roman" w:hAnsi="Times New Roman"/>
          <w:color w:val="0D0D0D" w:themeColor="text1" w:themeTint="F2"/>
          <w:szCs w:val="21"/>
        </w:rPr>
        <w:fldChar w:fldCharType="separate"/>
      </w:r>
      <w:r w:rsidRPr="00457DEA">
        <w:rPr>
          <w:rFonts w:ascii="Times New Roman" w:hAnsi="Times New Roman"/>
          <w:noProof/>
          <w:color w:val="0D0D0D" w:themeColor="text1" w:themeTint="F2"/>
          <w:szCs w:val="21"/>
        </w:rPr>
        <w:t>[16]</w:t>
      </w:r>
      <w:r w:rsidRPr="00457DEA">
        <w:rPr>
          <w:rFonts w:ascii="Times New Roman" w:hAnsi="Times New Roman"/>
          <w:color w:val="0D0D0D" w:themeColor="text1" w:themeTint="F2"/>
          <w:szCs w:val="21"/>
        </w:rPr>
        <w:fldChar w:fldCharType="end"/>
      </w:r>
      <w:r w:rsidRPr="00457DEA">
        <w:rPr>
          <w:rFonts w:ascii="Times New Roman" w:hAnsi="Times New Roman"/>
          <w:color w:val="0D0D0D" w:themeColor="text1" w:themeTint="F2"/>
          <w:szCs w:val="21"/>
        </w:rPr>
        <w:fldChar w:fldCharType="begin" w:fldLock="1"/>
      </w:r>
      <w:r w:rsidRPr="00457DEA">
        <w:rPr>
          <w:rFonts w:ascii="Times New Roman" w:hAnsi="Times New Roman"/>
          <w:color w:val="0D0D0D" w:themeColor="text1" w:themeTint="F2"/>
          <w:szCs w:val="21"/>
        </w:rPr>
        <w:instrText>ADDIN CSL_CITATION {"citationItems":[{"id":"ITEM-1","itemData":{"DOI":"10.1038/d41586-019-02849-1","ISSN":"14764687","PMID":"31554984","abstract":"Virtual models boost smart manufacturing by simulating decisions and optimization, from design to operations, explain Fei Tao and Qinglin Qi. [Figure not available: see fulltext.]","author":[{"dropping-particle":"","family":"Tao","given":"Fei","non-dropping-particle":"","parse-names":false,"suffix":""},{"dropping-particle":"","family":"Qi","given":"Qinglin","non-dropping-particle":"","parse-names":false,"suffix":""}],"container-title":"Nature","id":"ITEM-1","issue":"7775","issued":{"date-parts":[["2019"]]},"page":"490-491","title":"Make more digital twins","type":"article-journal","volume":"573"},"uris":["http://www.mendeley.com/documents/?uuid=c768d712-33d6-4522-a504-89b5922ab5d3"]}],"mendeley":{"formattedCitation":"[17]","plainTextFormattedCitation":"[17]","previouslyFormattedCitation":"[17]"},"properties":{"noteIndex":0},"schema":"https://github.com/citation-style-language/schema/raw/master/csl-citation.json"}</w:instrText>
      </w:r>
      <w:r w:rsidRPr="00457DEA">
        <w:rPr>
          <w:rFonts w:ascii="Times New Roman" w:hAnsi="Times New Roman"/>
          <w:color w:val="0D0D0D" w:themeColor="text1" w:themeTint="F2"/>
          <w:szCs w:val="21"/>
        </w:rPr>
        <w:fldChar w:fldCharType="separate"/>
      </w:r>
      <w:r w:rsidRPr="00457DEA">
        <w:rPr>
          <w:rFonts w:ascii="Times New Roman" w:hAnsi="Times New Roman"/>
          <w:noProof/>
          <w:color w:val="0D0D0D" w:themeColor="text1" w:themeTint="F2"/>
          <w:szCs w:val="21"/>
        </w:rPr>
        <w:t>[17]</w:t>
      </w:r>
      <w:r w:rsidRPr="00457DEA">
        <w:rPr>
          <w:rFonts w:ascii="Times New Roman" w:hAnsi="Times New Roman"/>
          <w:color w:val="0D0D0D" w:themeColor="text1" w:themeTint="F2"/>
          <w:szCs w:val="21"/>
        </w:rPr>
        <w:fldChar w:fldCharType="end"/>
      </w:r>
      <w:r w:rsidRPr="00457DEA">
        <w:rPr>
          <w:rFonts w:ascii="Times New Roman" w:hAnsi="Times New Roman" w:cs="Times New Roman"/>
          <w:color w:val="0D0D0D" w:themeColor="text1" w:themeTint="F2"/>
          <w:szCs w:val="21"/>
        </w:rPr>
        <w:t xml:space="preserve">. </w:t>
      </w:r>
      <w:bookmarkStart w:id="5" w:name="OLE_LINK1"/>
      <w:r w:rsidRPr="00457DEA">
        <w:rPr>
          <w:rFonts w:ascii="Times New Roman" w:hAnsi="Times New Roman" w:cs="Times New Roman"/>
          <w:color w:val="0D0D0D" w:themeColor="text1" w:themeTint="F2"/>
          <w:szCs w:val="21"/>
        </w:rPr>
        <w:t xml:space="preserve">When combining this digital twin and with deep learning approaches, </w:t>
      </w:r>
      <w:r w:rsidRPr="00457DEA">
        <w:rPr>
          <w:rFonts w:ascii="Times New Roman" w:hAnsi="Times New Roman" w:cs="Times New Roman" w:hint="eastAsia"/>
          <w:color w:val="0D0D0D" w:themeColor="text1" w:themeTint="F2"/>
          <w:szCs w:val="21"/>
        </w:rPr>
        <w:t>complex d</w:t>
      </w:r>
      <w:r w:rsidRPr="00457DEA">
        <w:rPr>
          <w:rFonts w:ascii="Times New Roman" w:hAnsi="Times New Roman" w:cs="Times New Roman"/>
          <w:color w:val="0D0D0D" w:themeColor="text1" w:themeTint="F2"/>
          <w:szCs w:val="21"/>
        </w:rPr>
        <w:t>etection, prediction and optimization functions can be achieved which is difficult with traditional BMSs</w:t>
      </w:r>
      <w:r w:rsidRPr="00457DEA">
        <w:rPr>
          <w:rFonts w:ascii="Times New Roman" w:hAnsi="Times New Roman"/>
          <w:color w:val="0D0D0D" w:themeColor="text1" w:themeTint="F2"/>
          <w:szCs w:val="21"/>
        </w:rPr>
        <w:fldChar w:fldCharType="begin" w:fldLock="1"/>
      </w:r>
      <w:r w:rsidRPr="00457DEA">
        <w:rPr>
          <w:rFonts w:ascii="Times New Roman" w:hAnsi="Times New Roman"/>
          <w:color w:val="0D0D0D" w:themeColor="text1" w:themeTint="F2"/>
          <w:szCs w:val="21"/>
        </w:rPr>
        <w:instrText>ADDIN CSL_CITATION {"citationItems":[{"id":"ITEM-1","itemData":{"DOI":"10.1016/j.jpowsour.2020.228863","ISSN":"03787753","abstract":"There is an increasing demand for modern diagnostic systems for batteries under real-world operation, specifically for the estimation of their state of health, for example, via their remaining capacity. The online estimation of the capacity of a cell is challenging due to the dynamic nature of cell aging and the limited variety of inputs available from a cell under operation. The scope of this work is the development of a data-driven capacity estimation model for cells under real-world working conditions with recurrent neural networks having long short-term memory capability. Voltage-time sensor data from the partial constant current phase charging curve is used as input, reflecting input availability in the real world. The network achieves a best-case mean absolute percentage error of 0.76% and is extremely robust while handling input noise. It also has the ability to handle variations in the length of the input time series and can generate a viable estimation even with an incomplete collection of input due to sensor errors. The model validation with several scenarios is done in a local embedded device, highlighting the use case of such models in future battery management systems.","author":[{"dropping-particle":"","family":"Li","given":"Weihan","non-dropping-particle":"","parse-names":false,"suffix":""},{"dropping-particle":"","family":"Sengupta","given":"Neil","non-dropping-particle":"","parse-names":false,"suffix":""},{"dropping-particle":"","family":"Dechent","given":"Philipp","non-dropping-particle":"","parse-names":false,"suffix":""},{"dropping-particle":"","family":"Howey","given":"David","non-dropping-particle":"","parse-names":false,"suffix":""},{"dropping-particle":"","family":"Annaswamy","given":"Anuradha","non-dropping-particle":"","parse-names":false,"suffix":""},{"dropping-particle":"","family":"Sauer","given":"Dirk Uwe","non-dropping-particle":"","parse-names":false,"suffix":""}],"container-title":"Journal of Power Sources","id":"ITEM-1","issue":"October 2020","issued":{"date-parts":[["2021"]]},"page":"228863","publisher":"Elsevier B.V.","title":"Online capacity estimation of lithium-ion batteries with deep long short-term memory networks","type":"article-journal","volume":"482"},"uris":["http://www.mendeley.com/documents/?uuid=850e23b8-899f-46b0-9ac4-87e6140a7779","http://www.mendeley.com/documents/?uuid=9d54716b-e251-4ce9-9365-239d9ffadce2","http://www.mendeley.com/documents/?uuid=96b7635e-6edd-4790-b06d-35be37386a6b"]}],"mendeley":{"formattedCitation":"[12]","plainTextFormattedCitation":"[12]","previouslyFormattedCitation":"[12]"},"properties":{"noteIndex":0},"schema":"https://github.com/citation-style-language/schema/raw/master/csl-citation.json"}</w:instrText>
      </w:r>
      <w:r w:rsidRPr="00457DEA">
        <w:rPr>
          <w:rFonts w:ascii="Times New Roman" w:hAnsi="Times New Roman"/>
          <w:color w:val="0D0D0D" w:themeColor="text1" w:themeTint="F2"/>
          <w:szCs w:val="21"/>
        </w:rPr>
        <w:fldChar w:fldCharType="separate"/>
      </w:r>
      <w:r w:rsidRPr="00457DEA">
        <w:rPr>
          <w:rFonts w:ascii="Times New Roman" w:hAnsi="Times New Roman"/>
          <w:noProof/>
          <w:color w:val="0D0D0D" w:themeColor="text1" w:themeTint="F2"/>
          <w:szCs w:val="21"/>
        </w:rPr>
        <w:t>[12]</w:t>
      </w:r>
      <w:r w:rsidRPr="00457DEA">
        <w:rPr>
          <w:rFonts w:ascii="Times New Roman" w:hAnsi="Times New Roman"/>
          <w:color w:val="0D0D0D" w:themeColor="text1" w:themeTint="F2"/>
          <w:szCs w:val="21"/>
        </w:rPr>
        <w:fldChar w:fldCharType="end"/>
      </w:r>
      <w:r w:rsidRPr="00457DEA">
        <w:rPr>
          <w:rFonts w:ascii="Times New Roman" w:hAnsi="Times New Roman"/>
          <w:color w:val="0D0D0D" w:themeColor="text1" w:themeTint="F2"/>
          <w:szCs w:val="21"/>
        </w:rPr>
        <w:t>.</w:t>
      </w:r>
      <w:r w:rsidRPr="00457DEA">
        <w:rPr>
          <w:rFonts w:ascii="Times New Roman" w:hAnsi="Times New Roman" w:cs="Times New Roman"/>
          <w:color w:val="0D0D0D" w:themeColor="text1" w:themeTint="F2"/>
          <w:szCs w:val="21"/>
        </w:rPr>
        <w:t xml:space="preserve"> A cloud</w:t>
      </w:r>
      <w:r w:rsidRPr="00457DEA">
        <w:rPr>
          <w:rFonts w:ascii="Times New Roman" w:hAnsi="Times New Roman" w:cs="Times New Roman" w:hint="eastAsia"/>
          <w:color w:val="0D0D0D" w:themeColor="text1" w:themeTint="F2"/>
          <w:szCs w:val="21"/>
        </w:rPr>
        <w:t>-</w:t>
      </w:r>
      <w:r w:rsidRPr="00457DEA">
        <w:rPr>
          <w:rFonts w:ascii="Times New Roman" w:hAnsi="Times New Roman" w:cs="Times New Roman"/>
          <w:color w:val="0D0D0D" w:themeColor="text1" w:themeTint="F2"/>
          <w:szCs w:val="21"/>
        </w:rPr>
        <w:t>to</w:t>
      </w:r>
      <w:r w:rsidRPr="00457DEA">
        <w:rPr>
          <w:rFonts w:ascii="Times New Roman" w:hAnsi="Times New Roman" w:cs="Times New Roman" w:hint="eastAsia"/>
          <w:color w:val="0D0D0D" w:themeColor="text1" w:themeTint="F2"/>
          <w:szCs w:val="21"/>
        </w:rPr>
        <w:t>-</w:t>
      </w:r>
      <w:r w:rsidRPr="00457DEA">
        <w:rPr>
          <w:rFonts w:ascii="Times New Roman" w:hAnsi="Times New Roman" w:cs="Times New Roman"/>
          <w:color w:val="0D0D0D" w:themeColor="text1" w:themeTint="F2"/>
          <w:szCs w:val="21"/>
        </w:rPr>
        <w:t xml:space="preserve">things framework is shown in </w:t>
      </w:r>
      <w:r w:rsidRPr="00457DEA">
        <w:rPr>
          <w:rFonts w:ascii="Times New Roman" w:hAnsi="Times New Roman" w:cs="Times New Roman"/>
          <w:color w:val="0D0D0D" w:themeColor="text1" w:themeTint="F2"/>
          <w:szCs w:val="21"/>
        </w:rPr>
        <w:fldChar w:fldCharType="begin"/>
      </w:r>
      <w:r w:rsidRPr="00457DEA">
        <w:rPr>
          <w:rFonts w:ascii="Times New Roman" w:hAnsi="Times New Roman" w:cs="Times New Roman"/>
          <w:color w:val="0D0D0D" w:themeColor="text1" w:themeTint="F2"/>
          <w:szCs w:val="21"/>
        </w:rPr>
        <w:instrText xml:space="preserve"> REF _Ref17591 \h </w:instrText>
      </w:r>
      <w:r w:rsidRPr="00457DEA">
        <w:rPr>
          <w:rFonts w:ascii="Times New Roman" w:hAnsi="Times New Roman"/>
          <w:color w:val="0D0D0D" w:themeColor="text1" w:themeTint="F2"/>
          <w:szCs w:val="21"/>
        </w:rPr>
        <w:instrText xml:space="preserve"> \* MERGEFORMAT </w:instrText>
      </w:r>
      <w:r w:rsidRPr="00457DEA">
        <w:rPr>
          <w:rFonts w:ascii="Times New Roman" w:hAnsi="Times New Roman" w:cs="Times New Roman"/>
          <w:color w:val="0D0D0D" w:themeColor="text1" w:themeTint="F2"/>
          <w:szCs w:val="21"/>
        </w:rPr>
      </w:r>
      <w:r w:rsidRPr="00457DEA">
        <w:rPr>
          <w:rFonts w:ascii="Times New Roman" w:hAnsi="Times New Roman" w:cs="Times New Roman"/>
          <w:color w:val="0D0D0D" w:themeColor="text1" w:themeTint="F2"/>
          <w:szCs w:val="21"/>
        </w:rPr>
        <w:fldChar w:fldCharType="separate"/>
      </w:r>
      <w:r w:rsidRPr="00457DEA">
        <w:rPr>
          <w:rFonts w:ascii="Times New Roman" w:hAnsi="Times New Roman" w:cs="Times New Roman" w:hint="eastAsia"/>
          <w:color w:val="0D0D0D" w:themeColor="text1" w:themeTint="F2"/>
          <w:szCs w:val="21"/>
        </w:rPr>
        <w:t>Figure</w:t>
      </w:r>
      <w:r w:rsidRPr="00457DEA">
        <w:rPr>
          <w:rFonts w:ascii="Times New Roman" w:hAnsi="Times New Roman" w:cs="Times New Roman"/>
          <w:color w:val="0D0D0D" w:themeColor="text1" w:themeTint="F2"/>
          <w:szCs w:val="21"/>
        </w:rPr>
        <w:t xml:space="preserve"> 1</w:t>
      </w:r>
      <w:r w:rsidRPr="00457DEA">
        <w:rPr>
          <w:rFonts w:ascii="Times New Roman" w:hAnsi="Times New Roman" w:cs="Times New Roman"/>
          <w:color w:val="0D0D0D" w:themeColor="text1" w:themeTint="F2"/>
          <w:szCs w:val="21"/>
        </w:rPr>
        <w:fldChar w:fldCharType="end"/>
      </w:r>
      <w:r w:rsidRPr="00457DEA">
        <w:rPr>
          <w:rFonts w:ascii="Times New Roman" w:hAnsi="Times New Roman" w:cs="Times New Roman"/>
          <w:color w:val="0D0D0D" w:themeColor="text1" w:themeTint="F2"/>
          <w:szCs w:val="21"/>
        </w:rPr>
        <w:t xml:space="preserve">, and consists of four subsystems: end, edge, cloud and knowledge. </w:t>
      </w:r>
      <w:bookmarkEnd w:id="5"/>
    </w:p>
    <w:p w14:paraId="62033C20" w14:textId="77777777" w:rsidR="00672135" w:rsidRPr="00457DEA" w:rsidRDefault="00672135">
      <w:pPr>
        <w:rPr>
          <w:rFonts w:ascii="Times New Roman" w:hAnsi="Times New Roman" w:cs="Times New Roman"/>
          <w:b/>
          <w:bCs/>
          <w:color w:val="0D0D0D" w:themeColor="text1" w:themeTint="F2"/>
          <w:szCs w:val="21"/>
        </w:rPr>
      </w:pPr>
    </w:p>
    <w:p w14:paraId="31267643" w14:textId="77777777" w:rsidR="00672135" w:rsidRDefault="00120DF0">
      <w:pPr>
        <w:rPr>
          <w:rFonts w:ascii="Times New Roman" w:hAnsi="Times New Roman" w:cs="Times New Roman"/>
          <w:b/>
          <w:bCs/>
          <w:szCs w:val="21"/>
        </w:rPr>
      </w:pPr>
      <w:r>
        <w:rPr>
          <w:noProof/>
        </w:rPr>
        <w:lastRenderedPageBreak/>
        <w:drawing>
          <wp:inline distT="0" distB="0" distL="0" distR="0" wp14:anchorId="2D87658E" wp14:editId="3E4FD4C0">
            <wp:extent cx="5274310" cy="316484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3164840"/>
                    </a:xfrm>
                    <a:prstGeom prst="rect">
                      <a:avLst/>
                    </a:prstGeom>
                    <a:noFill/>
                    <a:ln>
                      <a:noFill/>
                    </a:ln>
                  </pic:spPr>
                </pic:pic>
              </a:graphicData>
            </a:graphic>
          </wp:inline>
        </w:drawing>
      </w:r>
    </w:p>
    <w:p w14:paraId="2B93ABA1" w14:textId="77777777" w:rsidR="00672135" w:rsidRPr="00457DEA" w:rsidRDefault="00120DF0">
      <w:pPr>
        <w:ind w:firstLine="420"/>
        <w:jc w:val="center"/>
        <w:rPr>
          <w:rFonts w:ascii="Times New Roman" w:hAnsi="Times New Roman" w:cs="Times New Roman"/>
          <w:color w:val="0D0D0D" w:themeColor="text1" w:themeTint="F2"/>
          <w:szCs w:val="21"/>
        </w:rPr>
      </w:pPr>
      <w:bookmarkStart w:id="6" w:name="_Ref17591"/>
      <w:r w:rsidRPr="00457DEA">
        <w:rPr>
          <w:rFonts w:ascii="Times New Roman" w:hAnsi="Times New Roman" w:cs="Times New Roman" w:hint="eastAsia"/>
          <w:color w:val="0D0D0D" w:themeColor="text1" w:themeTint="F2"/>
          <w:szCs w:val="21"/>
        </w:rPr>
        <w:t>Figure</w:t>
      </w:r>
      <w:r w:rsidRPr="00457DEA">
        <w:rPr>
          <w:rFonts w:ascii="Times New Roman" w:hAnsi="Times New Roman" w:cs="Times New Roman"/>
          <w:color w:val="0D0D0D" w:themeColor="text1" w:themeTint="F2"/>
          <w:szCs w:val="21"/>
        </w:rPr>
        <w:t xml:space="preserve"> </w:t>
      </w:r>
      <w:r w:rsidRPr="00457DEA">
        <w:rPr>
          <w:rFonts w:ascii="Times New Roman" w:hAnsi="Times New Roman" w:cs="Times New Roman"/>
          <w:color w:val="0D0D0D" w:themeColor="text1" w:themeTint="F2"/>
          <w:szCs w:val="21"/>
        </w:rPr>
        <w:fldChar w:fldCharType="begin"/>
      </w:r>
      <w:r w:rsidRPr="00457DEA">
        <w:rPr>
          <w:rFonts w:ascii="Times New Roman" w:hAnsi="Times New Roman" w:cs="Times New Roman"/>
          <w:color w:val="0D0D0D" w:themeColor="text1" w:themeTint="F2"/>
          <w:szCs w:val="21"/>
        </w:rPr>
        <w:instrText xml:space="preserve"> SEQ Fig. \* ARABIC </w:instrText>
      </w:r>
      <w:r w:rsidRPr="00457DEA">
        <w:rPr>
          <w:rFonts w:ascii="Times New Roman" w:hAnsi="Times New Roman" w:cs="Times New Roman"/>
          <w:color w:val="0D0D0D" w:themeColor="text1" w:themeTint="F2"/>
          <w:szCs w:val="21"/>
        </w:rPr>
        <w:fldChar w:fldCharType="separate"/>
      </w:r>
      <w:r w:rsidRPr="00457DEA">
        <w:rPr>
          <w:rFonts w:ascii="Times New Roman" w:hAnsi="Times New Roman" w:cs="Times New Roman"/>
          <w:color w:val="0D0D0D" w:themeColor="text1" w:themeTint="F2"/>
          <w:szCs w:val="21"/>
        </w:rPr>
        <w:t>1</w:t>
      </w:r>
      <w:r w:rsidRPr="00457DEA">
        <w:rPr>
          <w:rFonts w:ascii="Times New Roman" w:hAnsi="Times New Roman" w:cs="Times New Roman"/>
          <w:color w:val="0D0D0D" w:themeColor="text1" w:themeTint="F2"/>
          <w:szCs w:val="21"/>
        </w:rPr>
        <w:fldChar w:fldCharType="end"/>
      </w:r>
      <w:bookmarkEnd w:id="6"/>
      <w:r w:rsidRPr="00457DEA">
        <w:rPr>
          <w:rFonts w:ascii="Times New Roman" w:hAnsi="Times New Roman" w:cs="Times New Roman"/>
          <w:color w:val="0D0D0D" w:themeColor="text1" w:themeTint="F2"/>
          <w:szCs w:val="21"/>
        </w:rPr>
        <w:t xml:space="preserve"> </w:t>
      </w:r>
      <w:r w:rsidRPr="00457DEA">
        <w:rPr>
          <w:rFonts w:ascii="Times New Roman" w:hAnsi="Times New Roman"/>
          <w:color w:val="0D0D0D" w:themeColor="text1" w:themeTint="F2"/>
          <w:szCs w:val="21"/>
        </w:rPr>
        <w:t xml:space="preserve"> </w:t>
      </w:r>
      <w:r w:rsidRPr="00457DEA">
        <w:rPr>
          <w:rFonts w:ascii="Times New Roman" w:hAnsi="Times New Roman" w:cs="Times New Roman"/>
          <w:color w:val="0D0D0D" w:themeColor="text1" w:themeTint="F2"/>
          <w:szCs w:val="21"/>
        </w:rPr>
        <w:t>A cloud to things framework</w:t>
      </w:r>
      <w:r w:rsidRPr="00457DEA">
        <w:rPr>
          <w:rFonts w:ascii="Times New Roman" w:hAnsi="Times New Roman" w:cs="Times New Roman" w:hint="eastAsia"/>
          <w:color w:val="0D0D0D" w:themeColor="text1" w:themeTint="F2"/>
          <w:szCs w:val="21"/>
        </w:rPr>
        <w:t xml:space="preserve">, </w:t>
      </w:r>
      <w:r w:rsidRPr="00457DEA">
        <w:rPr>
          <w:rFonts w:ascii="Times New Roman" w:hAnsi="Times New Roman" w:cs="Times New Roman"/>
          <w:color w:val="0D0D0D" w:themeColor="text1" w:themeTint="F2"/>
          <w:szCs w:val="21"/>
        </w:rPr>
        <w:t>which consists of four subsystems: end, edge, cloud and knowledge.</w:t>
      </w:r>
    </w:p>
    <w:p w14:paraId="5B2BF74F" w14:textId="77777777" w:rsidR="00672135" w:rsidRDefault="00120DF0">
      <w:pPr>
        <w:pStyle w:val="2"/>
      </w:pPr>
      <w:r>
        <w:t xml:space="preserve">2.1 </w:t>
      </w:r>
      <w:r>
        <w:rPr>
          <w:rFonts w:hint="eastAsia"/>
        </w:rPr>
        <w:t xml:space="preserve">End </w:t>
      </w:r>
      <w:r>
        <w:t>s</w:t>
      </w:r>
      <w:r>
        <w:rPr>
          <w:rFonts w:hint="eastAsia"/>
        </w:rPr>
        <w:t xml:space="preserve">ensing </w:t>
      </w:r>
    </w:p>
    <w:p w14:paraId="40BB77E7" w14:textId="77777777" w:rsidR="00672135" w:rsidRDefault="00120DF0">
      <w:pPr>
        <w:ind w:firstLine="420"/>
        <w:rPr>
          <w:rFonts w:ascii="Times New Roman" w:hAnsi="Times New Roman" w:cs="Times New Roman"/>
          <w:szCs w:val="21"/>
        </w:rPr>
      </w:pPr>
      <w:r>
        <w:rPr>
          <w:rFonts w:ascii="Times New Roman" w:hAnsi="Times New Roman" w:cs="Times New Roman"/>
          <w:szCs w:val="21"/>
        </w:rPr>
        <w:t xml:space="preserve">Data acquisition depends on local end sensing hardware capabilities. Typical data types collected from BMSs include: current, voltage, time, location, ambient temperature, cell temperature and communication address of cell or module. Key decisions that a system developer needs to make includes the sampling frequency, where a higher resolution allows for greater fidelity of the data but at the cost of large data sets which need to be transmitted, stored and processed. The specification of data resolution will also define the hardware elements to be implemented, </w:t>
      </w:r>
      <w:proofErr w:type="gramStart"/>
      <w:r>
        <w:rPr>
          <w:rFonts w:ascii="Times New Roman" w:hAnsi="Times New Roman" w:cs="Times New Roman"/>
          <w:szCs w:val="21"/>
        </w:rPr>
        <w:t>Many</w:t>
      </w:r>
      <w:proofErr w:type="gramEnd"/>
      <w:r>
        <w:rPr>
          <w:rFonts w:ascii="Times New Roman" w:hAnsi="Times New Roman" w:cs="Times New Roman"/>
          <w:szCs w:val="21"/>
        </w:rPr>
        <w:t xml:space="preserve"> different micro-controllers exist, though the Raspberry Pi is one of the most </w:t>
      </w:r>
      <w:r>
        <w:rPr>
          <w:rFonts w:ascii="Times New Roman" w:hAnsi="Times New Roman" w:cs="Times New Roman" w:hint="eastAsia"/>
          <w:szCs w:val="21"/>
        </w:rPr>
        <w:t>widely used</w:t>
      </w:r>
      <w:r>
        <w:rPr>
          <w:rFonts w:ascii="Times New Roman" w:hAnsi="Times New Roman" w:cs="Times New Roman"/>
          <w:szCs w:val="21"/>
        </w:rPr>
        <w:t xml:space="preserve"> devices which can provide good computing, sensing and connectivity. This connectivity allows for system architectures such as mesh network clusters to be formed, in which nodes form connection with as many other nodes as possible in a dynamic and non-hierarchical form to efficiently transfer data. These can be centrally managed by a nominated controller or distributed to improve the overall performance. Mist computing, whereby processing of data occurs at the extreme edges of a network, can be implemented on a Raspberry Pi independently without communication with edge or cloud, which reduces communication requirements</w:t>
      </w:r>
      <w:r>
        <w:rPr>
          <w:rFonts w:ascii="Times New Roman" w:hAnsi="Times New Roman"/>
          <w:szCs w:val="21"/>
        </w:rPr>
        <w:fldChar w:fldCharType="begin" w:fldLock="1"/>
      </w:r>
      <w:r>
        <w:rPr>
          <w:rFonts w:ascii="Times New Roman" w:hAnsi="Times New Roman"/>
          <w:szCs w:val="21"/>
        </w:rPr>
        <w:instrText>ADDIN CSL_CITATION {"citationItems":[{"id":"ITEM-1","itemData":{"DOI":"10.1016/j.iot.2020.100273","ISSN":"25426605","abstract":"Optimization is an inseparable part of Cloud computing, particularly with the emergence of Fog and Edge paradigms. Not only these emerging paradigms demand reevaluating cloud-native optimizations and exploring Fog and Edge-based solutions, but also the objectives require significant shift from considering only latency to energy, security, reliability and cost. Hence, it is apparent that optimization objectives have become diverse and lately Internet of Things (IoT)-specific born objectives must come into play. This is critical as incorrect selection of metrics can mislead the developer about the real performance. For instance, a latency-aware auto-scaler must be evaluated through latency-related metrics as response time or tail latency; otherwise the resource manager is not carefully evaluated even if it can reduce the cost. Given such challenges, researchers and developers are struggling to explore and utilize the right metrics to evaluate the performance of optimization techniques such as task scheduling, resource provisioning, resource allocation, resource scheduling and resource execution. This is challenging due to (1) novel and multi-layered computing paradigm, e.g., Cloud, Fog and Edge, (2) IoT applications with different requirements, e.g., latency or privacy, and (3) not having a benchmark and standard for the evaluation metrics. In this paper, by exploring the literature, (1) we present a taxonomy of the various real-world metrics to evaluate the performance of cloud, fog, and edge computing; (2) we survey the literature to recognize common metrics and their applications; and (3) outline open issues for future research. This comprehensive benchmark study can significantly assist developers and researchers to evaluate performance under realistic metrics and standards to ensure their objectives will be achieved in the production environments.","author":[{"dropping-particle":"","family":"Aslanpour","given":"Mohammad S.","non-dropping-particle":"","parse-names":false,"suffix":""},{"dropping-particle":"","family":"Gill","given":"Sukhpal Singh","non-dropping-particle":"","parse-names":false,"suffix":""},{"dropping-particle":"","family":"Toosi","given":"Adel N.","non-dropping-particle":"","parse-names":false,"suffix":""}],"container-title":"Internet of Things","id":"ITEM-1","issued":{"date-parts":[["2020"]]},"page":"100273","publisher":"Elsevier B.V.","title":"Performance evaluation metrics for cloud, fog and edge computing: A review, taxonomy, benchmarks and standards for future research","type":"article-journal","volume":"12"},"uris":["http://www.mendeley.com/documents/?uuid=7c8769ed-b6f7-4a3d-9b25-28fc0417142a","http://www.mendeley.com/documents/?uuid=88405d35-baec-424e-9c82-21af1c4feb2f","http://www.mendeley.com/documents/?uuid=125196d0-470f-4765-8630-ef176beeca9e"]}],"mendeley":{"formattedCitation":"[18]","plainTextFormattedCitation":"[18]","previouslyFormattedCitation":"[18]"},"properties":{"noteIndex":0},"schema":"https://github.com/citation-style-language/schema/raw/master/csl-citation.json"}</w:instrText>
      </w:r>
      <w:r>
        <w:rPr>
          <w:rFonts w:ascii="Times New Roman" w:hAnsi="Times New Roman"/>
          <w:szCs w:val="21"/>
        </w:rPr>
        <w:fldChar w:fldCharType="separate"/>
      </w:r>
      <w:r>
        <w:rPr>
          <w:rFonts w:ascii="Times New Roman" w:hAnsi="Times New Roman"/>
          <w:noProof/>
          <w:szCs w:val="21"/>
        </w:rPr>
        <w:t>[18]</w:t>
      </w:r>
      <w:r>
        <w:rPr>
          <w:rFonts w:ascii="Times New Roman" w:hAnsi="Times New Roman"/>
          <w:szCs w:val="21"/>
        </w:rPr>
        <w:fldChar w:fldCharType="end"/>
      </w:r>
      <w:r>
        <w:rPr>
          <w:rFonts w:ascii="Times New Roman" w:hAnsi="Times New Roman"/>
          <w:szCs w:val="21"/>
        </w:rPr>
        <w:t>.</w:t>
      </w:r>
      <w:r>
        <w:rPr>
          <w:rFonts w:ascii="Times New Roman" w:hAnsi="Times New Roman" w:cs="Times New Roman"/>
          <w:szCs w:val="21"/>
        </w:rPr>
        <w:t xml:space="preserve"> Clearly, various IoT frameworks have been developed for other connected devices and the ideal structure of energy storage applications yet to be matured. </w:t>
      </w:r>
    </w:p>
    <w:p w14:paraId="72F3A977" w14:textId="77777777" w:rsidR="00672135" w:rsidRDefault="00120DF0">
      <w:pPr>
        <w:pStyle w:val="2"/>
        <w:rPr>
          <w:rFonts w:cs="Times New Roman"/>
          <w:color w:val="0000FF"/>
          <w:szCs w:val="21"/>
        </w:rPr>
      </w:pPr>
      <w:r>
        <w:rPr>
          <w:rFonts w:cs="Times New Roman"/>
          <w:szCs w:val="21"/>
        </w:rPr>
        <w:lastRenderedPageBreak/>
        <w:t xml:space="preserve">2.2 </w:t>
      </w:r>
      <w:r>
        <w:rPr>
          <w:rFonts w:hint="eastAsia"/>
        </w:rPr>
        <w:t>Edge computing</w:t>
      </w:r>
    </w:p>
    <w:p w14:paraId="08B91E30" w14:textId="77777777" w:rsidR="00672135" w:rsidRPr="00457DEA" w:rsidRDefault="00120DF0">
      <w:pPr>
        <w:ind w:firstLine="420"/>
        <w:rPr>
          <w:rFonts w:ascii="Times New Roman" w:hAnsi="Times New Roman" w:cs="Times New Roman"/>
          <w:color w:val="0D0D0D" w:themeColor="text1" w:themeTint="F2"/>
          <w:szCs w:val="21"/>
        </w:rPr>
      </w:pPr>
      <w:r w:rsidRPr="00457DEA">
        <w:rPr>
          <w:rFonts w:ascii="Times New Roman" w:hAnsi="Times New Roman" w:cs="Times New Roman"/>
          <w:color w:val="0D0D0D" w:themeColor="text1" w:themeTint="F2"/>
          <w:szCs w:val="21"/>
        </w:rPr>
        <w:t xml:space="preserve">In some cases, monitoring and estimation functions are time critical, such as monitoring overcharge and </w:t>
      </w:r>
      <w:proofErr w:type="spellStart"/>
      <w:r w:rsidRPr="00457DEA">
        <w:rPr>
          <w:rFonts w:ascii="Times New Roman" w:hAnsi="Times New Roman" w:cs="Times New Roman"/>
          <w:color w:val="0D0D0D" w:themeColor="text1" w:themeTint="F2"/>
          <w:szCs w:val="21"/>
        </w:rPr>
        <w:t>overdischarg</w:t>
      </w:r>
      <w:r w:rsidRPr="00457DEA">
        <w:rPr>
          <w:rFonts w:ascii="Times New Roman" w:hAnsi="Times New Roman" w:cs="Times New Roman" w:hint="eastAsia"/>
          <w:color w:val="0D0D0D" w:themeColor="text1" w:themeTint="F2"/>
          <w:szCs w:val="21"/>
        </w:rPr>
        <w:t>e</w:t>
      </w:r>
      <w:proofErr w:type="spellEnd"/>
      <w:r w:rsidRPr="00457DEA">
        <w:rPr>
          <w:rFonts w:ascii="Times New Roman" w:hAnsi="Times New Roman" w:cs="Times New Roman"/>
          <w:color w:val="0D0D0D" w:themeColor="text1" w:themeTint="F2"/>
          <w:szCs w:val="21"/>
        </w:rPr>
        <w:t xml:space="preserve"> of cells, and when compounded by bandwidth limitations, edge computing functionality is the most computationally efficiency structure to reduce cloud load. </w:t>
      </w:r>
      <w:r w:rsidRPr="00457DEA">
        <w:rPr>
          <w:rFonts w:ascii="Times New Roman" w:hAnsi="Times New Roman" w:cs="Times New Roman" w:hint="eastAsia"/>
          <w:color w:val="0D0D0D" w:themeColor="text1" w:themeTint="F2"/>
          <w:szCs w:val="21"/>
        </w:rPr>
        <w:t>E</w:t>
      </w:r>
      <w:r w:rsidRPr="00457DEA">
        <w:rPr>
          <w:rFonts w:ascii="Times New Roman" w:hAnsi="Times New Roman" w:cs="Times New Roman"/>
          <w:color w:val="0D0D0D" w:themeColor="text1" w:themeTint="F2"/>
          <w:szCs w:val="21"/>
        </w:rPr>
        <w:t xml:space="preserve">dge computing embeds electronic devices which communicates and interacts with the battery systems that are monitored and controlled remotely. Here, this </w:t>
      </w:r>
      <w:r w:rsidRPr="00457DEA">
        <w:rPr>
          <w:rFonts w:ascii="Times New Roman" w:hAnsi="Times New Roman" w:cs="Times New Roman" w:hint="eastAsia"/>
          <w:color w:val="0D0D0D" w:themeColor="text1" w:themeTint="F2"/>
          <w:szCs w:val="21"/>
        </w:rPr>
        <w:t>e</w:t>
      </w:r>
      <w:r w:rsidRPr="00457DEA">
        <w:rPr>
          <w:rFonts w:ascii="Times New Roman" w:hAnsi="Times New Roman" w:cs="Times New Roman"/>
          <w:color w:val="0D0D0D" w:themeColor="text1" w:themeTint="F2"/>
          <w:szCs w:val="21"/>
        </w:rPr>
        <w:t>dge computing</w:t>
      </w:r>
      <w:r w:rsidRPr="00457DEA">
        <w:rPr>
          <w:rFonts w:ascii="Times New Roman" w:hAnsi="Times New Roman" w:cs="Times New Roman" w:hint="eastAsia"/>
          <w:color w:val="0D0D0D" w:themeColor="text1" w:themeTint="F2"/>
          <w:szCs w:val="21"/>
        </w:rPr>
        <w:t xml:space="preserve"> framework </w:t>
      </w:r>
      <w:r w:rsidRPr="00457DEA">
        <w:rPr>
          <w:rFonts w:ascii="Times New Roman" w:hAnsi="Times New Roman" w:cs="Times New Roman"/>
          <w:color w:val="0D0D0D" w:themeColor="text1" w:themeTint="F2"/>
          <w:szCs w:val="21"/>
        </w:rPr>
        <w:t>consist</w:t>
      </w:r>
      <w:r w:rsidRPr="00457DEA">
        <w:rPr>
          <w:rFonts w:ascii="Times New Roman" w:hAnsi="Times New Roman" w:cs="Times New Roman" w:hint="eastAsia"/>
          <w:color w:val="0D0D0D" w:themeColor="text1" w:themeTint="F2"/>
          <w:szCs w:val="21"/>
        </w:rPr>
        <w:t>ing</w:t>
      </w:r>
      <w:r w:rsidRPr="00457DEA">
        <w:rPr>
          <w:rFonts w:ascii="Times New Roman" w:hAnsi="Times New Roman" w:cs="Times New Roman"/>
          <w:color w:val="0D0D0D" w:themeColor="text1" w:themeTint="F2"/>
          <w:szCs w:val="21"/>
        </w:rPr>
        <w:t xml:space="preserve"> of web servers, database servers, cache servers and micro data centers to ensure the reliability and fluency of the functions</w:t>
      </w:r>
      <w:r w:rsidRPr="00457DEA">
        <w:rPr>
          <w:rFonts w:ascii="Times New Roman" w:hAnsi="Times New Roman"/>
          <w:color w:val="0D0D0D" w:themeColor="text1" w:themeTint="F2"/>
          <w:szCs w:val="21"/>
        </w:rPr>
        <w:fldChar w:fldCharType="begin" w:fldLock="1"/>
      </w:r>
      <w:r w:rsidRPr="00457DEA">
        <w:rPr>
          <w:rFonts w:ascii="Times New Roman" w:hAnsi="Times New Roman"/>
          <w:color w:val="0D0D0D" w:themeColor="text1" w:themeTint="F2"/>
          <w:szCs w:val="21"/>
        </w:rPr>
        <w:instrText>ADDIN CSL_CITATION {"citationItems":[{"id":"ITEM-1","itemData":{"DOI":"10.1016/j.iot.2020.100273","ISSN":"25426605","abstract":"Optimization is an inseparable part of Cloud computing, particularly with the emergence of Fog and Edge paradigms. Not only these emerging paradigms demand reevaluating cloud-native optimizations and exploring Fog and Edge-based solutions, but also the objectives require significant shift from considering only latency to energy, security, reliability and cost. Hence, it is apparent that optimization objectives have become diverse and lately Internet of Things (IoT)-specific born objectives must come into play. This is critical as incorrect selection of metrics can mislead the developer about the real performance. For instance, a latency-aware auto-scaler must be evaluated through latency-related metrics as response time or tail latency; otherwise the resource manager is not carefully evaluated even if it can reduce the cost. Given such challenges, researchers and developers are struggling to explore and utilize the right metrics to evaluate the performance of optimization techniques such as task scheduling, resource provisioning, resource allocation, resource scheduling and resource execution. This is challenging due to (1) novel and multi-layered computing paradigm, e.g., Cloud, Fog and Edge, (2) IoT applications with different requirements, e.g., latency or privacy, and (3) not having a benchmark and standard for the evaluation metrics. In this paper, by exploring the literature, (1) we present a taxonomy of the various real-world metrics to evaluate the performance of cloud, fog, and edge computing; (2) we survey the literature to recognize common metrics and their applications; and (3) outline open issues for future research. This comprehensive benchmark study can significantly assist developers and researchers to evaluate performance under realistic metrics and standards to ensure their objectives will be achieved in the production environments.","author":[{"dropping-particle":"","family":"Aslanpour","given":"Mohammad S.","non-dropping-particle":"","parse-names":false,"suffix":""},{"dropping-particle":"","family":"Gill","given":"Sukhpal Singh","non-dropping-particle":"","parse-names":false,"suffix":""},{"dropping-particle":"","family":"Toosi","given":"Adel N.","non-dropping-particle":"","parse-names":false,"suffix":""}],"container-title":"Internet of Things","id":"ITEM-1","issued":{"date-parts":[["2020"]]},"page":"100273","publisher":"Elsevier B.V.","title":"Performance evaluation metrics for cloud, fog and edge computing: A review, taxonomy, benchmarks and standards for future research","type":"article-journal","volume":"12"},"uris":["http://www.mendeley.com/documents/?uuid=125196d0-470f-4765-8630-ef176beeca9e","http://www.mendeley.com/documents/?uuid=88405d35-baec-424e-9c82-21af1c4feb2f","http://www.mendeley.com/documents/?uuid=7c8769ed-b6f7-4a3d-9b25-28fc0417142a"]}],"mendeley":{"formattedCitation":"[18]","plainTextFormattedCitation":"[18]","previouslyFormattedCitation":"[18]"},"properties":{"noteIndex":0},"schema":"https://github.com/citation-style-language/schema/raw/master/csl-citation.json"}</w:instrText>
      </w:r>
      <w:r w:rsidRPr="00457DEA">
        <w:rPr>
          <w:rFonts w:ascii="Times New Roman" w:hAnsi="Times New Roman"/>
          <w:color w:val="0D0D0D" w:themeColor="text1" w:themeTint="F2"/>
          <w:szCs w:val="21"/>
        </w:rPr>
        <w:fldChar w:fldCharType="separate"/>
      </w:r>
      <w:r w:rsidRPr="00457DEA">
        <w:rPr>
          <w:rFonts w:ascii="Times New Roman" w:hAnsi="Times New Roman"/>
          <w:noProof/>
          <w:color w:val="0D0D0D" w:themeColor="text1" w:themeTint="F2"/>
          <w:szCs w:val="21"/>
        </w:rPr>
        <w:t>[18]</w:t>
      </w:r>
      <w:r w:rsidRPr="00457DEA">
        <w:rPr>
          <w:rFonts w:ascii="Times New Roman" w:hAnsi="Times New Roman"/>
          <w:color w:val="0D0D0D" w:themeColor="text1" w:themeTint="F2"/>
          <w:szCs w:val="21"/>
        </w:rPr>
        <w:fldChar w:fldCharType="end"/>
      </w:r>
      <w:r w:rsidRPr="00457DEA">
        <w:rPr>
          <w:rFonts w:ascii="Times New Roman" w:hAnsi="Times New Roman" w:cs="Times New Roman"/>
          <w:color w:val="0D0D0D" w:themeColor="text1" w:themeTint="F2"/>
          <w:szCs w:val="21"/>
        </w:rPr>
        <w:t>.</w:t>
      </w:r>
    </w:p>
    <w:p w14:paraId="40C7D6E7" w14:textId="77777777" w:rsidR="00672135" w:rsidRDefault="00120DF0">
      <w:pPr>
        <w:ind w:firstLine="420"/>
        <w:rPr>
          <w:rFonts w:ascii="Times New Roman" w:hAnsi="Times New Roman" w:cs="Times New Roman"/>
          <w:szCs w:val="21"/>
        </w:rPr>
      </w:pPr>
      <w:r>
        <w:rPr>
          <w:rFonts w:ascii="Times New Roman" w:hAnsi="Times New Roman" w:cs="Times New Roman"/>
          <w:szCs w:val="21"/>
        </w:rPr>
        <w:t>Having a stable network connection for data transmission is very important</w:t>
      </w:r>
      <w:r>
        <w:rPr>
          <w:rFonts w:ascii="Times New Roman" w:hAnsi="Times New Roman" w:cs="Times New Roman" w:hint="eastAsia"/>
          <w:szCs w:val="21"/>
        </w:rPr>
        <w:t xml:space="preserve"> f</w:t>
      </w:r>
      <w:r>
        <w:rPr>
          <w:rFonts w:ascii="Times New Roman" w:hAnsi="Times New Roman" w:cs="Times New Roman"/>
          <w:szCs w:val="21"/>
        </w:rPr>
        <w:t>or effective real-time data transmission between the battery system and the digital twi</w:t>
      </w:r>
      <w:r>
        <w:rPr>
          <w:rFonts w:ascii="Times New Roman" w:hAnsi="Times New Roman" w:cs="Times New Roman" w:hint="eastAsia"/>
          <w:szCs w:val="21"/>
        </w:rPr>
        <w:t>n</w:t>
      </w:r>
      <w:r>
        <w:rPr>
          <w:rFonts w:ascii="Times New Roman" w:hAnsi="Times New Roman" w:cs="Times New Roman"/>
          <w:szCs w:val="21"/>
        </w:rPr>
        <w:t>. In order to improve the reliability of the whole system, the functions at each point in the operation process should be run locally. Then, data transmission, local update, data synchronization and local computing functions can be all realized in the edge computing.</w:t>
      </w:r>
    </w:p>
    <w:p w14:paraId="4D8C2FFD" w14:textId="7AB96B99" w:rsidR="00672135" w:rsidRPr="00457DEA" w:rsidRDefault="00120DF0">
      <w:pPr>
        <w:ind w:firstLine="420"/>
        <w:rPr>
          <w:rFonts w:ascii="Times New Roman" w:hAnsi="Times New Roman" w:cs="Times New Roman"/>
          <w:color w:val="0D0D0D" w:themeColor="text1" w:themeTint="F2"/>
          <w:szCs w:val="21"/>
        </w:rPr>
      </w:pPr>
      <w:r w:rsidRPr="00457DEA">
        <w:rPr>
          <w:rFonts w:ascii="Times New Roman" w:hAnsi="Times New Roman" w:cs="Times New Roman"/>
          <w:color w:val="0D0D0D" w:themeColor="text1" w:themeTint="F2"/>
          <w:szCs w:val="21"/>
        </w:rPr>
        <w:t>To ensure higher accuracy, computationally intensive analysis requiring large amounts of data can be run in the cloud, with model parameters later being updated. This might include cloud-based training of neural network models from locally collected data, with weights and biases for these models being then loaded onto the edge computing nodes for state estimation which can be used to more effectively mitigate degradation. An example of this advanced functionality might be in the case of battery fast charging, where lithium plating is one of the key degradation modes</w:t>
      </w:r>
      <w:r w:rsidRPr="00457DEA">
        <w:rPr>
          <w:rFonts w:ascii="Times New Roman" w:hAnsi="Times New Roman" w:cs="Times New Roman"/>
          <w:color w:val="0D0D0D" w:themeColor="text1" w:themeTint="F2"/>
          <w:szCs w:val="21"/>
        </w:rPr>
        <w:fldChar w:fldCharType="begin" w:fldLock="1"/>
      </w:r>
      <w:r w:rsidRPr="00457DEA">
        <w:rPr>
          <w:rFonts w:ascii="Times New Roman" w:hAnsi="Times New Roman" w:cs="Times New Roman"/>
          <w:color w:val="0D0D0D" w:themeColor="text1" w:themeTint="F2"/>
          <w:szCs w:val="21"/>
        </w:rPr>
        <w:instrText>ADDIN CSL_CITATION {"citationItems":[{"id":"ITEM-1","itemData":{"DOI":"10.1016/j.etran.2019.100011","ISSN":"25901168","abstract":"In the recent years, lithium-ion batteries have become the battery technology of choice for portable devices, electric vehicles and grid storage. While increasing numbers of car manufacturers are introducing electrified models into their offering, range anxiety and the length of time required to recharge the batteries are still a common concern. The high currents needed to accelerate the charging process have been known to reduce energy efficiency and cause accelerated capacity and power fade. Fast charging is a multiscale problem, therefore insights from atomic to system level are required to understand and improve fast charging performance. The present paper reviews the literature on the physical phenomena that limit battery charging speeds, the degradation mechanisms that commonly result from charging at high currents, and the approaches that have been proposed to address these issues. Special attention is paid to low temperature charging. Alternative fast charging protocols are presented and critically assessed. Safety implications are explored, including the potential influence of fast charging on thermal runaway characteristics. Finally, knowledge gaps are identified and recommendations are made for the direction of future research. The need to develop reliable onboard methods to detect lithium plating and mechanical degradation is highlighted. Robust model-based charging optimisation strategies are identified as key to enabling fast charging in all conditions. Thermal management strategies to both cool batteries during charging and preheat them in cold weather are acknowledged as critical, with a particular focus on techniques capable of achieving high speeds and good temperature homogeneities.","author":[{"dropping-particle":"","family":"Tomaszewska","given":"Anna","non-dropping-particle":"","parse-names":false,"suffix":""},{"dropping-particle":"","family":"Chu","given":"Zhengyu","non-dropping-particle":"","parse-names":false,"suffix":""},{"dropping-particle":"","family":"Feng","given":"Xuning","non-dropping-particle":"","parse-names":false,"suffix":""},{"dropping-particle":"","family":"O'Kane","given":"Simon","non-dropping-particle":"","parse-names":false,"suffix":""},{"dropping-particle":"","family":"Liu","given":"Xinhua","non-dropping-particle":"","parse-names":false,"suffix":""},{"dropping-particle":"","family":"Chen","given":"Jingyi","non-dropping-particle":"","parse-names":false,"suffix":""},{"dropping-particle":"","family":"Ji","given":"Chenzhen","non-dropping-particle":"","parse-names":false,"suffix":""},{"dropping-particle":"","family":"Endler","given":"Elizabeth","non-dropping-particle":"","parse-names":false,"suffix":""},{"dropping-particle":"","family":"Li","given":"Ruihe","non-dropping-particle":"","parse-names":false,"suffix":""},{"dropping-particle":"","family":"Liu","given":"Lishuo","non-dropping-particle":"","parse-names":false,"suffix":""},{"dropping-particle":"","family":"Li","given":"Yalun","non-dropping-particle":"","parse-names":false,"suffix":""},{"dropping-particle":"","family":"Zheng","given":"Siqi","non-dropping-particle":"","parse-names":false,"suffix":""},{"dropping-particle":"","family":"Vetterlein","given":"Sebastian","non-dropping-particle":"","parse-names":false,"suffix":""},{"dropping-particle":"","family":"Gao","given":"Ming","non-dropping-particle":"","parse-names":false,"suffix":""},{"dropping-particle":"","family":"Du","given":"Jiuyu","non-dropping-particle":"","parse-names":false,"suffix":""},{"dropping-particle":"","family":"Parkes","given":"Michael","non-dropping-particle":"","parse-names":false,"suffix":""},{"dropping-particle":"","family":"Ouyang","given":"Minggao","non-dropping-particle":"","parse-names":false,"suffix":""},{"dropping-particle":"","family":"Marinescu","given":"Monica","non-dropping-particle":"","parse-names":false,"suffix":""},{"dropping-particle":"","family":"Offer","given":"Gregory","non-dropping-particle":"","parse-names":false,"suffix":""},{"dropping-particle":"","family":"Wu","given":"Billy","non-dropping-particle":"","parse-names":false,"suffix":""}],"container-title":"eTransportation","id":"ITEM-1","issued":{"date-parts":[["2019","8"]]},"page":"100011","publisher":"Elsevier BV","title":"Lithium-ion battery fast charging: A review","type":"article-journal","volume":"1"},"uris":["http://www.mendeley.com/documents/?uuid=db7dbadd-d625-35b5-9ffd-ed10ac796252","http://www.mendeley.com/documents/?uuid=97a9acf4-e033-4d2a-a893-c5693088212f","http://www.mendeley.com/documents/?uuid=21c5ea85-dd38-498e-a1b6-3644aca8aa5f"]}],"mendeley":{"formattedCitation":"[19]","plainTextFormattedCitation":"[19]","previouslyFormattedCitation":"[19]"},"properties":{"noteIndex":0},"schema":"https://github.com/citation-style-language/schema/raw/master/csl-citation.json"}</w:instrText>
      </w:r>
      <w:r w:rsidRPr="00457DEA">
        <w:rPr>
          <w:rFonts w:ascii="Times New Roman" w:hAnsi="Times New Roman" w:cs="Times New Roman"/>
          <w:color w:val="0D0D0D" w:themeColor="text1" w:themeTint="F2"/>
          <w:szCs w:val="21"/>
        </w:rPr>
        <w:fldChar w:fldCharType="separate"/>
      </w:r>
      <w:r w:rsidRPr="00457DEA">
        <w:rPr>
          <w:rFonts w:ascii="Times New Roman" w:hAnsi="Times New Roman" w:cs="Times New Roman"/>
          <w:noProof/>
          <w:color w:val="0D0D0D" w:themeColor="text1" w:themeTint="F2"/>
          <w:szCs w:val="21"/>
        </w:rPr>
        <w:t>[19]</w:t>
      </w:r>
      <w:r w:rsidRPr="00457DEA">
        <w:rPr>
          <w:rFonts w:ascii="Times New Roman" w:hAnsi="Times New Roman" w:cs="Times New Roman"/>
          <w:color w:val="0D0D0D" w:themeColor="text1" w:themeTint="F2"/>
          <w:szCs w:val="21"/>
        </w:rPr>
        <w:fldChar w:fldCharType="end"/>
      </w:r>
      <w:r w:rsidRPr="00457DEA">
        <w:rPr>
          <w:rFonts w:ascii="Times New Roman" w:hAnsi="Times New Roman" w:cs="Times New Roman"/>
          <w:color w:val="0D0D0D" w:themeColor="text1" w:themeTint="F2"/>
          <w:szCs w:val="21"/>
        </w:rPr>
        <w:t>. Various strategies exist for avoiding this plating, where the driving force is when the anode potential drops below 0 V vs Li/Li</w:t>
      </w:r>
      <w:r w:rsidRPr="00457DEA">
        <w:rPr>
          <w:rFonts w:ascii="Times New Roman" w:hAnsi="Times New Roman" w:cs="Times New Roman"/>
          <w:color w:val="0D0D0D" w:themeColor="text1" w:themeTint="F2"/>
          <w:szCs w:val="21"/>
          <w:vertAlign w:val="superscript"/>
        </w:rPr>
        <w:t>+</w:t>
      </w:r>
      <w:r w:rsidRPr="00457DEA">
        <w:rPr>
          <w:rFonts w:ascii="Times New Roman" w:hAnsi="Times New Roman" w:cs="Times New Roman"/>
          <w:color w:val="0D0D0D" w:themeColor="text1" w:themeTint="F2"/>
          <w:szCs w:val="21"/>
        </w:rPr>
        <w:t>. In commercial cells, it is generally not possible to measure the anode potential directly, however various authors have suggested state-estimation approaches to monitor the anode potential and regulate the current to avoid plating</w:t>
      </w:r>
      <w:r w:rsidR="00AA6AD5" w:rsidRPr="00457DEA">
        <w:rPr>
          <w:rFonts w:ascii="Times New Roman" w:hAnsi="Times New Roman" w:cs="Times New Roman"/>
          <w:color w:val="0D0D0D" w:themeColor="text1" w:themeTint="F2"/>
          <w:szCs w:val="21"/>
        </w:rPr>
        <w:fldChar w:fldCharType="begin" w:fldLock="1"/>
      </w:r>
      <w:r w:rsidR="00AA6AD5" w:rsidRPr="00457DEA">
        <w:rPr>
          <w:rFonts w:ascii="Times New Roman" w:hAnsi="Times New Roman" w:cs="Times New Roman"/>
          <w:color w:val="0D0D0D" w:themeColor="text1" w:themeTint="F2"/>
          <w:szCs w:val="21"/>
        </w:rPr>
        <w:instrText>ADDIN CSL_CITATION {"citationItems":[{"id":"ITEM-1","itemData":{"DOI":"10.1016/j.jpowsour.2021.229772","ISSN":"03787753","abstract":"As demands for massive energy consumption inevitably grow, lithium-ion batteries have been widely recognized as promising energy devices and fundamental components for electric vehicles or grid application. However, certain circuit configuration especially parallel connection exhibits highly heterogeneous current distributions in different branches, some of which undertakes considerable current fluctuation during charge/discharge. Therefore, a charging strategy for integrated energy storage facilities is highly desirable to avoid the side reactions like lithium plating that can cause severe degradation or even risks of thermal runaway. In this study, a parallel-module model is established based on a modified single particle model with side reactions, and experimentally validated under various C-rates. Then a minimum Li plating overpotential control (MLPOC) based charging strategy is proposed for this parallel-module model and effectiveness for reducing capacity loss is verified by module simulations under high C-rate charging. Furthermore, parameter sensitivity of resistance ratio between branch and interconnect resistances on module performance with or without MLPOC are investigated. Results show that a medium resistance ratio of 20–30 is recommended for this parallel module. The insights from this paper not only provide charging strategy with minor degradation but also guide the design of battery module for better pack charging performance.","author":[{"dropping-particle":"","family":"Yang","given":"Shichun","non-dropping-particle":"","parse-names":false,"suffix":""},{"dropping-particle":"","family":"Gao","given":"Xinlei","non-dropping-particle":"","parse-names":false,"suffix":""},{"dropping-particle":"","family":"Li","given":"Yalun","non-dropping-particle":"","parse-names":false,"suffix":""},{"dropping-particle":"","family":"Xie","given":"Wenlong","non-dropping-particle":"","parse-names":false,"suffix":""},{"dropping-particle":"","family":"Guo","given":"Bin","non-dropping-particle":"","parse-names":false,"suffix":""},{"dropping-particle":"","family":"Zhang","given":"Lisheng","non-dropping-particle":"","parse-names":false,"suffix":""},{"dropping-particle":"","family":"Liu","given":"Xinhua","non-dropping-particle":"","parse-names":false,"suffix":""}],"container-title":"Journal of Power Sources","id":"ITEM-1","issue":"January","issued":{"date-parts":[["2021"]]},"page":"229772","publisher":"Elsevier B.V.","title":"Minimum lithium plating overpotential control based charging strategy for parallel battery module prevents side reactions","type":"article-journal","volume":"494"},"uris":["http://www.mendeley.com/documents/?uuid=61bcf65d-83d3-46ec-a7c4-456a28af399b"]}],"mendeley":{"formattedCitation":"[20]","plainTextFormattedCitation":"[20]","previouslyFormattedCitation":"[20]"},"properties":{"noteIndex":0},"schema":"https://github.com/citation-style-language/schema/raw/master/csl-citation.json"}</w:instrText>
      </w:r>
      <w:r w:rsidR="00AA6AD5" w:rsidRPr="00457DEA">
        <w:rPr>
          <w:rFonts w:ascii="Times New Roman" w:hAnsi="Times New Roman" w:cs="Times New Roman"/>
          <w:color w:val="0D0D0D" w:themeColor="text1" w:themeTint="F2"/>
          <w:szCs w:val="21"/>
        </w:rPr>
        <w:fldChar w:fldCharType="separate"/>
      </w:r>
      <w:r w:rsidR="00AA6AD5" w:rsidRPr="00457DEA">
        <w:rPr>
          <w:rFonts w:ascii="Times New Roman" w:hAnsi="Times New Roman" w:cs="Times New Roman"/>
          <w:noProof/>
          <w:color w:val="0D0D0D" w:themeColor="text1" w:themeTint="F2"/>
          <w:szCs w:val="21"/>
        </w:rPr>
        <w:t>[20]</w:t>
      </w:r>
      <w:r w:rsidR="00AA6AD5" w:rsidRPr="00457DEA">
        <w:rPr>
          <w:rFonts w:ascii="Times New Roman" w:hAnsi="Times New Roman" w:cs="Times New Roman"/>
          <w:color w:val="0D0D0D" w:themeColor="text1" w:themeTint="F2"/>
          <w:szCs w:val="21"/>
        </w:rPr>
        <w:fldChar w:fldCharType="end"/>
      </w:r>
      <w:r w:rsidRPr="00457DEA">
        <w:rPr>
          <w:rFonts w:ascii="Times New Roman" w:hAnsi="Times New Roman" w:cs="Times New Roman"/>
          <w:color w:val="0D0D0D" w:themeColor="text1" w:themeTint="F2"/>
          <w:szCs w:val="21"/>
        </w:rPr>
        <w:t xml:space="preserve">. However, these overpotentials change over the lifetime of operation and therefore, having a digital twin approach would allow for a more accurate representation of anode potential during lifetime use.   </w:t>
      </w:r>
    </w:p>
    <w:p w14:paraId="772B229C" w14:textId="77777777" w:rsidR="00672135" w:rsidRDefault="00120DF0">
      <w:pPr>
        <w:ind w:firstLine="420"/>
        <w:rPr>
          <w:rFonts w:ascii="Times New Roman" w:hAnsi="Times New Roman" w:cs="Times New Roman"/>
          <w:szCs w:val="21"/>
        </w:rPr>
      </w:pPr>
      <w:r>
        <w:rPr>
          <w:rFonts w:ascii="Times New Roman" w:hAnsi="Times New Roman" w:cs="Times New Roman"/>
          <w:szCs w:val="21"/>
        </w:rPr>
        <w:t xml:space="preserve">For data transmission, the cell data will be sent to the edge nodes through the end nodes using approaches such as on CAN (Controller Area Network) protocol. Processing of this data can then be done by using programs such as Python. The end component is also responsible for sending the generated data to the cloud with TCP / IP and </w:t>
      </w:r>
      <w:r>
        <w:rPr>
          <w:rFonts w:ascii="Times New Roman" w:hAnsi="Times New Roman" w:cs="Times New Roman" w:hint="eastAsia"/>
          <w:szCs w:val="21"/>
        </w:rPr>
        <w:t>Message Queuing Telemetry Transport (</w:t>
      </w:r>
      <w:r>
        <w:rPr>
          <w:rFonts w:ascii="Times New Roman" w:hAnsi="Times New Roman" w:cs="Times New Roman"/>
          <w:szCs w:val="21"/>
        </w:rPr>
        <w:t>MQTT</w:t>
      </w:r>
      <w:r>
        <w:rPr>
          <w:rFonts w:ascii="Times New Roman" w:hAnsi="Times New Roman" w:cs="Times New Roman" w:hint="eastAsia"/>
          <w:szCs w:val="21"/>
        </w:rPr>
        <w:t>)</w:t>
      </w:r>
      <w:r>
        <w:rPr>
          <w:rFonts w:ascii="Times New Roman" w:hAnsi="Times New Roman" w:cs="Times New Roman"/>
          <w:szCs w:val="21"/>
        </w:rPr>
        <w:t xml:space="preserve"> protocols; ensuring its security and privacy </w:t>
      </w:r>
      <w:r>
        <w:rPr>
          <w:rFonts w:ascii="Times New Roman" w:hAnsi="Times New Roman"/>
          <w:szCs w:val="21"/>
        </w:rPr>
        <w:fldChar w:fldCharType="begin" w:fldLock="1"/>
      </w:r>
      <w:r>
        <w:rPr>
          <w:rFonts w:ascii="Times New Roman" w:hAnsi="Times New Roman"/>
          <w:szCs w:val="21"/>
        </w:rPr>
        <w:instrText>ADDIN CSL_CITATION {"citationItems":[{"id":"ITEM-1","itemData":{"DOI":"10.1016/j.est.2020.101557","ISSN":"2352152X","abstract":"Battery management is critical to enhancing the safety, reliability, and performance of the battery systems. This paper presents a cloud battery management system for battery systems to improve the computational power and data storage capability by cloud computing. With the Internet of Things, all battery relevant data are measured and transmitted to the cloud seamlessly, building up the digital twin for the battery system, where battery diagnostic algorithms evaluate the data and open the window into battery's charge and aging level. The application of equivalent circuit models in the digital twin for battery systems is explored with the development of cloud-suited state-of-charge and state-of-health estimation approaches. The proposed state-of-charge estimation with an adaptive extended H-infinity filter is robust and accurate for both lithium-ion and lead-acid batteries, even with a significant initialization error. Furthermore, a state-of-health estimation algorithm with particle swarm optimization is innovatively exploited to monitor both capacity fade and power fade of the battery during aging. The functionalities and stability of both hardware and software of the cloud battery management system are validated with prototypes under field operation and experimental validation for both stationary and mobile applications.","author":[{"dropping-particle":"","family":"Li","given":"Weihan","non-dropping-particle":"","parse-names":false,"suffix":""},{"dropping-particle":"","family":"Rentemeister","given":"Monika","non-dropping-particle":"","parse-names":false,"suffix":""},{"dropping-particle":"","family":"Badeda","given":"Julia","non-dropping-particle":"","parse-names":false,"suffix":""},{"dropping-particle":"","family":"Jöst","given":"Dominik","non-dropping-particle":"","parse-names":false,"suffix":""},{"dropping-particle":"","family":"Schulte","given":"Dominik","non-dropping-particle":"","parse-names":false,"suffix":""},{"dropping-particle":"","family":"Sauer","given":"Dirk Uwe","non-dropping-particle":"","parse-names":false,"suffix":""}],"container-title":"Journal of Energy Storage","id":"ITEM-1","issue":"June","issued":{"date-parts":[["2020"]]},"page":"101557","publisher":"Elsevier","title":"Digital twin for battery systems: Cloud battery management system with online state-of-charge and state-of-health estimation","type":"article-journal","volume":"30"},"uris":["http://www.mendeley.com/documents/?uuid=ea19b234-9bd3-4335-b887-009177a64ffc"]}],"mendeley":{"formattedCitation":"[10]","plainTextFormattedCitation":"[10]","previouslyFormattedCitation":"[10]"},"properties":{"noteIndex":0},"schema":"https://github.com/citation-style-language/schema/raw/master/csl-citation.json"}</w:instrText>
      </w:r>
      <w:r>
        <w:rPr>
          <w:rFonts w:ascii="Times New Roman" w:hAnsi="Times New Roman"/>
          <w:szCs w:val="21"/>
        </w:rPr>
        <w:fldChar w:fldCharType="separate"/>
      </w:r>
      <w:r>
        <w:rPr>
          <w:rFonts w:ascii="Times New Roman" w:hAnsi="Times New Roman"/>
          <w:noProof/>
          <w:szCs w:val="21"/>
        </w:rPr>
        <w:t>[10]</w:t>
      </w:r>
      <w:r>
        <w:rPr>
          <w:rFonts w:ascii="Times New Roman" w:hAnsi="Times New Roman"/>
          <w:szCs w:val="21"/>
        </w:rPr>
        <w:fldChar w:fldCharType="end"/>
      </w:r>
      <w:r>
        <w:rPr>
          <w:rFonts w:ascii="Times New Roman" w:hAnsi="Times New Roman" w:cs="Times New Roman"/>
          <w:szCs w:val="21"/>
        </w:rPr>
        <w:t>.</w:t>
      </w:r>
    </w:p>
    <w:p w14:paraId="4CDBB8C7" w14:textId="77777777" w:rsidR="00672135" w:rsidRDefault="00120DF0">
      <w:pPr>
        <w:pStyle w:val="2"/>
      </w:pPr>
      <w:r>
        <w:t xml:space="preserve">2.3 Cloud computing  </w:t>
      </w:r>
    </w:p>
    <w:p w14:paraId="244C78BF" w14:textId="6473AC61" w:rsidR="00672135" w:rsidRDefault="00120DF0">
      <w:pPr>
        <w:ind w:firstLineChars="200" w:firstLine="420"/>
        <w:rPr>
          <w:rFonts w:ascii="Times New Roman" w:hAnsi="Times New Roman" w:cs="Times New Roman"/>
          <w:szCs w:val="21"/>
        </w:rPr>
      </w:pPr>
      <w:r>
        <w:rPr>
          <w:rFonts w:ascii="Times New Roman" w:hAnsi="Times New Roman" w:cs="Times New Roman"/>
          <w:szCs w:val="21"/>
        </w:rPr>
        <w:t xml:space="preserve">Cloud computing is </w:t>
      </w:r>
      <w:r>
        <w:rPr>
          <w:rFonts w:ascii="Times New Roman" w:hAnsi="Times New Roman" w:cs="Times New Roman" w:hint="eastAsia"/>
          <w:szCs w:val="21"/>
        </w:rPr>
        <w:t>a</w:t>
      </w:r>
      <w:r>
        <w:rPr>
          <w:rFonts w:ascii="Times New Roman" w:hAnsi="Times New Roman" w:cs="Times New Roman"/>
          <w:szCs w:val="21"/>
        </w:rPr>
        <w:t xml:space="preserve"> type of distributed computing. It decomposes </w:t>
      </w:r>
      <w:r>
        <w:rPr>
          <w:rFonts w:ascii="Times New Roman" w:hAnsi="Times New Roman" w:cs="Times New Roman" w:hint="eastAsia"/>
          <w:szCs w:val="21"/>
        </w:rPr>
        <w:t xml:space="preserve">a </w:t>
      </w:r>
      <w:r>
        <w:rPr>
          <w:rFonts w:ascii="Times New Roman" w:hAnsi="Times New Roman" w:cs="Times New Roman"/>
          <w:szCs w:val="21"/>
        </w:rPr>
        <w:t>large data processing program into numerous small programs</w:t>
      </w:r>
      <w:r>
        <w:rPr>
          <w:rFonts w:ascii="Times New Roman" w:hAnsi="Times New Roman" w:cs="Times New Roman" w:hint="eastAsia"/>
          <w:szCs w:val="21"/>
        </w:rPr>
        <w:t>. T</w:t>
      </w:r>
      <w:r>
        <w:rPr>
          <w:rFonts w:ascii="Times New Roman" w:hAnsi="Times New Roman" w:cs="Times New Roman"/>
          <w:szCs w:val="21"/>
        </w:rPr>
        <w:t xml:space="preserve">hese small programs </w:t>
      </w:r>
      <w:r>
        <w:rPr>
          <w:rFonts w:ascii="Times New Roman" w:hAnsi="Times New Roman" w:cs="Times New Roman" w:hint="eastAsia"/>
          <w:szCs w:val="21"/>
        </w:rPr>
        <w:t xml:space="preserve">are </w:t>
      </w:r>
      <w:r>
        <w:rPr>
          <w:rFonts w:ascii="Times New Roman" w:hAnsi="Times New Roman" w:cs="Times New Roman"/>
          <w:szCs w:val="21"/>
        </w:rPr>
        <w:t>process</w:t>
      </w:r>
      <w:r>
        <w:rPr>
          <w:rFonts w:ascii="Times New Roman" w:hAnsi="Times New Roman" w:cs="Times New Roman" w:hint="eastAsia"/>
          <w:szCs w:val="21"/>
        </w:rPr>
        <w:t>ed</w:t>
      </w:r>
      <w:r>
        <w:rPr>
          <w:rFonts w:ascii="Times New Roman" w:hAnsi="Times New Roman" w:cs="Times New Roman"/>
          <w:szCs w:val="21"/>
        </w:rPr>
        <w:t xml:space="preserve"> and analyze</w:t>
      </w:r>
      <w:r>
        <w:rPr>
          <w:rFonts w:ascii="Times New Roman" w:hAnsi="Times New Roman" w:cs="Times New Roman" w:hint="eastAsia"/>
          <w:szCs w:val="21"/>
        </w:rPr>
        <w:t>d</w:t>
      </w:r>
      <w:r>
        <w:rPr>
          <w:rFonts w:ascii="Times New Roman" w:hAnsi="Times New Roman" w:cs="Times New Roman"/>
          <w:szCs w:val="21"/>
        </w:rPr>
        <w:t xml:space="preserve"> through </w:t>
      </w:r>
      <w:r>
        <w:rPr>
          <w:rFonts w:ascii="Times New Roman" w:hAnsi="Times New Roman" w:cs="Times New Roman" w:hint="eastAsia"/>
          <w:szCs w:val="21"/>
        </w:rPr>
        <w:t>a</w:t>
      </w:r>
      <w:r>
        <w:rPr>
          <w:rFonts w:ascii="Times New Roman" w:hAnsi="Times New Roman" w:cs="Times New Roman"/>
          <w:szCs w:val="21"/>
        </w:rPr>
        <w:t xml:space="preserve"> system composed of multiple servers</w:t>
      </w:r>
      <w:r>
        <w:rPr>
          <w:rFonts w:ascii="Times New Roman" w:hAnsi="Times New Roman" w:cs="Times New Roman" w:hint="eastAsia"/>
          <w:szCs w:val="21"/>
        </w:rPr>
        <w:t>. The results will then be</w:t>
      </w:r>
      <w:r>
        <w:rPr>
          <w:rFonts w:ascii="Times New Roman" w:hAnsi="Times New Roman" w:cs="Times New Roman"/>
          <w:szCs w:val="21"/>
        </w:rPr>
        <w:t xml:space="preserve"> return</w:t>
      </w:r>
      <w:r>
        <w:rPr>
          <w:rFonts w:ascii="Times New Roman" w:hAnsi="Times New Roman" w:cs="Times New Roman" w:hint="eastAsia"/>
          <w:szCs w:val="21"/>
        </w:rPr>
        <w:t>ed t</w:t>
      </w:r>
      <w:r>
        <w:rPr>
          <w:rFonts w:ascii="Times New Roman" w:hAnsi="Times New Roman" w:cs="Times New Roman"/>
          <w:szCs w:val="21"/>
        </w:rPr>
        <w:t xml:space="preserve">o the user. Due to the limited storage and computing capacity of edge devices, complex data processing is generally not </w:t>
      </w:r>
      <w:r>
        <w:rPr>
          <w:rFonts w:ascii="Times New Roman" w:hAnsi="Times New Roman" w:cs="Times New Roman"/>
          <w:szCs w:val="21"/>
        </w:rPr>
        <w:lastRenderedPageBreak/>
        <w:t xml:space="preserve">possible. </w:t>
      </w:r>
      <w:r>
        <w:rPr>
          <w:rFonts w:ascii="Times New Roman" w:hAnsi="Times New Roman" w:cs="Times New Roman" w:hint="eastAsia"/>
          <w:szCs w:val="21"/>
        </w:rPr>
        <w:t>While</w:t>
      </w:r>
      <w:r>
        <w:rPr>
          <w:rFonts w:ascii="Times New Roman" w:hAnsi="Times New Roman" w:cs="Times New Roman"/>
          <w:szCs w:val="21"/>
        </w:rPr>
        <w:t>, cloud computing with almost unlimited storage and processing capacity can realize the scalability and real-time data analysis of IoT devices. By coupling accurate algorithms, cloud connected BMSs can realize the functions such as state estimation, life prediction, adaptive control and safety early warning. It can also combine collected data and similar data sources with advanced deep learning algorithms to improve these functions</w:t>
      </w:r>
      <w:r>
        <w:rPr>
          <w:rFonts w:ascii="Times New Roman" w:hAnsi="Times New Roman"/>
          <w:szCs w:val="21"/>
        </w:rPr>
        <w:fldChar w:fldCharType="begin" w:fldLock="1"/>
      </w:r>
      <w:r w:rsidR="00AA6AD5">
        <w:rPr>
          <w:rFonts w:ascii="Times New Roman" w:hAnsi="Times New Roman"/>
          <w:szCs w:val="21"/>
        </w:rPr>
        <w:instrText>ADDIN CSL_CITATION {"citationItems":[{"id":"ITEM-1","itemData":{"DOI":"10.1016/j.future.2012.06.004","ISSN":"0167739X","abstract":"Effortless data storage “in the cloud” is gaining popularity for personal, enterprise and institutional data backups and synchronisation as well as for highly scalable access from software applications running on attached compute servers. The data is usually access-protected, encrypted and replicated depending on the security and scalability needs. Despite the advances in technology, the practical usefulness and longevity of cloud storage is limited in today's systems, which severely impacts the acceptance and adoption rates. Therefore, we introduce a novel cloud storage management system which optimally combines storage resources from multiple providers so that redundancy, security and other non-functional properties can be adjusted adequately to the needs of the storage service consumer. The system covers the entire storage service lifecycle from the consumer perspective. Hence, a definition of optimality is first contributed which is bound to both the architecture and the lifecycle phases. Next, an ontology for cloud storage services is presented as a prerequisite for optimality. Furthermore, we present NubiSave, a user-friendly storage controller implementation with adaptable overhead which runs on and integrates into typical consumer environments as a central part of an overall storage system. Its optimality claims are validated in real-world scenarios with several commercial online and cloud storage providers.","author":[{"dropping-particle":"","family":"Spillner","given":"Josef","non-dropping-particle":"","parse-names":false,"suffix":""},{"dropping-particle":"","family":"Müller","given":"Johannes","non-dropping-particle":"","parse-names":false,"suffix":""},{"dropping-particle":"","family":"Schill","given":"Alexander","non-dropping-particle":"","parse-names":false,"suffix":""}],"container-title":"Future Generation Computer Systems","id":"ITEM-1","issue":"4","issued":{"date-parts":[["2013"]]},"page":"1062-1072","publisher":"Elsevier B.V.","title":"Creating optimal cloud storage systems","type":"article-journal","volume":"29"},"uris":["http://www.mendeley.com/documents/?uuid=ee780f72-f881-45f7-9bfc-f61f6caca380","http://www.mendeley.com/documents/?uuid=0c0631bc-4e67-4fe2-9571-1cc367876c0f","http://www.mendeley.com/documents/?uuid=dae3a89b-0c1a-4cf0-b453-cdd18b3b3842"]}],"mendeley":{"formattedCitation":"[21]","plainTextFormattedCitation":"[21]","previouslyFormattedCitation":"[21]"},"properties":{"noteIndex":0},"schema":"https://github.com/citation-style-language/schema/raw/master/csl-citation.json"}</w:instrText>
      </w:r>
      <w:r>
        <w:rPr>
          <w:rFonts w:ascii="Times New Roman" w:hAnsi="Times New Roman"/>
          <w:szCs w:val="21"/>
        </w:rPr>
        <w:fldChar w:fldCharType="separate"/>
      </w:r>
      <w:r w:rsidR="00AA6AD5" w:rsidRPr="00AA6AD5">
        <w:rPr>
          <w:rFonts w:ascii="Times New Roman" w:hAnsi="Times New Roman"/>
          <w:noProof/>
          <w:szCs w:val="21"/>
        </w:rPr>
        <w:t>[21]</w:t>
      </w:r>
      <w:r>
        <w:rPr>
          <w:rFonts w:ascii="Times New Roman" w:hAnsi="Times New Roman"/>
          <w:szCs w:val="21"/>
        </w:rPr>
        <w:fldChar w:fldCharType="end"/>
      </w:r>
      <w:r>
        <w:rPr>
          <w:rFonts w:ascii="Times New Roman" w:hAnsi="Times New Roman"/>
          <w:szCs w:val="21"/>
        </w:rPr>
        <w:t>.</w:t>
      </w:r>
      <w:r>
        <w:rPr>
          <w:rFonts w:ascii="Times New Roman" w:hAnsi="Times New Roman" w:cs="Times New Roman"/>
          <w:szCs w:val="21"/>
        </w:rPr>
        <w:t xml:space="preserve"> Cloud BMSs can set a variety of Application Programming Interface</w:t>
      </w:r>
      <w:r>
        <w:rPr>
          <w:rFonts w:ascii="Times New Roman" w:hAnsi="Times New Roman" w:cs="Times New Roman" w:hint="eastAsia"/>
          <w:szCs w:val="21"/>
        </w:rPr>
        <w:t xml:space="preserve"> (</w:t>
      </w:r>
      <w:r>
        <w:rPr>
          <w:rFonts w:ascii="Times New Roman" w:hAnsi="Times New Roman" w:cs="Times New Roman"/>
          <w:szCs w:val="21"/>
        </w:rPr>
        <w:t>APIs</w:t>
      </w:r>
      <w:r>
        <w:rPr>
          <w:rFonts w:ascii="Times New Roman" w:hAnsi="Times New Roman" w:cs="Times New Roman" w:hint="eastAsia"/>
          <w:szCs w:val="21"/>
        </w:rPr>
        <w:t>)</w:t>
      </w:r>
      <w:r>
        <w:rPr>
          <w:rFonts w:ascii="Times New Roman" w:hAnsi="Times New Roman" w:cs="Times New Roman"/>
          <w:szCs w:val="21"/>
        </w:rPr>
        <w:t xml:space="preserve"> to connect with Python, Structured Query Language</w:t>
      </w:r>
      <w:r>
        <w:rPr>
          <w:rFonts w:ascii="Times New Roman" w:hAnsi="Times New Roman" w:cs="Times New Roman" w:hint="eastAsia"/>
          <w:szCs w:val="21"/>
        </w:rPr>
        <w:t xml:space="preserve"> (</w:t>
      </w:r>
      <w:r>
        <w:rPr>
          <w:rFonts w:ascii="Times New Roman" w:hAnsi="Times New Roman" w:cs="Times New Roman"/>
          <w:szCs w:val="21"/>
        </w:rPr>
        <w:t>SQL</w:t>
      </w:r>
      <w:r>
        <w:rPr>
          <w:rFonts w:ascii="Times New Roman" w:hAnsi="Times New Roman" w:cs="Times New Roman" w:hint="eastAsia"/>
          <w:szCs w:val="21"/>
        </w:rPr>
        <w:t>),</w:t>
      </w:r>
      <w:r>
        <w:rPr>
          <w:rFonts w:ascii="Times New Roman" w:hAnsi="Times New Roman" w:cs="Times New Roman"/>
          <w:szCs w:val="21"/>
        </w:rPr>
        <w:t xml:space="preserve"> etc. to upgrade its functions. The data will be finally connected to the user interface for visualization and will be fed back to the server for remote disaster recovery, which can also further calculate the data.</w:t>
      </w:r>
    </w:p>
    <w:p w14:paraId="24C0F1AF" w14:textId="4F5D8E01" w:rsidR="00672135" w:rsidRDefault="00120DF0">
      <w:pPr>
        <w:ind w:firstLineChars="200" w:firstLine="420"/>
        <w:rPr>
          <w:rFonts w:ascii="Times New Roman" w:hAnsi="Times New Roman" w:cs="Times New Roman"/>
          <w:szCs w:val="21"/>
        </w:rPr>
      </w:pPr>
      <w:r>
        <w:rPr>
          <w:rFonts w:ascii="Times New Roman" w:hAnsi="Times New Roman" w:cs="Times New Roman"/>
          <w:szCs w:val="21"/>
        </w:rPr>
        <w:t>Compared with end and edge computing, cloud computing provides more durable data storage and more powerful computing resources. However, each element is required in this framework. Here, the end device is needed to collect the battery temperature, voltage and other information in real time. This is sent it to the permanent storage area in the cloud computing layer for evaluation and data mining. Moreover, latency is not a concern for cloud computing. In terms of persistent storage, cloud storage is preferred as it is usually cheaper and more reliable than edge and fog computing. Cloud computing itself can be divided into private, public, hybrid, single provider, multi-provider and joint cloud systems</w:t>
      </w:r>
      <w:r>
        <w:rPr>
          <w:rFonts w:ascii="Times New Roman" w:hAnsi="Times New Roman" w:cs="Times New Roman" w:hint="eastAsia"/>
          <w:szCs w:val="21"/>
        </w:rPr>
        <w:t>. E</w:t>
      </w:r>
      <w:r>
        <w:rPr>
          <w:rFonts w:ascii="Times New Roman" w:hAnsi="Times New Roman" w:cs="Times New Roman"/>
          <w:szCs w:val="21"/>
        </w:rPr>
        <w:t>ach cloud framework will have different performance metrics such as response time</w:t>
      </w:r>
      <w:r>
        <w:rPr>
          <w:rFonts w:ascii="Times New Roman" w:hAnsi="Times New Roman"/>
          <w:szCs w:val="21"/>
        </w:rPr>
        <w:fldChar w:fldCharType="begin" w:fldLock="1"/>
      </w:r>
      <w:r w:rsidR="00AA6AD5">
        <w:rPr>
          <w:rFonts w:ascii="Times New Roman" w:hAnsi="Times New Roman"/>
          <w:szCs w:val="21"/>
        </w:rPr>
        <w:instrText>ADDIN CSL_CITATION {"citationItems":[{"id":"ITEM-1","itemData":{"DOI":"10.1016/j.jnca.2020.102642","ISSN":"10958592","abstract":"With the development of cloud computing, privacy security issues have become increasingly prominent, which is of concern to industry and academia. We review the research progress on privacy security issues from the perspective of several privacy security protection technologies in cloud computing. First, we introduce some privacy security risks of cloud computing and propose a comprehensive privacy security protection framework. Second, we show and discuss the research progress of several technologies, such as access control; ciphertext policy attribute-based encryption (CP-ABE); key policy attribute-based encryption (KP-ABE); the fine-grain, multi-authority, revocation mechanism; the trace mechanism; proxy re-encryption (PRE); hierarchical encryption; searchable encryption (SE); and multi-tenant, trust, and a combination of multiple technologies, and then compare and analyze the characteristics and application scope of typical schemes. Last, we discuss current challenges and highlight possible future research directions.","author":[{"dropping-particle":"","family":"Sun","given":"Pan Jun","non-dropping-particle":"","parse-names":false,"suffix":""}],"container-title":"Journal of Network and Computer Applications","id":"ITEM-1","issue":"March","issued":{"date-parts":[["2020"]]},"page":"102642","publisher":"Elsevier Ltd","title":"Security and privacy protection in cloud computing: Discussions and challenges","type":"article-journal","volume":"160"},"uris":["http://www.mendeley.com/documents/?uuid=bc584808-bd13-4640-b189-7f0246d41074","http://www.mendeley.com/documents/?uuid=58b0a0f9-67bd-4129-af63-bcf7527fd31f","http://www.mendeley.com/documents/?uuid=12db9e63-4a33-42e3-ae45-0c52a408dd6f"]}],"mendeley":{"formattedCitation":"[22]","plainTextFormattedCitation":"[22]","previouslyFormattedCitation":"[22]"},"properties":{"noteIndex":0},"schema":"https://github.com/citation-style-language/schema/raw/master/csl-citation.json"}</w:instrText>
      </w:r>
      <w:r>
        <w:rPr>
          <w:rFonts w:ascii="Times New Roman" w:hAnsi="Times New Roman"/>
          <w:szCs w:val="21"/>
        </w:rPr>
        <w:fldChar w:fldCharType="separate"/>
      </w:r>
      <w:r w:rsidR="00AA6AD5" w:rsidRPr="00AA6AD5">
        <w:rPr>
          <w:rFonts w:ascii="Times New Roman" w:hAnsi="Times New Roman"/>
          <w:noProof/>
          <w:szCs w:val="21"/>
        </w:rPr>
        <w:t>[22]</w:t>
      </w:r>
      <w:r>
        <w:rPr>
          <w:rFonts w:ascii="Times New Roman" w:hAnsi="Times New Roman"/>
          <w:szCs w:val="21"/>
        </w:rPr>
        <w:fldChar w:fldCharType="end"/>
      </w:r>
      <w:r>
        <w:rPr>
          <w:rFonts w:ascii="Times New Roman" w:hAnsi="Times New Roman"/>
          <w:szCs w:val="21"/>
        </w:rPr>
        <w:t>.</w:t>
      </w:r>
    </w:p>
    <w:p w14:paraId="19048631" w14:textId="77777777" w:rsidR="00672135" w:rsidRDefault="00120DF0">
      <w:pPr>
        <w:pStyle w:val="2"/>
      </w:pPr>
      <w:r>
        <w:t>2.4 Knowledge repository</w:t>
      </w:r>
    </w:p>
    <w:p w14:paraId="5D9CC171" w14:textId="773DA049" w:rsidR="00672135" w:rsidRDefault="00120DF0">
      <w:pPr>
        <w:ind w:firstLine="420"/>
        <w:rPr>
          <w:rFonts w:ascii="Times New Roman" w:hAnsi="Times New Roman" w:cs="Times New Roman"/>
          <w:szCs w:val="21"/>
        </w:rPr>
      </w:pPr>
      <w:r>
        <w:rPr>
          <w:rFonts w:ascii="Times New Roman" w:hAnsi="Times New Roman" w:cs="Times New Roman"/>
          <w:szCs w:val="21"/>
        </w:rPr>
        <w:t>For processing and actioning insights from the collected data, a control schema known as the monitor-</w:t>
      </w:r>
      <w:proofErr w:type="spellStart"/>
      <w:r>
        <w:rPr>
          <w:rFonts w:ascii="Times New Roman" w:hAnsi="Times New Roman" w:cs="Times New Roman"/>
          <w:szCs w:val="21"/>
        </w:rPr>
        <w:t>analyse</w:t>
      </w:r>
      <w:proofErr w:type="spellEnd"/>
      <w:r>
        <w:rPr>
          <w:rFonts w:ascii="Times New Roman" w:hAnsi="Times New Roman" w:cs="Times New Roman"/>
          <w:szCs w:val="21"/>
        </w:rPr>
        <w:t>-plan-execute over shared knowledge (MAPE-K) loop is one of the most promising routes for automatic and self-adaptive control, which was introduced by IBM. This MAPE-K loop is an orchestration process nominating almost all orchestration optimization techniques from the monitor to the executor. In this process, a monitor collects observed metrics ranging from application-level to system-level and hardware-level data in real time and updates the latest status of the whole system for the analysis phase</w:t>
      </w:r>
      <w:r>
        <w:rPr>
          <w:rFonts w:ascii="Times New Roman" w:hAnsi="Times New Roman"/>
          <w:szCs w:val="21"/>
        </w:rPr>
        <w:fldChar w:fldCharType="begin" w:fldLock="1"/>
      </w:r>
      <w:r w:rsidR="00AA6AD5">
        <w:rPr>
          <w:rFonts w:ascii="Times New Roman" w:hAnsi="Times New Roman"/>
          <w:szCs w:val="21"/>
        </w:rPr>
        <w:instrText>ADDIN CSL_CITATION {"citationItems":[{"id":"ITEM-1","itemData":{"DOI":"10.1016/j.jss.2020.110558","ISSN":"01641212","abstract":"In architecture-based self-adaptation of decentralized systems, design patterns have been introduced to ease the design of complex adaptation solutions that usually require the interaction of different MAPE-K (Monitor-Analyze-Plan-Execute over a shared Knowledge) control loops, each dealing with an adaptation concern of the managed system. Such MAPE patterns have been proposed by means of a graphical notation, but without a well-defined way to document them and to express the semantics of components interactions. In this paper, we propose an approach to overcome these limitations. We present a domain-specific language, called MSL for MAPE Specification Language, to define and instantiate MAPE patterns and to give semantics to some semantic variation points of the equivalent graphical notation for MAPE pattern. We also provide a formal semantics of the language by means of self-adaptive Abstract State Machines, an extension of the Abstract State Machines (ASMs) formalism to model self-adaptation. Such semantics definition comes with an automatic transformation of MSL models into formal executable models, and opens to the possibility of performing rigorous analysis (validation w.r.t. the adaptation requirements and verification of adaptation properties) of MSL models. Moreover, we present our current results toward a (long-term) realization of an MSL-centric framework, where MSL is the notation of a modeling front-end, on top of richer and more specific modeling, analysis, and implementation back-end frameworks. As proof of concept of our approach, we show the application of MSL and its formal support to a running case study in the field of home automation, by modeling an adaptive control of a virtual smart home developed with the OpenHAB runtime platform.","author":[{"dropping-particle":"","family":"Arcaini","given":"Paolo","non-dropping-particle":"","parse-names":false,"suffix":""},{"dropping-particle":"","family":"Mirandola","given":"Raffaela","non-dropping-particle":"","parse-names":false,"suffix":""},{"dropping-particle":"","family":"Riccobene","given":"Elvinia","non-dropping-particle":"","parse-names":false,"suffix":""},{"dropping-particle":"","family":"Scandurra","given":"Patrizia","non-dropping-particle":"","parse-names":false,"suffix":""}],"container-title":"Journal of Systems and Software","id":"ITEM-1","issued":{"date-parts":[["2020"]]},"page":"110558","publisher":"Elsevier Inc.","title":"MSL: A pattern language for engineering self-adaptive systems","type":"article-journal","volume":"164"},"uris":["http://www.mendeley.com/documents/?uuid=6a92b48e-e253-4408-81d6-07f14859bfef","http://www.mendeley.com/documents/?uuid=8f032687-561e-439c-8386-f50a3b15b0e1","http://www.mendeley.com/documents/?uuid=4c8a1cc9-f316-4629-8fc9-31536efa4054"]}],"mendeley":{"formattedCitation":"[23]","plainTextFormattedCitation":"[23]","previouslyFormattedCitation":"[23]"},"properties":{"noteIndex":0},"schema":"https://github.com/citation-style-language/schema/raw/master/csl-citation.json"}</w:instrText>
      </w:r>
      <w:r>
        <w:rPr>
          <w:rFonts w:ascii="Times New Roman" w:hAnsi="Times New Roman"/>
          <w:szCs w:val="21"/>
        </w:rPr>
        <w:fldChar w:fldCharType="separate"/>
      </w:r>
      <w:r w:rsidR="00AA6AD5" w:rsidRPr="00AA6AD5">
        <w:rPr>
          <w:rFonts w:ascii="Times New Roman" w:hAnsi="Times New Roman"/>
          <w:noProof/>
          <w:szCs w:val="21"/>
        </w:rPr>
        <w:t>[23]</w:t>
      </w:r>
      <w:r>
        <w:rPr>
          <w:rFonts w:ascii="Times New Roman" w:hAnsi="Times New Roman"/>
          <w:szCs w:val="21"/>
        </w:rPr>
        <w:fldChar w:fldCharType="end"/>
      </w:r>
      <w:r>
        <w:rPr>
          <w:rFonts w:ascii="Times New Roman" w:hAnsi="Times New Roman"/>
          <w:szCs w:val="21"/>
        </w:rPr>
        <w:t>.</w:t>
      </w:r>
      <w:r>
        <w:rPr>
          <w:rFonts w:ascii="Times New Roman" w:hAnsi="Times New Roman" w:cs="Times New Roman"/>
          <w:szCs w:val="21"/>
        </w:rPr>
        <w:t xml:space="preserve"> The </w:t>
      </w:r>
      <w:proofErr w:type="spellStart"/>
      <w:r>
        <w:rPr>
          <w:rFonts w:ascii="Times New Roman" w:hAnsi="Times New Roman" w:cs="Times New Roman"/>
          <w:szCs w:val="21"/>
        </w:rPr>
        <w:t>analyser</w:t>
      </w:r>
      <w:proofErr w:type="spellEnd"/>
      <w:r>
        <w:rPr>
          <w:rFonts w:ascii="Times New Roman" w:hAnsi="Times New Roman" w:cs="Times New Roman"/>
          <w:szCs w:val="21"/>
        </w:rPr>
        <w:t xml:space="preserve"> is responsible for data analysis with insights leveraged from the use of machine learning methods. The planner given the optimization technique, decides on the adaptation of the application and underlying resources. For example, the load balancer decides where to offload the incoming task, either to end or to edge cloud layers to balance the load. Finally, the executor is authorized to implement the decision which can handle such actions through a gateway. The knowledge repository consists of all the monitored data and activities of the loop components in MAPE-K to optimize overall performance.</w:t>
      </w:r>
    </w:p>
    <w:p w14:paraId="61B5FC5E" w14:textId="77777777" w:rsidR="00672135" w:rsidRPr="00457DEA" w:rsidRDefault="00120DF0">
      <w:pPr>
        <w:pStyle w:val="1"/>
        <w:rPr>
          <w:color w:val="0D0D0D" w:themeColor="text1" w:themeTint="F2"/>
        </w:rPr>
      </w:pPr>
      <w:r w:rsidRPr="00457DEA">
        <w:rPr>
          <w:color w:val="0D0D0D" w:themeColor="text1" w:themeTint="F2"/>
        </w:rPr>
        <w:t xml:space="preserve">BMS key functions </w:t>
      </w:r>
      <w:bookmarkStart w:id="7" w:name="OLE_LINK6"/>
      <w:r w:rsidRPr="00457DEA">
        <w:rPr>
          <w:color w:val="0D0D0D" w:themeColor="text1" w:themeTint="F2"/>
        </w:rPr>
        <w:t>and algorithms</w:t>
      </w:r>
      <w:bookmarkEnd w:id="7"/>
    </w:p>
    <w:p w14:paraId="1D9F86B4" w14:textId="123B179E" w:rsidR="00672135" w:rsidRDefault="00120DF0">
      <w:pPr>
        <w:keepNext/>
        <w:ind w:firstLineChars="200" w:firstLine="420"/>
        <w:rPr>
          <w:rFonts w:ascii="Times New Roman" w:hAnsi="Times New Roman" w:cs="Times New Roman"/>
        </w:rPr>
      </w:pPr>
      <w:r>
        <w:rPr>
          <w:rFonts w:ascii="Times New Roman" w:hAnsi="Times New Roman" w:cs="Times New Roman"/>
        </w:rPr>
        <w:t xml:space="preserve">A battery is a complex nonlinear system with many state variables. Therefore, the establishment of an efficient and accurate BMS is the key to effective battery management and the </w:t>
      </w:r>
      <w:r>
        <w:rPr>
          <w:rFonts w:ascii="Times New Roman" w:hAnsi="Times New Roman" w:cs="Times New Roman"/>
        </w:rPr>
        <w:lastRenderedPageBreak/>
        <w:t>basis for battery control.</w:t>
      </w:r>
      <w:r w:rsidRPr="00457DEA">
        <w:rPr>
          <w:rFonts w:ascii="Times New Roman" w:hAnsi="Times New Roman" w:cs="Times New Roman"/>
          <w:color w:val="0D0D0D" w:themeColor="text1" w:themeTint="F2"/>
        </w:rPr>
        <w:t xml:space="preserve"> As shown in Figure 2, the basic functions of a BMS </w:t>
      </w:r>
      <w:r w:rsidRPr="00457DEA">
        <w:rPr>
          <w:rFonts w:ascii="Times New Roman" w:hAnsi="Times New Roman" w:cs="Times New Roman" w:hint="eastAsia"/>
          <w:color w:val="0D0D0D" w:themeColor="text1" w:themeTint="F2"/>
        </w:rPr>
        <w:t xml:space="preserve">should </w:t>
      </w:r>
      <w:r w:rsidRPr="00457DEA">
        <w:rPr>
          <w:rFonts w:ascii="Times New Roman" w:hAnsi="Times New Roman" w:cs="Times New Roman"/>
          <w:color w:val="0D0D0D" w:themeColor="text1" w:themeTint="F2"/>
        </w:rPr>
        <w:t xml:space="preserve">include battery data acquisition, modeling and state estimation, charge and discharge control, fault diagnosis and alarm, thermal management, balance control and communication </w:t>
      </w:r>
      <w:r w:rsidRPr="00457DEA">
        <w:rPr>
          <w:rFonts w:ascii="Times New Roman" w:hAnsi="Times New Roman" w:cs="Times New Roman"/>
          <w:color w:val="0D0D0D" w:themeColor="text1" w:themeTint="F2"/>
        </w:rPr>
        <w:fldChar w:fldCharType="begin" w:fldLock="1"/>
      </w:r>
      <w:r w:rsidR="00AA6AD5" w:rsidRPr="00457DEA">
        <w:rPr>
          <w:rFonts w:ascii="Times New Roman" w:hAnsi="Times New Roman" w:cs="Times New Roman"/>
          <w:color w:val="0D0D0D" w:themeColor="text1" w:themeTint="F2"/>
        </w:rPr>
        <w:instrText>ADDIN CSL_CITATION {"citationItems":[{"id":"ITEM-1","itemData":{"DOI":"10.1016/j.jpowsour.2012.10.060","ISSN":"0378-7753","author":[{"dropping-particle":"","family":"Lu","given":"Languang","non-dropping-particle":"","parse-names":false,"suffix":""},{"dropping-particle":"","family":"Han","given":"Xuebing","non-dropping-particle":"","parse-names":false,"suffix":""},{"dropping-particle":"","family":"Li","given":"Jianqiu","non-dropping-particle":"","parse-names":false,"suffix":""},{"dropping-particle":"","family":"Hua","given":"Jianfeng","non-dropping-particle":"","parse-names":false,"suffix":""},{"dropping-particle":"","family":"Ouyang","given":"Minggao","non-dropping-particle":"","parse-names":false,"suffix":""}],"container-title":"Journal of Power Sources","id":"ITEM-1","issued":{"date-parts":[["2013"]]},"page":"272-288","publisher":"Elsevier B.V","title":"A review on the key issues for lithium-ion battery management in electric vehicles","type":"article-journal","volume":"226"},"uris":["http://www.mendeley.com/documents/?uuid=10201020-7236-4459-beb2-9468dc3ef323","http://www.mendeley.com/documents/?uuid=5102d04e-cbf0-4bd3-8a66-c2133f6b3a97"]}],"mendeley":{"formattedCitation":"[24]","plainTextFormattedCitation":"[24]","previouslyFormattedCitation":"[24]"},"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AA6AD5" w:rsidRPr="00457DEA">
        <w:rPr>
          <w:rFonts w:ascii="Times New Roman" w:hAnsi="Times New Roman" w:cs="Times New Roman"/>
          <w:noProof/>
          <w:color w:val="0D0D0D" w:themeColor="text1" w:themeTint="F2"/>
        </w:rPr>
        <w:t>[24]</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,BMSs have been applied in portable electronics, however, as the number of batteries in electric vehicles is more than 100 times that of portable devices which poses additional challenges. Furthermore, EVs are designed to provide high power, high voltage and high current, which makes the BMS more complex than those in portable electronic devices. </w:t>
      </w:r>
    </w:p>
    <w:p w14:paraId="0BFF7818" w14:textId="77777777" w:rsidR="00672135" w:rsidRDefault="00120DF0">
      <w:pPr>
        <w:keepNext/>
        <w:jc w:val="center"/>
        <w:rPr>
          <w:rFonts w:ascii="Times New Roman" w:hAnsi="Times New Roman" w:cs="Times New Roman"/>
        </w:rPr>
      </w:pPr>
      <w:r>
        <w:rPr>
          <w:noProof/>
        </w:rPr>
        <w:drawing>
          <wp:inline distT="0" distB="0" distL="0" distR="0" wp14:anchorId="17A18D43" wp14:editId="2BB51011">
            <wp:extent cx="3517900" cy="3180715"/>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a:extLst>
                        <a:ext uri="{28A0092B-C50C-407E-A947-70E740481C1C}">
                          <a14:useLocalDpi xmlns:a14="http://schemas.microsoft.com/office/drawing/2010/main" val="0"/>
                        </a:ext>
                      </a:extLst>
                    </a:blip>
                    <a:srcRect l="10611" r="11062" b="7929"/>
                    <a:stretch>
                      <a:fillRect/>
                    </a:stretch>
                  </pic:blipFill>
                  <pic:spPr>
                    <a:xfrm>
                      <a:off x="0" y="0"/>
                      <a:ext cx="3537626" cy="3199162"/>
                    </a:xfrm>
                    <a:prstGeom prst="rect">
                      <a:avLst/>
                    </a:prstGeom>
                    <a:noFill/>
                    <a:ln>
                      <a:noFill/>
                    </a:ln>
                  </pic:spPr>
                </pic:pic>
              </a:graphicData>
            </a:graphic>
          </wp:inline>
        </w:drawing>
      </w:r>
    </w:p>
    <w:p w14:paraId="62AED5E2" w14:textId="2D2A2FA5" w:rsidR="00672135" w:rsidRPr="00457DEA" w:rsidRDefault="00120DF0">
      <w:pPr>
        <w:pStyle w:val="a7"/>
        <w:jc w:val="center"/>
        <w:rPr>
          <w:rFonts w:ascii="Times New Roman" w:hAnsi="Times New Roman" w:cs="Times New Roman"/>
          <w:color w:val="0D0D0D" w:themeColor="text1" w:themeTint="F2"/>
        </w:rPr>
      </w:pPr>
      <w:r w:rsidRPr="00457DEA">
        <w:rPr>
          <w:rFonts w:ascii="Times New Roman" w:hAnsi="Times New Roman" w:cs="Times New Roman" w:hint="eastAsia"/>
          <w:color w:val="0D0D0D" w:themeColor="text1" w:themeTint="F2"/>
        </w:rPr>
        <w:t>Figure</w:t>
      </w:r>
      <w:r w:rsidRPr="00457DEA">
        <w:rPr>
          <w:rFonts w:ascii="Times New Roman" w:hAnsi="Times New Roman" w:cs="Times New Roman"/>
          <w:color w:val="0D0D0D" w:themeColor="text1" w:themeTint="F2"/>
        </w:rPr>
        <w:t xml:space="preserve"> </w:t>
      </w:r>
      <w:r w:rsidRPr="00457DEA">
        <w:rPr>
          <w:rFonts w:ascii="Times New Roman" w:hAnsi="Times New Roman" w:cs="Times New Roman"/>
          <w:color w:val="0D0D0D" w:themeColor="text1" w:themeTint="F2"/>
        </w:rPr>
        <w:fldChar w:fldCharType="begin"/>
      </w:r>
      <w:r w:rsidRPr="00457DEA">
        <w:rPr>
          <w:rFonts w:ascii="Times New Roman" w:hAnsi="Times New Roman" w:cs="Times New Roman"/>
          <w:color w:val="0D0D0D" w:themeColor="text1" w:themeTint="F2"/>
        </w:rPr>
        <w:instrText xml:space="preserve"> SEQ Fig. \* ARABIC </w:instrText>
      </w:r>
      <w:r w:rsidRPr="00457DEA">
        <w:rPr>
          <w:rFonts w:ascii="Times New Roman" w:hAnsi="Times New Roman" w:cs="Times New Roman"/>
          <w:color w:val="0D0D0D" w:themeColor="text1" w:themeTint="F2"/>
        </w:rPr>
        <w:fldChar w:fldCharType="separate"/>
      </w:r>
      <w:r w:rsidRPr="00457DEA">
        <w:rPr>
          <w:rFonts w:ascii="Times New Roman" w:hAnsi="Times New Roman" w:cs="Times New Roman"/>
          <w:color w:val="0D0D0D" w:themeColor="text1" w:themeTint="F2"/>
        </w:rPr>
        <w:t>2</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 BMS key functions</w:t>
      </w:r>
    </w:p>
    <w:p w14:paraId="6463A103" w14:textId="77777777" w:rsidR="00672135" w:rsidRDefault="00120DF0">
      <w:pPr>
        <w:pStyle w:val="2"/>
      </w:pPr>
      <w:bookmarkStart w:id="8" w:name="_Hlk70257761"/>
      <w:r>
        <w:t>3.1 SOX estimation methodologies</w:t>
      </w:r>
      <w:bookmarkEnd w:id="8"/>
    </w:p>
    <w:p w14:paraId="5D24E9D9" w14:textId="1E52FF97" w:rsidR="00672135" w:rsidRDefault="00120DF0">
      <w:pPr>
        <w:keepNext/>
        <w:ind w:firstLine="420"/>
        <w:rPr>
          <w:rFonts w:ascii="Times New Roman" w:hAnsi="Times New Roman" w:cs="Times New Roman"/>
        </w:rPr>
      </w:pPr>
      <w:r>
        <w:rPr>
          <w:rFonts w:ascii="Times New Roman" w:hAnsi="Times New Roman" w:cs="Times New Roman"/>
        </w:rPr>
        <w:t xml:space="preserve">In order to achieve suitable system functionality and market acceptance, a more efficient BMS is needed with high-precision SOX estimation. Battery states including: state-of-charge (SOC), state-of-energy (SOE), state-of-power (SOP), state-of-function (SOF), state-of-health (SOH) and residual discharge time (RDT). All of these </w:t>
      </w:r>
      <w:r>
        <w:rPr>
          <w:rFonts w:ascii="Times New Roman" w:hAnsi="Times New Roman" w:cs="Times New Roman" w:hint="eastAsia"/>
        </w:rPr>
        <w:t>should be</w:t>
      </w:r>
      <w:r>
        <w:rPr>
          <w:rFonts w:ascii="Times New Roman" w:hAnsi="Times New Roman" w:cs="Times New Roman"/>
        </w:rPr>
        <w:t xml:space="preserve"> evaluated accurately and efficiently to prevent safety concerns, </w:t>
      </w:r>
      <w:proofErr w:type="spellStart"/>
      <w:r>
        <w:rPr>
          <w:rFonts w:ascii="Times New Roman" w:hAnsi="Times New Roman" w:cs="Times New Roman"/>
        </w:rPr>
        <w:t>maximise</w:t>
      </w:r>
      <w:proofErr w:type="spellEnd"/>
      <w:r>
        <w:rPr>
          <w:rFonts w:ascii="Times New Roman" w:hAnsi="Times New Roman" w:cs="Times New Roman"/>
        </w:rPr>
        <w:t xml:space="preserve"> performance and prolong lifetime</w:t>
      </w:r>
      <w:r>
        <w:rPr>
          <w:rFonts w:ascii="Times New Roman" w:hAnsi="Times New Roman" w:cs="Times New Roman"/>
        </w:rPr>
        <w:fldChar w:fldCharType="begin" w:fldLock="1"/>
      </w:r>
      <w:r w:rsidR="00AA6AD5">
        <w:rPr>
          <w:rFonts w:ascii="Times New Roman" w:hAnsi="Times New Roman" w:cs="Times New Roman"/>
        </w:rPr>
        <w:instrText>ADDIN CSL_CITATION {"citationItems":[{"id":"ITEM-1","itemData":{"DOI":"10.1016/j.jpowsour.2015.03.165","author":[{"dropping-particle":"","family":"Kuusisto","given":"Hannes","non-dropping-particle":"","parse-names":false,"suffix":""},{"dropping-particle":"","family":"Wik","given":"Torsten","non-dropping-particle":"","parse-names":false,"suffix":""}],"id":"ITEM-1","issued":{"date-parts":[["2015"]]},"page":"448-457","title":"Implementation and robustness of an analytically based battery state of power","type":"article-journal","volume":"287"},"uris":["http://www.mendeley.com/documents/?uuid=b602193d-4110-4362-b79e-65199b478922","http://www.mendeley.com/documents/?uuid=f89dc5c8-a82c-49d4-9484-c8afc44b33b6"]}],"mendeley":{"formattedCitation":"[25]","plainTextFormattedCitation":"[25]","previouslyFormattedCitation":"[25]"},"properties":{"noteIndex":0},"schema":"https://github.com/citation-style-language/schema/raw/master/csl-citation.json"}</w:instrText>
      </w:r>
      <w:r>
        <w:rPr>
          <w:rFonts w:ascii="Times New Roman" w:hAnsi="Times New Roman" w:cs="Times New Roman"/>
        </w:rPr>
        <w:fldChar w:fldCharType="separate"/>
      </w:r>
      <w:r w:rsidR="00AA6AD5" w:rsidRPr="00AA6AD5">
        <w:rPr>
          <w:rFonts w:ascii="Times New Roman" w:hAnsi="Times New Roman" w:cs="Times New Roman"/>
          <w:noProof/>
        </w:rPr>
        <w:t>[25]</w:t>
      </w:r>
      <w:r>
        <w:rPr>
          <w:rFonts w:ascii="Times New Roman" w:hAnsi="Times New Roman" w:cs="Times New Roman"/>
        </w:rPr>
        <w:fldChar w:fldCharType="end"/>
      </w:r>
      <w:r>
        <w:rPr>
          <w:rFonts w:ascii="Times New Roman" w:hAnsi="Times New Roman" w:cs="Times New Roman" w:hint="eastAsia"/>
          <w:color w:val="5B9BD5"/>
        </w:rPr>
        <w:t>.</w:t>
      </w:r>
      <w:r>
        <w:rPr>
          <w:rFonts w:ascii="Times New Roman" w:hAnsi="Times New Roman" w:cs="Times New Roman"/>
          <w:color w:val="5B9BD5"/>
        </w:rPr>
        <w:t xml:space="preserve"> </w:t>
      </w:r>
      <w:r>
        <w:rPr>
          <w:rFonts w:ascii="Times New Roman" w:hAnsi="Times New Roman" w:cs="Times New Roman"/>
        </w:rPr>
        <w:t xml:space="preserve">However, complex non-linear </w:t>
      </w:r>
      <w:proofErr w:type="spellStart"/>
      <w:r>
        <w:rPr>
          <w:rFonts w:ascii="Times New Roman" w:hAnsi="Times New Roman" w:cs="Times New Roman"/>
        </w:rPr>
        <w:t>behaviour</w:t>
      </w:r>
      <w:proofErr w:type="spellEnd"/>
      <w:r>
        <w:rPr>
          <w:rFonts w:ascii="Times New Roman" w:hAnsi="Times New Roman" w:cs="Times New Roman"/>
        </w:rPr>
        <w:t xml:space="preserve">, varying external conditions, cell-to-cell variations and challenges around parameterization pose challenges to high-precision SOX estimation, which can broadly be broken </w:t>
      </w:r>
      <w:r>
        <w:rPr>
          <w:rFonts w:ascii="Times New Roman" w:hAnsi="Times New Roman" w:cs="Times New Roman"/>
        </w:rPr>
        <w:lastRenderedPageBreak/>
        <w:t>up into five categories, which are</w:t>
      </w:r>
      <w:r>
        <w:rPr>
          <w:rFonts w:ascii="Times New Roman" w:hAnsi="Times New Roman" w:cs="Times New Roman" w:hint="eastAsia"/>
        </w:rPr>
        <w:t xml:space="preserve"> </w:t>
      </w:r>
      <w:r>
        <w:rPr>
          <w:rFonts w:ascii="Times New Roman" w:hAnsi="Times New Roman" w:cs="Times New Roman"/>
        </w:rPr>
        <w:t>shown in Figure</w:t>
      </w:r>
      <w:r>
        <w:rPr>
          <w:rFonts w:ascii="Times New Roman" w:hAnsi="Times New Roman" w:cs="Times New Roman" w:hint="eastAsia"/>
        </w:rPr>
        <w:t xml:space="preserve"> </w:t>
      </w:r>
      <w:r>
        <w:rPr>
          <w:rFonts w:ascii="Times New Roman" w:hAnsi="Times New Roman" w:cs="Times New Roman"/>
        </w:rPr>
        <w:t xml:space="preserve">3. </w:t>
      </w:r>
    </w:p>
    <w:p w14:paraId="6C2C0A0A" w14:textId="77777777" w:rsidR="00672135" w:rsidRDefault="00120DF0">
      <w:pPr>
        <w:keepNext/>
      </w:pPr>
      <w:r>
        <w:rPr>
          <w:rStyle w:val="af1"/>
          <w:noProof/>
        </w:rPr>
        <w:drawing>
          <wp:inline distT="0" distB="0" distL="114300" distR="114300" wp14:anchorId="5C363603" wp14:editId="26C30920">
            <wp:extent cx="5266690" cy="2962910"/>
            <wp:effectExtent l="0" t="0" r="10160" b="8890"/>
            <wp:docPr id="6" name="图片 6" descr="d6ceedc8020ed4d431580911ad511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6ceedc8020ed4d431580911ad5118f"/>
                    <pic:cNvPicPr>
                      <a:picLocks noChangeAspect="1"/>
                    </pic:cNvPicPr>
                  </pic:nvPicPr>
                  <pic:blipFill>
                    <a:blip r:embed="rId13"/>
                    <a:stretch>
                      <a:fillRect/>
                    </a:stretch>
                  </pic:blipFill>
                  <pic:spPr>
                    <a:xfrm>
                      <a:off x="0" y="0"/>
                      <a:ext cx="5266690" cy="2962910"/>
                    </a:xfrm>
                    <a:prstGeom prst="rect">
                      <a:avLst/>
                    </a:prstGeom>
                  </pic:spPr>
                </pic:pic>
              </a:graphicData>
            </a:graphic>
          </wp:inline>
        </w:drawing>
      </w:r>
    </w:p>
    <w:p w14:paraId="708A0429" w14:textId="77777777" w:rsidR="00672135" w:rsidRDefault="00120DF0">
      <w:pPr>
        <w:pStyle w:val="a7"/>
        <w:jc w:val="center"/>
        <w:rPr>
          <w:rFonts w:ascii="Times New Roman" w:hAnsi="Times New Roman" w:cs="Times New Roman"/>
        </w:rPr>
      </w:pPr>
      <w:bookmarkStart w:id="9" w:name="_Hlk70264547"/>
      <w:r>
        <w:rPr>
          <w:rFonts w:ascii="Times New Roman" w:hAnsi="Times New Roman" w:cs="Times New Roman" w:hint="eastAsia"/>
        </w:rPr>
        <w:t>Figure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SEQ Fig. \* ARABIC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t xml:space="preserve"> Categorization of SOX estimation methodologies</w:t>
      </w:r>
      <w:bookmarkEnd w:id="9"/>
    </w:p>
    <w:p w14:paraId="79CE93B3" w14:textId="77777777" w:rsidR="00672135" w:rsidRDefault="00120DF0">
      <w:pPr>
        <w:rPr>
          <w:rFonts w:ascii="Times New Roman" w:eastAsia="宋体" w:hAnsi="Times New Roman" w:cs="Times New Roman"/>
          <w:sz w:val="22"/>
        </w:rPr>
      </w:pPr>
      <w:bookmarkStart w:id="10" w:name="_Hlk70259322"/>
      <w:r>
        <w:rPr>
          <w:rFonts w:ascii="Times New Roman" w:eastAsia="宋体" w:hAnsi="Times New Roman" w:cs="Times New Roman"/>
          <w:sz w:val="22"/>
        </w:rPr>
        <w:t>a) Conventional methodologies</w:t>
      </w:r>
      <w:bookmarkEnd w:id="10"/>
    </w:p>
    <w:p w14:paraId="05052F25" w14:textId="02C8A8F2" w:rsidR="00672135" w:rsidRDefault="00120DF0">
      <w:pPr>
        <w:ind w:firstLineChars="200" w:firstLine="420"/>
        <w:rPr>
          <w:rFonts w:ascii="Times New Roman" w:hAnsi="Times New Roman" w:cs="Times New Roman"/>
        </w:rPr>
      </w:pPr>
      <w:r>
        <w:rPr>
          <w:rFonts w:ascii="Times New Roman" w:hAnsi="Times New Roman" w:cs="Times New Roman"/>
        </w:rPr>
        <w:t>Traditional methods use the metrics including: voltage, current and impedance to estimate the state</w:t>
      </w:r>
      <w:r>
        <w:rPr>
          <w:rFonts w:ascii="Times New Roman" w:hAnsi="Times New Roman" w:cs="Times New Roman" w:hint="eastAsia"/>
        </w:rPr>
        <w:t>s</w:t>
      </w:r>
      <w:r>
        <w:rPr>
          <w:rFonts w:ascii="Times New Roman" w:hAnsi="Times New Roman" w:cs="Times New Roman"/>
        </w:rPr>
        <w:t xml:space="preserve"> of the battery</w:t>
      </w:r>
      <w:r>
        <w:rPr>
          <w:rFonts w:ascii="Times New Roman" w:hAnsi="Times New Roman" w:cs="Times New Roman"/>
        </w:rPr>
        <w:fldChar w:fldCharType="begin" w:fldLock="1"/>
      </w:r>
      <w:r w:rsidR="00AA6AD5">
        <w:rPr>
          <w:rFonts w:ascii="Times New Roman" w:hAnsi="Times New Roman" w:cs="Times New Roman"/>
        </w:rPr>
        <w:instrText>ADDIN CSL_CITATION {"citationItems":[{"id":"ITEM-1","itemData":{"DOI":"10.1049/iet-est.2019.0026","ISSN":"20429746","abstract":"As an important property and distinct characteristic of different lithium-ion batteries, open-circuit-voltage (OCV) online estimation can provide useful information for battery monitoring and fault diagnosis. However, studies dedicated to battery OCV estimation are not as much as the research efforts on state-of-charge determination and parameter identification such as capacity and resistance. Hence, a general discussion for selecting the battery OCV estimation algorithm is proposed in this study. To this end, modelling process of extended state-space model and autoregressive exogenous model is presented in detail. Four estimation algorithms, namely, Luenberger observer, Kalman filter, recursive least-square with forgetting factor and recursive least-square with variable forgetting factor are selected and compared in terms of estimation accuracy, computational cost, parameter tuning and robustness to parameter variations. Based on real battery cell parameters and environmental conditions, simulation results have shown that even if they are less robust to model uncertainty, observer-based methods exhibit better estimation performances than regression-based ones.","author":[{"dropping-particle":"","family":"Meng","given":"Jianwen","non-dropping-particle":"","parse-names":false,"suffix":""},{"dropping-particle":"","family":"Boukhnifer","given":"Moussa","non-dropping-particle":"","parse-names":false,"suffix":""},{"dropping-particle":"","family":"Diallo","given":"Demba","non-dropping-particle":"","parse-names":false,"suffix":""}],"container-title":"IET Electrical Systems in Transportation","id":"ITEM-1","issue":"2","issued":{"date-parts":[["2020"]]},"page":"162-169","title":"Comparative study of lithium-ion battery open-circuit-voltage online estimation methods","type":"article-journal","volume":"10"},"uris":["http://www.mendeley.com/documents/?uuid=d0158602-bd6a-48a2-902f-20182d86ed36"]},{"id":"ITEM-2","itemData":{"DOI":"10.1149/1945-7111/abda04","ISSN":"1945-7111","author":[{"dropping-particle":"","family":"Teo","given":"Linnette","non-dropping-particle":"","parse-names":false,"suffix":""},{"dropping-particle":"","family":"Subramanian","given":"Venkat R.","non-dropping-particle":"","parse-names":false,"suffix":""},{"dropping-particle":"","family":"Schwartz","given":"Daniel T.","non-dropping-particle":"","parse-names":false,"suffix":""}],"container-title":"Journal of The Electrochemical Society","id":"ITEM-2","issue":"1","issued":{"date-parts":[["2021"]]},"page":"010526","publisher":"IOP Publishing","title":"Dynamic Electrochemical Impedance Spectroscopy of Lithium-ion Batteries: Revealing Underlying Physics through Efficient Joint Time-Frequency Modeling","type":"article-journal","volume":"168"},"uris":["http://www.mendeley.com/documents/?uuid=b2ba6fc8-0d52-4212-8ad4-c86f1ae3dbf3"]},{"id":"ITEM-3","itemData":{"DOI":"10.1016/j.seta.2020.100752","ISSN":"22131388","abstract":"Due to increasing concerns about global warming, greenhouse gas emissions, and the depletion of fossil fuels, electric vehicles (EVs) powered by lithium-ion batteries have been placed on the forefront as alternative vehicles. Although lithium-ion battery has noticeable features, including high energy and power density, its highly nonlinear and dynamic nature needs to be continuously monitored by an effective battery management system (BMS). Accurate state of charge (SOC) estimation plays an essential role in BMS. The accuracy of coulomb counting method, as one of the simplest methods to estimate SOC, is strongly affected by the sensor accuracy, initial SOC and actual capacity. In the case of ignoring sensor accuracy, a data-driven coulomb counting method is proposed in this paper. Firstly, based on the incremental capacity analysis (ICA), the conventional battery voltage based IC curves are transferred to the SOC based IC curves, where the calibration point can be extracted to correct the erroneous initial SOC. Through the maximum information efficient (MIC) analysis, four voltage values are determined as the input of Gaussian process regression (GPR) model to realize the estimation for actual capacity. Finally, these two calibrated parameters are applied to modify the coulomb counting method. The robustness and feasibility of the proposed method are evaluated using experimental data under fast capacity degradation, which indicates that the data-driven coulomb counting method can calibrate the erroneous parameters and provide on-line satisfactory estimation accuracy for SOC.","author":[{"dropping-particle":"","family":"Zhang","given":"Shuzhi","non-dropping-particle":"","parse-names":false,"suffix":""},{"dropping-particle":"","family":"Guo","given":"Xu","non-dropping-particle":"","parse-names":false,"suffix":""},{"dropping-particle":"","family":"Dou","given":"Xiaoxin","non-dropping-particle":"","parse-names":false,"suffix":""},{"dropping-particle":"","family":"Zhang","given":"Xiongwen","non-dropping-particle":"","parse-names":false,"suffix":""}],"container-title":"Sustainable Energy Technologies and Assessments","id":"ITEM-3","issue":"May","issued":{"date-parts":[["2020"]]},"title":"A data-driven coulomb counting method for state of charge calibration and estimation of lithium-ion battery","type":"article-journal","volume":"40"},"uris":["http://www.mendeley.com/documents/?uuid=109d8570-13e6-49b9-b260-c30cf253f781"]}],"mendeley":{"formattedCitation":"[26–28]","plainTextFormattedCitation":"[26–28]","previouslyFormattedCitation":"[26–28]"},"properties":{"noteIndex":0},"schema":"https://github.com/citation-style-language/schema/raw/master/csl-citation.json"}</w:instrText>
      </w:r>
      <w:r>
        <w:rPr>
          <w:rFonts w:ascii="Times New Roman" w:hAnsi="Times New Roman" w:cs="Times New Roman"/>
        </w:rPr>
        <w:fldChar w:fldCharType="separate"/>
      </w:r>
      <w:r w:rsidR="00AA6AD5" w:rsidRPr="00AA6AD5">
        <w:rPr>
          <w:rFonts w:ascii="Times New Roman" w:hAnsi="Times New Roman" w:cs="Times New Roman"/>
          <w:noProof/>
        </w:rPr>
        <w:t>[26–28]</w:t>
      </w:r>
      <w:r>
        <w:rPr>
          <w:rFonts w:ascii="Times New Roman" w:hAnsi="Times New Roman" w:cs="Times New Roman"/>
        </w:rPr>
        <w:fldChar w:fldCharType="end"/>
      </w:r>
      <w:r>
        <w:rPr>
          <w:rFonts w:ascii="Times New Roman" w:hAnsi="Times New Roman" w:cs="Times New Roman"/>
        </w:rPr>
        <w:t xml:space="preserve">. Compared with other methods, the traditional approaches are generally easy to implement, with relatively small amounts of calculation. However, traditional approaches have many limitations. For example, the open circuit voltage (OCV) method for estimating the SOC requires a long rest time to reach the equilibrium state. Therefore, this method is only applicable to the vehicle </w:t>
      </w:r>
      <w:r>
        <w:rPr>
          <w:rFonts w:ascii="Times New Roman" w:hAnsi="Times New Roman" w:cs="Times New Roman" w:hint="eastAsia"/>
        </w:rPr>
        <w:t>under</w:t>
      </w:r>
      <w:r>
        <w:rPr>
          <w:rFonts w:ascii="Times New Roman" w:hAnsi="Times New Roman" w:cs="Times New Roman"/>
        </w:rPr>
        <w:t xml:space="preserve"> long static periods. Other approaches for estimation of the SOC include coulomb counting however, the cumulative effect caused by uncertainty in measurement may lead to inaccurate estimation results.</w:t>
      </w:r>
    </w:p>
    <w:p w14:paraId="32EE4E52" w14:textId="77777777" w:rsidR="00672135" w:rsidRDefault="00120DF0">
      <w:pPr>
        <w:rPr>
          <w:rFonts w:ascii="Times New Roman" w:eastAsia="宋体" w:hAnsi="Times New Roman" w:cs="Times New Roman"/>
          <w:sz w:val="22"/>
        </w:rPr>
      </w:pPr>
      <w:bookmarkStart w:id="11" w:name="_Hlk70259346"/>
      <w:r>
        <w:rPr>
          <w:rFonts w:ascii="Times New Roman" w:eastAsia="宋体" w:hAnsi="Times New Roman" w:cs="Times New Roman"/>
          <w:sz w:val="22"/>
        </w:rPr>
        <w:t>b) Adaptive filter algorithms</w:t>
      </w:r>
      <w:bookmarkEnd w:id="11"/>
    </w:p>
    <w:p w14:paraId="7B3F7C3F" w14:textId="0C76D867" w:rsidR="00672135" w:rsidRDefault="00120DF0">
      <w:pPr>
        <w:ind w:firstLineChars="200" w:firstLine="420"/>
        <w:rPr>
          <w:rFonts w:ascii="Times New Roman" w:hAnsi="Times New Roman" w:cs="Times New Roman"/>
        </w:rPr>
      </w:pPr>
      <w:r>
        <w:rPr>
          <w:rFonts w:ascii="Times New Roman" w:hAnsi="Times New Roman" w:cs="Times New Roman"/>
        </w:rPr>
        <w:t>Adaptive filtering algorithms are an intelligent tool for predicting the dynamic state of batteries and adopts a variety of models and algorithms to calculate SOX</w:t>
      </w:r>
      <w:r w:rsidR="00BE06A1">
        <w:rPr>
          <w:rFonts w:ascii="Times New Roman" w:hAnsi="Times New Roman" w:cs="Times New Roman"/>
        </w:rPr>
        <w:fldChar w:fldCharType="begin" w:fldLock="1"/>
      </w:r>
      <w:r w:rsidR="00BE06A1">
        <w:rPr>
          <w:rFonts w:ascii="Times New Roman" w:hAnsi="Times New Roman" w:cs="Times New Roman"/>
        </w:rPr>
        <w:instrText>ADDIN CSL_CITATION {"citationItems":[{"id":"ITEM-1","itemData":{"DOI":"10.1016/j.jpowsour.2020.228450","ISSN":"03787753","abstract":"As the unscented Kalman filtering algorithm is sensitive to the battery model and susceptible to the uncertain noise interference, an improved iterate calculation method is proposed to improve the charged state prediction accuracy of the lithium ion battery packs by introducing a novel splice Kalman filtering algorithm with adaptive robust performance. The battery is modeled by composite equivalent modeling and its parameters are identified effectively by investigating the hybrid power pulse test. The sensitivity analysis is carried out for the model parameters to obtain the influence degree on the prediction effect of different factors, providing a basis of the adaptive battery characterization. Subsequently, its implementation process is carried out including model building and adaptive noise correction that are perceived by the iterate charged state calculation. Its experimental results are analyzed and compared with other algorithms through the physical tests. The polarization resistance is obtained as Rp = 16.66 mΩ and capacitance is identified as Cp = 13.71 kF. The ohm internal resistance is calculated as Ro = 68.71 mΩ and the charged state has a prediction error of 1.38% with good robustness effect, providing a foundational basis of the power prediction for the lithium ion battery packs.","author":[{"dropping-particle":"","family":"Wang","given":"Shunli","non-dropping-particle":"","parse-names":false,"suffix":""},{"dropping-particle":"","family":"Fernandez","given":"Carlos","non-dropping-particle":"","parse-names":false,"suffix":""},{"dropping-particle":"","family":"Yu","given":"Chunmei","non-dropping-particle":"","parse-names":false,"suffix":""},{"dropping-particle":"","family":"Fan","given":"Yongcun","non-dropping-particle":"","parse-names":false,"suffix":""},{"dropping-particle":"","family":"Cao","given":"Wen","non-dropping-particle":"","parse-names":false,"suffix":""},{"dropping-particle":"","family":"Stroe","given":"Daniel Ioan","non-dropping-particle":"","parse-names":false,"suffix":""}],"container-title":"Journal of Power Sources","id":"ITEM-1","issue":"February","issued":{"date-parts":[["2020"]]},"page":"228450","publisher":"Elsevier B.V.","title":"A novel charged state prediction method of the lithium ion battery packs based on the composite equivalent modeling and improved splice Kalman filtering algorithm","type":"article-journal","volume":"471"},"uris":["http://www.mendeley.com/documents/?uuid=613d8a20-860f-4736-a28c-67c41511eec3"]},{"id":"ITEM-2","itemData":{"DOI":"10.1016/j.apenergy.2020.115494","ISSN":"03062619","abstract":"Due to the flawed sensor and the harsh electromagnetic interference in the electric vehicle, the measured current and voltage data can be seriously corrupted by noises, which poses a great challenge to the model-based state-of-charge estimation method. Through theoretical analysis and simulation experiments, this paper indicates that the conventional recursive least squares method can suffer from the identification biases, no matter whether the current or voltage measurement is corrupted by noises. Further, the biased results will cause the accuracy of state-of-charge estimation to be deteriorated significantly. In order to enhance the accuracy of state-of-charge estimation, a co-estimation method is proposed that employs recursive restricted total least squares to identify model parameters and unscented Kalman filter to estimate the state-of-charge. The required noise covariance matrix is estimated by noise covariance estimator, which is based on polynomial Kalman smoother. Moreover, the superiority of the proposed method is verified by comparing with the two existing state-of-the-art methods in terms of the accuracy and convergence speed. By employing the proposed method, the mean absolute errors and the convergence time of state-of-charge estimation can be limited within 1.2% and 88 s under different driving cycles and ambient temperatures, respectively.","author":[{"dropping-particle":"","family":"Zhu","given":"Rui","non-dropping-particle":"","parse-names":false,"suffix":""},{"dropping-particle":"","family":"Duan","given":"Bin","non-dropping-particle":"","parse-names":false,"suffix":""},{"dropping-particle":"","family":"Zhang","given":"Junming","non-dropping-particle":"","parse-names":false,"suffix":""},{"dropping-particle":"","family":"Zhang","given":"Qi","non-dropping-particle":"","parse-names":false,"suffix":""},{"dropping-particle":"","family":"Zhang","given":"Chenghui","non-dropping-particle":"","parse-names":false,"suffix":""}],"container-title":"Applied Energy","id":"ITEM-2","issue":"June","issued":{"date-parts":[["2020"]]},"page":"115494","publisher":"Elsevier","title":"Co-estimation of model parameters and state-of-charge for lithium-ion batteries with recursive restricted total least squares and unscented Kalman filter","type":"article-journal","volume":"277"},"uris":["http://www.mendeley.com/documents/?uuid=0147e998-0d37-4a86-a107-7cef25dc6846"]},{"id":"ITEM-3","itemData":{"DOI":"10.1109/TVT.2021.3051655","ISSN":"19399359","abstract":"With the increasing demand for Lithium-ion batteries in an electric vehicle (EV), it is always crucial to develop a highly accurate and low-cost state estimation method for the battery management system (BMS). Presently, the dual extended Kalman filter (DEKF) is extensively utilized for online SOC estimation. However, the problem of battery model parameter divergence from the true value greatly affects the estimation accuracy under realistic dynamic loading conditions. In this paper, the new dual forgetting factor-based adaptive extended Kalman filter (DFFAEKF) is proposed for SOC estimation. The proposed SOC estimation method is combined with the simple SOE estimation approach to develop the combined SOC and SOE estimation method. The quantitative relationships between SOC and SOE for all the test battery cells, which are established with the experimental data collected from different constant current discharge profiles are employed for SOE estimation. To evaluate the performance of the developed combined SOC and SOE estimation method, the three different chemistries battery cells are chosen for the testing under different dynamic loading profiles such as dynamic stress test (DST) and US06 drive cycle. For all the considered test battery cells, the experimental results indicated that the combined SOC and SOE estimation method using the proposed DFFAEKF can estimate the battery states under dynamic operating conditions with root mean square error (RMSE) less than 0.85% and 0.95% respectively. The proposed method also demonstrates fast convergence to its true value under erroneous initial conditions. Additionally, the order of worst-case big O notation complexity of the proposed DFFAEKF is equivalent to DEKF. Besides, the simplicity of the proposed method also supports to reduce the computational burden of the processor used in BMSs, and therefore it is well-suited for EV applications.","author":[{"dropping-particle":"","family":"Shrivastava","given":"Prashant","non-dropping-particle":"","parse-names":false,"suffix":""},{"dropping-particle":"","family":"Kok Soon","given":"Tey","non-dropping-particle":"","parse-names":false,"suffix":""},{"dropping-particle":"","family":"Idris","given":"Mohd Yamani Idna","non-dropping-particle":"Bin","parse-names":false,"suffix":""},{"dropping-particle":"","family":"Mekhilef","given":"Saad","non-dropping-particle":"","parse-names":false,"suffix":""},{"dropping-particle":"","family":"Adnan","given":"Syed Bahari Ramadzan Syed","non-dropping-particle":"","parse-names":false,"suffix":""}],"container-title":"IEEE Transactions on Vehicular Technology","id":"ITEM-3","issue":"2","issued":{"date-parts":[["2021"]]},"page":"1200-1215","title":"Combined State of Charge and State of Energy Estimation of Lithium-Ion Battery Using Dual Forgetting Factor-Based Adaptive Extended Kalman Filter for Electric Vehicle Applications","type":"article-journal","volume":"70"},"uris":["http://www.mendeley.com/documents/?uuid=e0058e5d-b1e4-4f56-8711-3b5b79867d0b"]},{"id":"ITEM-4","itemData":{"DOI":"10.1109/ACCESS.2021.3068813","ISSN":"21693536","abstract":"Accurate state-of-charge (SOC) and state-of-health (SOH) estimations of batteries are of great significance for electric vehicles. A combined SOC and SOH estimation method for lithium-ion batteries based on a dual extended Kalman filter (EKF) and fractional-order model (FOM) is proposed. A fractional second-order RC model is established and model parameters are identified offline by an adaptive genetic algorithm (AGA). One of the dual filters is used to jointly estimate the SOC and SOH (ohmic internal resistance and capacity), and another is employed to update the model parameters online. Compared with single filter with fixed parameters, the dual filters can obtain more accurate SOC estimation and model voltage prediction. The SOC root-mean square errors (RMSEs) decrease from 6.87%, 8.50% and 7.32% to 0.48%, 0.63% and 0.86% under the Federal Urban Driving Schedule (FUDS), the Dynamic Stress Test (DST) and the US06 Highway Driving Schedule tests, respectively, and the model voltage RMSEs decrease from 88.6 mV, 79.3 mV and 68.4 mV to 4.9 mV, 5.7 mV and 3.8 mV, respectively at room temperature. The accuracy of the SOH estimation is also verified under these three tests. The convergence and robustness of the proposed method are discussed and verified by using the wrong initial state value and noise analysis.","author":[{"dropping-particle":"","family":"Ling","given":"Liuyi","non-dropping-particle":"","parse-names":false,"suffix":""},{"dropping-particle":"","family":"Wei","given":"Ying","non-dropping-particle":"","parse-names":false,"suffix":""}],"container-title":"IEEE Access","id":"ITEM-4","issued":{"date-parts":[["2021"]]},"page":"47588-47602","title":"State-of-Charge and State-of-Health Estimation for Lithium-Ion Batteries Based on Dual Fractional-Order Extended Kalman Filter and Online Parameter Identification","type":"article-journal","volume":"9"},"uris":["http://www.mendeley.com/documents/?uuid=8833aaad-71b1-4c02-bae9-035b1388bf2c"]}],"mendeley":{"formattedCitation":"[29–32]","plainTextFormattedCitation":"[29–32]","previouslyFormattedCitation":"[29–32]"},"properties":{"noteIndex":0},"schema":"https://github.com/citation-style-language/schema/raw/master/csl-citation.json"}</w:instrText>
      </w:r>
      <w:r w:rsidR="00BE06A1">
        <w:rPr>
          <w:rFonts w:ascii="Times New Roman" w:hAnsi="Times New Roman" w:cs="Times New Roman"/>
        </w:rPr>
        <w:fldChar w:fldCharType="separate"/>
      </w:r>
      <w:r w:rsidR="00BE06A1" w:rsidRPr="00BE06A1">
        <w:rPr>
          <w:rFonts w:ascii="Times New Roman" w:hAnsi="Times New Roman" w:cs="Times New Roman"/>
          <w:noProof/>
        </w:rPr>
        <w:t>[29–32]</w:t>
      </w:r>
      <w:r w:rsidR="00BE06A1">
        <w:rPr>
          <w:rFonts w:ascii="Times New Roman" w:hAnsi="Times New Roman" w:cs="Times New Roman"/>
        </w:rPr>
        <w:fldChar w:fldCharType="end"/>
      </w:r>
      <w:r w:rsidR="00BE06A1">
        <w:rPr>
          <w:rFonts w:ascii="Times New Roman" w:hAnsi="Times New Roman" w:cs="Times New Roman" w:hint="eastAsia"/>
        </w:rPr>
        <w:t>.</w:t>
      </w:r>
      <w:r>
        <w:rPr>
          <w:rFonts w:ascii="Times New Roman" w:hAnsi="Times New Roman" w:cs="Times New Roman"/>
        </w:rPr>
        <w:t xml:space="preserve"> It can filter parameters from uncertain and inaccurate observation results, and has the characteristics of self-correction and high precision. Adaptive filtering algorithm requires highly complex mathematical calculation, and the nonlinear degree of the system will affect the result of calculation. Whilst promising, the robustness of the method needs to be improved due to the uncertainty of modeling and the disturbance of the system.</w:t>
      </w:r>
      <w:r>
        <w:t xml:space="preserve"> </w:t>
      </w:r>
    </w:p>
    <w:p w14:paraId="4D8E82A2" w14:textId="77777777" w:rsidR="00672135" w:rsidRDefault="00120DF0">
      <w:pPr>
        <w:rPr>
          <w:rFonts w:ascii="Times New Roman" w:eastAsia="宋体" w:hAnsi="Times New Roman" w:cs="Times New Roman"/>
          <w:sz w:val="22"/>
        </w:rPr>
      </w:pPr>
      <w:r>
        <w:rPr>
          <w:rFonts w:ascii="Times New Roman" w:eastAsia="宋体" w:hAnsi="Times New Roman" w:cs="Times New Roman"/>
          <w:sz w:val="22"/>
        </w:rPr>
        <w:t>c) Learning algorithms</w:t>
      </w:r>
    </w:p>
    <w:p w14:paraId="6F366388" w14:textId="7E01236A" w:rsidR="00672135" w:rsidRDefault="00120DF0">
      <w:pPr>
        <w:ind w:firstLineChars="200" w:firstLine="420"/>
        <w:rPr>
          <w:rFonts w:ascii="Times New Roman" w:hAnsi="Times New Roman" w:cs="Times New Roman"/>
        </w:rPr>
      </w:pPr>
      <w:r>
        <w:rPr>
          <w:rFonts w:ascii="Times New Roman" w:hAnsi="Times New Roman" w:cs="Times New Roman"/>
        </w:rPr>
        <w:t xml:space="preserve">Learning algorithms are able to achieve equivalent state estimation as other approaches without </w:t>
      </w:r>
      <w:r>
        <w:rPr>
          <w:rFonts w:ascii="Times New Roman" w:hAnsi="Times New Roman" w:cs="Times New Roman"/>
        </w:rPr>
        <w:lastRenderedPageBreak/>
        <w:t>detailed understanding of the internal structure of the battery and the initial SOX by using training data</w:t>
      </w:r>
      <w:r>
        <w:rPr>
          <w:rFonts w:ascii="Times New Roman" w:hAnsi="Times New Roman" w:cs="Times New Roman"/>
        </w:rPr>
        <w:fldChar w:fldCharType="begin" w:fldLock="1"/>
      </w:r>
      <w:r w:rsidR="00BE06A1">
        <w:rPr>
          <w:rFonts w:ascii="Times New Roman" w:hAnsi="Times New Roman" w:cs="Times New Roman"/>
        </w:rPr>
        <w:instrText>ADDIN CSL_CITATION {"citationItems":[{"id":"ITEM-1","itemData":{"DOI":"10.1016/j.egyai.2020.100006","author":[{"dropping-particle":"","family":"Fermín-cueto","given":"Paula","non-dropping-particle":"","parse-names":false,"suffix":""},{"dropping-particle":"","family":"Mcturk","given":"Euan","non-dropping-particle":"","parse-names":false,"suffix":""},{"dropping-particle":"","family":"Allerhand","given":"Michael","non-dropping-particle":"","parse-names":false,"suffix":""},{"dropping-particle":"","family":"Medina-lopez","given":"Encarni","non-dropping-particle":"","parse-names":false,"suffix":""},{"dropping-particle":"","family":"Anjos","given":"Miguel F","non-dropping-particle":"","parse-names":false,"suffix":""},{"dropping-particle":"","family":"Sylvester","given":"Joel","non-dropping-particle":"","parse-names":false,"suffix":""},{"dropping-particle":"","family":"Court","given":"Quantum","non-dropping-particle":"","parse-names":false,"suffix":""},{"dropping-particle":"","family":"Watt","given":"Heriot","non-dropping-particle":"","parse-names":false,"suffix":""}],"id":"ITEM-1","issued":{"date-parts":[["2020"]]},"title":"Energy and AI Identification and machine learning prediction of knee-point and knee-onset in capacity degradation curves of lithium-ion cells","type":"article-journal","volume":"1"},"uris":["http://www.mendeley.com/documents/?uuid=c9dffd61-8ac1-4cfd-92ec-19c306bf4446","http://www.mendeley.com/documents/?uuid=ec70f31f-7cd9-450d-ae7d-0f1fec5d9044"]},{"id":"ITEM-2","itemData":{"DOI":"10.1038/s41586-020-1994-5","ISSN":"14764687","abstract":"Simultaneously optimizing many design parameters in time-consuming experiments causes bottlenecks in a broad range of scientific and engineering disciplines1,2. One such example is process and control optimization for lithium-ion batteries during materials selection, cell manufacturing and operation. A typical objective is to maximize battery lifetime; however, conducting even a single experiment to evaluate lifetime can take months to years3–5. Furthermore, both large parameter spaces and high sampling variability3,6,7 necessitate a large number of experiments. Hence, the key challenge is to reduce both the number and the duration of the experiments required. Here we develop and demonstrate a machine learning methodology to efficiently optimize a parameter space specifying the current and voltage profiles of six-step, ten-minute fast-charging protocols for maximizing battery cycle life, which can alleviate range anxiety for electric-vehicle users8,9. We combine two key elements to reduce the optimization cost: an early-prediction model5, which reduces the time per experiment by predicting the final cycle life using data from the first few cycles, and a Bayesian optimization algorithm10,11, which reduces the number of experiments by balancing exploration and exploitation to efficiently probe the parameter space of charging protocols. Using this methodology, we rapidly identify high-cycle-life charging protocols among 224 candidates in 16 days (compared with over 500 days using exhaustive search without early prediction), and subsequently validate the accuracy and efficiency of our optimization approach. Our closed-loop methodology automatically incorporates feedback from past experiments to inform future decisions and can be generalized to other applications in battery design and, more broadly, other scientific domains that involve time-intensive experiments and multi-dimensional design spaces.","author":[{"dropping-particle":"","family":"Attia","given":"Peter M.","non-dropping-particle":"","parse-names":false,"suffix":""},{"dropping-particle":"","family":"Grover","given":"Aditya","non-dropping-particle":"","parse-names":false,"suffix":""},{"dropping-particle":"","family":"Jin","given":"Norman","non-dropping-particle":"","parse-names":false,"suffix":""},{"dropping-particle":"","family":"Severson","given":"Kristen A.","non-dropping-particle":"","parse-names":false,"suffix":""},{"dropping-particle":"","family":"Markov","given":"Todor M.","non-dropping-particle":"","parse-names":false,"suffix":""},{"dropping-particle":"","family":"Liao","given":"Yang Hung","non-dropping-particle":"","parse-names":false,"suffix":""},{"dropping-particle":"","family":"Chen","given":"Michael H.","non-dropping-particle":"","parse-names":false,"suffix":""},{"dropping-particle":"","family":"Cheong","given":"Bryan","non-dropping-particle":"","parse-names":false,"suffix":""},{"dropping-particle":"","family":"Perkins","given":"Nicholas","non-dropping-particle":"","parse-names":false,"suffix":""},{"dropping-particle":"","family":"Yang","given":"Zi","non-dropping-particle":"","parse-names":false,"suffix":""},{"dropping-particle":"","family":"Herring","given":"Patrick K.","non-dropping-particle":"","parse-names":false,"suffix":""},{"dropping-particle":"","family":"Aykol","given":"Muratahan","non-dropping-particle":"","parse-names":false,"suffix":""},{"dropping-particle":"","family":"Harris","given":"Stephen J.","non-dropping-particle":"","parse-names":false,"suffix":""},{"dropping-particle":"","family":"Braatz","given":"Richard D.","non-dropping-particle":"","parse-names":false,"suffix":""},{"dropping-particle":"","family":"Ermon","given":"Stefano","non-dropping-particle":"","parse-names":false,"suffix":""},{"dropping-particle":"","family":"Chueh","given":"William C.","non-dropping-particle":"","parse-names":false,"suffix":""}],"container-title":"Nature","id":"ITEM-2","issue":"7795","issued":{"date-parts":[["2020"]]},"page":"397-402","title":"Closed-loop optimization of fast-charging protocols for batteries with machine learning","type":"article-journal","volume":"578"},"uris":["http://www.mendeley.com/documents/?uuid=873e8238-e5c4-451c-a1db-4dcc449c8e90"]},{"id":"ITEM-3","itemData":{"DOI":"10.1038/s41524-020-0340-7","ISSN":"2057-3960","author":[{"dropping-particle":"","family":"Gayon-lombardo","given":"Andrea","non-dropping-particle":"","parse-names":false,"suffix":""},{"dropping-particle":"","family":"Mosser","given":"Lukas","non-dropping-particle":"","parse-names":false,"suffix":""},{"dropping-particle":"","family":"Brandon","given":"Nigel P","non-dropping-particle":"","parse-names":false,"suffix":""},{"dropping-particle":"","family":"Cooper","given":"Samuel J","non-dropping-particle":"","parse-names":false,"suffix":""}],"container-title":"npj Computational Materials","id":"ITEM-3","issued":{"date-parts":[["2020"]]},"page":"1-11","publisher":"Springer US","title":"Pores for thought : generative adversarial networks for stochastic reconstruction of 3D multi-phase electrode microstructures with periodic boundaries","type":"article-journal"},"uris":["http://www.mendeley.com/documents/?uuid=296b5aea-e289-41d2-99b0-05ddbbc0fe08","http://www.mendeley.com/documents/?uuid=3a7cbc00-9f17-48c1-9d1b-4153fbb4555c"]}],"mendeley":{"formattedCitation":"[33–35]","plainTextFormattedCitation":"[33–35]","previouslyFormattedCitation":"[33–35]"},"properties":{"noteIndex":0},"schema":"https://github.com/citation-style-language/schema/raw/master/csl-citation.json"}</w:instrText>
      </w:r>
      <w:r>
        <w:rPr>
          <w:rFonts w:ascii="Times New Roman" w:hAnsi="Times New Roman" w:cs="Times New Roman"/>
        </w:rPr>
        <w:fldChar w:fldCharType="separate"/>
      </w:r>
      <w:r w:rsidR="00BE06A1" w:rsidRPr="00BE06A1">
        <w:rPr>
          <w:rFonts w:ascii="Times New Roman" w:hAnsi="Times New Roman" w:cs="Times New Roman"/>
          <w:noProof/>
        </w:rPr>
        <w:t>[33–35]</w:t>
      </w:r>
      <w:r>
        <w:rPr>
          <w:rFonts w:ascii="Times New Roman" w:hAnsi="Times New Roman" w:cs="Times New Roman"/>
        </w:rPr>
        <w:fldChar w:fldCharType="end"/>
      </w:r>
      <w:r>
        <w:rPr>
          <w:rFonts w:ascii="Times New Roman" w:hAnsi="Times New Roman" w:cs="Times New Roman"/>
        </w:rPr>
        <w:t xml:space="preserve">. The advantage of this method is that it can estimate SOX quickly and accurately under nonlinear conditions by using the correct training data, sometimes with improved robustness. However, the algorithm needs large amounts of training data, which is often costly and slow to acquire. In addition, the training process itself can be computationally intensive. </w:t>
      </w:r>
    </w:p>
    <w:p w14:paraId="14953AB7" w14:textId="77777777" w:rsidR="00672135" w:rsidRDefault="00120DF0">
      <w:pPr>
        <w:rPr>
          <w:rFonts w:ascii="Times New Roman" w:eastAsia="宋体" w:hAnsi="Times New Roman" w:cs="Times New Roman"/>
          <w:sz w:val="22"/>
        </w:rPr>
      </w:pPr>
      <w:r>
        <w:rPr>
          <w:rFonts w:ascii="Times New Roman" w:eastAsia="宋体" w:hAnsi="Times New Roman" w:cs="Times New Roman"/>
          <w:sz w:val="22"/>
        </w:rPr>
        <w:t>d) Non-linear observers</w:t>
      </w:r>
    </w:p>
    <w:p w14:paraId="3BFA3DF2" w14:textId="052751EE" w:rsidR="00672135" w:rsidRDefault="00120DF0">
      <w:pPr>
        <w:ind w:firstLineChars="200" w:firstLine="420"/>
        <w:rPr>
          <w:rFonts w:ascii="Times New Roman" w:hAnsi="Times New Roman" w:cs="Times New Roman"/>
        </w:rPr>
      </w:pPr>
      <w:r>
        <w:rPr>
          <w:rFonts w:ascii="Times New Roman" w:hAnsi="Times New Roman" w:cs="Times New Roman"/>
        </w:rPr>
        <w:t xml:space="preserve">Nonlinear observers are used to deal with highly nonlinear system, which guarantees the stability and robustness of the system to environmental disturbance and model uncertainty. The nonlinear observer </w:t>
      </w:r>
      <w:proofErr w:type="gramStart"/>
      <w:r>
        <w:rPr>
          <w:rFonts w:ascii="Times New Roman" w:hAnsi="Times New Roman" w:cs="Times New Roman"/>
        </w:rPr>
        <w:t>estimate</w:t>
      </w:r>
      <w:proofErr w:type="gramEnd"/>
      <w:r>
        <w:rPr>
          <w:rFonts w:ascii="Times New Roman" w:hAnsi="Times New Roman" w:cs="Times New Roman"/>
        </w:rPr>
        <w:t xml:space="preserve"> state variables according to the measurements of the external variables, which not only provides the possibility for the realization of the state feedback, but also has been applied to many aspects of control engineering. Observer-based methods such as the sliding mode observer (SMO)</w:t>
      </w:r>
      <w:r>
        <w:rPr>
          <w:rFonts w:ascii="Times New Roman" w:hAnsi="Times New Roman" w:cs="Times New Roman"/>
        </w:rPr>
        <w:fldChar w:fldCharType="begin" w:fldLock="1"/>
      </w:r>
      <w:r w:rsidR="00BE06A1">
        <w:rPr>
          <w:rFonts w:ascii="Times New Roman" w:hAnsi="Times New Roman" w:cs="Times New Roman"/>
        </w:rPr>
        <w:instrText>ADDIN CSL_CITATION {"citationItems":[{"id":"ITEM-1","itemData":{"DOI":"10.1016/j.energy.2018.04.026","ISSN":"03605442","abstract":"Simplicity and accuracy are both important factors in real-time battery states estimation applications. However, a battery model initialized with static parameters which are identified in ideal laboratory conditions will not be able to get an accurate estimation in various actual applications. Besides, it is time-consuming and complex in implement. To solve the above problem, a new battery states estimation method is proposed. Firstly, an adaptive battery model is proposed according to a new online parameter estimation algorithm. Based on it, the parameter adaptive sliding mode observer for state of charge is proposed. Thus, the state of charge systematic error led from various work environments could be effectively reduced. The parameter adaptive sliding mode observer for state of health is proposed by tracing the derivative of open circuit voltage estimated online. As the reference open circuit voltage is estimated based on measurable inputs and outputs, rather than conventional observer with an assumed constant capacity. The estimated battery capacity could converge to the actual value while the error of battery open circuit voltage converges to zero. The proposed method is verified through the urban dynamometer driving schedule driving cycle. The results indicate that:1) parameters estimated online are accurate, 2) the absolute error of state of charge is less than 2%, 3) the estimated lithium-ion battery capacity could converge to the actual value with small capacity error.","author":[{"dropping-particle":"","family":"Ning","given":"Bo","non-dropping-particle":"","parse-names":false,"suffix":""},{"dropping-particle":"","family":"Cao","given":"Binggang","non-dropping-particle":"","parse-names":false,"suffix":""},{"dropping-particle":"","family":"Wang","given":"Bin","non-dropping-particle":"","parse-names":false,"suffix":""},{"dropping-particle":"","family":"Zou","given":"Zhongyue","non-dropping-particle":"","parse-names":false,"suffix":""}],"container-title":"Energy","id":"ITEM-1","issued":{"date-parts":[["2018"]]},"page":"732-742","publisher":"Elsevier Ltd","title":"Adaptive sliding mode observers for lithium-ion battery state estimation based on parameters identified online","type":"article-journal","volume":"153"},"uris":["http://www.mendeley.com/documents/?uuid=75bb58e5-97c2-425e-a7cb-1dc061fe9ee3"]}],"mendeley":{"formattedCitation":"[36]","plainTextFormattedCitation":"[36]","previouslyFormattedCitation":"[36]"},"properties":{"noteIndex":0},"schema":"https://github.com/citation-style-language/schema/raw/master/csl-citation.json"}</w:instrText>
      </w:r>
      <w:r>
        <w:rPr>
          <w:rFonts w:ascii="Times New Roman" w:hAnsi="Times New Roman" w:cs="Times New Roman"/>
        </w:rPr>
        <w:fldChar w:fldCharType="separate"/>
      </w:r>
      <w:r w:rsidR="00BE06A1" w:rsidRPr="00BE06A1">
        <w:rPr>
          <w:rFonts w:ascii="Times New Roman" w:hAnsi="Times New Roman" w:cs="Times New Roman"/>
          <w:noProof/>
        </w:rPr>
        <w:t>[36]</w:t>
      </w:r>
      <w:r>
        <w:rPr>
          <w:rFonts w:ascii="Times New Roman" w:hAnsi="Times New Roman" w:cs="Times New Roman"/>
        </w:rPr>
        <w:fldChar w:fldCharType="end"/>
      </w:r>
      <w:r>
        <w:rPr>
          <w:rFonts w:ascii="Times New Roman" w:hAnsi="Times New Roman" w:cs="Times New Roman"/>
        </w:rPr>
        <w:t>, proportional integral observer (PIO)</w:t>
      </w:r>
      <w:r>
        <w:rPr>
          <w:rFonts w:ascii="Times New Roman" w:hAnsi="Times New Roman" w:cs="Times New Roman"/>
        </w:rPr>
        <w:fldChar w:fldCharType="begin" w:fldLock="1"/>
      </w:r>
      <w:r w:rsidR="00BE06A1">
        <w:rPr>
          <w:rFonts w:ascii="Times New Roman" w:hAnsi="Times New Roman" w:cs="Times New Roman"/>
        </w:rPr>
        <w:instrText>ADDIN CSL_CITATION {"citationItems":[{"id":"ITEM-1","itemData":{"DOI":"10.1016/j.jpowsour.2013.08.039","ISSN":"0378-7753","author":[{"dropping-particle":"","family":"Chen","given":"Xiaopeng","non-dropping-particle":"","parse-names":false,"suffix":""},{"dropping-particle":"","family":"Shen","given":"Weixiang","non-dropping-particle":"","parse-names":false,"suffix":""},{"dropping-particle":"","family":"Cao","given":"Zhenwei","non-dropping-particle":"","parse-names":false,"suffix":""},{"dropping-particle":"","family":"Kapoor","given":"Ajay","non-dropping-particle":"","parse-names":false,"suffix":""}],"container-title":"Journal of Power Sources","id":"ITEM-1","issued":{"date-parts":[["2014"]]},"page":"667-678","publisher":"Elsevier B.V","title":"A novel approach for state of charge estimation based on adaptive switching gain sliding mode observer in electric vehicles","type":"article-journal","volume":"246"},"uris":["http://www.mendeley.com/documents/?uuid=cd8db705-7b97-4c11-a138-9b073875abf2","http://www.mendeley.com/documents/?uuid=d8e6f179-86dc-408b-bc65-dda36d8b1119"]}],"mendeley":{"formattedCitation":"[37]","plainTextFormattedCitation":"[37]","previouslyFormattedCitation":"[37]"},"properties":{"noteIndex":0},"schema":"https://github.com/citation-style-language/schema/raw/master/csl-citation.json"}</w:instrText>
      </w:r>
      <w:r>
        <w:rPr>
          <w:rFonts w:ascii="Times New Roman" w:hAnsi="Times New Roman" w:cs="Times New Roman"/>
        </w:rPr>
        <w:fldChar w:fldCharType="separate"/>
      </w:r>
      <w:r w:rsidR="00BE06A1" w:rsidRPr="00BE06A1">
        <w:rPr>
          <w:rFonts w:ascii="Times New Roman" w:hAnsi="Times New Roman" w:cs="Times New Roman"/>
          <w:noProof/>
        </w:rPr>
        <w:t>[37]</w:t>
      </w:r>
      <w:r>
        <w:rPr>
          <w:rFonts w:ascii="Times New Roman" w:hAnsi="Times New Roman" w:cs="Times New Roman"/>
        </w:rPr>
        <w:fldChar w:fldCharType="end"/>
      </w:r>
      <w:r>
        <w:rPr>
          <w:rFonts w:ascii="Times New Roman" w:hAnsi="Times New Roman" w:cs="Times New Roman"/>
          <w:color w:val="5B9BD5"/>
        </w:rPr>
        <w:t xml:space="preserve">. </w:t>
      </w:r>
      <w:r>
        <w:rPr>
          <w:rFonts w:ascii="Times New Roman" w:hAnsi="Times New Roman" w:cs="Times New Roman"/>
        </w:rPr>
        <w:t>and adaptive switching gain sliding mode observer (ASGSMO)</w:t>
      </w:r>
      <w:r>
        <w:rPr>
          <w:rFonts w:ascii="Times New Roman" w:hAnsi="Times New Roman" w:cs="Times New Roman"/>
        </w:rPr>
        <w:fldChar w:fldCharType="begin" w:fldLock="1"/>
      </w:r>
      <w:r w:rsidR="00BE06A1">
        <w:rPr>
          <w:rFonts w:ascii="Times New Roman" w:hAnsi="Times New Roman" w:cs="Times New Roman"/>
        </w:rPr>
        <w:instrText>ADDIN CSL_CITATION {"citationItems":[{"id":"ITEM-1","itemData":{"author":[{"dropping-particle":"","family":"Xu","given":"Jun","non-dropping-particle":"","parse-names":false,"suffix":""},{"dropping-particle":"","family":"Member","given":"Student","non-dropping-particle":"","parse-names":false,"suffix":""},{"dropping-particle":"","family":"Mi","given":"Chunting Chris","non-dropping-particle":"","parse-names":false,"suffix":""},{"dropping-particle":"","family":"Cao","given":"Binggang","non-dropping-particle":"","parse-names":false,"suffix":""},{"dropping-particle":"","family":"Deng","given":"Junjun","non-dropping-particle":"","parse-names":false,"suffix":""},{"dropping-particle":"","family":"Chen","given":"Zheng","non-dropping-particle":"","parse-names":false,"suffix":""},{"dropping-particle":"","family":"Li","given":"Siqi","non-dropping-particle":"","parse-names":false,"suffix":""}],"id":"ITEM-1","issue":"4","issued":{"date-parts":[["2014"]]},"page":"1614-1621","publisher":"IEEE","title":"The State of Charge Estimation of Lithium-Ion Batteries Based on a Proportional-Integral Observer","type":"article-journal","volume":"63"},"uris":["http://www.mendeley.com/documents/?uuid=29b91edf-b839-4819-bc58-5f7437a2ba46","http://www.mendeley.com/documents/?uuid=e40dcc61-b7f7-42a6-ab16-60c9a7f174ca"]}],"mendeley":{"formattedCitation":"[38]","plainTextFormattedCitation":"[38]","previouslyFormattedCitation":"[38]"},"properties":{"noteIndex":0},"schema":"https://github.com/citation-style-language/schema/raw/master/csl-citation.json"}</w:instrText>
      </w:r>
      <w:r>
        <w:rPr>
          <w:rFonts w:ascii="Times New Roman" w:hAnsi="Times New Roman" w:cs="Times New Roman"/>
        </w:rPr>
        <w:fldChar w:fldCharType="separate"/>
      </w:r>
      <w:r w:rsidR="00BE06A1" w:rsidRPr="00BE06A1">
        <w:rPr>
          <w:rFonts w:ascii="Times New Roman" w:hAnsi="Times New Roman" w:cs="Times New Roman"/>
          <w:noProof/>
        </w:rPr>
        <w:t>[38]</w:t>
      </w:r>
      <w:r>
        <w:rPr>
          <w:rFonts w:ascii="Times New Roman" w:hAnsi="Times New Roman" w:cs="Times New Roman"/>
        </w:rPr>
        <w:fldChar w:fldCharType="end"/>
      </w:r>
      <w:r>
        <w:rPr>
          <w:rFonts w:ascii="Times New Roman" w:hAnsi="Times New Roman" w:cs="Times New Roman"/>
          <w:color w:val="5B9BD5"/>
        </w:rPr>
        <w:t xml:space="preserve"> </w:t>
      </w:r>
      <w:r>
        <w:rPr>
          <w:rFonts w:ascii="Times New Roman" w:hAnsi="Times New Roman" w:cs="Times New Roman"/>
        </w:rPr>
        <w:t>have been widely used in battery state estimation in recent years.</w:t>
      </w:r>
    </w:p>
    <w:p w14:paraId="0A2740FD" w14:textId="77777777" w:rsidR="00672135" w:rsidRDefault="00120DF0">
      <w:pPr>
        <w:rPr>
          <w:rFonts w:ascii="Times New Roman" w:eastAsia="宋体" w:hAnsi="Times New Roman" w:cs="Times New Roman"/>
          <w:sz w:val="22"/>
        </w:rPr>
      </w:pPr>
      <w:r>
        <w:rPr>
          <w:rFonts w:ascii="Times New Roman" w:eastAsia="宋体" w:hAnsi="Times New Roman" w:cs="Times New Roman"/>
          <w:sz w:val="22"/>
        </w:rPr>
        <w:t>e) Other algorithms</w:t>
      </w:r>
    </w:p>
    <w:p w14:paraId="1EF4D5BF" w14:textId="42FC18F1" w:rsidR="00672135" w:rsidRPr="00457DEA" w:rsidRDefault="00120DF0">
      <w:pPr>
        <w:ind w:firstLineChars="200" w:firstLine="420"/>
        <w:rPr>
          <w:rFonts w:ascii="Times New Roman" w:hAnsi="Times New Roman" w:cs="Times New Roman"/>
          <w:color w:val="0D0D0D" w:themeColor="text1" w:themeTint="F2"/>
        </w:rPr>
      </w:pPr>
      <w:r w:rsidRPr="00457DEA">
        <w:rPr>
          <w:rFonts w:ascii="Times New Roman" w:hAnsi="Times New Roman" w:cs="Times New Roman"/>
          <w:color w:val="0D0D0D" w:themeColor="text1" w:themeTint="F2"/>
        </w:rPr>
        <w:t>Other methods include the MARS, BI, IR and mixed method. MARS</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{"citationItems":[{"id":"ITEM-1","itemData":{"author":[{"dropping-particle":"","family":"Technique","given":"Mars","non-dropping-particle":"","parse-names":false,"suffix":""},{"dropping-particle":"","family":"Alvarez","given":"Juan Carlos","non-dropping-particle":"","parse-names":false,"suffix":""},{"dropping-particle":"","family":"Javier","given":"Francisco","non-dropping-particle":"","parse-names":false,"suffix":""},{"dropping-particle":"","family":"Juez","given":"De Cos","non-dropping-particle":"","parse-names":false,"suffix":""}],"id":"ITEM-1","issue":"8","issued":{"date-parts":[["2013"]]},"page":"3798-3805","title":"Battery State-of-Charge Estimator Using the","type":"article-journal","volume":"28"},"uris":["http://www.mendeley.com/documents/?uuid=6904f717-15fd-4532-945d-9c7d7367004e","http://www.mendeley.com/documents/?uuid=bc1ef94f-0fcc-4f96-918f-b10ad661b180"]}],"mendeley":{"formattedCitation":"[39]","plainTextFormattedCitation":"[39]","previouslyFormattedCitation":"[39]"},"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[39]</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BI</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ISBN":"9781479907205","author":[{"dropping-particle":"","family":"Liye","given":"Wang","non-dropping-particle":"","parse-names":false,"suffix":""},{"dropping-particle":"","family":"Lifang","given":"Wang","non-dropping-particle":"","parse-names":false,"suffix":""},{"dropping-particle":"","family":"Yong","given":"Li","non-dropping-particle":"","parse-names":false,"suffix":""}],"id":"ITEM-1","issued":{"date-parts":[["2013"]]},"page":"26-29","title":"A Novel State-of-Charge Estimation Algorithm of EV Battery Based on Bilinear Interpolation","type":"article-journal"},"uris":["http://www.mendeley.com/documents/?uuid=a8135e46-7fae-4c7f-a38c-95c301364a7c","http://www.mendeley.com/documents/?uuid=91a92bf2-09a2-480c-8b58-359fe11a52a5"]}],"mendeley":{"formattedCitation":"[40]","plainTextFormattedCitation":"[40]","previouslyFormattedCitation":"[40]"},"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[40]</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and IR</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{"citationItems":[{"id":"ITEM-1","itemData":{"author":[{"dropping-particle":"","family":"Ranjbar","given":"Amir Hossein","non-dropping-particle":"","parse-names":false,"suffix":""},{"dropping-particle":"","family":"Banaei","given":"Anahita","non-dropping-particle":"","parse-names":false,"suffix":""},{"dropping-particle":"","family":"Khoobroo","given":"Amir","non-dropping-particle":"","parse-names":false,"suffix":""},{"dropping-particle":"","family":"Fahimi","given":"Babak","non-dropping-particle":"","parse-names":false,"suffix":""}],"id":"ITEM-1","issue":"1","issued":{"date-parts":[["2012"]]},"page":"360-367","publisher":"IEEE","title":"Online Estimation of State of Charge in Li-Ion","type":"article-journal","volume":"3"},"uris":["http://www.mendeley.com/documents/?uuid=8b776fa1-8cc1-4bc7-880d-406e332dbd8c","http://www.mendeley.com/documents/?uuid=d6c5a0ab-3430-4704-9154-203fbdb5a286"]}],"mendeley":{"formattedCitation":"[41]","plainTextFormattedCitation":"[41]","previouslyFormattedCitation":"[41]"},"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[41]</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 use an extended linear model, two linear interpolation, and the linear time invariant system respectively. </w:t>
      </w:r>
      <w:bookmarkStart w:id="12" w:name="_Hlk70712417"/>
      <w:r w:rsidRPr="00457DEA">
        <w:rPr>
          <w:rFonts w:ascii="Times New Roman" w:hAnsi="Times New Roman" w:cs="Times New Roman"/>
          <w:color w:val="0D0D0D" w:themeColor="text1" w:themeTint="F2"/>
        </w:rPr>
        <w:t>MARS can be used for the extension of a linear model, which can build a non-linear model automatically and interact with the variables with the help of a nonparametric regression algorithm. Linear interpolation based SOC estimation can be performed using battery charge and discharge characteristics. The algorithm is valid until charge and discharge currents remain unchanged with the known value of SOC. IR is applied to determine the output of a linear time-invariant (LTI) system with a random output. The convolution of the input with impulse response defines the output of the system.</w:t>
      </w:r>
      <w:bookmarkEnd w:id="12"/>
      <w:r w:rsidRPr="00457DEA">
        <w:rPr>
          <w:rFonts w:ascii="Times New Roman" w:hAnsi="Times New Roman" w:cs="Times New Roman"/>
          <w:color w:val="0D0D0D" w:themeColor="text1" w:themeTint="F2"/>
        </w:rPr>
        <w:t xml:space="preserve"> Hybrid methods combine two or three SOX algorithms to estimate SOX.</w:t>
      </w:r>
    </w:p>
    <w:p w14:paraId="31B8BDD4" w14:textId="77777777" w:rsidR="00672135" w:rsidRPr="00457DEA" w:rsidRDefault="00120DF0">
      <w:pPr>
        <w:pStyle w:val="2"/>
        <w:rPr>
          <w:color w:val="0D0D0D" w:themeColor="text1" w:themeTint="F2"/>
        </w:rPr>
      </w:pPr>
      <w:r w:rsidRPr="00457DEA">
        <w:rPr>
          <w:color w:val="0D0D0D" w:themeColor="text1" w:themeTint="F2"/>
        </w:rPr>
        <w:t>3</w:t>
      </w:r>
      <w:r w:rsidRPr="00457DEA">
        <w:rPr>
          <w:rFonts w:hint="eastAsia"/>
          <w:color w:val="0D0D0D" w:themeColor="text1" w:themeTint="F2"/>
        </w:rPr>
        <w:t xml:space="preserve">.2 </w:t>
      </w:r>
      <w:r w:rsidRPr="00457DEA">
        <w:rPr>
          <w:color w:val="0D0D0D" w:themeColor="text1" w:themeTint="F2"/>
        </w:rPr>
        <w:t>Thermal management</w:t>
      </w:r>
    </w:p>
    <w:p w14:paraId="175745C2" w14:textId="2A0E9663" w:rsidR="00672135" w:rsidRPr="00457DEA" w:rsidRDefault="00120DF0">
      <w:pPr>
        <w:ind w:firstLineChars="200" w:firstLine="420"/>
        <w:rPr>
          <w:rFonts w:ascii="Times New Roman" w:hAnsi="Times New Roman" w:cs="Times New Roman"/>
          <w:color w:val="0D0D0D" w:themeColor="text1" w:themeTint="F2"/>
        </w:rPr>
      </w:pPr>
      <w:r w:rsidRPr="00457DEA">
        <w:rPr>
          <w:rFonts w:ascii="Times New Roman" w:hAnsi="Times New Roman" w:cs="Times New Roman"/>
          <w:color w:val="0D0D0D" w:themeColor="text1" w:themeTint="F2"/>
        </w:rPr>
        <w:t>The research in the thermal issues of Li-ion batteries under various conditions and the development of battery thermal management system (BTMS) have not been adequately addressed although they have a large impact on the performance, lifespan and security of battery</w:t>
      </w:r>
      <w:r w:rsidR="0085166D" w:rsidRPr="00457DEA">
        <w:rPr>
          <w:rFonts w:ascii="Times New Roman" w:hAnsi="Times New Roman" w:cs="Times New Roman"/>
          <w:color w:val="0D0D0D" w:themeColor="text1" w:themeTint="F2"/>
        </w:rPr>
        <w:t xml:space="preserve"> </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{"citationItems":[{"id":"ITEM-1","itemData":{"DOI":"10.1016/j.enconman.2017.08.016","ISSN":"01968904","abstract":"Electrical vehicles have the capability to lessen the severe threats of energy crisis and environment pollution. The Lithium ion battery as a promising solution for the energy storage in vehicular applications is briefly introduced in this paper. The adverse effects of improper temperature, including performance degradation, potential thermal runaway, temperature non-uniformity and low temperature performance are described afterwards. The thermal model, electrochemical model, equivalent circuit model and electrochemical/electrical-thermal coupling methods are also elaborated for the accurate battery modeling. More importantly, this review detailedly summarizes the progress on battery thermal management systems (BTMSs) including the air, liquid, boiling, heat pipe and solid-liquid phase change based strategies during recent years. Influence factors and development focus of different BTMSs are stated elaborately. Passive cooling systems utilizing the latent heat during the phase change process are more attractive options compared to the conventional single phase forced air and liquid cooling methods. However, there still exist some challenges to be addressed before commercializing. In addition, different methods could be combined to meet the requirements of various applications. The improvement of these existing BTMSs is supposed to be paid more attention to enhance Li-the performance and safety of Li-ion batteries.","author":[{"dropping-particle":"","family":"Liu","given":"Huaqiang","non-dropping-particle":"","parse-names":false,"suffix":""},{"dropping-particle":"","family":"Wei","given":"Zhongbao","non-dropping-particle":"","parse-names":false,"suffix":""},{"dropping-particle":"","family":"He","given":"Weidong","non-dropping-particle":"","parse-names":false,"suffix":""},{"dropping-particle":"","family":"Zhao","given":"Jiyun","non-dropping-particle":"","parse-names":false,"suffix":""}],"container-title":"Energy Conversion and Management","id":"ITEM-1","issue":"May","issued":{"date-parts":[["2017"]]},"page":"304-330","publisher":"Elsevier","title":"Thermal issues about Li-ion batteries and recent progress in battery thermal management systems: A review","type":"article-journal","volume":"150"},"uris":["http://www.mendeley.com/documents/?uuid=9d94935b-25e2-4df9-a2b5-8cb2b9433b7a"]}],"mendeley":{"formattedCitation":"[42]","plainTextFormattedCitation":"[42]","previouslyFormattedCitation":"[42]"},"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[42]</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If the temperature is too low, the available power and capacity of the battery will be significantly reduced, at the same time, the battery capacity will be irreversibly attenuated</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{"citationItems":[{"id":"ITEM-1","itemData":{"DOI":"10.1016/j.est.2019.101155","ISSN":"2352152X","abstract":"In the charging and discharging process of new energy vehicles, how to maintain power battery within optimum operating temperature range, reduce the peak temperature and temperature difference, which is a problem needs to be paid attention to. Proper cooling technology can reduce the negative influence of temperature on battery pack, effectively improve power battery efficiency, improve the safety in use, reduce the aging rate, and extend its service life. In this context, several battery thermal management systems(BTMS) are reviewed, including air cooling BTMS, liquid cooling BTMS and refrigerant direct cooling BTMS in traditional battery thermal management system; phase change material-based BTMS, heat pipe-based BTMS and thermoelectric element-based BTMS in new battery thermal management system. In order to reduce negative influence of excessive temperature on the battery pack, and to seek feasible solutions for BTMS in future development, the above six power battery cooling technologies are discussed. Summarize the research emphases and research progress of different BTMS at present. Objectively evaluate the advantages and disadvantages of each BTMS. Considering actual working conditions, the installation feasibility, as well as economic benefits of each BTMS, then discuss proper solutions, and predict future development trends reasonably. Finally, analyze and discuss the differences and gaps between traditional and new BTMS. Providing a reference for designing the best BYMS solution. Ensuring the battery is in the optimum operating temperature range, maintain the BTMS stable operation, and improve battery conversion efficiency, providing valuable solutions for the BTMS research in the future.","author":[{"dropping-particle":"","family":"Lu","given":"Mengyao","non-dropping-particle":"","parse-names":false,"suffix":""},{"dropping-particle":"","family":"Zhang","given":"Xuelai","non-dropping-particle":"","parse-names":false,"suffix":""},{"dropping-particle":"","family":"Ji","given":"Jun","non-dropping-particle":"","parse-names":false,"suffix":""},{"dropping-particle":"","family":"Xu","given":"Xiaofeng","non-dropping-particle":"","parse-names":false,"suffix":""},{"dropping-particle":"","family":"Zhang","given":"Yongyichuan","non-dropping-particle":"","parse-names":false,"suffix":""}],"container-title":"Journal of Energy Storage","id":"ITEM-1","issue":"November 2019","issued":{"date-parts":[["2020"]]},"page":"101155","publisher":"Elsevier","title":"Research progress on power battery cooling technology for electric vehicles","type":"article-journal","volume":"27"},"uris":["http://www.mendeley.com/documents/?uuid=f49d4bb3-3d57-4f0e-88de-24b9a2a57730"]}],"mendeley":{"formattedCitation":"[43]","plainTextFormattedCitation":"[43]","previouslyFormattedCitation":"[43]"},"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[43]</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if the temperature is too high, it will speed up the battery's side reactions and performance degradation</w:t>
      </w:r>
      <w:r w:rsidRPr="00457DEA">
        <w:rPr>
          <w:rFonts w:ascii="Times New Roman" w:hAnsi="Times New Roman" w:cs="Times New Roman"/>
          <w:color w:val="0D0D0D" w:themeColor="text1" w:themeTint="F2"/>
        </w:rPr>
        <w:fldChar w:fldCharType="begin" w:fldLock="1"/>
      </w:r>
      <w:r w:rsidRPr="00457DEA">
        <w:rPr>
          <w:rFonts w:ascii="Times New Roman" w:hAnsi="Times New Roman" w:cs="Times New Roman"/>
          <w:color w:val="0D0D0D" w:themeColor="text1" w:themeTint="F2"/>
        </w:rPr>
        <w:instrText>ADDIN CSL_CITATION {"citationItems":[{"id":"ITEM-1","itemData":{"DOI":"10.1016/j.etran.2019.100011","ISSN":"25901168","abstract":"In the recent years, lithium-ion batteries have become the battery technology of choice for portable devices, electric vehicles and grid storage. While increasing numbers of car manufacturers are introducing electrified models into their offering, range anxiety and the length of time required to recharge the batteries are still a common concern. The high currents needed to accelerate the charging process have been known to reduce energy efficiency and cause accelerated capacity and power fade. Fast charging is a multiscale problem, therefore insights from atomic to system level are required to understand and improve fast charging performance. The present paper reviews the literature on the physical phenomena that limit battery charging speeds, the degradation mechanisms that commonly result from charging at high currents, and the approaches that have been proposed to address these issues. Special attention is paid to low temperature charging. Alternative fast charging protocols are presented and critically assessed. Safety implications are explored, including the potential influence of fast charging on thermal runaway characteristics. Finally, knowledge gaps are identified and recommendations are made for the direction of future research. The need to develop reliable onboard methods to detect lithium plating and mechanical degradation is highlighted. Robust model-based charging optimisation strategies are identified as key to enabling fast charging in all conditions. Thermal management strategies to both cool batteries during charging and preheat them in cold weather are acknowledged as critical, with a particular focus on techniques capable of achieving high speeds and good temperature homogeneities.","author":[{"dropping-particle":"","family":"Tomaszewska","given":"Anna","non-dropping-particle":"","parse-names":false,"suffix":""},{"dropping-particle":"","family":"Chu","given":"Zhengyu","non-dropping-particle":"","parse-names":false,"suffix":""},{"dropping-particle":"","family":"Feng","given":"Xuning","non-dropping-particle":"","parse-names":false,"suffix":""},{"dropping-particle":"","family":"O'Kane","given":"Simon","non-dropping-particle":"","parse-names":false,"suffix":""},{"dropping-particle":"","family":"Liu","given":"Xinhua","non-dropping-particle":"","parse-names":false,"suffix":""},{"dropping-particle":"","family":"Chen","given":"Jingyi","non-dropping-particle":"","parse-names":false,"suffix":""},{"dropping-particle":"","family":"Ji","given":"Chenzhen","non-dropping-particle":"","parse-names":false,"suffix":""},{"dropping-particle":"","family":"Endler","given":"Elizabeth","non-dropping-particle":"","parse-names":false,"suffix":""},{"dropping-particle":"","family":"Li","given":"Ruihe","non-dropping-particle":"","parse-names":false,"suffix":""},{"dropping-particle":"","family":"Liu","given":"Lishuo","non-dropping-particle":"","parse-names":false,"suffix":""},{"dropping-particle":"","family":"Li","given":"Yalun","non-dropping-particle":"","parse-names":false,"suffix":""},{"dropping-particle":"","family":"Zheng","given":"Siqi","non-dropping-particle":"","parse-names":false,"suffix":""},{"dropping-particle":"","family":"Vetterlein","given":"Sebastian","non-dropping-particle":"","parse-names":false,"suffix":""},{"dropping-particle":"","family":"Gao","given":"Ming","non-dropping-particle":"","parse-names":false,"suffix":""},{"dropping-particle":"","family":"Du","given":"Jiuyu","non-dropping-particle":"","parse-names":false,"suffix":""},{"dropping-particle":"","family":"Parkes","given":"Michael","non-dropping-particle":"","parse-names":false,"suffix":""},{"dropping-particle":"","family":"Ouyang","given":"Minggao","non-dropping-particle":"","parse-names":false,"suffix":""},{"dropping-particle":"","family":"Marinescu","given":"Monica","non-dropping-particle":"","parse-names":false,"suffix":""},{"dropping-particle":"","family":"Offer","given":"Gregory","non-dropping-particle":"","parse-names":false,"suffix":""},{"dropping-particle":"","family":"Wu","given":"Billy","non-dropping-particle":"","parse-names":false,"suffix":""}],"container-title":"eTransportation","id":"ITEM-1","issued":{"date-parts":[["2019","8"]]},"page":"100011","publisher":"Elsevier BV","title":"Lithium-ion battery fast charging: A review","type":"article-journal","volume":"1"},"uris":["http://www.mendeley.com/documents/?uuid=21c5ea85-dd38-498e-a1b6-3644aca8aa5f"]}],"mendeley":{"formattedCitation":"[19]","plainTextFormattedCitation":"[19]","previouslyFormattedCitation":"[19]"},"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Pr="00457DEA">
        <w:rPr>
          <w:rFonts w:ascii="Times New Roman" w:hAnsi="Times New Roman" w:cs="Times New Roman"/>
          <w:noProof/>
          <w:color w:val="0D0D0D" w:themeColor="text1" w:themeTint="F2"/>
        </w:rPr>
        <w:t>[19]</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{"citationItems":[{"id":"ITEM-1","itemData":{"DOI":"10.1016/j.jpowsour.2017.12.030","ISSN":"03787753","abstract":"Parasitic load, which describes electrical energy consumed by battery thermal management system (TMS), is an important design criterion for battery packs. Passive TMSs using phase change materials (PCMs) are thus generating much interest. However, PCMs suffer from low thermal conductivities. Most current thermal conductivity enhancement techniques involve addition of foreign particles to PCMs. Adding foreign particles increases effective thermal conductivity of PCM-systems but at expense of their latent heat capacity. This paper presents an alternate approach for improving thermal performance of PCM-based TMSs. The introduced technique involves placing battery cells in a vertically inverted position within the battery-pack. It is demonstrated through experiments that inverted cell-layout facilitates build-up of convection current in the pack, which in turn minimises thermal variations within the PCM matrix by enabling PCM mass transfer between the top and the bottom regions of the battery pack. The proposed system is found capable of maintaining tight control over battery cell temperature even during abusive usage, defined as high-rate repetitive cycling with minimal rest periods. In addition, this novel TMS can recover waste heat from PCM-matrix through thermoelectric devices, thereby resulting in a negative parasitic load for TMS.","author":[{"dropping-particle":"","family":"Arora","given":"Shashank","non-dropping-particle":"","parse-names":false,"suffix":""},{"dropping-particle":"","family":"Kapoor","given":"Ajay","non-dropping-particle":"","parse-names":false,"suffix":""},{"dropping-particle":"","family":"Shen","given":"Weixiang","non-dropping-particle":"","parse-names":false,"suffix":""}],"container-title":"Journal of Power Sources","id":"ITEM-1","issue":"December 2017","issued":{"date-parts":[["2018"]]},"page":"759-775","publisher":"Elsevier","title":"A novel thermal management system for improving discharge/charge performance of Li-ion battery packs under abuse","type":"article-journal","volume":"378"},"uris":["http://www.mendeley.com/documents/?uuid=85b26cc2-3dc4-4e8d-8d14-1d3e5a4da3af"]}],"mendeley":{"formattedCitation":"[44]","plainTextFormattedCitation":"[44]","previouslyFormattedCitation":"[44]"},"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[44]</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defects in the manufacturing process or improper use may cause partial overheating of the battery, which will eventually lead to battery thermal runaway, threatening the lives of electric vehicle drivers and passengers</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{"citationItems":[{"id":"ITEM-1","itemData":{"DOI":"10.1016/j.rser.2021.110790","ISSN":"18790690","abstract":"Energy security, environmental concerns, and the upgrading of automobile industry are the driving trifecta of the rapid development of electric vehicles (EVs). Lithium-ion batteries (LIBs) have become the primary power source for EVs, given their high energy/power density and long service lifetime. However, safety is still a big challenge facing the population of LIBs. Internal short circuit (ISC) is one of the root causes for the failure of LIBs, whereas the mechanism of ISC formation and evolution is still unclear. This paper provides a comprehensive review of formation mechanisms, evolution framework, experimental approaches, detection methods and mitigation strategies of ISC in LIBs. Learning from the typical safety accidents of LIBs, ISC primarily which caused by typical factors is intensively investigated. Later, the behavior and evolution framework of ISC are profoundly elaborated. The ISC experimental approaches are systematically classified into conventional experimental approaches and novel experimental approaches, and their advantages and drawbacks are summarized in detail, respectively. Further, ISC detection methods including offline and online detection methods are comprehensively analyzed. Finally, an insight into the research perspective of ISC mitigation is provided.","author":[{"dropping-particle":"","family":"Zhang","given":"Guangxu","non-dropping-particle":"","parse-names":false,"suffix":""},{"dropping-particle":"","family":"Wei","given":"Xuezhe","non-dropping-particle":"","parse-names":false,"suffix":""},{"dropping-particle":"","family":"Tang","given":"Xuan","non-dropping-particle":"","parse-names":false,"suffix":""},{"dropping-particle":"","family":"Zhu","given":"Jiangong","non-dropping-particle":"","parse-names":false,"suffix":""},{"dropping-particle":"","family":"Chen","given":"Siqi","non-dropping-particle":"","parse-names":false,"suffix":""},{"dropping-particle":"","family":"Dai","given":"Haifeng","non-dropping-particle":"","parse-names":false,"suffix":""}],"container-title":"Renewable and Sustainable Energy Reviews","id":"ITEM-1","issue":"July 2020","issued":{"date-parts":[["2021"]]},"page":"110790","publisher":"Elsevier Ltd","title":"Internal short circuit mechanisms, experimental approaches and detection methods of lithium-ion batteries for electric vehicles: A review","type":"article-journal","volume":"141"},"uris":["http://www.mendeley.com/documents/?uuid=b344e6bc-2e91-4875-a4ea-4993eea9cbd1"]}],"mendeley":{"formattedCitation":"[45]","plainTextFormattedCitation":"[45]","previouslyFormattedCitation":"[45]"},"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[45]</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.The commonly used models for battery thermal management include thermal model, electrical-thermal coupled model</w:t>
      </w:r>
      <w:r w:rsidRPr="00457DEA">
        <w:rPr>
          <w:rFonts w:ascii="Times New Roman" w:hAnsi="Times New Roman" w:cs="Times New Roman"/>
          <w:color w:val="0D0D0D" w:themeColor="text1" w:themeTint="F2"/>
        </w:rPr>
        <w:t>，</w:t>
      </w:r>
      <w:r w:rsidRPr="00457DEA">
        <w:rPr>
          <w:rFonts w:ascii="Times New Roman" w:hAnsi="Times New Roman" w:cs="Times New Roman"/>
          <w:color w:val="0D0D0D" w:themeColor="text1" w:themeTint="F2"/>
        </w:rPr>
        <w:t>and equivalent circuit model</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{"citationItems":[{"id":"ITEM-1","itemData":{"DOI":"10.1016/j.applthermaleng.2018.10.108","ISSN":"13594311","abstract":"This paper introduces a pseudo three-dimensional electrochemical-thermal coupled battery model for a cylindrical Lithium Iron Phosphate battery. The model comprises a pseudo two-dimensional electrochemical cell model coupled with three-dimensional lumped thermal model. The cell is disassembled to obtain the physical dimensions of the cell components. The thermal characteristics of the cell are studied during the discharge process over a range of temperatures and discharge rates. The validity of the numerical model is demonstrated experimentally via a 26,650 cylindrical Lithium Iron Phosphate/graphite battery cylindrical cell. Instead of infrared thermal images, series of regression models are utilized to quantify the thermal behavior at various depth of discharge under various discharge rates. The results demonstrated that the battery cell performs differently at a lower ambient temperature and lower discharge rate where the exothermic reactions are milder.","author":[{"dropping-particle":"","family":"Chiew","given":"J.","non-dropping-particle":"","parse-names":false,"suffix":""},{"dropping-particle":"","family":"Chin","given":"C. S.","non-dropping-particle":"","parse-names":false,"suffix":""},{"dropping-particle":"","family":"Toh","given":"W. D.","non-dropping-particle":"","parse-names":false,"suffix":""},{"dropping-particle":"","family":"Gao","given":"Z.","non-dropping-particle":"","parse-names":false,"suffix":""},{"dropping-particle":"","family":"Jia","given":"J.","non-dropping-particle":"","parse-names":false,"suffix":""},{"dropping-particle":"","family":"Zhang","given":"C. Z.","non-dropping-particle":"","parse-names":false,"suffix":""}],"container-title":"Applied Thermal Engineering","id":"ITEM-1","issue":"October 2018","issued":{"date-parts":[["2019"]]},"page":"450-463","publisher":"Elsevier","title":"A pseudo three-dimensional electrochemical-thermal model of a cylindrical LiFePO4/graphite battery","type":"article-journal","volume":"147"},"uris":["http://www.mendeley.com/documents/?uuid=fa9d4d9b-17ed-4442-9e76-e0f59bab9937"]}],"mendeley":{"formattedCitation":"[46]","plainTextFormattedCitation":"[46]","previouslyFormattedCitation":"[46]"},"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[46]</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 Limited by the performance of BMS, the most commonly used in engineering is the thermal model which needs </w:t>
      </w:r>
      <w:r w:rsidRPr="00457DEA">
        <w:rPr>
          <w:rFonts w:ascii="Times New Roman" w:hAnsi="Times New Roman" w:cs="Times New Roman" w:hint="eastAsia"/>
          <w:color w:val="0D0D0D" w:themeColor="text1" w:themeTint="F2"/>
        </w:rPr>
        <w:t>to</w:t>
      </w:r>
      <w:r w:rsidRPr="00457DEA">
        <w:rPr>
          <w:rFonts w:ascii="Times New Roman" w:hAnsi="Times New Roman" w:cs="Times New Roman"/>
          <w:color w:val="0D0D0D" w:themeColor="text1" w:themeTint="F2"/>
        </w:rPr>
        <w:t xml:space="preserve"> solve finite </w:t>
      </w:r>
      <w:r w:rsidRPr="00457DEA">
        <w:rPr>
          <w:rFonts w:ascii="Times New Roman" w:hAnsi="Times New Roman" w:cs="Times New Roman"/>
          <w:color w:val="0D0D0D" w:themeColor="text1" w:themeTint="F2"/>
        </w:rPr>
        <w:lastRenderedPageBreak/>
        <w:t xml:space="preserve">element equations. Self-adaptive intelligent control strategy should be made to control the multi-physical BTMS including preheating system, cooling system and EBTB effectively and economically </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{"citationItems":[{"id":"ITEM-1","itemData":{"DOI":"10.1016/j.ijheatmasstransfer.2020.120834","ISSN":"00179310","abstract":"New energy vehicles have significant prospects in reducing greenhouse gas emission and environmental pollution. Lithium-ion batteries are the favored power source in electric vehicles because of their high energy density and long service life. The battery performance depends noticeably on the temperature. Battery thermal management system, which can keep the battery pack working in a proper temperature range, not only affects significantly the battery pack system performance but is also vital for the safety and stability. This article mainly summarizes the thermal management models in the literature which can predict heat generation, heat transfer and the temperature distribution within the battery cell, module and pack. The multi-physical battery thermal management systems are divided into three categories based on different methods of cooling the phase change materials such as air-cooled system, liquid-cooled system, and heat-pipe-cooled system. The emergency battery thermal battier methods are also summarized in multi-scale included material scale, battery management system and supplementary system. Finally, we propose a novel digital solution for full-lifespan thermal management control of EV power system based on CHAIN framework that helps improve the power battery temperature control strategy applying multiple working conditions.","author":[{"dropping-particle":"","family":"Lin","given":"Jiayuan","non-dropping-particle":"","parse-names":false,"suffix":""},{"dropping-particle":"","family":"Liu","given":"Xinhua","non-dropping-particle":"","parse-names":false,"suffix":""},{"dropping-particle":"","family":"Li","given":"Shen","non-dropping-particle":"","parse-names":false,"suffix":""},{"dropping-particle":"","family":"Zhang","given":"Cheng","non-dropping-particle":"","parse-names":false,"suffix":""},{"dropping-particle":"","family":"Yang","given":"Shichun","non-dropping-particle":"","parse-names":false,"suffix":""}],"container-title":"International Journal of Heat and Mass Transfer","id":"ITEM-1","issued":{"date-parts":[["2021"]]},"page":"120834","publisher":"Elsevier Ltd","title":"A review on recent progress, challenges and perspective of battery thermal management system","type":"article-journal","volume":"167"},"uris":["http://www.mendeley.com/documents/?uuid=00c10ad7-5b49-4452-8c0c-bed30145c1d4"]}],"mendeley":{"formattedCitation":"[47]","plainTextFormattedCitation":"[47]","previouslyFormattedCitation":"[47]"},"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[47]</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Efficient battery thermal management system</w:t>
      </w:r>
      <w:r w:rsidRPr="00457DEA">
        <w:rPr>
          <w:rFonts w:ascii="Times New Roman" w:hAnsi="Times New Roman" w:cs="Times New Roman" w:hint="eastAsia"/>
          <w:color w:val="0D0D0D" w:themeColor="text1" w:themeTint="F2"/>
        </w:rPr>
        <w:t xml:space="preserve"> </w:t>
      </w:r>
      <w:r w:rsidRPr="00457DEA">
        <w:rPr>
          <w:rFonts w:ascii="Times New Roman" w:hAnsi="Times New Roman" w:cs="Times New Roman"/>
          <w:color w:val="0D0D0D" w:themeColor="text1" w:themeTint="F2"/>
        </w:rPr>
        <w:t>is essential to keep battery temperature within the proper range</w:t>
      </w:r>
      <w:r w:rsidRPr="00457DEA">
        <w:rPr>
          <w:rFonts w:ascii="Times New Roman" w:hAnsi="Times New Roman" w:cs="Times New Roman" w:hint="eastAsia"/>
          <w:color w:val="0D0D0D" w:themeColor="text1" w:themeTint="F2"/>
        </w:rPr>
        <w:t xml:space="preserve"> </w:t>
      </w:r>
      <w:r w:rsidRPr="00457DEA">
        <w:rPr>
          <w:rFonts w:ascii="Times New Roman" w:hAnsi="Times New Roman" w:cs="Times New Roman"/>
          <w:color w:val="0D0D0D" w:themeColor="text1" w:themeTint="F2"/>
        </w:rPr>
        <w:t>and to decrease the temperature variance between cells</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{"citationItems":[{"id":"ITEM-1","itemData":{"DOI":"10.1016/j.apenergy.2020.115087","ISSN":"03062619","abstract":"Thermal runaway (TR) and its propagation in lithium ion batteries (LIBs) are potential risks during usage, and the likelihood therein is increasing owing to the widespread utilization of LIBs. However, the prevention of LIB thermal hazards remains a technical barrier. In this study, a novel control strategy with water mist (WM) was proposed and investigated through a series of experiments. To comprehensively understand the control mechanisms, the WM cooling effect was discussed by changing the application time and duration. The results showed that WM exhibited excellent cooling capacity with the consumption of 1.95 × 10−4 kg Wh−1 water and TR propagation in the battery module could be easily prevented. During WM application, the maximum cooling rate of LIB exceeded 100 K s−1 and the surface temperature decreased to 373.15 K in a few seconds. Meanwhile, TR propagation hazard could be controlled under much severer condition, where four out of five LIBs in the module were triggered into TR. The cooling process mainly depended on the WM evaporation latent heat and the cooling power for a single battery reached 40.71 W. The critical temperature, Tc1, could be used to forecast the control effect before WM application. And the cooling factor was proposed to determine the cooling effect during hazard control. Thermal hazard could be considered successfully prevented, when LIBs surface temperature reduced below 373.15 K. This work provides fundamental understanding of WM cooling control strategy, indicating the possibility of using this strategy in real cases.","author":[{"dropping-particle":"","family":"Liu","given":"Tong","non-dropping-particle":"","parse-names":false,"suffix":""},{"dropping-particle":"","family":"Tao","given":"Changfa","non-dropping-particle":"","parse-names":false,"suffix":""},{"dropping-particle":"","family":"Wang","given":"Xishi","non-dropping-particle":"","parse-names":false,"suffix":""}],"container-title":"Applied Energy","id":"ITEM-1","issue":"April","issued":{"date-parts":[["2020"]]},"page":"115087","publisher":"Elsevier","title":"Cooling control effect of water mist on thermal runaway propagation in lithium ion battery modules","type":"article-journal","volume":"267"},"uris":["http://www.mendeley.com/documents/?uuid=d20acdce-ebb5-42f7-b1e4-d563d6ce0f14"]},{"id":"ITEM-2","itemData":{"DOI":"10.1016/j.enconman.2019.111969","ISSN":"01968904","abstract":"Lithium ion battery (LIB) thermal runaway (TR) has always been a potential risk that could result in serious damage. This likelihood has increased owing to the widespread application of LIBs, particularly in the electric-vehicle industry. Therefore, an effective method must be determined to prevent or mitigate this hazardous process. As a clean and efficient cooling technique, the effect of water mist (WM) on TR has been investigated through a series of tests in this study. Batteries with various states of charge (SOC) were heated with an electric heater to induce TR, and the surface temperatures were measured throughout the tests. The results show that TR can be controlled when the WM is released before the critical temperature is reached; the threshold temperature is at least 20 °C lower than the temperature of the TR onset. The determined conservative temperature for the WM application is 186.5 °C. At 25% SOC, the critical WM cooling rate is 1.87 times that of the critical heating rate. The value increases to 4.98 at 100% SOC, thereby indicating the increasing suppression difficulty with increasing SOC. Above the critical temperature, the TR is unstoppable. However, the maximal surface temperature can be controlled at values approximately 300 °C lower than those of the cases without WM. This is beneficial for the prevention of the TR propagation. TR can still be a potential risk for suppressed batteries. Nevertheless, the thermal hazard is mitigated with increasing onset temperature and a longer heating process. This study can contribute significant results for the control of TR in practice.","author":[{"dropping-particle":"","family":"Liu","given":"Tong","non-dropping-particle":"","parse-names":false,"suffix":""},{"dropping-particle":"","family":"Liu","given":"Yangpeng","non-dropping-particle":"","parse-names":false,"suffix":""},{"dropping-particle":"","family":"Wang","given":"Xishi","non-dropping-particle":"","parse-names":false,"suffix":""},{"dropping-particle":"","family":"Kong","given":"Xiangxiao","non-dropping-particle":"","parse-names":false,"suffix":""},{"dropping-particle":"","family":"Li","given":"Guochun","non-dropping-particle":"","parse-names":false,"suffix":""}],"container-title":"Energy Conversion and Management","id":"ITEM-2","issue":"August","issued":{"date-parts":[["2019"]]},"page":"111969","publisher":"Elsevier","title":"Cooling control of thermally-induced thermal runaway in 18,650 lithium ion battery with water mist","type":"article-journal","volume":"199"},"uris":["http://www.mendeley.com/documents/?uuid=9881a783-33f9-41fe-a0e3-bf14f6e4ebf7"]}],"mendeley":{"formattedCitation":"[48,49]","plainTextFormattedCitation":"[48,49]","previouslyFormattedCitation":"[48,49]"},"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[48,49]</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Cloud-based BMS can provide computing power support for the identification of these parameters, a precise thermal management will be realized in the future.</w:t>
      </w:r>
    </w:p>
    <w:p w14:paraId="0A1BF1DB" w14:textId="77777777" w:rsidR="00672135" w:rsidRPr="00457DEA" w:rsidRDefault="00120DF0">
      <w:pPr>
        <w:pStyle w:val="2"/>
        <w:rPr>
          <w:color w:val="0D0D0D" w:themeColor="text1" w:themeTint="F2"/>
        </w:rPr>
      </w:pPr>
      <w:r w:rsidRPr="00457DEA">
        <w:rPr>
          <w:color w:val="0D0D0D" w:themeColor="text1" w:themeTint="F2"/>
        </w:rPr>
        <w:t>3</w:t>
      </w:r>
      <w:r w:rsidRPr="00457DEA">
        <w:rPr>
          <w:rFonts w:hint="eastAsia"/>
          <w:color w:val="0D0D0D" w:themeColor="text1" w:themeTint="F2"/>
        </w:rPr>
        <w:t xml:space="preserve">.3 </w:t>
      </w:r>
      <w:r w:rsidRPr="00457DEA">
        <w:rPr>
          <w:color w:val="0D0D0D" w:themeColor="text1" w:themeTint="F2"/>
        </w:rPr>
        <w:t>Cell balancing</w:t>
      </w:r>
    </w:p>
    <w:p w14:paraId="6D1A11E2" w14:textId="484096A0" w:rsidR="00672135" w:rsidRPr="00457DEA" w:rsidRDefault="00120DF0">
      <w:pPr>
        <w:ind w:firstLineChars="200" w:firstLine="420"/>
        <w:rPr>
          <w:rFonts w:ascii="Times New Roman" w:hAnsi="Times New Roman" w:cs="Times New Roman"/>
          <w:color w:val="0D0D0D" w:themeColor="text1" w:themeTint="F2"/>
        </w:rPr>
      </w:pPr>
      <w:r w:rsidRPr="00457DEA">
        <w:rPr>
          <w:rFonts w:ascii="Times New Roman" w:hAnsi="Times New Roman" w:cs="Times New Roman"/>
          <w:color w:val="0D0D0D" w:themeColor="text1" w:themeTint="F2"/>
        </w:rPr>
        <w:t xml:space="preserve">In the practical work process of battery pack, the inconsistency </w:t>
      </w:r>
      <w:r w:rsidRPr="00457DEA">
        <w:rPr>
          <w:rFonts w:ascii="Times New Roman" w:hAnsi="Times New Roman" w:cs="Times New Roman" w:hint="eastAsia"/>
          <w:color w:val="0D0D0D" w:themeColor="text1" w:themeTint="F2"/>
        </w:rPr>
        <w:t>among lithium-ion cells</w:t>
      </w:r>
      <w:r w:rsidRPr="00457DEA">
        <w:rPr>
          <w:rFonts w:ascii="Times New Roman" w:hAnsi="Times New Roman" w:cs="Times New Roman"/>
          <w:color w:val="0D0D0D" w:themeColor="text1" w:themeTint="F2"/>
        </w:rPr>
        <w:t xml:space="preserve"> </w:t>
      </w:r>
      <w:r w:rsidRPr="00457DEA">
        <w:rPr>
          <w:rFonts w:ascii="Times New Roman" w:hAnsi="Times New Roman" w:cs="Times New Roman" w:hint="eastAsia"/>
          <w:color w:val="0D0D0D" w:themeColor="text1" w:themeTint="F2"/>
        </w:rPr>
        <w:t>may</w:t>
      </w:r>
      <w:r w:rsidRPr="00457DEA">
        <w:rPr>
          <w:rFonts w:ascii="Times New Roman" w:hAnsi="Times New Roman" w:cs="Times New Roman"/>
          <w:color w:val="0D0D0D" w:themeColor="text1" w:themeTint="F2"/>
        </w:rPr>
        <w:t xml:space="preserve"> seriously </w:t>
      </w:r>
      <w:r w:rsidRPr="00457DEA">
        <w:rPr>
          <w:rFonts w:ascii="Times New Roman" w:hAnsi="Times New Roman" w:cs="Times New Roman" w:hint="eastAsia"/>
          <w:color w:val="0D0D0D" w:themeColor="text1" w:themeTint="F2"/>
        </w:rPr>
        <w:t>restrict the pack</w:t>
      </w:r>
      <w:r w:rsidRPr="00457DEA">
        <w:rPr>
          <w:rFonts w:ascii="Times New Roman" w:hAnsi="Times New Roman" w:cs="Times New Roman"/>
          <w:color w:val="0D0D0D" w:themeColor="text1" w:themeTint="F2"/>
        </w:rPr>
        <w:t>’</w:t>
      </w:r>
      <w:r w:rsidRPr="00457DEA">
        <w:rPr>
          <w:rFonts w:ascii="Times New Roman" w:hAnsi="Times New Roman" w:cs="Times New Roman" w:hint="eastAsia"/>
          <w:color w:val="0D0D0D" w:themeColor="text1" w:themeTint="F2"/>
        </w:rPr>
        <w:t>s capacity, lifetime and other important performance. The inconsistency is due to the accumulation of micro electrochemical reaction differences caused by the discrepancy of the initial state and the actual working condition among cells, which may bring hidden danger to the use of whole electric vehicles</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 xml:space="preserve">ADDIN CSL_CITATION {"citationItems":[{"id":"ITEM-1","itemData":{"DOI":"10.1016/j.apenergy.2019.04.108","ISSN":"03062619","abstract":"The performance of lithium-ion battery packs are often extrapolated from single cell performance however uneven currents in parallel strings due to cell-to-cell variations, thermal gradients and/or cell interconnects can reduce the overall performance of a large scale lithium-ion battery pack. In this work, we investigate the performance implications caused by these factors by simulating six parallel connected batteries based on a thermally coupled single particle model with the solid electrolyte interphase growth degradation mechanism modelled. Experimentally validated simulations show that cells closest to the load points of a pack experience higher currents than cells further away due to uneven overpotentials caused by the interconnects. When a cell with a four times greater internal impedance was placed in the location with the higher currents this actually helped to equalise the cell-to-cell current distribution, however if this was placed at a location furthest from the load point this would cause a </w:instrText>
      </w:r>
      <w:r w:rsidR="00BE06A1" w:rsidRPr="00457DEA">
        <w:rPr>
          <w:rFonts w:ascii="Cambria Math" w:hAnsi="Cambria Math" w:cs="Cambria Math"/>
          <w:color w:val="0D0D0D" w:themeColor="text1" w:themeTint="F2"/>
        </w:rPr>
        <w:instrText>∼</w:instrText>
      </w:r>
      <w:r w:rsidR="00BE06A1" w:rsidRPr="00457DEA">
        <w:rPr>
          <w:rFonts w:ascii="Times New Roman" w:hAnsi="Times New Roman" w:cs="Times New Roman"/>
          <w:color w:val="0D0D0D" w:themeColor="text1" w:themeTint="F2"/>
        </w:rPr>
        <w:instrText>6% reduction in accessible energy at 1.5 C. The influence of thermal gradients can further affect this current heterogeneity leading to accelerated aging. Simulations show that in all cases, cells degrade at different rates in a pack due to the uneven currents, with this being amplified by thermal gradients. In the presented work a 5.2% increase in degradation rate, from −7.71 mWh/cycle (isothermal)to −8.11 mWh/cycle (non-isothermal)can be observed. Therefore, the insights from this paper highlight the highly coupled nature of battery pack performance and can inform designs for higher performance and longer lasting battery packs.","author":[{"dropping-particle":"","family":"Liu","given":"Xinhua","non-dropping-particle":"","parse-names":false,"suffix":""},{"dropping-particle":"","family":"Ai","given":"Weilong","non-dropping-particle":"","parse-names":false,"suffix":""},{"dropping-particle":"","family":"Naylor Marlow","given":"Max","non-dropping-particle":"","parse-names":false,"suffix":""},{"dropping-particle":"","family":"Patel","given":"Yatish","non-dropping-particle":"","parse-names":false,"suffix":""},{"dropping-particle":"","family":"Wu","given":"Billy","non-dropping-particle":"","parse-names":false,"suffix":""}],"container-title":"Applied Energy","id":"ITEM-1","issue":"March","issued":{"date-parts":[["2019"]]},"page":"489-499","publisher":"Elsevier","title":"The effect of cell-to-cell variations and thermal gradients on the performance and degradation of lithium-ion battery packs","type":"article-journal","volume":"248"},"uris":["http://www.mendeley.com/documents/?uuid=f471a2af-10f5-4f76-b0fc-ba62e2332e5c"]}],"mendeley":{"formattedCitation":"[50]","plainTextFormattedCitation":"[50]","previouslyFormattedCitation":"[50]"},"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[50]</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{"citationItems":[{"id":"ITEM-1","itemData":{"DOI":"10.1016/j.jpowsour.2014.02.012","ISSN":"03787753","abstract":"Knowledge on lithium-ion battery aging and lifetime estimation is a fundamental aspect for successful market introduction in high-priced goods like electric mobility. This paper illustrates the parameterization of a holistic aging model from accelerated aging tests. More than 60 cells of the same type are tested to analyze different impact factors. In calendar aging tests three temperatures and various SOC are applied to the batteries. For cycle aging tests especially different cycle depths and mean SOC are taken into account. Capacity loss and resistance increase are monitored as functions of time and charge throughput during the tests. From these data physical based functions are obtained, giving a mathematical description of aging. To calculate the stress factors like temperature or voltage, an impedance based electric-thermal model is coupled to the aging model. The model accepts power and current profiles as input, furthermore an ambient air temperature profile can be applied. Various drive cycles and battery management strategies can be tested and optimized using the lifetime prognosis of this tool. With the validation based on different realistic driving profiles and temperatures, a robust foundation is provided. © 2014 Elsevier B.V. All rights reserved.","author":[{"dropping-particle":"","family":"Schmalstieg","given":"Johannes","non-dropping-particle":"","parse-names":false,"suffix":""},{"dropping-particle":"","family":"Käbitz","given":"Stefan","non-dropping-particle":"","parse-names":false,"suffix":""},{"dropping-particle":"","family":"Ecker","given":"Madeleine","non-dropping-particle":"","parse-names":false,"suffix":""},{"dropping-particle":"","family":"Sauer","given":"Dirk Uwe","non-dropping-particle":"","parse-names":false,"suffix":""}],"container-title":"Journal of Power Sources","id":"ITEM-1","issued":{"date-parts":[["2014"]]},"page":"325-334","publisher":"Elsevier B.V","title":"A holistic aging model for Li(NiMnCo)O2 based 18650 lithium-ion batteries","type":"article-journal","volume":"257"},"uris":["http://www.mendeley.com/documents/?uuid=10239efb-ce0f-4257-a08b-4cd8ae59f9c0","http://www.mendeley.com/documents/?uuid=a48d58f2-0b6c-43f8-9fd3-4ffc7d997438"]}],"mendeley":{"formattedCitation":"[51]","plainTextFormattedCitation":"[51]","previouslyFormattedCitation":"[51]"},"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[51]</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hint="eastAsia"/>
          <w:color w:val="0D0D0D" w:themeColor="text1" w:themeTint="F2"/>
        </w:rPr>
        <w:t xml:space="preserve">. The equalization management systems (EMSs), one of a key portion of the BMS, is crucial to alleviate such inter-cell inconsistency by </w:t>
      </w:r>
      <w:r w:rsidRPr="00457DEA">
        <w:rPr>
          <w:rFonts w:ascii="Times New Roman" w:hAnsi="Times New Roman" w:cs="Times New Roman"/>
          <w:color w:val="0D0D0D" w:themeColor="text1" w:themeTint="F2"/>
        </w:rPr>
        <w:t>redistribut</w:t>
      </w:r>
      <w:r w:rsidRPr="00457DEA">
        <w:rPr>
          <w:rFonts w:ascii="Times New Roman" w:hAnsi="Times New Roman" w:cs="Times New Roman" w:hint="eastAsia"/>
          <w:color w:val="0D0D0D" w:themeColor="text1" w:themeTint="F2"/>
        </w:rPr>
        <w:t>ing</w:t>
      </w:r>
      <w:r w:rsidRPr="00457DEA">
        <w:rPr>
          <w:rFonts w:ascii="Times New Roman" w:hAnsi="Times New Roman" w:cs="Times New Roman"/>
          <w:color w:val="0D0D0D" w:themeColor="text1" w:themeTint="F2"/>
        </w:rPr>
        <w:t xml:space="preserve"> the energy among the cells that have too high or too low releasable capacities, </w:t>
      </w:r>
      <w:r w:rsidRPr="00457DEA">
        <w:rPr>
          <w:rFonts w:ascii="Times New Roman" w:hAnsi="Times New Roman" w:cs="Times New Roman" w:hint="eastAsia"/>
          <w:color w:val="0D0D0D" w:themeColor="text1" w:themeTint="F2"/>
        </w:rPr>
        <w:t>whose</w:t>
      </w:r>
      <w:r w:rsidRPr="00457DEA">
        <w:rPr>
          <w:rFonts w:ascii="Times New Roman" w:hAnsi="Times New Roman" w:cs="Times New Roman"/>
          <w:color w:val="0D0D0D" w:themeColor="text1" w:themeTint="F2"/>
        </w:rPr>
        <w:t xml:space="preserve"> </w:t>
      </w:r>
      <w:r w:rsidRPr="00457DEA">
        <w:rPr>
          <w:rFonts w:ascii="Times New Roman" w:hAnsi="Times New Roman" w:cs="Times New Roman" w:hint="eastAsia"/>
          <w:color w:val="0D0D0D" w:themeColor="text1" w:themeTint="F2"/>
        </w:rPr>
        <w:t xml:space="preserve">main </w:t>
      </w:r>
      <w:r w:rsidRPr="00457DEA">
        <w:rPr>
          <w:rFonts w:ascii="Times New Roman" w:hAnsi="Times New Roman" w:cs="Times New Roman"/>
          <w:color w:val="0D0D0D" w:themeColor="text1" w:themeTint="F2"/>
        </w:rPr>
        <w:t xml:space="preserve">performance </w:t>
      </w:r>
      <w:r w:rsidRPr="00457DEA">
        <w:rPr>
          <w:rFonts w:ascii="Times New Roman" w:hAnsi="Times New Roman" w:cs="Times New Roman" w:hint="eastAsia"/>
          <w:color w:val="0D0D0D" w:themeColor="text1" w:themeTint="F2"/>
        </w:rPr>
        <w:t xml:space="preserve">such as accuracy and stability, mainly </w:t>
      </w:r>
      <w:r w:rsidRPr="00457DEA">
        <w:rPr>
          <w:rFonts w:ascii="Times New Roman" w:hAnsi="Times New Roman" w:cs="Times New Roman"/>
          <w:color w:val="0D0D0D" w:themeColor="text1" w:themeTint="F2"/>
        </w:rPr>
        <w:t>depends on the setting of equalization control strategies</w:t>
      </w:r>
      <w:r w:rsidRPr="00457DEA">
        <w:rPr>
          <w:rFonts w:ascii="Times New Roman" w:hAnsi="Times New Roman" w:cs="Times New Roman" w:hint="eastAsia"/>
          <w:color w:val="0D0D0D" w:themeColor="text1" w:themeTint="F2"/>
        </w:rPr>
        <w:t xml:space="preserve"> and hardware system</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{"citationItems":[{"id":"ITEM-1","itemData":{"DOI":"10.1016/j.apenergy.2020.114569","ISSN":"03062619","abstract":"Inconsistencies among battery cells and measurement errors have significant impacts on the accuracy and reliability of state of charge (SOC) estimations for series-connected battery packs. The aim of this paper is to propose a novel SOC estimation method for series-connected battery packs based on the fuzzy adaptive federated filtering. The mean-plus-difference model is employed to characterize the inconsistencies among battery cells. The fuzzy system is designed to improve the accuracy and adaptability of SOC estimation under cell inconsistencies. The SOC estimation value from a cell mean model and the standard deviation of SOC estimation are combined with a fuzzy system to determine their fusion weights. The master filter adaptively adjusts the information distribution coefficient according to the local filter estimation accuracy to improve reliability. Through simulation and experimentation on series-connected battery packs with different SOC distributions, the estimation accuracy of the proposed method is compared between the proposed method and the conventional methods. The SOC estimation accuracy of each battery cell is evaluated. The results show that, over the full SOC range, the root-mean-square error (RMSE) of the battery pack SOC estimation is less than 0.6% and 1.5% using online and offline parameters, respectively. The SOC estimation RMSEs of the battery cells using online and offline parameters are less than 0.4% and 1%, respectively. The fault tolerance is verified by artificially adding measurement errors. These accurate and reliable results show a strong prospect for the design and optimization of future clean and sustainable mobility.","author":[{"dropping-particle":"","family":"Hu","given":"Lin","non-dropping-particle":"","parse-names":false,"suffix":""},{"dropping-particle":"","family":"Hu","given":"Xiaosong","non-dropping-particle":"","parse-names":false,"suffix":""},{"dropping-particle":"","family":"Che","given":"Yunhong","non-dropping-particle":"","parse-names":false,"suffix":""},{"dropping-particle":"","family":"Feng","given":"Fei","non-dropping-particle":"","parse-names":false,"suffix":""},{"dropping-particle":"","family":"Lin","given":"Xianke","non-dropping-particle":"","parse-names":false,"suffix":""},{"dropping-particle":"","family":"Zhang","given":"Zhiyong","non-dropping-particle":"","parse-names":false,"suffix":""}],"container-title":"Applied Energy","id":"ITEM-1","issue":"September 2019","issued":{"date-parts":[["2020"]]},"page":"114569","publisher":"Elsevier","title":"Reliable state of charge estimation of battery packs using fuzzy adaptive federated filtering","type":"article-journal","volume":"262"},"uris":["http://www.mendeley.com/documents/?uuid=a9f34fdd-67dd-4fb1-9052-5d95043a2c7c","http://www.mendeley.com/documents/?uuid=d391845b-5020-4ab6-9b47-c143eb08c96a"]}],"mendeley":{"formattedCitation":"[52]","plainTextFormattedCitation":"[52]","previouslyFormattedCitation":"[52]"},"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[52]</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w:t>
      </w:r>
      <w:r w:rsidRPr="00457DEA">
        <w:rPr>
          <w:rFonts w:ascii="Times New Roman" w:hAnsi="Times New Roman" w:cs="Times New Roman" w:hint="eastAsia"/>
          <w:color w:val="0D0D0D" w:themeColor="text1" w:themeTint="F2"/>
        </w:rPr>
        <w:t xml:space="preserve"> The essence of equilibrium is to solve the control problem where </w:t>
      </w:r>
      <w:r w:rsidRPr="00457DEA">
        <w:rPr>
          <w:rFonts w:ascii="Times New Roman" w:hAnsi="Times New Roman" w:cs="Times New Roman"/>
          <w:color w:val="0D0D0D" w:themeColor="text1" w:themeTint="F2"/>
        </w:rPr>
        <w:t>equalization control strategies</w:t>
      </w:r>
      <w:r w:rsidRPr="00457DEA">
        <w:rPr>
          <w:rFonts w:ascii="Times New Roman" w:hAnsi="Times New Roman" w:cs="Times New Roman" w:hint="eastAsia"/>
          <w:color w:val="0D0D0D" w:themeColor="text1" w:themeTint="F2"/>
        </w:rPr>
        <w:t xml:space="preserve"> are responsible for information receiving calculation and decision making and hardware system carries on data collection and implementation</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{"citationItems":[{"id":"ITEM-1","itemData":{"DOI":"10.1016/j.apenergy.2013.05.048","ISSN":"03062619","abstract":"Identification of cell SOC (state-of-charge) inconsistency for LiFePO4 battery packs is challenging due to the demanding conditions in hybrid electric vehicles (HEVs) and the relatively flat SOC-OCV (open circuit voltage) curve of LiFePO4 cells compared to others. We experimentally investigate cell voltages in a small battery pack and propose a Mean-plus-Difference Model (M+D Model). The M+D Model uses a cell mean model (CMM) representing the overall performance of the pack in high frequency. Meanwhile cell voltage differences (CVDs) between cells and the \"mean cell\" are studied by a cell difference model (CDM) in low frequency. A CDM considering SOC and internal resistance differences is subsequently presented and OCV differences are estimated. We further propose an SOC strategy to accurately identify cell SOC inconsistency by intermittently lowering pack SOC to 30% during HEV operation. Finally we discover that SOC differences can be determined with estimated OCV differences using SOC-difference/OCV-difference curve. The proposed method is verified by simulation and experiment. With the proposed method, LiFePO4 cell SOC inconsistency can be precisely estimated with existing measuring technology during HEV operating and cell equalization can be ultimately implemented. © 2013 Elsevier Ltd.","author":[{"dropping-particle":"","family":"Zheng","given":"Yuejiu","non-dropping-particle":"","parse-names":false,"suffix":""},{"dropping-particle":"","family":"Ouyang","given":"Minggao","non-dropping-particle":"","parse-names":false,"suffix":""},{"dropping-particle":"","family":"Lu","given":"Languang","non-dropping-particle":"","parse-names":false,"suffix":""},{"dropping-particle":"","family":"Li","given":"Jianqiu","non-dropping-particle":"","parse-names":false,"suffix":""},{"dropping-particle":"","family":"Han","given":"Xuebing","non-dropping-particle":"","parse-names":false,"suffix":""},{"dropping-particle":"","family":"Xu","given":"Liangfei","non-dropping-particle":"","parse-names":false,"suffix":""},{"dropping-particle":"","family":"Ma","given":"Hongbin","non-dropping-particle":"","parse-names":false,"suffix":""},{"dropping-particle":"","family":"Dollmeyer","given":"Thomas A.","non-dropping-particle":"","parse-names":false,"suffix":""},{"dropping-particle":"","family":"Freyermuth","given":"Vincent","non-dropping-particle":"","parse-names":false,"suffix":""}],"container-title":"Applied Energy","id":"ITEM-1","issued":{"date-parts":[["2013"]]},"page":"571-580","publisher":"Elsevier Ltd","title":"Cell state-of-charge inconsistency estimation for LiFePO4 battery pack in hybrid electric vehicles using mean-difference model","type":"article-journal","volume":"111"},"uris":["http://www.mendeley.com/documents/?uuid=16fd205d-3c16-43f7-afa6-c6184b06dcb8","http://www.mendeley.com/documents/?uuid=d17c17d9-cfdf-4342-b220-fec525909fe7"]}],"mendeley":{"formattedCitation":"[53]","plainTextFormattedCitation":"[53]","previouslyFormattedCitation":"[53]"},"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[53]</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hint="eastAsia"/>
          <w:color w:val="0D0D0D" w:themeColor="text1" w:themeTint="F2"/>
        </w:rPr>
        <w:t xml:space="preserve">. The </w:t>
      </w:r>
      <w:r w:rsidRPr="00457DEA">
        <w:rPr>
          <w:rFonts w:ascii="Times New Roman" w:hAnsi="Times New Roman" w:cs="Times New Roman"/>
          <w:color w:val="0D0D0D" w:themeColor="text1" w:themeTint="F2"/>
        </w:rPr>
        <w:t>equalization control strategies</w:t>
      </w:r>
      <w:r w:rsidRPr="00457DEA">
        <w:rPr>
          <w:rFonts w:ascii="Times New Roman" w:hAnsi="Times New Roman" w:cs="Times New Roman" w:hint="eastAsia"/>
          <w:color w:val="0D0D0D" w:themeColor="text1" w:themeTint="F2"/>
        </w:rPr>
        <w:t xml:space="preserve"> are set by specific equalization objective and algorithms. The common objectives of </w:t>
      </w:r>
      <w:r w:rsidRPr="00457DEA">
        <w:rPr>
          <w:rFonts w:ascii="Times New Roman" w:hAnsi="Times New Roman" w:cs="Times New Roman"/>
          <w:color w:val="0D0D0D" w:themeColor="text1" w:themeTint="F2"/>
        </w:rPr>
        <w:t>equalization control strategies</w:t>
      </w:r>
      <w:r w:rsidRPr="00457DEA">
        <w:rPr>
          <w:rFonts w:ascii="Times New Roman" w:hAnsi="Times New Roman" w:cs="Times New Roman" w:hint="eastAsia"/>
          <w:color w:val="0D0D0D" w:themeColor="text1" w:themeTint="F2"/>
        </w:rPr>
        <w:t xml:space="preserve"> contain the consistency of battery SOX, battery pack capacity maximum, time minimization and fused objective</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{"citationItems":[{"id":"ITEM-1","itemData":{"DOI":"10.1016/j.jpowsour.2018.02.056","ISSN":"03787753","abstract":"This work presents the feasibility of monitoring state of charge (SoC) and state of health (SoH) of lithium-ion pouch batteries with acousto-ultrasonic guided waves. The guided waves are propagated and sensed using low-profile, built-in piezoelectric disc transducers that can be retrofitted onto off-the-shelf batteries. Both experimental and analytical studies are performed to understand the relationship between guided waves generated in a pitch-catch mode and battery SoC/SoH. The preliminary experiments on representative pouch cells show that the changes in time of flight (ToF) and signal amplitude (SA) resulting from shifts in the guided wave signals correlate strongly with the electrochemical charge-discharge cycling and aging. An analytical acoustic model is developed to simulate the variations in electrode moduli and densities during cycling, which correctly validates the absolute values and range of experimental ToF. It is further illustrated via a statistical study that ToF and SA can be used in a prediction model to accurately estimate SoC/SoH. Additionally, by using multiple sensors in a network configuration on the same battery, a significantly more reliable and accurate SoC/SoH prediction is achieved. The indicative results from this study can be extended to develop a unified guided-wave-based framework for SoC/SoH monitoring of many lithium-ion battery applications.","author":[{"dropping-particle":"","family":"Ladpli","given":"Purim","non-dropping-particle":"","parse-names":false,"suffix":""},{"dropping-particle":"","family":"Kopsaftopoulos","given":"Fotis","non-dropping-particle":"","parse-names":false,"suffix":""},{"dropping-particle":"","family":"Chang","given":"Fu Kuo","non-dropping-particle":"","parse-names":false,"suffix":""}],"container-title":"Journal of Power Sources","id":"ITEM-1","issue":"March","issued":{"date-parts":[["2018"]]},"page":"342-354","publisher":"Elsevier","title":"Estimating state of charge and health of lithium-ion batteries with guided waves using built-in piezoelectric sensors/actuators","type":"article-journal","volume":"384"},"uris":["http://www.mendeley.com/documents/?uuid=d1e26d19-6561-40cd-a908-01cc59d155e3","http://www.mendeley.com/documents/?uuid=191e575e-317a-482e-8d15-868a57c960db"]}],"mendeley":{"formattedCitation":"[54]","plainTextFormattedCitation":"[54]","previouslyFormattedCitation":"[54]"},"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[54]</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hint="eastAsia"/>
          <w:color w:val="0D0D0D" w:themeColor="text1" w:themeTint="F2"/>
        </w:rPr>
        <w:t xml:space="preserve">. The </w:t>
      </w:r>
      <w:r w:rsidRPr="00457DEA">
        <w:rPr>
          <w:rFonts w:ascii="Times New Roman" w:hAnsi="Times New Roman" w:cs="Times New Roman"/>
          <w:color w:val="0D0D0D" w:themeColor="text1" w:themeTint="F2"/>
        </w:rPr>
        <w:t>equalization</w:t>
      </w:r>
      <w:r w:rsidRPr="00457DEA">
        <w:rPr>
          <w:rFonts w:ascii="Times New Roman" w:hAnsi="Times New Roman" w:cs="Times New Roman" w:hint="eastAsia"/>
          <w:color w:val="0D0D0D" w:themeColor="text1" w:themeTint="F2"/>
        </w:rPr>
        <w:t xml:space="preserve"> algorithms can be divided into three types: control algorithm-based, data driven-based and fusion-based, which can apply to the c</w:t>
      </w:r>
      <w:r w:rsidRPr="00457DEA">
        <w:rPr>
          <w:rFonts w:ascii="Times New Roman" w:hAnsi="Times New Roman" w:cs="Times New Roman"/>
          <w:color w:val="0D0D0D" w:themeColor="text1" w:themeTint="F2"/>
        </w:rPr>
        <w:t>loud computing</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{"citationItems":[{"id":"ITEM-1","itemData":{"DOI":"10.1016/j.rser.2019.109464","ISSN":"18790690","abstract":"Inconsistency in the internal parameters and external environments of lithium-ion cells after they are connected as a battery pack may greatly limit the pack's capacity, power capability, and lifetime. Equalization management systems (EMSs) are necessary to mitigate such inter-cell inconsistency. Due to the complexity of application scenarios and the cost of EMSs, the speed, accuracy, and stability of EMSs need to be comprehensively considered. Unlike the research on equalization circuit architectures, studies on equalization control strategies are far from mature. This paper, for the first time, presents a critical summary and analysis of currently available equalization strategies. They are elaborated and categorized based on the main components of a controller formulation, including equalization variables, equalization objectives, and equalization algorithms. Finally, some insights and thinking about technical challenges and opportunities for the development of equalization strategies are provided. This work could be beneficial to the selection and design of appropriate control strategies for different equalization applications. It spurs new expansive research routes and forward-looking visions for researchers and practitioners in this field.","author":[{"dropping-particle":"","family":"Feng","given":"Fei","non-dropping-particle":"","parse-names":false,"suffix":""},{"dropping-particle":"","family":"Hu","given":"Xiaosong","non-dropping-particle":"","parse-names":false,"suffix":""},{"dropping-particle":"","family":"Liu","given":"Jianfei","non-dropping-particle":"","parse-names":false,"suffix":""},{"dropping-particle":"","family":"Lin","given":"Xianke","non-dropping-particle":"","parse-names":false,"suffix":""},{"dropping-particle":"","family":"Liu","given":"Bo","non-dropping-particle":"","parse-names":false,"suffix":""}],"container-title":"Renewable and Sustainable Energy Reviews","id":"ITEM-1","issue":"July","issued":{"date-parts":[["2019"]]},"page":"109464","publisher":"Elsevier Ltd","title":"A review of equalization strategies for series battery packs: variables, objectives, and algorithms","type":"article-journal","volume":"116"},"uris":["http://www.mendeley.com/documents/?uuid=735b356e-ebe6-4de4-abf6-dc19614fed95","http://www.mendeley.com/documents/?uuid=35428416-040c-4f1f-bf1c-436ad1240048"]}],"mendeley":{"formattedCitation":"[55]","plainTextFormattedCitation":"[55]","previouslyFormattedCitation":"[55]"},"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[55]</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hint="eastAsia"/>
          <w:color w:val="0D0D0D" w:themeColor="text1" w:themeTint="F2"/>
        </w:rPr>
        <w:t xml:space="preserve">. Control algorithm-based </w:t>
      </w:r>
      <w:r w:rsidRPr="00457DEA">
        <w:rPr>
          <w:rFonts w:ascii="Times New Roman" w:hAnsi="Times New Roman" w:cs="Times New Roman"/>
          <w:color w:val="0D0D0D" w:themeColor="text1" w:themeTint="F2"/>
        </w:rPr>
        <w:t>equalization</w:t>
      </w:r>
      <w:r w:rsidRPr="00457DEA">
        <w:rPr>
          <w:rFonts w:ascii="Times New Roman" w:hAnsi="Times New Roman" w:cs="Times New Roman" w:hint="eastAsia"/>
          <w:color w:val="0D0D0D" w:themeColor="text1" w:themeTint="F2"/>
        </w:rPr>
        <w:t xml:space="preserve"> algorithms range from classical control theory such as </w:t>
      </w:r>
      <w:r w:rsidRPr="00457DEA">
        <w:rPr>
          <w:rFonts w:ascii="Times New Roman" w:hAnsi="Times New Roman" w:cs="Times New Roman"/>
          <w:color w:val="0D0D0D" w:themeColor="text1" w:themeTint="F2"/>
        </w:rPr>
        <w:t>proportion integration differentiation (PID)</w:t>
      </w:r>
      <w:r w:rsidRPr="00457DEA">
        <w:rPr>
          <w:rFonts w:ascii="Times New Roman" w:hAnsi="Times New Roman" w:cs="Times New Roman" w:hint="eastAsia"/>
          <w:color w:val="0D0D0D" w:themeColor="text1" w:themeTint="F2"/>
        </w:rPr>
        <w:t xml:space="preserve"> to the </w:t>
      </w:r>
      <w:r w:rsidRPr="00457DEA">
        <w:rPr>
          <w:rFonts w:ascii="Times New Roman" w:hAnsi="Times New Roman" w:cs="Times New Roman"/>
          <w:color w:val="0D0D0D" w:themeColor="text1" w:themeTint="F2"/>
        </w:rPr>
        <w:t>modern control theory</w:t>
      </w:r>
      <w:r w:rsidRPr="00457DEA">
        <w:rPr>
          <w:rFonts w:ascii="Times New Roman" w:hAnsi="Times New Roman" w:cs="Times New Roman" w:hint="eastAsia"/>
          <w:color w:val="0D0D0D" w:themeColor="text1" w:themeTint="F2"/>
        </w:rPr>
        <w:t xml:space="preserve"> including model predictive control and </w:t>
      </w:r>
      <w:r w:rsidRPr="00457DEA">
        <w:rPr>
          <w:rFonts w:ascii="Times New Roman" w:hAnsi="Times New Roman" w:cs="Times New Roman"/>
          <w:color w:val="0D0D0D" w:themeColor="text1" w:themeTint="F2"/>
        </w:rPr>
        <w:t>sliding mode control</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{"citationItems":[{"id":"ITEM-1","itemData":{"DOI":"10.1016/j.apenergy.2016.01.010","ISSN":"03062619","abstract":"Due to the strong nonlinearity and complex time-variant property of batteries, the existing state of charge (SOC) estimation approaches based on a single equivalent circuit model (ECM) cannot provide the accurate SOC for the entire discharging period. This paper aims to present a novel SOC estimation approach based on a multiple ECMs fusion method for improving the practical application performance. In the proposed approach, three battery ECMs, namely the Thevenin model, the double polarization model and the 3rd order RC model, are selected to describe the dynamic voltage of lithium-ion batteries and the genetic algorithm is then used to determine the model parameters. The linear matrix inequality-based H-infinity technique is employed to estimate the SOC from the three models and the Bayes theorem-based probability method is employed to determine the optimal weights for synthesizing the SOCs estimated from the three models. Two types of lithium-ion batteries are used to verify the feasibility and robustness of the proposed approach. The results indicate that the proposed approach can improve the accuracy and reliability of the SOC estimation against uncertain battery materials and inaccurate initial states.","author":[{"dropping-particle":"","family":"Lin","given":"Cheng","non-dropping-particle":"","parse-names":false,"suffix":""},{"dropping-particle":"","family":"Mu","given":"Hao","non-dropping-particle":"","parse-names":false,"suffix":""},{"dropping-particle":"","family":"Xiong","given":"Rui","non-dropping-particle":"","parse-names":false,"suffix":""},{"dropping-particle":"","family":"Shen","given":"Weixiang","non-dropping-particle":"","parse-names":false,"suffix":""}],"container-title":"Applied Energy","id":"ITEM-1","issued":{"date-parts":[["2016"]]},"page":"76-83","title":"A novel multi-model probability battery state of charge estimation approach for electric vehicles using H-infinity algorithm","type":"article-journal","volume":"166"},"uris":["http://www.mendeley.com/documents/?uuid=2fd3a3f8-b6af-41eb-919c-615dd49dc3e0","http://www.mendeley.com/documents/?uuid=70aed26c-de8f-46f4-b8f7-455d0e3ef273"]}],"mendeley":{"formattedCitation":"[56]","plainTextFormattedCitation":"[56]","previouslyFormattedCitation":"[56]"},"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[56]</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hint="eastAsia"/>
          <w:color w:val="0D0D0D" w:themeColor="text1" w:themeTint="F2"/>
        </w:rPr>
        <w:t xml:space="preserve">. </w:t>
      </w:r>
      <w:r w:rsidRPr="00457DEA">
        <w:rPr>
          <w:rFonts w:ascii="Times New Roman" w:hAnsi="Times New Roman" w:cs="Times New Roman"/>
          <w:color w:val="0D0D0D" w:themeColor="text1" w:themeTint="F2"/>
        </w:rPr>
        <w:t xml:space="preserve">Data-driven equalization strategies are based on the dataset such as voltage, SOC, and capacity to implement data dimension reduction, feature extraction and regression analysis to judge the degree of battery pack imbalance and realize equalization while fusion-based equalization algorithms adopt multiple variable features and fusion algorithms to execute equalization operations and achieve accurate and stable EMS </w:t>
      </w:r>
      <w:r w:rsidRPr="00457DEA">
        <w:rPr>
          <w:rFonts w:ascii="Times New Roman" w:hAnsi="Times New Roman" w:cs="Times New Roman"/>
          <w:color w:val="0D0D0D" w:themeColor="text1" w:themeTint="F2"/>
        </w:rPr>
        <w:fldChar w:fldCharType="begin" w:fldLock="1"/>
      </w:r>
      <w:r w:rsidRPr="00457DEA">
        <w:rPr>
          <w:rFonts w:ascii="Times New Roman" w:hAnsi="Times New Roman" w:cs="Times New Roman"/>
          <w:color w:val="0D0D0D" w:themeColor="text1" w:themeTint="F2"/>
        </w:rPr>
        <w:instrText>ADDIN CSL_CITATION {"citationItems":[{"id":"ITEM-1","itemData":{"DOI":"10.1016/j.egyai.2020.100016","ISSN":"26665468","author":[{"dropping-particle":"","family":"Wu","given":"Billy","non-dropping-particle":"","parse-names":false,"suffix":""},{"dropping-particle":"","family":"Widanage","given":"W. Dhammika","non-dropping-particle":"","parse-names":false,"suffix":""},{"dropping-particle":"","family":"Yang","given":"Shichun","non-dropping-particle":"","parse-names":false,"suffix":""},{"dropping-particle":"","family":"Liu","given":"Xinhua","non-dropping-particle":"","parse-names":false,"suffix":""}],"container-title":"Energy and AI","id":"ITEM-1","issued":{"date-parts":[["2020","8"]]},"page":"100016","publisher":"Elsevier","title":"Battery digital twins: Perspectives on the fusion of models, data and artificial intelligence for smart battery management systems","type":"article-journal","volume":"1"},"uris":["http://www.mendeley.com/documents/?uuid=d3b01b96-5fc5-43cd-bb53-715e419c126a"]}],"mendeley":{"formattedCitation":"[11]","plainTextFormattedCitation":"[11]","previouslyFormattedCitation":"[11]"},"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Pr="00457DEA">
        <w:rPr>
          <w:rFonts w:ascii="Times New Roman" w:hAnsi="Times New Roman" w:cs="Times New Roman"/>
          <w:noProof/>
          <w:color w:val="0D0D0D" w:themeColor="text1" w:themeTint="F2"/>
        </w:rPr>
        <w:t>[11]</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 </w:t>
      </w:r>
    </w:p>
    <w:p w14:paraId="1C2CF534" w14:textId="77777777" w:rsidR="00672135" w:rsidRPr="00457DEA" w:rsidRDefault="00120DF0">
      <w:pPr>
        <w:pStyle w:val="2"/>
        <w:rPr>
          <w:color w:val="0D0D0D" w:themeColor="text1" w:themeTint="F2"/>
        </w:rPr>
      </w:pPr>
      <w:r w:rsidRPr="00457DEA">
        <w:rPr>
          <w:color w:val="0D0D0D" w:themeColor="text1" w:themeTint="F2"/>
        </w:rPr>
        <w:t>3</w:t>
      </w:r>
      <w:r w:rsidRPr="00457DEA">
        <w:rPr>
          <w:rFonts w:hint="eastAsia"/>
          <w:color w:val="0D0D0D" w:themeColor="text1" w:themeTint="F2"/>
        </w:rPr>
        <w:t xml:space="preserve">.4 </w:t>
      </w:r>
      <w:r w:rsidRPr="00457DEA">
        <w:rPr>
          <w:color w:val="0D0D0D" w:themeColor="text1" w:themeTint="F2"/>
        </w:rPr>
        <w:t>Fault diagnosis</w:t>
      </w:r>
    </w:p>
    <w:p w14:paraId="03C7872A" w14:textId="1882FA71" w:rsidR="00672135" w:rsidRPr="00457DEA" w:rsidRDefault="00120DF0">
      <w:pPr>
        <w:ind w:firstLineChars="200" w:firstLine="420"/>
        <w:rPr>
          <w:rFonts w:ascii="Times New Roman" w:hAnsi="Times New Roman" w:cs="Times New Roman"/>
          <w:color w:val="0D0D0D" w:themeColor="text1" w:themeTint="F2"/>
        </w:rPr>
      </w:pPr>
      <w:r w:rsidRPr="00457DEA">
        <w:rPr>
          <w:rFonts w:ascii="Times New Roman" w:hAnsi="Times New Roman" w:cs="Times New Roman"/>
          <w:color w:val="0D0D0D" w:themeColor="text1" w:themeTint="F2"/>
        </w:rPr>
        <w:t>Safety concerns are the main obstacle to large-scale application of batteries (LIBs), and thus, battery fault</w:t>
      </w:r>
      <w:r w:rsidRPr="00457DEA">
        <w:rPr>
          <w:rFonts w:ascii="Times New Roman" w:hAnsi="Times New Roman" w:cs="Times New Roman" w:hint="eastAsia"/>
          <w:color w:val="0D0D0D" w:themeColor="text1" w:themeTint="F2"/>
        </w:rPr>
        <w:t xml:space="preserve"> </w:t>
      </w:r>
      <w:r w:rsidRPr="00457DEA">
        <w:rPr>
          <w:rFonts w:ascii="Times New Roman" w:hAnsi="Times New Roman" w:cs="Times New Roman"/>
          <w:color w:val="0D0D0D" w:themeColor="text1" w:themeTint="F2"/>
        </w:rPr>
        <w:t>diagnosis has become a global research hotspot</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{"citationItems":[{"id":"ITEM-1","itemData":{"DOI":"10.1016/j.ensm.2020.11.026","ISSN":"24058297","abstract":"Safety concerns are the main obstacle to large-scale application of lithium-ion batteries (LIBs), and thus, improving the safety of LIBs is receiving global attention. Within battery systems, the internal short circuit (ISC) is considered to be a severe hazard, as it may result in catastrophic safety failures, such as thermal runaway. Considering this, we provide a comprehensive review on the mechanism and evolutionary process of ISC, including modeling and simulation experiments and the methods of detection and diagnosis. First, ISC types and the inducing mechanism under various inducements are analyzed, and the evolution process of ISC is divided into three stages according to electrical and thermal characteristics. Second, eleven existing ISC substitute experimental methods are listed in detail, and three coupling models of electric-thermal-ISC models are introduced to simulate the characteristics of ISC. Third, existing ISC detection methods are reviewed in detail, divided into six categories. Moreover, we propose methods for ISC detection under four special conditions: ISC detection for the cells before grouping, ISC detection method during electric vehicle dormancy, ISC detection based on equilibrium electric quantity compensation to address negative impact of the equalization function of the battery management system on ISC detection, and effective fault tree diagnosis for the joint identification and early warning of multiple battery faults. Fourth, existing ISC prevention methods are reviewed. Finally, the key technologies of ISC are prospected, revealing that the development of big data and artificial intelligence technology will promote the accuracy and timeliness of ISC detection.","author":[{"dropping-particle":"","family":"Lai","given":"Xin","non-dropping-particle":"","parse-names":false,"suffix":""},{"dropping-particle":"","family":"Jin","given":"Changyong","non-dropping-particle":"","parse-names":false,"suffix":""},{"dropping-particle":"","family":"Yi","given":"Wei","non-dropping-particle":"","parse-names":false,"suffix":""},{"dropping-particle":"","family":"Han","given":"Xuebing","non-dropping-particle":"","parse-names":false,"suffix":""},{"dropping-particle":"","family":"Feng","given":"Xuning","non-dropping-particle":"","parse-names":false,"suffix":""},{"dropping-particle":"","family":"Zheng","given":"Yuejiu","non-dropping-particle":"","parse-names":false,"suffix":""},{"dropping-particle":"","family":"Ouyang","given":"Minggao","non-dropping-particle":"","parse-names":false,"suffix":""}],"container-title":"Energy Storage Materials","id":"ITEM-1","issue":"November 2020","issued":{"date-parts":[["2021"]]},"page":"470-499","publisher":"Elsevier B.V.","title":"Mechanism, modeling, detection, and prevention of the internal short circuit in lithium-ion batteries: Recent advances and perspectives","type":"article-journal","volume":"35"},"uris":["http://www.mendeley.com/documents/?uuid=8695e013-9b63-4412-b177-84bb389d74c7"]}],"mendeley":{"formattedCitation":"[57]","plainTextFormattedCitation":"[57]","previouslyFormattedCitation":"[57]"},"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[57]</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 In the actual operation of the battery, the fault types can be divided into four categories: battery body, BMS, connector, and sensor according to the location. By upgrading the functional safety level to ASIL-D, the main fault </w:t>
      </w:r>
      <w:r w:rsidRPr="00457DEA">
        <w:rPr>
          <w:rFonts w:ascii="Times New Roman" w:hAnsi="Times New Roman" w:cs="Times New Roman"/>
          <w:color w:val="0D0D0D" w:themeColor="text1" w:themeTint="F2"/>
        </w:rPr>
        <w:lastRenderedPageBreak/>
        <w:t>problem of BMS can be solved</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{"citationItems":[{"id":"ITEM-1","itemData":{"DOI":"10.1016/j.measurement.2018.09.007","ISSN":"02632241","abstract":"The condition monitoring and fault diagnosis of the lithium-ion battery system are crucial issues for electric vehicles. The shocks, blows, twists, and vibrations during the electric vehicle driving process may cause the insulation fault. In order to ensure the safety of the drivers and passengers, a real-time monitor to detect the insulation state between the high voltage and ground is required. However, the conventional battery management system only provides very simple and coarse-grained measurements to detect the insulation resistance. In this work, a model-based insulation fault diagnosis method is proposed. Firstly, the equivalent circuit model for insulation fault diagnosis is established using a high-fidelity cell model. Then, the recursive least-squares method is employed to identify the model parameters. Considering the system nonlinear properties, measurement noise and unknown disturbance, the Kalman filter based state observer is designed for joint estimation of both the battery voltage and state-of-charge using the identified battery model. Finally, the positive and negative virtual insulation resistance are quantitatively assessed based on the prediction results of the state observer. Experiments under different loading profiles are performed to verify the proposed method.","author":[{"dropping-particle":"","family":"Wang","given":"Yujie","non-dropping-particle":"","parse-names":false,"suffix":""},{"dropping-particle":"","family":"Tian","given":"Jiaqiang","non-dropping-particle":"","parse-names":false,"suffix":""},{"dropping-particle":"","family":"Chen","given":"Zonghai","non-dropping-particle":"","parse-names":false,"suffix":""},{"dropping-particle":"","family":"Liu","given":"Xingtao","non-dropping-particle":"","parse-names":false,"suffix":""}],"container-title":"Measurement: Journal of the International Measurement Confederation","id":"ITEM-1","issued":{"date-parts":[["2019"]]},"page":"443-451","publisher":"Elsevier Ltd","title":"Model based insulation fault diagnosis for lithium-ion battery pack in electric vehicles","type":"article-journal","volume":"131"},"uris":["http://www.mendeley.com/documents/?uuid=f54a2542-d915-4752-9cf3-5a92d5bdde4f"]}],"mendeley":{"formattedCitation":"[58]","plainTextFormattedCitation":"[58]","previouslyFormattedCitation":"[58]"},"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[58]</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for connection failure, FPC (flexible circuit board) can be used to avoid short circuit and open circuit of wiring harness connection</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{"citationItems":[{"id":"ITEM-1","itemData":{"DOI":"10.1016/j.energy.2018.09.047","ISSN":"03605442","abstract":"Inter-cell virtual connection is likely to occur in the process of electric vehicles driving, which could cause fire or explosion accident. This paper presents a connecting fault detection method of lithium-ion power batteries in series. The cross-voltage test is adopted to distinguish contact resistance increases and internal resistance increases fault. The battery voltage and negative surface temperature are collected by battery test system and auxiliary channels equipment. The experimental battery based on first-order resistance and capacitance (RC) equivalent circuit and MATLAB/Simulink platform is simulated. The mean square error which indicates the difference between experiment and simulation is employed to describe voltage state of the cell. If the abnormal voltage exists, it is concluded that a fault occurs through analyzing the voltage abnormal coefficients based on modified Z-score, which is considered as a second-degree fault. The temperature rise rate is regarded as a secondary parameter to determine whether the second-degree fault deteriorates into a first-degree fault. According to different levels of failure, battery management system reminds users to take appropriate measures in practice. This work can provide an effective method of detecting lithium-ion power batteries connecting failure in series.","author":[{"dropping-particle":"","family":"Ma","given":"Mina","non-dropping-particle":"","parse-names":false,"suffix":""},{"dropping-particle":"","family":"Wang","given":"Yu","non-dropping-particle":"","parse-names":false,"suffix":""},{"dropping-particle":"","family":"Duan","given":"Qiangling","non-dropping-particle":"","parse-names":false,"suffix":""},{"dropping-particle":"","family":"Wu","given":"Tangqin","non-dropping-particle":"","parse-names":false,"suffix":""},{"dropping-particle":"","family":"Sun","given":"Jinhua","non-dropping-particle":"","parse-names":false,"suffix":""},{"dropping-particle":"","family":"Wang","given":"Qingsong","non-dropping-particle":"","parse-names":false,"suffix":""}],"container-title":"Energy","id":"ITEM-1","issued":{"date-parts":[["2018"]]},"page":"745-756","publisher":"Elsevier Ltd","title":"Fault detection of the connection of lithium-ion power batteries in series for electric vehicles based on statistical analysis","type":"article-journal","volume":"164"},"uris":["http://www.mendeley.com/documents/?uuid=e9c3b4ae-0b37-4fa3-9a1a-c1b07c4d9031"]}],"mendeley":{"formattedCitation":"[59]","plainTextFormattedCitation":"[59]","previouslyFormattedCitation":"[59]"},"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[59]</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sensor failure generally use redundant design to improve system reliability</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{"citationItems":[{"id":"ITEM-1","itemData":{"DOI":"10.1016/j.ijepes.2020.106087","ISSN":"01420615","abstract":"Sensor fault diagnosis is a crucial technology for the battery management system. In this work, a sensor fault diagnosis scheme is proposed for the battery pack using equivalent models and particle filters. The thermal and electrical models of the battery pack are developed based on the Thevenin equivalent circuit model and the radial equivalent thermal model. The model parameters are identified by the recursive least square algorithm. The particle filter estimates the temperature and voltage of the battery pack, which overcomes the problems of system noise and nonlinearity. The studentized residual method based on a sliding window is developed to eliminate the residual outliers caused by uncertainty. Monte Carlo simulation is used to calculate the specific values of distribution function, mean and standard deviation for different sequences. The critical value table of the absolute value method of studentized residuals is obtained by interpolating. The cumulative sum of residual log-likelihood ratio method based on sliding windows is developed to calculate residuals. By multiple residual assessments, faults of voltage, current, temperature sensors, and batteries are detected and isolated. Different fault cases are simulated to verify the proposed scheme. The results of the experiment and simulation results verify the effectiveness of the proposed sensor fault diagnosis scheme.","author":[{"dropping-particle":"","family":"Tian","given":"Jiaqiang","non-dropping-particle":"","parse-names":false,"suffix":""},{"dropping-particle":"","family":"Wang","given":"Yujie","non-dropping-particle":"","parse-names":false,"suffix":""},{"dropping-particle":"","family":"Chen","given":"Zonghai","non-dropping-particle":"","parse-names":false,"suffix":""}],"container-title":"International Journal of Electrical Power and Energy Systems","id":"ITEM-1","issue":"April","issued":{"date-parts":[["2020"]]},"page":"106087","publisher":"Elsevier","title":"Sensor fault diagnosis for lithium-ion battery packs based on thermal and electrical models","type":"article-journal","volume":"121"},"uris":["http://www.mendeley.com/documents/?uuid=f8558285-3130-4656-ad63-c533a1f290e5"]},{"id":"ITEM-2","itemData":{"DOI":"10.1109/TCST.2016.2538200","ISSN":"10636536","abstract":"In battery management systems (BMSs), real-time diagnosis of sensor faults is critical for ensuring the safety and reliability of the battery. For example, a current sensor fault leads to erroneous estimates of state of charge and other parameters, which in turn affects the control actions in the BMS. A temperature sensor fault may lead to ineffective thermal management. In this brief, a model-based diagnostic scheme is presented that uses sliding mode observers designed based on the electrical and thermal dynamics of the battery. It is analytically shown how the extraction of the equivalent output error injection signals on the sliding manifolds enables the detection, the isolation, as well as the estimation of the temperature, voltage, and current sensor faults. This brief includes simulation and experimental studies to demonstrate and evaluate the effectiveness of the proposed scheme. Discussions are also included on the effects of uncertainty and on threshold design.","author":[{"dropping-particle":"","family":"Dey","given":"Satadru","non-dropping-particle":"","parse-names":false,"suffix":""},{"dropping-particle":"","family":"Mohon","given":"Sara","non-dropping-particle":"","parse-names":false,"suffix":""},{"dropping-particle":"","family":"Pisu","given":"Pierluigi","non-dropping-particle":"","parse-names":false,"suffix":""},{"dropping-particle":"","family":"Ayalew","given":"Beshah","non-dropping-particle":"","parse-names":false,"suffix":""}],"container-title":"IEEE Transactions on Control Systems Technology","id":"ITEM-2","issue":"6","issued":{"date-parts":[["2016"]]},"page":"2141-2149","publisher":"IEEE","title":"Sensor Fault Detection, Isolation, and Estimation in Lithium-Ion Batteries","type":"article-journal","volume":"24"},"uris":["http://www.mendeley.com/documents/?uuid=8f83487b-fa63-45a4-8611-891743e95475"]}],"mendeley":{"formattedCitation":"[60,61]","plainTextFormattedCitation":"[60,61]","previouslyFormattedCitation":"[60,61]"},"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[60,61]</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Because the battery itself is a dynamic and time-varying electrochemical system with nonlinear behavior and complicated internal mechanisms, the fault diagnosis of the battery is still a hot issue in research</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{"citationItems":[{"id":"ITEM-1","itemData":{"DOI":"10.1016/j.joule.2019.11.018","ISSN":"25424351","abstract":"Lithium-ion batteries have been widely used in many important applications. However, there are still many challenges facing lithium-ion batteries, one of them being degradation. Battery degradation is a complex problem, which involves many electrochemical side reactions in anode, electrolyte, and cathode. Operating conditions affect degradation significantly and therefore the battery lifetime. It is of extreme importance to achieve accurate predictions of the remaining battery lifetime under various operating conditions. This is essential for the battery management system to ensure reliable operation and timely maintenance and is also critical for battery second-life applications. After introducing the degradation mechanisms, this paper provides a timely and comprehensive review of the battery lifetime prognostic technologies with a focus on recent advances in model-based, data-driven, and hybrid approaches. The details, advantages, and limitations of these approaches are presented, analyzed, and compared. Future trends are presented, and key challenges and opportunities are discussed. The increasing energy demands of a growing population and the challenges of climate change provide a strong driving force for transportation electrification and smart grid development. As one of the most widely used energy storage devices, lithium-ion batteries play an important role in those fields. One of the most urgent issues in lithium-ion batteries is degradation. Automakers have set 15 years in service as the goal for hybrid and electric vehicles. Storage batteries used in renewable energy systems and smart grids also require long lives. A long battery lifetime is critical to achieving the economic viability in electric vehicles, renewable energy, and smart grid infrastructure. However, battery degradation is a complex electrochemical process, which includes many electrochemical side reactions, such as solid electrolyte interphase, electrolyte oxidation, salt decomposition, particle fracture, and active material dissolution. Accurate predictions of the remaining battery lifetime at different operating conditions are essential for the battery management system to avoid potentially dangerous battery failures and guarantee reliable and efficient operation. The remaining battery lifetime information is also critical for battery second-life applications. This paper provides a comprehensive review of the development of battery remaining useful lifetime (RUL) prognostic t…","author":[{"dropping-particle":"","family":"Hu","given":"Xiaosong","non-dropping-particle":"","parse-names":false,"suffix":""},{"dropping-particle":"","family":"Xu","given":"Le","non-dropping-particle":"","parse-names":false,"suffix":""},{"dropping-particle":"","family":"Lin","given":"Xianke","non-dropping-particle":"","parse-names":false,"suffix":""},{"dropping-particle":"","family":"Pecht","given":"Michael","non-dropping-particle":"","parse-names":false,"suffix":""}],"container-title":"Joule","id":"ITEM-1","issue":"2","issued":{"date-parts":[["2020"]]},"page":"310-346","title":"Battery Lifetime Prognostics","type":"article-journal","volume":"4"},"uris":["http://www.mendeley.com/documents/?uuid=07820cae-dda1-4e79-8ff8-edddbe9c14b9"]}],"mendeley":{"formattedCitation":"[62]","plainTextFormattedCitation":"[62]","previouslyFormattedCitation":"[62]"},"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[62]</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The faults of the battery itself mainly include state-of-health</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{"citationItems":[{"id":"ITEM-1","itemData":{"DOI":"10.1016/j.jpowsour.2012.11.146","ISSN":"03787753","abstract":"The accurate estimation of state of health (SOH) and a reliable prediction of the remaining useful life (RUL) of Lithium-ion (Li-ion) batteries in hybrid and electrical vehicles are indispensable for safe and lifetime-optimized operation. The SOH is indicated by internal battery parameters like the actual capacity value. Furthermore, this value changes within the battery lifetime, so it has to be monitored on-board the vehicle. In this contribution, a new data-driven approach for embedding diagnosis and prognostics of battery health in alternative power trains is proposed. For the estimation of SOH and RUL, the support vector machine (SVM) as a well-known machine learning method is used. As the estimation of SOH and RUL is highly influenced by environmental and load conditions, the SVM is combined with a new method for training and testing data processing based on load collectives. For this approach, an intensive measurement investigation was carried out on Li-ion power-cells aged to different degrees ensuring a large amount of data. © 2012 Elsevier B.V. All rights reserved.","author":[{"dropping-particle":"","family":"Nuhic","given":"Adnan","non-dropping-particle":"","parse-names":false,"suffix":""},{"dropping-particle":"","family":"Terzimehic","given":"Tarik","non-dropping-particle":"","parse-names":false,"suffix":""},{"dropping-particle":"","family":"Soczka-Guth","given":"Thomas","non-dropping-particle":"","parse-names":false,"suffix":""},{"dropping-particle":"","family":"Buchholz","given":"Michael","non-dropping-particle":"","parse-names":false,"suffix":""},{"dropping-particle":"","family":"Dietmayer","given":"Klaus","no</w:instrText>
      </w:r>
      <w:r w:rsidR="00BE06A1" w:rsidRPr="00457DEA">
        <w:rPr>
          <w:rFonts w:ascii="Times New Roman" w:hAnsi="Times New Roman" w:cs="Times New Roman" w:hint="eastAsia"/>
          <w:color w:val="0D0D0D" w:themeColor="text1" w:themeTint="F2"/>
        </w:rPr>
        <w:instrText>n-dropping-particle":"","parse-names":false,"suffix":""}],"container-title":"Journal of Power Sources","id":"ITEM-1","issued":{"date-parts":[["2013"]]},"note":"</w:instrText>
      </w:r>
      <w:r w:rsidR="00BE06A1" w:rsidRPr="00457DEA">
        <w:rPr>
          <w:rFonts w:ascii="Times New Roman" w:hAnsi="Times New Roman" w:cs="Times New Roman" w:hint="eastAsia"/>
          <w:color w:val="0D0D0D" w:themeColor="text1" w:themeTint="F2"/>
        </w:rPr>
        <w:instrText>使用支持向量回归预测电池容量衰减，并提出相关向量机</w:instrText>
      </w:r>
      <w:r w:rsidR="00BE06A1" w:rsidRPr="00457DEA">
        <w:rPr>
          <w:rFonts w:ascii="Times New Roman" w:hAnsi="Times New Roman" w:cs="Times New Roman" w:hint="eastAsia"/>
          <w:color w:val="0D0D0D" w:themeColor="text1" w:themeTint="F2"/>
        </w:rPr>
        <w:instrText>RVM</w:instrText>
      </w:r>
      <w:r w:rsidR="00BE06A1" w:rsidRPr="00457DEA">
        <w:rPr>
          <w:rFonts w:ascii="Times New Roman" w:hAnsi="Times New Roman" w:cs="Times New Roman" w:hint="eastAsia"/>
          <w:color w:val="0D0D0D" w:themeColor="text1" w:themeTint="F2"/>
        </w:rPr>
        <w:instrText>做预测的可能性</w:instrText>
      </w:r>
      <w:r w:rsidR="00BE06A1" w:rsidRPr="00457DEA">
        <w:rPr>
          <w:rFonts w:ascii="Times New Roman" w:hAnsi="Times New Roman" w:cs="Times New Roman" w:hint="eastAsia"/>
          <w:color w:val="0D0D0D" w:themeColor="text1" w:themeTint="F2"/>
        </w:rPr>
        <w:instrText>","page":"680-688","publisher":"Elsevier B.V","title":"Healt</w:instrText>
      </w:r>
      <w:r w:rsidR="00BE06A1" w:rsidRPr="00457DEA">
        <w:rPr>
          <w:rFonts w:ascii="Times New Roman" w:hAnsi="Times New Roman" w:cs="Times New Roman"/>
          <w:color w:val="0D0D0D" w:themeColor="text1" w:themeTint="F2"/>
        </w:rPr>
        <w:instrText>h diagnosis and remaining useful life prognostics of lithium-ion batteries using data-driven methods","type":"article-journal","volume":"239"},"uris":["http://www.mendeley.com/documents/?uuid=0e7e836f-5643-46de-b6dd-f51f0019e94e"]},{"id":"ITEM-2","itemData":{"DOI":"10.1109/TIE.2018.2808918","ISSN":"02780046","abstract":"The current lithium-ion battery remaining useful life (RUL) prediction techniques are mainly developed dependent on offline training data. The loaded current, temperature, and state of charge of lithium-ion batteries used for electric vehicles (EVs) change dramatically under the working conditions. Therefore, it is difficult to design acceleration aging tests of lithium-ion batteries under similar working conditions as those for EVs and to collect effective offline training data. To address this problem, this paper developed an RUL prediction method based on the Box-Cox transformation (BCT) and Monte Carlo (MC) simulation. This method can be implemented independent of offline training data. In the method, the BCT was used to transform the available capacity data and to construct a linear model between the transformed capacities and cycles. The constructed linear model using the BCT was extrapolated to predict the battery RUL, and the RUL prediction uncertainties were generated using the MC simulation. Experimental results showed that accurate and precise RULs were predicted with errors and standard deviations within, respectively, [-20, 10] cycles and [1.8, 7] cycles. If some offline training data are available, the method can reduce the required online training data and, thus, the acceleration aging test time of lithium-ion batteries. Experimental results showed that the acceleration time of the tested cells can be reduced by 70%-85% based on the developed method, which saved one to three months' acceleration test time compared to the particle filter method.","author":[{"dropping-particle":"","family":"Zhang","given":"Yongzhi","non-dropping-particle":"","parse-names":false,"suffix":""},{"dropping-particle":"","family":"Xiong","given":"Rui","non-dropping-particle":"","parse-names":false,"suffix":""},{"dropping-particle":"","family":"He","given":"Hongwen","non-dropping-particle":"","parse-names":false,"suffix":""},{"dropping-particle":"","f</w:instrText>
      </w:r>
      <w:r w:rsidR="00BE06A1" w:rsidRPr="00457DEA">
        <w:rPr>
          <w:rFonts w:ascii="Times New Roman" w:hAnsi="Times New Roman" w:cs="Times New Roman" w:hint="eastAsia"/>
          <w:color w:val="0D0D0D" w:themeColor="text1" w:themeTint="F2"/>
        </w:rPr>
        <w:instrText>amily":"Pecht","given":"Michael G.","non-dropping-particle":"","parse-names":false,"suffix":""}],"container-title":"IEEE Transactions on Industrial Electronics","id":"ITEM-2","issue":"2","issued":{"date-parts":[["2019"]]},"note":"484</w:instrText>
      </w:r>
      <w:r w:rsidR="00BE06A1" w:rsidRPr="00457DEA">
        <w:rPr>
          <w:rFonts w:ascii="Times New Roman" w:hAnsi="Times New Roman" w:cs="Times New Roman" w:hint="eastAsia"/>
          <w:color w:val="0D0D0D" w:themeColor="text1" w:themeTint="F2"/>
        </w:rPr>
        <w:instrText>个新的和</w:instrText>
      </w:r>
      <w:r w:rsidR="00BE06A1" w:rsidRPr="00457DEA">
        <w:rPr>
          <w:rFonts w:ascii="Times New Roman" w:hAnsi="Times New Roman" w:cs="Times New Roman" w:hint="eastAsia"/>
          <w:color w:val="0D0D0D" w:themeColor="text1" w:themeTint="F2"/>
        </w:rPr>
        <w:instrText>1908</w:instrText>
      </w:r>
      <w:r w:rsidR="00BE06A1" w:rsidRPr="00457DEA">
        <w:rPr>
          <w:rFonts w:ascii="Times New Roman" w:hAnsi="Times New Roman" w:cs="Times New Roman" w:hint="eastAsia"/>
          <w:color w:val="0D0D0D" w:themeColor="text1" w:themeTint="F2"/>
        </w:rPr>
        <w:instrText>年老化的锂离子电池来自于两辆相同的纯电动汽车</w:instrText>
      </w:r>
      <w:r w:rsidR="00BE06A1" w:rsidRPr="00457DEA">
        <w:rPr>
          <w:rFonts w:ascii="Times New Roman" w:hAnsi="Times New Roman" w:cs="Times New Roman" w:hint="eastAsia"/>
          <w:color w:val="0D0D0D" w:themeColor="text1" w:themeTint="F2"/>
        </w:rPr>
        <w:instrText>(</w:instrText>
      </w:r>
      <w:r w:rsidR="00BE06A1" w:rsidRPr="00457DEA">
        <w:rPr>
          <w:rFonts w:ascii="Times New Roman" w:hAnsi="Times New Roman" w:cs="Times New Roman" w:hint="eastAsia"/>
          <w:color w:val="0D0D0D" w:themeColor="text1" w:themeTint="F2"/>
        </w:rPr>
        <w:instrText>即每辆</w:instrText>
      </w:r>
      <w:r w:rsidR="00BE06A1" w:rsidRPr="00457DEA">
        <w:rPr>
          <w:rFonts w:ascii="Times New Roman" w:hAnsi="Times New Roman" w:cs="Times New Roman" w:hint="eastAsia"/>
          <w:color w:val="0D0D0D" w:themeColor="text1" w:themeTint="F2"/>
        </w:rPr>
        <w:instrText>954</w:instrText>
      </w:r>
      <w:r w:rsidR="00BE06A1" w:rsidRPr="00457DEA">
        <w:rPr>
          <w:rFonts w:ascii="Times New Roman" w:hAnsi="Times New Roman" w:cs="Times New Roman" w:hint="eastAsia"/>
          <w:color w:val="0D0D0D" w:themeColor="text1" w:themeTint="F2"/>
        </w:rPr>
        <w:instrText>个电池</w:instrText>
      </w:r>
      <w:r w:rsidR="00BE06A1" w:rsidRPr="00457DEA">
        <w:rPr>
          <w:rFonts w:ascii="Times New Roman" w:hAnsi="Times New Roman" w:cs="Times New Roman" w:hint="eastAsia"/>
          <w:color w:val="0D0D0D" w:themeColor="text1" w:themeTint="F2"/>
        </w:rPr>
        <w:instrText>)</w:instrText>
      </w:r>
      <w:r w:rsidR="00BE06A1" w:rsidRPr="00457DEA">
        <w:rPr>
          <w:rFonts w:ascii="Times New Roman" w:hAnsi="Times New Roman" w:cs="Times New Roman" w:hint="eastAsia"/>
          <w:color w:val="0D0D0D" w:themeColor="text1" w:themeTint="F2"/>
        </w:rPr>
        <w:instrText>，它们通过容量和阻抗的测量来获得广泛的分布拟合分析数据。结果表明，随着年龄的增长，锂离子电池的各项参数由正态分布变为威布尔分布。与典型的左偏威布尔型分布模式相比，老年状态下具有异常特征的细胞表现出更低的容量。此外，变异强度和离群值的数量一般都随着时效的进展而增加。</w:instrText>
      </w:r>
      <w:r w:rsidR="00BE06A1" w:rsidRPr="00457DEA">
        <w:rPr>
          <w:rFonts w:ascii="Times New Roman" w:hAnsi="Times New Roman" w:cs="Times New Roman" w:hint="eastAsia"/>
          <w:color w:val="0D0D0D" w:themeColor="text1" w:themeTint="F2"/>
        </w:rPr>
        <w:instrText>\n</w:instrText>
      </w:r>
      <w:r w:rsidR="00BE06A1" w:rsidRPr="00457DEA">
        <w:rPr>
          <w:rFonts w:ascii="Times New Roman" w:hAnsi="Times New Roman" w:cs="Times New Roman" w:hint="eastAsia"/>
          <w:color w:val="0D0D0D" w:themeColor="text1" w:themeTint="F2"/>
        </w:rPr>
        <w:instrText>在模组中更换单体也会对整体性能造成影响</w:instrText>
      </w:r>
      <w:r w:rsidR="00BE06A1" w:rsidRPr="00457DEA">
        <w:rPr>
          <w:rFonts w:ascii="Times New Roman" w:hAnsi="Times New Roman" w:cs="Times New Roman" w:hint="eastAsia"/>
          <w:color w:val="0D0D0D" w:themeColor="text1" w:themeTint="F2"/>
        </w:rPr>
        <w:instrText>","page":"1585-1597","publisher":"IEEE","title":"Lithium-Ion Battery Remaining Usef</w:instrText>
      </w:r>
      <w:r w:rsidR="00BE06A1" w:rsidRPr="00457DEA">
        <w:rPr>
          <w:rFonts w:ascii="Times New Roman" w:hAnsi="Times New Roman" w:cs="Times New Roman"/>
          <w:color w:val="0D0D0D" w:themeColor="text1" w:themeTint="F2"/>
        </w:rPr>
        <w:instrText>ul Life Prediction with Box-Cox Transformation and Monte Carlo Simulation","type":"article-journal","volume":"66"},"uris":["http://www.mendeley.com/documents/?uuid=b77656bf-d14f-4565-b05c-57cfbb663aad"]}],"mendeley":{"formattedCitation":"[63,64]","plainTextFormattedCitation":"[63,64]","previouslyFormattedCitation":"[63,64]"},"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[63,64]</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internal short circuit fault(ISC) and external short circuit(ESC)</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{"citationItems":[{"id":"ITEM-1","itemData":{"DOI":"10.1016/j.jpowsour.2018.05.097","ISSN":"03787753","abstract":"Micro-short circuit (MSC) of a lithium-ion battery cell is a potential safety hazard for battery packs. How to identify the cell with MSC in the latent phase before a thermal runaway becomes a difficult problem to solve. We propose a diagnosis method to detect the MSC according to the remaining charging capacity (RCC) variations between cells. When the charging cell voltage curve (CCVC) of the first fully charged cell is regarded as the benchmark, the RCC of each cell can be obtained by the CCVC transformation based on the uniform CCVC hypothesis. The accuracy of the RCC estimation method is validated under constant current and constant power charging experiments. The leakage current of the MSC cell can be obtained by the increase of the RCC after each charge, and it can be converted into the MSC resistance. We set up the battery pack system model with the MSC fault in Simulink® to verify the effectiveness of the method when the battery pack is charged up to different charge cutoff voltages. Through a series of experiments with external resistors, the adaptability of the MSC diagnosis method is further validated for the aged cell, multi-stage charging, and constant power charging.","author":[{"dropping-particle":"","family":"Kong","given":"Xiangdong","non-dropping-particle":"","parse-names":false,"suffix":""},{"dropping-particle":"","family":"Zheng","given":"Yuejiu","non-dropping-particle":"","parse-names":false,"suffix":""},{"dropping-particle":"","family":"Ouyang","given":"Minggao","non-dropping-particle":"","parse-names":false,"suffix":""},{"dropping-particle":"","family":"Lu","given":"Languang","non-dropping-particle":"","parse-names":false,"suffix":""},{"dropping-particle":"","family":"Li","given":"Jianqiu","non-dropping-particle":"","parse-names":false,"suffix":""},{"dropping-particle":"","family":"Zhang","given":"Zhendong","non-dropping-particle":"","parse-names":false,"suffix":""}],"container-title":"Journal of Power Sources","id":"ITEM-1","issue":"May","issued":{"date-parts":[["2018"]]},"page":"358-368","publisher":"Elsevier","title":"Fault diagnosis and quantitative analysis of micro-short circuits for lithium-ion batteries in battery packs","type":"article-journal","volume":"395"},"uris":["http://www.mendeley.com/documents/?uuid=1093d31e-fb89-458f-b048-fdb3913baa47"]},{"id":"ITEM-2","itemData":{"DOI":"10.1016/j.apenergy.2016.10.026","ISSN":"03062619","abstract":"This study investigates the external short circuit (ESC) fault characteristics of lithium-ion battery experimentally. An experiment platform is established and the ESC tests are implemented on ten 18650-type lithium cells considering different state-of-charges (SOCs). Based on the experiment results, several efforts have been made. (1) The ESC process can be divided into two periods and the electrical and thermal behaviors within these two periods are analyzed. (2) A modified first-order RC model is employed to simulate the electrical behavior of the lithium cell in the ESC fault process. The model parameters are re-identified by a dynamic-neighborhood particle swarm optimization algorithm. (3) A two-layer model-based ESC fault diagnosis algorithm is proposed. The first layer conducts preliminary fault detection and the second layer gives a precise model-based diagnosis. Four new cells are short-circuited to evaluate the proposed algorithm. It shows that the ESC fault can be diagnosed within 5 s, the error between the model and measured data is less than 0.36 V. The effectiveness of the fault diagnosis algorithm is not sensitive to the precision of battery SOC. The proposed algorithm can still make the correct diagnosis even if there is 10% error in SOC estimation.","author":[{"dropping-particle":"","family":"Chen","given":"Zeyu","non-dropping-particle":"","parse-names":false,"suffix":""},{"dropping-particle":"","family":"Xiong","given":"Rui","non-dropping-particle":"","parse-names":false,"suffix":""},{"dropping-particle":"","family":"Tian","given":"Jinpeng","non-dropping-particle":"","parse-names":false,"suffix":""},{"dropping-particle":"","family":"Shang","given":"Xiong","non-dropping-particle":"","parse-names":false,"suffix":""},{"dropping-particle":"","family":"Lu","given":"Jiahuan","non-dropping-particle":"","parse-names":false,"suffix":""}],"container-title":"Applied Energy","id":"ITEM-2","issued":{"date-parts":[["2016"]]},"page":"365-374","title":"Model-based fault diagnosis approach on external short circuit of lithium-ion battery used in electric vehicles","type":"article-journal","volume":"184"},"uris":["http://www.mendeley.com/documents/?uuid=366efc18-a795-4676-8270-b677840d39a8"]}],"mendeley":{"formattedCitation":"[65,66]","plainTextFormattedCitation":"[65,66]","previouslyFormattedCitation":"[65,66]"},"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[65,66]</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xml:space="preserve">, overcharge and </w:t>
      </w:r>
      <w:proofErr w:type="spellStart"/>
      <w:r w:rsidRPr="00457DEA">
        <w:rPr>
          <w:rFonts w:ascii="Times New Roman" w:hAnsi="Times New Roman" w:cs="Times New Roman"/>
          <w:color w:val="0D0D0D" w:themeColor="text1" w:themeTint="F2"/>
        </w:rPr>
        <w:t>overdischarge</w:t>
      </w:r>
      <w:proofErr w:type="spellEnd"/>
      <w:r w:rsidRPr="00457DEA">
        <w:rPr>
          <w:rFonts w:ascii="Times New Roman" w:hAnsi="Times New Roman" w:cs="Times New Roman"/>
          <w:color w:val="0D0D0D" w:themeColor="text1" w:themeTint="F2"/>
        </w:rPr>
        <w:t xml:space="preserve"> fault</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{"citationItems":[{"id":"ITEM-1","itemData":{"DOI":"10.1109/TIE.2014.2336599","ISSN":"02780046","abstract":"In this paper, an adaptive fault diagnosis technique is used in Li-ion batteries. The diagnosis process consists of multiple nonlinear models representing signature faults, such as overcharge and overdischarge, causing significant model parameter variation. The impedance spectroscopy of a Li-ion $(\\hbox{LiFePO}-{4})$ cell is used, along with the equivalent circuit methodology, to construct nonlinear battery signature-fault models. Extended Kalman filters are utilized to estimate the terminal voltage of each model and to generate residual signals. The residual signals are used in the multiple-model adaptive estimation technique to generate probabilities that determine the signature faults. It can be seen that, by using this method, signature faults can be detected accurately, thus providing an effective way of diagnosing Li-ion battery failure.","author":[{"dropping-particle":"","family":"Sidhu","given":"Amardeep","non-dropping-particle":"","parse-names":false,"suffix":""},{"dropping-particle":"","family":"Izadian","given":"Afshin","non-dropping-particle":"","parse-names":false,"suffix":""},{"dropping-particle":"","family":"Anwar","given":"Sohel","non-dropping-particle":"","parse-names":false,"suffix":""}],"container-title":"IEEE Transactions on Industrial Electronics","id":"ITEM-1","issue":"2","issued":{"date-parts":[["2015"]]},"page":"1002-1011","title":"Adaptive nonlinear model-based fault diagnosis of li-ion batteries","type":"article-journal","volume":"62"},"uris":["http://www.mendeley.com/documents/?uuid=af0c52ad-49d4-4cbf-9f1e-e09f4960576a"]}],"mendeley":{"formattedCitation":"[67]","plainTextFormattedCitation":"[67]","previouslyFormattedCitation":"[67]"},"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[67]</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thermal fault</w:t>
      </w:r>
      <w:r w:rsidRPr="00457DEA">
        <w:rPr>
          <w:rFonts w:ascii="Times New Roman" w:hAnsi="Times New Roman" w:cs="Times New Roman"/>
          <w:color w:val="0D0D0D" w:themeColor="text1" w:themeTint="F2"/>
        </w:rPr>
        <w:fldChar w:fldCharType="begin" w:fldLock="1"/>
      </w:r>
      <w:r w:rsidR="00BE06A1" w:rsidRPr="00457DEA">
        <w:rPr>
          <w:rFonts w:ascii="Times New Roman" w:hAnsi="Times New Roman" w:cs="Times New Roman"/>
          <w:color w:val="0D0D0D" w:themeColor="text1" w:themeTint="F2"/>
        </w:rPr>
        <w:instrText>ADDIN CSL_CITATION {"citationItems":[{"id":"ITEM-1","itemData":{"DOI":"10.1016/j.measurement.2017.09.031","ISSN":"02632241","abstract":"Complex electrical systems such as battery packs are pushed further to comply with the continuously rising demands for power, energy and safety. This triangle of requirements needs to be optimized in all three directions, but has to be well balanced using as much information about the battery's parameters, such as temperature. Today's battery packs lack of gapless temperature acquisition due to a limited sensor count. To increase the temperature information count and herewith the safety, additional sensors would need to be installed, which is rather expensive. A different approach is provided in this paper: Already existent wire harnesses are put into a secondary use to acquire thermal hotspots. Additionally, the proposed method allows to localize the thermal event which leads to a more detailed knowledge of battery pack's thermal situation. By accomplishing a gapless temperature supervision, the mentioned requirement triangle can be further optimized to match future application demands.","author":[{"dropping-particle":"","family":"Nordmann","given":"Hannes","non-dropping-particle":"","parse-names":false,"suffix":""},{"dropping-particle":"","family":"Frisch","given":"Maximilian","non-dropping-particle":"","parse-names":false,"suffix":""},{"dropping-particle":"","family":"Sauer","given":"Dirk Uwe","non-dropping-particle":"","parse-names":false,"suffix":""}],"container-title":"Measurement: Journal of the International Measurement Confederation","id":"ITEM-1","issue":"May 2017","issued":{"date-parts":[["2018"]]},"page":"484-491","publisher":"Elsevier","title":"Thermal Fault-Detection method and analysis of peripheral systems for large battery packs","type":"article-journal","volume":"114"},"uris":["http://www.mendeley.com/documents/?uuid=961e55c0-4dc5-484a-aaf6-0bf94bdfe87b"]}],"mendeley":{"formattedCitation":"[68]","plainTextFormattedCitation":"[68]","previouslyFormattedCitation":"[68]"},"properties":{"noteIndex":0},"schema":"https://github.com/citation-style-language/schema/raw/master/csl-citation.json"}</w:instrText>
      </w:r>
      <w:r w:rsidRPr="00457DEA">
        <w:rPr>
          <w:rFonts w:ascii="Times New Roman" w:hAnsi="Times New Roman" w:cs="Times New Roman"/>
          <w:color w:val="0D0D0D" w:themeColor="text1" w:themeTint="F2"/>
        </w:rPr>
        <w:fldChar w:fldCharType="separate"/>
      </w:r>
      <w:r w:rsidR="00BE06A1" w:rsidRPr="00457DEA">
        <w:rPr>
          <w:rFonts w:ascii="Times New Roman" w:hAnsi="Times New Roman" w:cs="Times New Roman"/>
          <w:noProof/>
          <w:color w:val="0D0D0D" w:themeColor="text1" w:themeTint="F2"/>
        </w:rPr>
        <w:t>[68]</w:t>
      </w:r>
      <w:r w:rsidRPr="00457DEA">
        <w:rPr>
          <w:rFonts w:ascii="Times New Roman" w:hAnsi="Times New Roman" w:cs="Times New Roman"/>
          <w:color w:val="0D0D0D" w:themeColor="text1" w:themeTint="F2"/>
        </w:rPr>
        <w:fldChar w:fldCharType="end"/>
      </w:r>
      <w:r w:rsidRPr="00457DEA">
        <w:rPr>
          <w:rFonts w:ascii="Times New Roman" w:hAnsi="Times New Roman" w:cs="Times New Roman"/>
          <w:color w:val="0D0D0D" w:themeColor="text1" w:themeTint="F2"/>
        </w:rPr>
        <w:t>, etc. These faults occur inside the battery, and is difficult to achieve early detection and early warning. Cloud-based BMS can use big data analysis to extract fault features from historical data, and use data-driven algorithms to implement fault diagnosis.</w:t>
      </w:r>
    </w:p>
    <w:p w14:paraId="1898FD60" w14:textId="77777777" w:rsidR="00672135" w:rsidRDefault="00120DF0">
      <w:pPr>
        <w:pStyle w:val="1"/>
        <w:rPr>
          <w:rFonts w:cs="Times New Roman"/>
          <w:szCs w:val="32"/>
        </w:rPr>
      </w:pPr>
      <w:r>
        <w:rPr>
          <w:rFonts w:cs="Times New Roman"/>
          <w:szCs w:val="32"/>
        </w:rPr>
        <w:t>Data Visualization</w:t>
      </w:r>
    </w:p>
    <w:p w14:paraId="403CF84F" w14:textId="77777777" w:rsidR="00672135" w:rsidRDefault="00120DF0">
      <w:pPr>
        <w:widowControl/>
        <w:ind w:firstLineChars="200" w:firstLine="440"/>
        <w:rPr>
          <w:rFonts w:ascii="Times New Roman" w:hAnsi="Times New Roman" w:cs="Times New Roman"/>
          <w:sz w:val="22"/>
        </w:rPr>
      </w:pPr>
      <w:r>
        <w:rPr>
          <w:rFonts w:ascii="Times New Roman" w:eastAsia="宋体" w:hAnsi="Times New Roman" w:cs="Times New Roman"/>
          <w:sz w:val="22"/>
        </w:rPr>
        <w:t xml:space="preserve">Visualization has become one of the indispensable functional aspects of big data analysis tools, especially for a large </w:t>
      </w:r>
      <w:r>
        <w:rPr>
          <w:rFonts w:ascii="Times New Roman" w:eastAsia="宋体" w:hAnsi="Times New Roman" w:cs="Times New Roman" w:hint="eastAsia"/>
          <w:sz w:val="22"/>
        </w:rPr>
        <w:t>amount</w:t>
      </w:r>
      <w:r>
        <w:rPr>
          <w:rFonts w:ascii="Times New Roman" w:eastAsia="宋体" w:hAnsi="Times New Roman" w:cs="Times New Roman"/>
          <w:sz w:val="22"/>
        </w:rPr>
        <w:t xml:space="preserve"> of constantly updated data. When converted into a visual form, the data collected from the battery system and the results obtained from complex calculations and analysis in the cloud can be more concisely and </w:t>
      </w:r>
      <w:r>
        <w:rPr>
          <w:rFonts w:ascii="Times New Roman" w:hAnsi="Times New Roman" w:cs="Times New Roman"/>
          <w:sz w:val="22"/>
        </w:rPr>
        <w:t>explicitly</w:t>
      </w:r>
      <w:r>
        <w:rPr>
          <w:rFonts w:ascii="Times New Roman" w:eastAsia="宋体" w:hAnsi="Times New Roman" w:cs="Times New Roman"/>
          <w:sz w:val="22"/>
        </w:rPr>
        <w:t xml:space="preserve"> expressed. Meanwhile, </w:t>
      </w:r>
      <w:r>
        <w:rPr>
          <w:rFonts w:ascii="Times New Roman" w:hAnsi="Times New Roman" w:cs="Times New Roman"/>
          <w:sz w:val="22"/>
        </w:rPr>
        <w:t xml:space="preserve">synchronization and real-time updating of the database can be realized by using Java Database </w:t>
      </w:r>
      <w:proofErr w:type="gramStart"/>
      <w:r>
        <w:rPr>
          <w:rFonts w:ascii="Times New Roman" w:hAnsi="Times New Roman" w:cs="Times New Roman"/>
          <w:sz w:val="22"/>
        </w:rPr>
        <w:t>Connectivity(</w:t>
      </w:r>
      <w:proofErr w:type="gramEnd"/>
      <w:r>
        <w:rPr>
          <w:rFonts w:ascii="Times New Roman" w:hAnsi="Times New Roman" w:cs="Times New Roman"/>
          <w:sz w:val="22"/>
        </w:rPr>
        <w:t xml:space="preserve">JDBC) or </w:t>
      </w:r>
      <w:r>
        <w:rPr>
          <w:rFonts w:ascii="Times New Roman" w:hAnsi="Times New Roman" w:cs="Times New Roman" w:hint="eastAsia"/>
          <w:sz w:val="22"/>
        </w:rPr>
        <w:t>a</w:t>
      </w:r>
      <w:r>
        <w:rPr>
          <w:rFonts w:ascii="Times New Roman" w:hAnsi="Times New Roman" w:cs="Times New Roman"/>
          <w:sz w:val="22"/>
        </w:rPr>
        <w:t xml:space="preserve">synchronous </w:t>
      </w:r>
      <w:proofErr w:type="spellStart"/>
      <w:r>
        <w:rPr>
          <w:rFonts w:ascii="Times New Roman" w:hAnsi="Times New Roman" w:cs="Times New Roman"/>
          <w:sz w:val="22"/>
        </w:rPr>
        <w:t>javascript</w:t>
      </w:r>
      <w:proofErr w:type="spellEnd"/>
      <w:r>
        <w:rPr>
          <w:rFonts w:ascii="Times New Roman" w:hAnsi="Times New Roman" w:cs="Times New Roman"/>
          <w:sz w:val="22"/>
        </w:rPr>
        <w:t xml:space="preserve"> and XML (AJAX) technology. </w:t>
      </w:r>
      <w:r>
        <w:rPr>
          <w:rFonts w:ascii="Times New Roman" w:hAnsi="Times New Roman" w:cs="Times New Roman" w:hint="eastAsia"/>
          <w:sz w:val="22"/>
        </w:rPr>
        <w:t xml:space="preserve">Figure </w:t>
      </w:r>
      <w:r>
        <w:rPr>
          <w:rFonts w:ascii="Times New Roman" w:hAnsi="Times New Roman" w:cs="Times New Roman"/>
          <w:sz w:val="22"/>
        </w:rPr>
        <w:t xml:space="preserve">3 shows the user interface of the </w:t>
      </w:r>
      <w:r>
        <w:rPr>
          <w:rFonts w:ascii="Times New Roman" w:eastAsia="宋体" w:hAnsi="Times New Roman" w:cs="Times New Roman"/>
        </w:rPr>
        <w:t>b</w:t>
      </w:r>
      <w:r>
        <w:rPr>
          <w:rFonts w:ascii="Times New Roman" w:eastAsia="宋体" w:hAnsi="Times New Roman" w:cs="Times New Roman" w:hint="eastAsia"/>
        </w:rPr>
        <w:t>attery</w:t>
      </w:r>
      <w:r>
        <w:rPr>
          <w:rFonts w:ascii="Times New Roman" w:eastAsia="宋体" w:hAnsi="Times New Roman" w:cs="Times New Roman"/>
        </w:rPr>
        <w:t xml:space="preserve"> intelligent monitoring and management platform.</w:t>
      </w:r>
      <w:r>
        <w:rPr>
          <w:rFonts w:ascii="Times New Roman" w:hAnsi="Times New Roman" w:cs="Times New Roman"/>
          <w:sz w:val="22"/>
        </w:rPr>
        <w:t xml:space="preserve"> To meet the needs of unique users and different management strategies, information from the database will be displayed hierarchically to improve its operational efficiency of the platform. In this framework, we propose that this is broken down into 4 main levels representing the transport system, vehicle, battery system and cell. </w:t>
      </w:r>
    </w:p>
    <w:p w14:paraId="7E0EBD85" w14:textId="77777777" w:rsidR="00672135" w:rsidRDefault="00672135">
      <w:pPr>
        <w:widowControl/>
        <w:ind w:firstLineChars="200" w:firstLine="440"/>
        <w:rPr>
          <w:rFonts w:ascii="Times New Roman" w:hAnsi="Times New Roman" w:cs="Times New Roman"/>
          <w:sz w:val="22"/>
        </w:rPr>
      </w:pPr>
    </w:p>
    <w:p w14:paraId="16899AD2" w14:textId="77777777" w:rsidR="00672135" w:rsidRDefault="00120DF0">
      <w:pPr>
        <w:widowControl/>
        <w:jc w:val="center"/>
        <w:rPr>
          <w:rFonts w:ascii="Times New Roman" w:eastAsia="宋体" w:hAnsi="Times New Roman" w:cs="Times New Roman"/>
        </w:rPr>
      </w:pPr>
      <w:r>
        <w:rPr>
          <w:noProof/>
        </w:rPr>
        <w:drawing>
          <wp:inline distT="0" distB="0" distL="0" distR="0" wp14:anchorId="2341EA04" wp14:editId="32BB69AE">
            <wp:extent cx="5274310" cy="279717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5274310" cy="2797175"/>
                    </a:xfrm>
                    <a:prstGeom prst="rect">
                      <a:avLst/>
                    </a:prstGeom>
                  </pic:spPr>
                </pic:pic>
              </a:graphicData>
            </a:graphic>
          </wp:inline>
        </w:drawing>
      </w:r>
    </w:p>
    <w:p w14:paraId="38051560" w14:textId="77777777" w:rsidR="00672135" w:rsidRDefault="00120DF0">
      <w:pPr>
        <w:pStyle w:val="a7"/>
        <w:rPr>
          <w:rFonts w:ascii="Times New Roman" w:hAnsi="Times New Roman" w:cs="Times New Roman"/>
          <w:sz w:val="22"/>
        </w:rPr>
      </w:pPr>
      <w:r>
        <w:rPr>
          <w:rFonts w:ascii="Times New Roman" w:hAnsi="Times New Roman" w:cs="Times New Roman" w:hint="eastAsia"/>
        </w:rPr>
        <w:lastRenderedPageBreak/>
        <w:t xml:space="preserve">Figure </w:t>
      </w:r>
      <w:r>
        <w:rPr>
          <w:rFonts w:ascii="Times New Roman" w:hAnsi="Times New Roman" w:cs="Times New Roman"/>
        </w:rPr>
        <w:fldChar w:fldCharType="begin"/>
      </w:r>
      <w:r>
        <w:rPr>
          <w:rFonts w:ascii="Times New Roman" w:hAnsi="Times New Roman" w:cs="Times New Roman"/>
        </w:rPr>
        <w:instrText xml:space="preserve"> SEQ Fig. \* ARABIC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t xml:space="preserve">  Battery Intelligent Monitoring and Management Platform. (a) User interface at transport system level. (b) User interface at vehicle level. (c) User interface at battery system level. (d) User interface at cell level.</w:t>
      </w:r>
    </w:p>
    <w:p w14:paraId="3611C85C" w14:textId="77777777" w:rsidR="00672135" w:rsidRDefault="00120DF0">
      <w:pPr>
        <w:pStyle w:val="2"/>
        <w:rPr>
          <w:rFonts w:cs="Times New Roman"/>
          <w:szCs w:val="28"/>
        </w:rPr>
      </w:pPr>
      <w:r>
        <w:rPr>
          <w:rFonts w:cs="Times New Roman"/>
          <w:szCs w:val="28"/>
        </w:rPr>
        <w:t>4.1 Transport system level</w:t>
      </w:r>
    </w:p>
    <w:p w14:paraId="63404C02" w14:textId="77777777" w:rsidR="00672135" w:rsidRDefault="00120DF0">
      <w:pPr>
        <w:ind w:firstLineChars="200" w:firstLine="440"/>
        <w:rPr>
          <w:rFonts w:ascii="Times New Roman" w:eastAsia="宋体" w:hAnsi="Times New Roman" w:cs="Times New Roman"/>
          <w:sz w:val="22"/>
        </w:rPr>
      </w:pPr>
      <w:r>
        <w:rPr>
          <w:rFonts w:ascii="Times New Roman" w:eastAsia="宋体" w:hAnsi="Times New Roman" w:cs="Times New Roman"/>
          <w:sz w:val="22"/>
        </w:rPr>
        <w:t xml:space="preserve">To highlight key data in the transportation system, </w:t>
      </w:r>
      <w:r>
        <w:rPr>
          <w:rFonts w:ascii="Times New Roman" w:eastAsia="宋体" w:hAnsi="Times New Roman" w:cs="Times New Roman" w:hint="eastAsia"/>
          <w:sz w:val="22"/>
        </w:rPr>
        <w:t xml:space="preserve">Figure </w:t>
      </w:r>
      <w:r>
        <w:rPr>
          <w:rFonts w:ascii="Times New Roman" w:eastAsia="宋体" w:hAnsi="Times New Roman" w:cs="Times New Roman"/>
          <w:sz w:val="22"/>
        </w:rPr>
        <w:t>4a shows the statistical information of new energy vehicle nationwide. According to the classification of regions, models, brands and other bases, the distribution of new energy vehicles within the system is clear. The actual use of different types of batteries is also displayed in the user interface, and the evaluation and comparison are made considering factors such as loading capacity and functional safety factor, which provide data analysis foundation for the sales market and development trend of new energy vehicles and corresponding batteries.</w:t>
      </w:r>
    </w:p>
    <w:p w14:paraId="34B0D9B8" w14:textId="77777777" w:rsidR="00672135" w:rsidRDefault="00120DF0">
      <w:pPr>
        <w:pStyle w:val="2"/>
        <w:rPr>
          <w:rFonts w:cs="Times New Roman"/>
          <w:szCs w:val="28"/>
        </w:rPr>
      </w:pPr>
      <w:r>
        <w:rPr>
          <w:rFonts w:cs="Times New Roman" w:hint="eastAsia"/>
          <w:szCs w:val="28"/>
        </w:rPr>
        <w:t>4</w:t>
      </w:r>
      <w:r>
        <w:rPr>
          <w:rFonts w:cs="Times New Roman"/>
          <w:szCs w:val="28"/>
        </w:rPr>
        <w:t>.2 Vehicle level</w:t>
      </w:r>
    </w:p>
    <w:p w14:paraId="7F9D3E62" w14:textId="77777777" w:rsidR="00672135" w:rsidRDefault="00120DF0">
      <w:pPr>
        <w:widowControl/>
        <w:ind w:firstLineChars="200" w:firstLine="440"/>
        <w:rPr>
          <w:rFonts w:ascii="Times New Roman" w:eastAsia="宋体" w:hAnsi="Times New Roman" w:cs="Times New Roman"/>
          <w:sz w:val="22"/>
        </w:rPr>
      </w:pPr>
      <w:r>
        <w:rPr>
          <w:rFonts w:ascii="Times New Roman" w:hAnsi="Times New Roman" w:cs="Times New Roman"/>
          <w:sz w:val="22"/>
        </w:rPr>
        <w:t xml:space="preserve">For enterprises and individual users, behavioral information and battery status of the designated vehicles provide important insights. </w:t>
      </w:r>
      <w:r>
        <w:rPr>
          <w:rFonts w:ascii="Times New Roman" w:eastAsia="宋体" w:hAnsi="Times New Roman" w:cs="Times New Roman"/>
          <w:sz w:val="22"/>
        </w:rPr>
        <w:t xml:space="preserve">As shown in </w:t>
      </w:r>
      <w:r>
        <w:rPr>
          <w:rFonts w:ascii="Times New Roman" w:eastAsia="宋体" w:hAnsi="Times New Roman" w:cs="Times New Roman" w:hint="eastAsia"/>
          <w:sz w:val="22"/>
        </w:rPr>
        <w:t>Figure</w:t>
      </w:r>
      <w:r>
        <w:rPr>
          <w:rFonts w:ascii="Times New Roman" w:eastAsia="宋体" w:hAnsi="Times New Roman" w:cs="Times New Roman"/>
          <w:sz w:val="22"/>
        </w:rPr>
        <w:t xml:space="preserve"> 4b, at the vehicle level, the user interface first displays basic information, including vehicle model, license plate number and maximum driving mileage. </w:t>
      </w:r>
      <w:r>
        <w:rPr>
          <w:rFonts w:ascii="Times New Roman" w:hAnsi="Times New Roman" w:cs="Times New Roman"/>
          <w:sz w:val="22"/>
        </w:rPr>
        <w:t>After analysis, calculation and dispatch in the cloud, the vehicle's driving route, working status, energy consumption, residual mileage and other information will also be fed back to the user interface to ensure that users can master the real-time status of the vehicle and provide drivers with targeted suggestions, such as energy management strategies</w:t>
      </w:r>
      <w:r>
        <w:rPr>
          <w:rFonts w:ascii="Times New Roman" w:eastAsia="宋体" w:hAnsi="Times New Roman" w:cs="Times New Roman"/>
          <w:sz w:val="22"/>
        </w:rPr>
        <w:t xml:space="preserve"> and maximum cruising range.</w:t>
      </w:r>
    </w:p>
    <w:p w14:paraId="4E6F2DF0" w14:textId="77777777" w:rsidR="00672135" w:rsidRDefault="00120DF0">
      <w:pPr>
        <w:pStyle w:val="2"/>
        <w:rPr>
          <w:rFonts w:cs="Times New Roman"/>
          <w:szCs w:val="28"/>
        </w:rPr>
      </w:pPr>
      <w:r>
        <w:rPr>
          <w:rFonts w:cs="Times New Roman" w:hint="eastAsia"/>
          <w:szCs w:val="28"/>
        </w:rPr>
        <w:t>4</w:t>
      </w:r>
      <w:r>
        <w:rPr>
          <w:rFonts w:cs="Times New Roman"/>
          <w:szCs w:val="28"/>
        </w:rPr>
        <w:t>.3 Battery system level</w:t>
      </w:r>
    </w:p>
    <w:p w14:paraId="1A421F3D" w14:textId="77777777" w:rsidR="00672135" w:rsidRDefault="00120DF0">
      <w:pPr>
        <w:widowControl/>
        <w:ind w:firstLineChars="200" w:firstLine="440"/>
        <w:rPr>
          <w:rFonts w:ascii="Times New Roman" w:hAnsi="Times New Roman" w:cs="Times New Roman"/>
          <w:sz w:val="22"/>
        </w:rPr>
      </w:pPr>
      <w:r>
        <w:rPr>
          <w:rFonts w:ascii="Times New Roman" w:eastAsia="宋体" w:hAnsi="Times New Roman" w:cs="Times New Roman"/>
          <w:sz w:val="22"/>
        </w:rPr>
        <w:t>At the battery system level, the management of EV battery is only carried out when the</w:t>
      </w:r>
      <w:r>
        <w:rPr>
          <w:rFonts w:ascii="Times New Roman" w:eastAsia="宋体" w:hAnsi="Times New Roman" w:cs="Times New Roman" w:hint="eastAsia"/>
          <w:sz w:val="22"/>
        </w:rPr>
        <w:t xml:space="preserve"> </w:t>
      </w:r>
      <w:r>
        <w:rPr>
          <w:rFonts w:ascii="Times New Roman" w:eastAsia="宋体" w:hAnsi="Times New Roman" w:cs="Times New Roman"/>
          <w:sz w:val="22"/>
        </w:rPr>
        <w:t xml:space="preserve">vehicle is activated. </w:t>
      </w:r>
      <w:r>
        <w:rPr>
          <w:rFonts w:ascii="Times New Roman" w:hAnsi="Times New Roman" w:cs="Times New Roman"/>
          <w:sz w:val="22"/>
        </w:rPr>
        <w:t xml:space="preserve">However, in any state, the battery system should be fully monitored and controlled to avoid unnecessary </w:t>
      </w:r>
      <w:r>
        <w:rPr>
          <w:rFonts w:ascii="Times New Roman" w:eastAsia="宋体" w:hAnsi="Times New Roman" w:cs="Times New Roman"/>
          <w:sz w:val="22"/>
        </w:rPr>
        <w:t xml:space="preserve">potential </w:t>
      </w:r>
      <w:r>
        <w:rPr>
          <w:rFonts w:ascii="Times New Roman" w:hAnsi="Times New Roman" w:cs="Times New Roman"/>
          <w:sz w:val="22"/>
        </w:rPr>
        <w:t>security</w:t>
      </w:r>
      <w:r>
        <w:rPr>
          <w:rFonts w:ascii="Times New Roman" w:eastAsia="宋体" w:hAnsi="Times New Roman" w:cs="Times New Roman"/>
          <w:sz w:val="22"/>
        </w:rPr>
        <w:t xml:space="preserve"> hazards (</w:t>
      </w:r>
      <w:r>
        <w:rPr>
          <w:rFonts w:ascii="Times New Roman" w:eastAsia="宋体" w:hAnsi="Times New Roman" w:cs="Times New Roman" w:hint="eastAsia"/>
          <w:sz w:val="22"/>
        </w:rPr>
        <w:t>Figure</w:t>
      </w:r>
      <w:r>
        <w:rPr>
          <w:rFonts w:ascii="Times New Roman" w:eastAsia="宋体" w:hAnsi="Times New Roman" w:cs="Times New Roman"/>
          <w:sz w:val="22"/>
        </w:rPr>
        <w:t xml:space="preserve"> 4c)</w:t>
      </w:r>
      <w:r>
        <w:rPr>
          <w:rFonts w:ascii="Times New Roman" w:hAnsi="Times New Roman" w:cs="Times New Roman"/>
          <w:sz w:val="22"/>
        </w:rPr>
        <w:t xml:space="preserve">. </w:t>
      </w:r>
      <w:r>
        <w:rPr>
          <w:rFonts w:ascii="Times New Roman" w:eastAsia="宋体" w:hAnsi="Times New Roman" w:cs="Times New Roman"/>
          <w:sz w:val="22"/>
        </w:rPr>
        <w:t xml:space="preserve">For the battery system of one designated vehicle, its basic information and real-time output are clearly visible, such as the usage status, real-time power consumption and working current, voltage, temperature. </w:t>
      </w:r>
      <w:r>
        <w:rPr>
          <w:rFonts w:ascii="Times New Roman" w:hAnsi="Times New Roman" w:cs="Times New Roman"/>
          <w:sz w:val="22"/>
        </w:rPr>
        <w:t>By analysis of historical data stored in the database and real-time operating data, and after effective analysis in the cloud, the platform can issue early warnings and remind users in a timely manner through the interface when the battery system has insufficient power, abnormal output or possible failures.</w:t>
      </w:r>
    </w:p>
    <w:p w14:paraId="75B532D6" w14:textId="77777777" w:rsidR="00672135" w:rsidRDefault="00120DF0">
      <w:pPr>
        <w:pStyle w:val="2"/>
        <w:rPr>
          <w:rFonts w:cs="Times New Roman"/>
          <w:szCs w:val="28"/>
        </w:rPr>
      </w:pPr>
      <w:r>
        <w:rPr>
          <w:rFonts w:cs="Times New Roman"/>
          <w:szCs w:val="28"/>
        </w:rPr>
        <w:lastRenderedPageBreak/>
        <w:t>4.4 Cell level</w:t>
      </w:r>
    </w:p>
    <w:p w14:paraId="436C271D" w14:textId="77777777" w:rsidR="00672135" w:rsidRDefault="00120DF0">
      <w:pPr>
        <w:widowControl/>
        <w:ind w:firstLineChars="200" w:firstLine="440"/>
        <w:rPr>
          <w:rFonts w:ascii="Times New Roman" w:eastAsia="宋体" w:hAnsi="Times New Roman" w:cs="Times New Roman"/>
          <w:sz w:val="22"/>
        </w:rPr>
      </w:pPr>
      <w:r>
        <w:rPr>
          <w:rFonts w:ascii="Times New Roman" w:eastAsia="宋体" w:hAnsi="Times New Roman" w:cs="Times New Roman"/>
          <w:sz w:val="22"/>
        </w:rPr>
        <w:t xml:space="preserve">The Cannikin law is applicable to battery systems, in that, once a cell behaves abnormally or fails, the system will be adversely affected, so it is of great significance to ensure accurate real-time monitoring of each cell to improve its output performance and the security of the vehicle. In </w:t>
      </w:r>
      <w:r>
        <w:rPr>
          <w:rFonts w:ascii="Times New Roman" w:eastAsia="宋体" w:hAnsi="Times New Roman" w:cs="Times New Roman" w:hint="eastAsia"/>
          <w:sz w:val="22"/>
        </w:rPr>
        <w:t>Figure</w:t>
      </w:r>
      <w:r>
        <w:rPr>
          <w:rFonts w:ascii="Times New Roman" w:eastAsia="宋体" w:hAnsi="Times New Roman" w:cs="Times New Roman"/>
          <w:sz w:val="22"/>
        </w:rPr>
        <w:t xml:space="preserve"> 4(d), more detailed data of cells in the battery system will be fed back to users, including various output indicators, safety thresholds and health status. At the same time, with the help of a large data comparisons and training in the cloud, the performance </w:t>
      </w:r>
      <w:r>
        <w:rPr>
          <w:rFonts w:ascii="Times New Roman" w:eastAsia="宋体" w:hAnsi="Times New Roman" w:cs="Times New Roman" w:hint="eastAsia"/>
          <w:sz w:val="22"/>
        </w:rPr>
        <w:t>and</w:t>
      </w:r>
      <w:r>
        <w:rPr>
          <w:rFonts w:ascii="Times New Roman" w:eastAsia="宋体" w:hAnsi="Times New Roman" w:cs="Times New Roman"/>
          <w:sz w:val="22"/>
        </w:rPr>
        <w:t xml:space="preserve"> risk prediction level of each cell can be evaluated, which will provide more targeted solutions and experience to users, extend the cycle life of the battery and guarantee the health management of the system.</w:t>
      </w:r>
    </w:p>
    <w:p w14:paraId="2725689E" w14:textId="77777777" w:rsidR="00672135" w:rsidRDefault="00120DF0">
      <w:pPr>
        <w:pStyle w:val="1"/>
      </w:pPr>
      <w:r>
        <w:rPr>
          <w:rFonts w:hint="eastAsia"/>
        </w:rPr>
        <w:t>C</w:t>
      </w:r>
      <w:r>
        <w:t xml:space="preserve">onclusion and </w:t>
      </w:r>
      <w:bookmarkStart w:id="13" w:name="_Hlk70711599"/>
      <w:r>
        <w:t>perspectives</w:t>
      </w:r>
      <w:bookmarkEnd w:id="13"/>
    </w:p>
    <w:p w14:paraId="612B2A25" w14:textId="77777777" w:rsidR="00672135" w:rsidRDefault="00120DF0">
      <w:pPr>
        <w:widowControl/>
        <w:jc w:val="left"/>
      </w:pPr>
      <w:r>
        <w:rPr>
          <w:noProof/>
        </w:rPr>
        <w:drawing>
          <wp:inline distT="0" distB="0" distL="0" distR="0" wp14:anchorId="5AD203F6" wp14:editId="45EEE6B5">
            <wp:extent cx="5329555" cy="3209290"/>
            <wp:effectExtent l="0" t="0" r="4445" b="101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329555" cy="3209290"/>
                    </a:xfrm>
                    <a:prstGeom prst="rect">
                      <a:avLst/>
                    </a:prstGeom>
                    <a:noFill/>
                  </pic:spPr>
                </pic:pic>
              </a:graphicData>
            </a:graphic>
          </wp:inline>
        </w:drawing>
      </w:r>
    </w:p>
    <w:p w14:paraId="4FFCC8D9" w14:textId="77777777" w:rsidR="00672135" w:rsidRDefault="00120DF0">
      <w:pPr>
        <w:pStyle w:val="a7"/>
        <w:jc w:val="center"/>
        <w:rPr>
          <w:rFonts w:ascii="Times New Roman" w:hAnsi="Times New Roman" w:cs="Times New Roman"/>
        </w:rPr>
      </w:pPr>
      <w:r>
        <w:rPr>
          <w:rFonts w:ascii="Times New Roman" w:hAnsi="Times New Roman" w:cs="Times New Roman" w:hint="eastAsia"/>
        </w:rPr>
        <w:t>Figure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SEQ Fig. \* ARABIC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t xml:space="preserve"> The functional architecture of the cloud-connected BMS</w:t>
      </w:r>
    </w:p>
    <w:p w14:paraId="2FB20CE4" w14:textId="66FD31C2" w:rsidR="00672135" w:rsidRPr="00457DEA" w:rsidRDefault="00120DF0">
      <w:pPr>
        <w:ind w:firstLineChars="200" w:firstLine="440"/>
        <w:rPr>
          <w:rFonts w:ascii="Times New Roman" w:eastAsia="宋体" w:hAnsi="Times New Roman" w:cs="Times New Roman"/>
          <w:color w:val="0D0D0D" w:themeColor="text1" w:themeTint="F2"/>
          <w:sz w:val="22"/>
        </w:rPr>
      </w:pPr>
      <w:r w:rsidRPr="00457DEA">
        <w:rPr>
          <w:rFonts w:ascii="Times New Roman" w:eastAsia="宋体" w:hAnsi="Times New Roman" w:cs="Times New Roman"/>
          <w:color w:val="0D0D0D" w:themeColor="text1" w:themeTint="F2"/>
          <w:sz w:val="22"/>
        </w:rPr>
        <w:t>From the application perspective, the new generation of battery systems should be high-strength, lightweight, high-safety, low-cost and long lifespan</w:t>
      </w:r>
      <w:r w:rsidRPr="00457DEA">
        <w:rPr>
          <w:rFonts w:ascii="Times New Roman" w:eastAsia="宋体" w:hAnsi="Times New Roman" w:cs="Times New Roman" w:hint="eastAsia"/>
          <w:color w:val="0D0D0D" w:themeColor="text1" w:themeTint="F2"/>
          <w:sz w:val="22"/>
        </w:rPr>
        <w:t xml:space="preserve"> </w:t>
      </w:r>
      <w:r w:rsidRPr="00457DEA">
        <w:rPr>
          <w:rFonts w:ascii="Times New Roman" w:eastAsia="宋体" w:hAnsi="Times New Roman" w:cs="Times New Roman"/>
          <w:color w:val="0D0D0D" w:themeColor="text1" w:themeTint="F2"/>
          <w:sz w:val="22"/>
        </w:rPr>
        <w:t xml:space="preserve">with ease of recycling/repurposing. The CHAIN architecture proposed by Yang et al. is regarded as a promising solution for battery management systems, which can meet the requirements of complex modeling and interactional integration in Cyber-Physical </w:t>
      </w:r>
      <w:r w:rsidRPr="00457DEA">
        <w:rPr>
          <w:rFonts w:ascii="Times New Roman" w:eastAsia="宋体" w:hAnsi="Times New Roman" w:cs="Times New Roman" w:hint="eastAsia"/>
          <w:color w:val="0D0D0D" w:themeColor="text1" w:themeTint="F2"/>
          <w:sz w:val="22"/>
        </w:rPr>
        <w:t>s</w:t>
      </w:r>
      <w:r w:rsidRPr="00457DEA">
        <w:rPr>
          <w:rFonts w:ascii="Times New Roman" w:eastAsia="宋体" w:hAnsi="Times New Roman" w:cs="Times New Roman"/>
          <w:color w:val="0D0D0D" w:themeColor="text1" w:themeTint="F2"/>
          <w:sz w:val="22"/>
        </w:rPr>
        <w:t xml:space="preserve">ystems </w:t>
      </w:r>
      <w:r w:rsidRPr="00457DEA">
        <w:rPr>
          <w:rFonts w:ascii="Times New Roman" w:eastAsia="宋体" w:hAnsi="Times New Roman" w:cs="Times New Roman" w:hint="eastAsia"/>
          <w:color w:val="0D0D0D" w:themeColor="text1" w:themeTint="F2"/>
          <w:sz w:val="22"/>
          <w:lang w:eastAsia="zh-Hans"/>
        </w:rPr>
        <w:t>for</w:t>
      </w:r>
      <w:r w:rsidRPr="00457DEA">
        <w:rPr>
          <w:rFonts w:ascii="Times New Roman" w:eastAsia="宋体" w:hAnsi="Times New Roman" w:cs="Times New Roman"/>
          <w:color w:val="0D0D0D" w:themeColor="text1" w:themeTint="F2"/>
          <w:sz w:val="22"/>
          <w:lang w:eastAsia="zh-Hans"/>
        </w:rPr>
        <w:t xml:space="preserve"> </w:t>
      </w:r>
      <w:r w:rsidRPr="00457DEA">
        <w:rPr>
          <w:rFonts w:ascii="Times New Roman" w:eastAsia="宋体" w:hAnsi="Times New Roman" w:cs="Times New Roman"/>
          <w:color w:val="0D0D0D" w:themeColor="text1" w:themeTint="F2"/>
          <w:sz w:val="22"/>
        </w:rPr>
        <w:t xml:space="preserve">the 3Cs (computing, communication, control). </w:t>
      </w:r>
      <w:r w:rsidR="00685F5C" w:rsidRPr="00457DEA">
        <w:rPr>
          <w:rFonts w:ascii="Times New Roman" w:eastAsia="宋体" w:hAnsi="Times New Roman" w:cs="Times New Roman"/>
          <w:color w:val="0D0D0D" w:themeColor="text1" w:themeTint="F2"/>
          <w:sz w:val="22"/>
        </w:rPr>
        <w:t xml:space="preserve">The functionality of 3Cs will become the concept of cyber in CHAIN. </w:t>
      </w:r>
      <w:r w:rsidRPr="00457DEA">
        <w:rPr>
          <w:rFonts w:ascii="Times New Roman" w:eastAsia="宋体" w:hAnsi="Times New Roman" w:cs="Times New Roman"/>
          <w:color w:val="0D0D0D" w:themeColor="text1" w:themeTint="F2"/>
          <w:sz w:val="22"/>
        </w:rPr>
        <w:t>The unique hierarchical network architecture of</w:t>
      </w:r>
      <w:r w:rsidRPr="00457DEA">
        <w:rPr>
          <w:rFonts w:ascii="Times New Roman" w:eastAsia="宋体" w:hAnsi="Times New Roman" w:cs="Times New Roman" w:hint="eastAsia"/>
          <w:color w:val="0D0D0D" w:themeColor="text1" w:themeTint="F2"/>
          <w:sz w:val="22"/>
        </w:rPr>
        <w:t xml:space="preserve"> </w:t>
      </w:r>
      <w:r w:rsidRPr="00457DEA">
        <w:rPr>
          <w:rFonts w:ascii="Times New Roman" w:eastAsia="宋体" w:hAnsi="Times New Roman" w:cs="Times New Roman"/>
          <w:color w:val="0D0D0D" w:themeColor="text1" w:themeTint="F2"/>
          <w:sz w:val="22"/>
        </w:rPr>
        <w:t>C</w:t>
      </w:r>
      <w:r w:rsidRPr="00457DEA">
        <w:rPr>
          <w:rFonts w:ascii="Times New Roman" w:eastAsia="宋体" w:hAnsi="Times New Roman" w:cs="Times New Roman" w:hint="eastAsia"/>
          <w:color w:val="0D0D0D" w:themeColor="text1" w:themeTint="F2"/>
          <w:sz w:val="22"/>
        </w:rPr>
        <w:t>HAIN</w:t>
      </w:r>
      <w:r w:rsidRPr="00457DEA">
        <w:rPr>
          <w:rFonts w:ascii="Times New Roman" w:eastAsia="宋体" w:hAnsi="Times New Roman" w:cs="Times New Roman"/>
          <w:color w:val="0D0D0D" w:themeColor="text1" w:themeTint="F2"/>
          <w:sz w:val="22"/>
        </w:rPr>
        <w:t xml:space="preserve"> comes bridges </w:t>
      </w:r>
      <w:r w:rsidRPr="00457DEA">
        <w:rPr>
          <w:rFonts w:ascii="Times New Roman" w:eastAsia="宋体" w:hAnsi="Times New Roman" w:cs="Times New Roman"/>
          <w:color w:val="0D0D0D" w:themeColor="text1" w:themeTint="F2"/>
          <w:sz w:val="22"/>
        </w:rPr>
        <w:lastRenderedPageBreak/>
        <w:t>multiple length scales of interest</w:t>
      </w:r>
      <w:r w:rsidR="00AA6AD5" w:rsidRPr="00457DEA">
        <w:rPr>
          <w:rFonts w:ascii="Times New Roman" w:eastAsia="宋体" w:hAnsi="Times New Roman" w:cs="Times New Roman"/>
          <w:color w:val="0D0D0D" w:themeColor="text1" w:themeTint="F2"/>
          <w:sz w:val="22"/>
        </w:rPr>
        <w:fldChar w:fldCharType="begin" w:fldLock="1"/>
      </w:r>
      <w:r w:rsidR="00BE06A1" w:rsidRPr="00457DEA">
        <w:rPr>
          <w:rFonts w:ascii="Times New Roman" w:eastAsia="宋体" w:hAnsi="Times New Roman" w:cs="Times New Roman"/>
          <w:color w:val="0D0D0D" w:themeColor="text1" w:themeTint="F2"/>
          <w:sz w:val="22"/>
        </w:rPr>
        <w:instrText>ADDIN CSL_CITATION {"citationItems":[{"id":"ITEM-1","itemData":{"DOI":"10.1016/j.ensm.2021.01.007","ISSN":"24058297","abstract":"Lithium-ion batteries (LIBs) have been widely recognized as the most promising energy storage technology due to their favorable power and energy densities for applications in electric vehicles (EVs) and other related functions. However, further improvements are needed which are underpinned by advances in conventional electrode designs. This paper reviews conventional and emerging electrode designs, including conventional LIB electrode modification techniques and electrode design for next-generation energy devices. Thick electrode designs with low tortuosity are the most conventional approach for energy density improvement. Chemistries such as lithium-sulfur, lithium-air and solid-state batteries show great potential, yet many challenges remain. Microscale structural modelling and macroscale functional modelling methods underpin much of the electrode design work and these efforts are summarized here. More importantly, this paper presents a novel framework for next-generation electrode design termed: Cyber Hierarchy And Interactional Network based Multiscale Electrode Design (CHAIN-MED), a hybrid solution combining model-based and data-driven techniques for optimal electrode design, which significantly shortens the development cycle. This review, therefore, provides novel insights into combining existing design approaches with multiscale models and machine learning techniques for next-generation LIB electrodes.","author":[{"dropping-particle":"","family":"Gao","given":"Xinlei","non-dropping-particle":"","parse-names":false,"suffix":""},{"dropping-particle":"","family":"Liu","given":"Xinhua","non-dropping-particle":"","parse-names":false,"suffix":""},{"dropping-particle":"","family":"He","given":"Rong","non-dropping-particle":"","parse-names":false,"suffix":""},{"dropping-particle":"","family":"Wang","given":"Mingyue","non-dropping-particle":"","parse-names":false,"suffix":""},{"dropping-particle":"","family":"Xie","given":"Wenlong","non-dropping-particle":"","parse-names":false,"suffix":""},{"dropping-particle":"","family":"Brandon","given":"Nigel P.","non-dropping-particle":"","parse-names":false,"suffix":""},{"dropping-particle":"","family":"Wu","given":"Billy","non-dropping-particle":"","parse-names":false,"suffix":""},{"dropping-particle":"","family":"Ling","given":"Heping","non-dropping-particle":"","parse-names":false,"suffix":""},{"dropping-particle":"","family":"Yang","given":"Shichun","non-dropping-particle":"","parse-names":false,"suffix":""}],"container-title":"Energy Storage Materials","id":"ITEM-1","issue":"January","issued":{"date-parts":[["2021"]]},"page":"435-458","publisher":"Elsevier B.V.","title":"Designed high-performance lithium-ion battery electrodes using a novel hybrid model-data driven approach","type":"article-journal","volume":"36"},"uris":["http://www.mendeley.com/documents/?uuid=14cabfdd-af62-4dc1-aeb0-574a780924cf"]}],"mendeley":{"formattedCitation":"[69]","plainTextFormattedCitation":"[69]","previouslyFormattedCitation":"[69]"},"properties":{"noteIndex":0},"schema":"https://github.com/citation-style-language/schema/raw/master/csl-citation.json"}</w:instrText>
      </w:r>
      <w:r w:rsidR="00AA6AD5" w:rsidRPr="00457DEA">
        <w:rPr>
          <w:rFonts w:ascii="Times New Roman" w:eastAsia="宋体" w:hAnsi="Times New Roman" w:cs="Times New Roman"/>
          <w:color w:val="0D0D0D" w:themeColor="text1" w:themeTint="F2"/>
          <w:sz w:val="22"/>
        </w:rPr>
        <w:fldChar w:fldCharType="separate"/>
      </w:r>
      <w:r w:rsidR="00BE06A1" w:rsidRPr="00457DEA">
        <w:rPr>
          <w:rFonts w:ascii="Times New Roman" w:eastAsia="宋体" w:hAnsi="Times New Roman" w:cs="Times New Roman"/>
          <w:noProof/>
          <w:color w:val="0D0D0D" w:themeColor="text1" w:themeTint="F2"/>
          <w:sz w:val="22"/>
        </w:rPr>
        <w:t>[69]</w:t>
      </w:r>
      <w:r w:rsidR="00AA6AD5" w:rsidRPr="00457DEA">
        <w:rPr>
          <w:rFonts w:ascii="Times New Roman" w:eastAsia="宋体" w:hAnsi="Times New Roman" w:cs="Times New Roman"/>
          <w:color w:val="0D0D0D" w:themeColor="text1" w:themeTint="F2"/>
          <w:sz w:val="22"/>
        </w:rPr>
        <w:fldChar w:fldCharType="end"/>
      </w:r>
      <w:r w:rsidRPr="00457DEA">
        <w:rPr>
          <w:rFonts w:ascii="Times New Roman" w:eastAsia="宋体" w:hAnsi="Times New Roman" w:cs="Times New Roman"/>
          <w:color w:val="0D0D0D" w:themeColor="text1" w:themeTint="F2"/>
          <w:sz w:val="22"/>
        </w:rPr>
        <w:t>. From the aspect of battery packs, it meets the process flow of “cell-module-pack”</w:t>
      </w:r>
      <w:r w:rsidRPr="00457DEA">
        <w:rPr>
          <w:rFonts w:ascii="Times New Roman" w:eastAsia="宋体" w:hAnsi="Times New Roman" w:cs="Times New Roman" w:hint="eastAsia"/>
          <w:color w:val="0D0D0D" w:themeColor="text1" w:themeTint="F2"/>
          <w:sz w:val="22"/>
        </w:rPr>
        <w:t xml:space="preserve">. </w:t>
      </w:r>
      <w:bookmarkStart w:id="14" w:name="_Hlk70715215"/>
      <w:r w:rsidRPr="00457DEA">
        <w:rPr>
          <w:rFonts w:ascii="Times New Roman" w:eastAsia="宋体" w:hAnsi="Times New Roman" w:cs="Times New Roman" w:hint="eastAsia"/>
          <w:color w:val="0D0D0D" w:themeColor="text1" w:themeTint="F2"/>
          <w:sz w:val="22"/>
        </w:rPr>
        <w:t>T</w:t>
      </w:r>
      <w:r w:rsidRPr="00457DEA">
        <w:rPr>
          <w:rFonts w:ascii="Times New Roman" w:eastAsia="宋体" w:hAnsi="Times New Roman" w:cs="Times New Roman"/>
          <w:color w:val="0D0D0D" w:themeColor="text1" w:themeTint="F2"/>
          <w:sz w:val="22"/>
        </w:rPr>
        <w:t>he full life cycle utilization is in line with the “material-battery-material” closed loop. In terms of battery cloud management</w:t>
      </w:r>
      <w:r w:rsidR="00316B8C" w:rsidRPr="00457DEA">
        <w:rPr>
          <w:rFonts w:ascii="Times New Roman" w:eastAsia="宋体" w:hAnsi="Times New Roman" w:cs="Times New Roman"/>
          <w:color w:val="0D0D0D" w:themeColor="text1" w:themeTint="F2"/>
          <w:sz w:val="22"/>
        </w:rPr>
        <w:t>,</w:t>
      </w:r>
      <w:r w:rsidRPr="00457DEA">
        <w:rPr>
          <w:rFonts w:ascii="Times New Roman" w:eastAsia="宋体" w:hAnsi="Times New Roman" w:cs="Times New Roman"/>
          <w:color w:val="0D0D0D" w:themeColor="text1" w:themeTint="F2"/>
          <w:sz w:val="22"/>
        </w:rPr>
        <w:t xml:space="preserve"> it is compatible with the “</w:t>
      </w:r>
      <w:r w:rsidRPr="00457DEA">
        <w:rPr>
          <w:rFonts w:ascii="Times New Roman" w:eastAsia="宋体" w:hAnsi="Times New Roman" w:cs="Times New Roman" w:hint="eastAsia"/>
          <w:color w:val="0D0D0D" w:themeColor="text1" w:themeTint="F2"/>
          <w:sz w:val="22"/>
        </w:rPr>
        <w:t>end-e</w:t>
      </w:r>
      <w:r w:rsidRPr="00457DEA">
        <w:rPr>
          <w:rFonts w:ascii="Times New Roman" w:eastAsia="宋体" w:hAnsi="Times New Roman" w:cs="Times New Roman"/>
          <w:color w:val="0D0D0D" w:themeColor="text1" w:themeTint="F2"/>
          <w:sz w:val="22"/>
        </w:rPr>
        <w:t>dge-cloud” multi-layer collaborative layout</w:t>
      </w:r>
      <w:r w:rsidRPr="00457DEA">
        <w:rPr>
          <w:rFonts w:ascii="Times New Roman" w:eastAsia="宋体" w:hAnsi="Times New Roman" w:cs="Times New Roman" w:hint="eastAsia"/>
          <w:color w:val="0D0D0D" w:themeColor="text1" w:themeTint="F2"/>
          <w:sz w:val="22"/>
        </w:rPr>
        <w:t xml:space="preserve"> and the</w:t>
      </w:r>
      <w:r w:rsidRPr="00457DEA">
        <w:rPr>
          <w:rFonts w:ascii="Times New Roman" w:hAnsi="Times New Roman" w:cs="Times New Roman"/>
          <w:color w:val="0D0D0D" w:themeColor="text1" w:themeTint="F2"/>
        </w:rPr>
        <w:t xml:space="preserve"> architecture of the </w:t>
      </w:r>
      <w:r w:rsidR="00316B8C" w:rsidRPr="00457DEA">
        <w:rPr>
          <w:rFonts w:ascii="Times New Roman" w:hAnsi="Times New Roman" w:cs="Times New Roman"/>
          <w:color w:val="0D0D0D" w:themeColor="text1" w:themeTint="F2"/>
        </w:rPr>
        <w:t>C</w:t>
      </w:r>
      <w:r w:rsidRPr="00457DEA">
        <w:rPr>
          <w:rFonts w:ascii="Times New Roman" w:hAnsi="Times New Roman" w:cs="Times New Roman"/>
          <w:color w:val="0D0D0D" w:themeColor="text1" w:themeTint="F2"/>
        </w:rPr>
        <w:t>loud</w:t>
      </w:r>
      <w:r w:rsidR="00316B8C" w:rsidRPr="00457DEA">
        <w:rPr>
          <w:rFonts w:ascii="Times New Roman" w:hAnsi="Times New Roman" w:cs="Times New Roman"/>
          <w:color w:val="0D0D0D" w:themeColor="text1" w:themeTint="F2"/>
        </w:rPr>
        <w:t>-based</w:t>
      </w:r>
      <w:r w:rsidRPr="00457DEA">
        <w:rPr>
          <w:rFonts w:ascii="Times New Roman" w:hAnsi="Times New Roman" w:cs="Times New Roman"/>
          <w:color w:val="0D0D0D" w:themeColor="text1" w:themeTint="F2"/>
        </w:rPr>
        <w:t xml:space="preserve"> BMS</w:t>
      </w:r>
      <w:r w:rsidRPr="00457DEA">
        <w:rPr>
          <w:rFonts w:ascii="Times New Roman" w:eastAsia="宋体" w:hAnsi="Times New Roman" w:cs="Times New Roman" w:hint="eastAsia"/>
          <w:color w:val="0D0D0D" w:themeColor="text1" w:themeTint="F2"/>
          <w:sz w:val="22"/>
        </w:rPr>
        <w:t xml:space="preserve"> is given in Figure </w:t>
      </w:r>
      <w:r w:rsidRPr="00457DEA">
        <w:rPr>
          <w:rFonts w:ascii="Times New Roman" w:eastAsia="宋体" w:hAnsi="Times New Roman" w:cs="Times New Roman"/>
          <w:color w:val="0D0D0D" w:themeColor="text1" w:themeTint="F2"/>
          <w:sz w:val="22"/>
        </w:rPr>
        <w:t xml:space="preserve">5. The layered architecture can integrate existing </w:t>
      </w:r>
      <w:bookmarkStart w:id="15" w:name="OLE_LINK5"/>
      <w:r w:rsidRPr="00457DEA">
        <w:rPr>
          <w:rFonts w:ascii="Times New Roman" w:eastAsia="宋体" w:hAnsi="Times New Roman" w:cs="Times New Roman"/>
          <w:color w:val="0D0D0D" w:themeColor="text1" w:themeTint="F2"/>
          <w:sz w:val="22"/>
        </w:rPr>
        <w:t>m</w:t>
      </w:r>
      <w:r w:rsidR="00316B8C" w:rsidRPr="00457DEA">
        <w:rPr>
          <w:rFonts w:ascii="Times New Roman" w:eastAsia="宋体" w:hAnsi="Times New Roman" w:cs="Times New Roman"/>
          <w:color w:val="0D0D0D" w:themeColor="text1" w:themeTint="F2"/>
          <w:sz w:val="22"/>
        </w:rPr>
        <w:t>u</w:t>
      </w:r>
      <w:r w:rsidR="002526EF" w:rsidRPr="00457DEA">
        <w:rPr>
          <w:rFonts w:ascii="Times New Roman" w:eastAsia="宋体" w:hAnsi="Times New Roman" w:cs="Times New Roman"/>
          <w:color w:val="0D0D0D" w:themeColor="text1" w:themeTint="F2"/>
          <w:sz w:val="22"/>
        </w:rPr>
        <w:t>lti-physics</w:t>
      </w:r>
      <w:r w:rsidRPr="00457DEA">
        <w:rPr>
          <w:rFonts w:ascii="Times New Roman" w:eastAsia="宋体" w:hAnsi="Times New Roman" w:cs="Times New Roman"/>
          <w:color w:val="0D0D0D" w:themeColor="text1" w:themeTint="F2"/>
          <w:sz w:val="22"/>
        </w:rPr>
        <w:t xml:space="preserve"> models</w:t>
      </w:r>
      <w:bookmarkEnd w:id="15"/>
      <w:r w:rsidRPr="00457DEA">
        <w:rPr>
          <w:rFonts w:ascii="Times New Roman" w:eastAsia="宋体" w:hAnsi="Times New Roman" w:cs="Times New Roman"/>
          <w:color w:val="0D0D0D" w:themeColor="text1" w:themeTint="F2"/>
          <w:sz w:val="22"/>
        </w:rPr>
        <w:t xml:space="preserve">, intelligent </w:t>
      </w:r>
      <w:r w:rsidR="002526EF" w:rsidRPr="00457DEA">
        <w:rPr>
          <w:rFonts w:ascii="Times New Roman" w:eastAsia="宋体" w:hAnsi="Times New Roman" w:cs="Times New Roman"/>
          <w:color w:val="0D0D0D" w:themeColor="text1" w:themeTint="F2"/>
          <w:sz w:val="22"/>
        </w:rPr>
        <w:t>manufacturing</w:t>
      </w:r>
      <w:r w:rsidRPr="00457DEA">
        <w:rPr>
          <w:rFonts w:ascii="Times New Roman" w:eastAsia="宋体" w:hAnsi="Times New Roman" w:cs="Times New Roman"/>
          <w:color w:val="0D0D0D" w:themeColor="text1" w:themeTint="F2"/>
          <w:sz w:val="22"/>
        </w:rPr>
        <w:t xml:space="preserve">, </w:t>
      </w:r>
      <w:r w:rsidRPr="00457DEA">
        <w:rPr>
          <w:rFonts w:ascii="Times New Roman" w:eastAsia="宋体" w:hAnsi="Times New Roman" w:cs="Times New Roman" w:hint="eastAsia"/>
          <w:color w:val="0D0D0D" w:themeColor="text1" w:themeTint="F2"/>
          <w:sz w:val="22"/>
        </w:rPr>
        <w:t>p</w:t>
      </w:r>
      <w:r w:rsidRPr="00457DEA">
        <w:rPr>
          <w:rFonts w:ascii="Times New Roman" w:eastAsia="宋体" w:hAnsi="Times New Roman" w:cs="Times New Roman"/>
          <w:color w:val="0D0D0D" w:themeColor="text1" w:themeTint="F2"/>
          <w:sz w:val="22"/>
        </w:rPr>
        <w:t xml:space="preserve">rognostic and </w:t>
      </w:r>
      <w:r w:rsidRPr="00457DEA">
        <w:rPr>
          <w:rFonts w:ascii="Times New Roman" w:eastAsia="宋体" w:hAnsi="Times New Roman" w:cs="Times New Roman" w:hint="eastAsia"/>
          <w:color w:val="0D0D0D" w:themeColor="text1" w:themeTint="F2"/>
          <w:sz w:val="22"/>
        </w:rPr>
        <w:t>h</w:t>
      </w:r>
      <w:r w:rsidRPr="00457DEA">
        <w:rPr>
          <w:rFonts w:ascii="Times New Roman" w:eastAsia="宋体" w:hAnsi="Times New Roman" w:cs="Times New Roman"/>
          <w:color w:val="0D0D0D" w:themeColor="text1" w:themeTint="F2"/>
          <w:sz w:val="22"/>
        </w:rPr>
        <w:t xml:space="preserve">ealth </w:t>
      </w:r>
      <w:r w:rsidRPr="00457DEA">
        <w:rPr>
          <w:rFonts w:ascii="Times New Roman" w:eastAsia="宋体" w:hAnsi="Times New Roman" w:cs="Times New Roman" w:hint="eastAsia"/>
          <w:color w:val="0D0D0D" w:themeColor="text1" w:themeTint="F2"/>
          <w:sz w:val="22"/>
        </w:rPr>
        <w:t>m</w:t>
      </w:r>
      <w:r w:rsidRPr="00457DEA">
        <w:rPr>
          <w:rFonts w:ascii="Times New Roman" w:eastAsia="宋体" w:hAnsi="Times New Roman" w:cs="Times New Roman"/>
          <w:color w:val="0D0D0D" w:themeColor="text1" w:themeTint="F2"/>
          <w:sz w:val="22"/>
        </w:rPr>
        <w:t xml:space="preserve">anagement (PHM) and data-driven </w:t>
      </w:r>
      <w:r w:rsidRPr="00457DEA">
        <w:rPr>
          <w:rFonts w:ascii="Times New Roman" w:eastAsia="宋体" w:hAnsi="Times New Roman" w:cs="Times New Roman" w:hint="eastAsia"/>
          <w:color w:val="0D0D0D" w:themeColor="text1" w:themeTint="F2"/>
          <w:sz w:val="22"/>
        </w:rPr>
        <w:t>algorithm</w:t>
      </w:r>
      <w:r w:rsidRPr="00457DEA">
        <w:rPr>
          <w:rFonts w:ascii="Times New Roman" w:eastAsia="宋体" w:hAnsi="Times New Roman" w:cs="Times New Roman"/>
          <w:color w:val="0D0D0D" w:themeColor="text1" w:themeTint="F2"/>
          <w:sz w:val="22"/>
        </w:rPr>
        <w:t>s. It has strong generalization ability, universality and inclusiveness</w:t>
      </w:r>
      <w:r w:rsidRPr="00457DEA">
        <w:rPr>
          <w:rFonts w:ascii="Times New Roman" w:eastAsia="宋体" w:hAnsi="Times New Roman" w:cs="Times New Roman" w:hint="eastAsia"/>
          <w:color w:val="0D0D0D" w:themeColor="text1" w:themeTint="F2"/>
          <w:sz w:val="22"/>
        </w:rPr>
        <w:t xml:space="preserve">, which </w:t>
      </w:r>
      <w:r w:rsidRPr="00457DEA">
        <w:rPr>
          <w:rFonts w:ascii="Times New Roman" w:eastAsia="宋体" w:hAnsi="Times New Roman" w:cs="Times New Roman"/>
          <w:color w:val="0D0D0D" w:themeColor="text1" w:themeTint="F2"/>
          <w:sz w:val="22"/>
        </w:rPr>
        <w:t>can provide suitable functions for different levels of network configuration and hardware computing ability to maximize resource utilization and optimize management benefits.</w:t>
      </w:r>
      <w:bookmarkEnd w:id="14"/>
      <w:r w:rsidRPr="00457DEA">
        <w:rPr>
          <w:rFonts w:ascii="Times New Roman" w:eastAsia="宋体" w:hAnsi="Times New Roman" w:cs="Times New Roman"/>
          <w:color w:val="0D0D0D" w:themeColor="text1" w:themeTint="F2"/>
          <w:sz w:val="22"/>
        </w:rPr>
        <w:t xml:space="preserve"> Under the interactional network framework of the CHAIN architecture, the battery system has evolved an ability of “feedback and adjustment” based on the digital twin model of “information perception”</w:t>
      </w:r>
      <w:r w:rsidRPr="00457DEA">
        <w:rPr>
          <w:rFonts w:ascii="Times New Roman" w:eastAsia="宋体" w:hAnsi="Times New Roman" w:cs="Times New Roman" w:hint="eastAsia"/>
          <w:color w:val="0D0D0D" w:themeColor="text1" w:themeTint="F2"/>
          <w:sz w:val="22"/>
        </w:rPr>
        <w:t xml:space="preserve">. It </w:t>
      </w:r>
      <w:r w:rsidRPr="00457DEA">
        <w:rPr>
          <w:rFonts w:ascii="Times New Roman" w:eastAsia="宋体" w:hAnsi="Times New Roman" w:cs="Times New Roman"/>
          <w:color w:val="0D0D0D" w:themeColor="text1" w:themeTint="F2"/>
          <w:sz w:val="22"/>
        </w:rPr>
        <w:t xml:space="preserve">can not only complete the “Digital Twin” and “Digital Thread” in the Cyber-Physical system, but also integrate multi-source information better. </w:t>
      </w:r>
      <w:r w:rsidR="002526EF" w:rsidRPr="00457DEA">
        <w:rPr>
          <w:rFonts w:ascii="Times New Roman" w:eastAsia="宋体" w:hAnsi="Times New Roman" w:cs="Times New Roman"/>
          <w:color w:val="0D0D0D" w:themeColor="text1" w:themeTint="F2"/>
          <w:sz w:val="22"/>
        </w:rPr>
        <w:t>CHAIN could</w:t>
      </w:r>
      <w:r w:rsidRPr="00457DEA">
        <w:rPr>
          <w:rFonts w:ascii="Times New Roman" w:eastAsia="宋体" w:hAnsi="Times New Roman" w:cs="Times New Roman"/>
          <w:color w:val="0D0D0D" w:themeColor="text1" w:themeTint="F2"/>
          <w:sz w:val="22"/>
        </w:rPr>
        <w:t xml:space="preserve"> improve</w:t>
      </w:r>
      <w:r w:rsidR="002526EF" w:rsidRPr="00457DEA">
        <w:rPr>
          <w:rFonts w:ascii="Times New Roman" w:eastAsia="宋体" w:hAnsi="Times New Roman" w:cs="Times New Roman"/>
          <w:color w:val="0D0D0D" w:themeColor="text1" w:themeTint="F2"/>
          <w:sz w:val="22"/>
        </w:rPr>
        <w:t xml:space="preserve"> </w:t>
      </w:r>
      <w:r w:rsidRPr="00457DEA">
        <w:rPr>
          <w:rFonts w:ascii="Times New Roman" w:eastAsia="宋体" w:hAnsi="Times New Roman" w:cs="Times New Roman"/>
          <w:color w:val="0D0D0D" w:themeColor="text1" w:themeTint="F2"/>
          <w:sz w:val="22"/>
        </w:rPr>
        <w:t>the adaptability and the integration capability greatly, which meets the demand of the battery</w:t>
      </w:r>
      <w:r w:rsidR="002526EF" w:rsidRPr="00457DEA">
        <w:rPr>
          <w:rFonts w:ascii="Times New Roman" w:eastAsia="宋体" w:hAnsi="Times New Roman" w:cs="Times New Roman"/>
          <w:color w:val="0D0D0D" w:themeColor="text1" w:themeTint="F2"/>
          <w:sz w:val="22"/>
        </w:rPr>
        <w:t xml:space="preserve"> management</w:t>
      </w:r>
      <w:r w:rsidRPr="00457DEA">
        <w:rPr>
          <w:rFonts w:ascii="Times New Roman" w:eastAsia="宋体" w:hAnsi="Times New Roman" w:cs="Times New Roman"/>
          <w:color w:val="0D0D0D" w:themeColor="text1" w:themeTint="F2"/>
          <w:sz w:val="22"/>
        </w:rPr>
        <w:t xml:space="preserve"> system and the construction of the energy internet. This paper thus proposes three prospects based on the CHAIN architecture:</w:t>
      </w:r>
    </w:p>
    <w:p w14:paraId="4EB11AD8" w14:textId="77777777" w:rsidR="00672135" w:rsidRPr="00457DEA" w:rsidRDefault="00120DF0">
      <w:pPr>
        <w:rPr>
          <w:rFonts w:ascii="Times New Roman" w:eastAsia="宋体" w:hAnsi="Times New Roman" w:cs="Times New Roman"/>
          <w:color w:val="0D0D0D" w:themeColor="text1" w:themeTint="F2"/>
          <w:sz w:val="22"/>
        </w:rPr>
      </w:pPr>
      <w:bookmarkStart w:id="16" w:name="_Hlk70259283"/>
      <w:r w:rsidRPr="00457DEA">
        <w:rPr>
          <w:rFonts w:ascii="Times New Roman" w:eastAsia="宋体" w:hAnsi="Times New Roman" w:cs="Times New Roman"/>
          <w:color w:val="0D0D0D" w:themeColor="text1" w:themeTint="F2"/>
          <w:sz w:val="22"/>
        </w:rPr>
        <w:t>a) Multi-scale integrated modeling strategy for batteries</w:t>
      </w:r>
      <w:bookmarkEnd w:id="16"/>
    </w:p>
    <w:p w14:paraId="7B5FBDC9" w14:textId="77777777" w:rsidR="00672135" w:rsidRPr="00457DEA" w:rsidRDefault="00120DF0">
      <w:pPr>
        <w:rPr>
          <w:rFonts w:ascii="Times New Roman" w:eastAsia="宋体" w:hAnsi="Times New Roman" w:cs="Times New Roman"/>
          <w:color w:val="0D0D0D" w:themeColor="text1" w:themeTint="F2"/>
          <w:sz w:val="22"/>
        </w:rPr>
      </w:pPr>
      <w:r w:rsidRPr="00457DEA">
        <w:rPr>
          <w:rFonts w:ascii="Times New Roman" w:eastAsia="宋体" w:hAnsi="Times New Roman" w:cs="Times New Roman"/>
          <w:color w:val="0D0D0D" w:themeColor="text1" w:themeTint="F2"/>
          <w:sz w:val="22"/>
        </w:rPr>
        <w:tab/>
        <w:t>In view of the complex and non-linear internal reaction mechanisms in a battery, a promising choice is to consider multi-dimensional electrochemical thermal models which span multiple time scales. This includes short time scale processes such as charge transfer all the way to long term aging mechanism models. For problems that the solution function of traditional equivalent circuit model is single and the shortcomings of insufficient internal characteristic representation, the internal impedance characteristics of the battery will be analyzed through time-frequency characteristics analysis, and the corresponding circuit model will be adapted to various conditions, for which the electrical components will be reasonably introduced to improve the model accuracy. In view of the problems that the micro-macro mapping of batteries is fuzzy and a large amount of data has not been utilized, there are three methods proposed to improve the refinement of battery management, which are respectively the extract of massive data, in-situ non-destructive fault diagnosis and mechanism learning prediction performance. Since it is difficult to integrate the multi-scale models of the battery systems, the proposed CHAIN architecture will achieve multi-level closed-loop linkages, distributed joint simulation technology and the idea of co-evolution of the “terminal-edge-cloud”.</w:t>
      </w:r>
    </w:p>
    <w:p w14:paraId="2300C8C0" w14:textId="0005CF0F" w:rsidR="00672135" w:rsidRPr="00457DEA" w:rsidRDefault="00120DF0">
      <w:pPr>
        <w:rPr>
          <w:rFonts w:ascii="Times New Roman" w:eastAsia="宋体" w:hAnsi="Times New Roman" w:cs="Times New Roman"/>
          <w:color w:val="0D0D0D" w:themeColor="text1" w:themeTint="F2"/>
          <w:sz w:val="22"/>
        </w:rPr>
      </w:pPr>
      <w:bookmarkStart w:id="17" w:name="_Hlk70287099"/>
      <w:r w:rsidRPr="00457DEA">
        <w:rPr>
          <w:rFonts w:ascii="Times New Roman" w:eastAsia="宋体" w:hAnsi="Times New Roman" w:cs="Times New Roman"/>
          <w:color w:val="0D0D0D" w:themeColor="text1" w:themeTint="F2"/>
          <w:sz w:val="22"/>
        </w:rPr>
        <w:t>b) Remote upgrad</w:t>
      </w:r>
      <w:r w:rsidRPr="00457DEA">
        <w:rPr>
          <w:rFonts w:ascii="Times New Roman" w:eastAsia="宋体" w:hAnsi="Times New Roman" w:cs="Times New Roman" w:hint="eastAsia"/>
          <w:color w:val="0D0D0D" w:themeColor="text1" w:themeTint="F2"/>
          <w:sz w:val="22"/>
          <w:lang w:eastAsia="zh-Hans"/>
        </w:rPr>
        <w:t>ing</w:t>
      </w:r>
      <w:r w:rsidRPr="00457DEA">
        <w:rPr>
          <w:rFonts w:ascii="Times New Roman" w:eastAsia="宋体" w:hAnsi="Times New Roman" w:cs="Times New Roman"/>
          <w:color w:val="0D0D0D" w:themeColor="text1" w:themeTint="F2"/>
          <w:sz w:val="22"/>
        </w:rPr>
        <w:t xml:space="preserve"> capability of the controller</w:t>
      </w:r>
      <w:bookmarkEnd w:id="17"/>
    </w:p>
    <w:p w14:paraId="7022239F" w14:textId="77777777" w:rsidR="00672135" w:rsidRPr="00457DEA" w:rsidRDefault="00120DF0">
      <w:pPr>
        <w:ind w:firstLineChars="200" w:firstLine="440"/>
        <w:rPr>
          <w:rFonts w:ascii="Times New Roman" w:eastAsia="宋体" w:hAnsi="Times New Roman" w:cs="Times New Roman"/>
          <w:color w:val="0D0D0D" w:themeColor="text1" w:themeTint="F2"/>
          <w:sz w:val="22"/>
        </w:rPr>
      </w:pPr>
      <w:r w:rsidRPr="00457DEA">
        <w:rPr>
          <w:rFonts w:ascii="Times New Roman" w:eastAsia="宋体" w:hAnsi="Times New Roman" w:cs="Times New Roman"/>
          <w:color w:val="0D0D0D" w:themeColor="text1" w:themeTint="F2"/>
          <w:sz w:val="22"/>
        </w:rPr>
        <w:t>Due to advances in connectivity, electric vehicles can achieve real-time product updates through over-the-air downloads (OTA) based on the combination of BMS and cloud computing, including firmware o</w:t>
      </w:r>
      <w:r w:rsidRPr="00457DEA">
        <w:rPr>
          <w:rFonts w:ascii="Times New Roman" w:eastAsia="宋体" w:hAnsi="Times New Roman" w:cs="Times New Roman" w:hint="eastAsia"/>
          <w:color w:val="0D0D0D" w:themeColor="text1" w:themeTint="F2"/>
          <w:sz w:val="22"/>
        </w:rPr>
        <w:t>ver-the-</w:t>
      </w:r>
      <w:r w:rsidRPr="00457DEA">
        <w:rPr>
          <w:rFonts w:ascii="Times New Roman" w:eastAsia="宋体" w:hAnsi="Times New Roman" w:cs="Times New Roman"/>
          <w:color w:val="0D0D0D" w:themeColor="text1" w:themeTint="F2"/>
          <w:sz w:val="22"/>
        </w:rPr>
        <w:t>a</w:t>
      </w:r>
      <w:r w:rsidRPr="00457DEA">
        <w:rPr>
          <w:rFonts w:ascii="Times New Roman" w:eastAsia="宋体" w:hAnsi="Times New Roman" w:cs="Times New Roman" w:hint="eastAsia"/>
          <w:color w:val="0D0D0D" w:themeColor="text1" w:themeTint="F2"/>
          <w:sz w:val="22"/>
        </w:rPr>
        <w:t xml:space="preserve">ir </w:t>
      </w:r>
      <w:r w:rsidRPr="00457DEA">
        <w:rPr>
          <w:rFonts w:ascii="Times New Roman" w:eastAsia="宋体" w:hAnsi="Times New Roman" w:cs="Times New Roman"/>
          <w:color w:val="0D0D0D" w:themeColor="text1" w:themeTint="F2"/>
          <w:sz w:val="22"/>
        </w:rPr>
        <w:t>(FOTA), software o</w:t>
      </w:r>
      <w:r w:rsidRPr="00457DEA">
        <w:rPr>
          <w:rFonts w:ascii="Times New Roman" w:eastAsia="宋体" w:hAnsi="Times New Roman" w:cs="Times New Roman" w:hint="eastAsia"/>
          <w:color w:val="0D0D0D" w:themeColor="text1" w:themeTint="F2"/>
          <w:sz w:val="22"/>
        </w:rPr>
        <w:t>ver-the-</w:t>
      </w:r>
      <w:r w:rsidRPr="00457DEA">
        <w:rPr>
          <w:rFonts w:ascii="Times New Roman" w:eastAsia="宋体" w:hAnsi="Times New Roman" w:cs="Times New Roman"/>
          <w:color w:val="0D0D0D" w:themeColor="text1" w:themeTint="F2"/>
          <w:sz w:val="22"/>
        </w:rPr>
        <w:t>a</w:t>
      </w:r>
      <w:r w:rsidRPr="00457DEA">
        <w:rPr>
          <w:rFonts w:ascii="Times New Roman" w:eastAsia="宋体" w:hAnsi="Times New Roman" w:cs="Times New Roman" w:hint="eastAsia"/>
          <w:color w:val="0D0D0D" w:themeColor="text1" w:themeTint="F2"/>
          <w:sz w:val="22"/>
        </w:rPr>
        <w:t>ir</w:t>
      </w:r>
      <w:r w:rsidRPr="00457DEA">
        <w:rPr>
          <w:rFonts w:ascii="Times New Roman" w:eastAsia="宋体" w:hAnsi="Times New Roman" w:cs="Times New Roman"/>
          <w:color w:val="0D0D0D" w:themeColor="text1" w:themeTint="F2"/>
          <w:sz w:val="22"/>
        </w:rPr>
        <w:t xml:space="preserve"> (SOTA), config</w:t>
      </w:r>
      <w:r w:rsidRPr="00457DEA">
        <w:rPr>
          <w:rFonts w:ascii="Times New Roman" w:eastAsia="宋体" w:hAnsi="Times New Roman" w:cs="Times New Roman" w:hint="eastAsia"/>
          <w:color w:val="0D0D0D" w:themeColor="text1" w:themeTint="F2"/>
          <w:sz w:val="22"/>
        </w:rPr>
        <w:t>uration</w:t>
      </w:r>
      <w:r w:rsidRPr="00457DEA">
        <w:rPr>
          <w:rFonts w:ascii="Times New Roman" w:eastAsia="宋体" w:hAnsi="Times New Roman" w:cs="Times New Roman"/>
          <w:color w:val="0D0D0D" w:themeColor="text1" w:themeTint="F2"/>
          <w:sz w:val="22"/>
        </w:rPr>
        <w:t xml:space="preserve"> o</w:t>
      </w:r>
      <w:r w:rsidRPr="00457DEA">
        <w:rPr>
          <w:rFonts w:ascii="Times New Roman" w:eastAsia="宋体" w:hAnsi="Times New Roman" w:cs="Times New Roman" w:hint="eastAsia"/>
          <w:color w:val="0D0D0D" w:themeColor="text1" w:themeTint="F2"/>
          <w:sz w:val="22"/>
        </w:rPr>
        <w:t>ver-the-</w:t>
      </w:r>
      <w:r w:rsidRPr="00457DEA">
        <w:rPr>
          <w:rFonts w:ascii="Times New Roman" w:eastAsia="宋体" w:hAnsi="Times New Roman" w:cs="Times New Roman"/>
          <w:color w:val="0D0D0D" w:themeColor="text1" w:themeTint="F2"/>
          <w:sz w:val="22"/>
        </w:rPr>
        <w:t>a</w:t>
      </w:r>
      <w:r w:rsidRPr="00457DEA">
        <w:rPr>
          <w:rFonts w:ascii="Times New Roman" w:eastAsia="宋体" w:hAnsi="Times New Roman" w:cs="Times New Roman" w:hint="eastAsia"/>
          <w:color w:val="0D0D0D" w:themeColor="text1" w:themeTint="F2"/>
          <w:sz w:val="22"/>
        </w:rPr>
        <w:t xml:space="preserve">ir </w:t>
      </w:r>
      <w:r w:rsidRPr="00457DEA">
        <w:rPr>
          <w:rFonts w:ascii="Times New Roman" w:eastAsia="宋体" w:hAnsi="Times New Roman" w:cs="Times New Roman"/>
          <w:color w:val="0D0D0D" w:themeColor="text1" w:themeTint="F2"/>
          <w:sz w:val="22"/>
        </w:rPr>
        <w:t>(COTA) and data</w:t>
      </w:r>
      <w:r w:rsidRPr="00457DEA">
        <w:rPr>
          <w:rFonts w:ascii="Times New Roman" w:eastAsia="宋体" w:hAnsi="Times New Roman" w:cs="Times New Roman" w:hint="eastAsia"/>
          <w:color w:val="0D0D0D" w:themeColor="text1" w:themeTint="F2"/>
          <w:sz w:val="22"/>
        </w:rPr>
        <w:t xml:space="preserve"> </w:t>
      </w:r>
      <w:r w:rsidRPr="00457DEA">
        <w:rPr>
          <w:rFonts w:ascii="Times New Roman" w:eastAsia="宋体" w:hAnsi="Times New Roman" w:cs="Times New Roman"/>
          <w:color w:val="0D0D0D" w:themeColor="text1" w:themeTint="F2"/>
          <w:sz w:val="22"/>
        </w:rPr>
        <w:t>o</w:t>
      </w:r>
      <w:r w:rsidRPr="00457DEA">
        <w:rPr>
          <w:rFonts w:ascii="Times New Roman" w:eastAsia="宋体" w:hAnsi="Times New Roman" w:cs="Times New Roman" w:hint="eastAsia"/>
          <w:color w:val="0D0D0D" w:themeColor="text1" w:themeTint="F2"/>
          <w:sz w:val="22"/>
        </w:rPr>
        <w:t>ver-the-</w:t>
      </w:r>
      <w:r w:rsidRPr="00457DEA">
        <w:rPr>
          <w:rFonts w:ascii="Times New Roman" w:eastAsia="宋体" w:hAnsi="Times New Roman" w:cs="Times New Roman"/>
          <w:color w:val="0D0D0D" w:themeColor="text1" w:themeTint="F2"/>
          <w:sz w:val="22"/>
        </w:rPr>
        <w:t>a</w:t>
      </w:r>
      <w:r w:rsidRPr="00457DEA">
        <w:rPr>
          <w:rFonts w:ascii="Times New Roman" w:eastAsia="宋体" w:hAnsi="Times New Roman" w:cs="Times New Roman" w:hint="eastAsia"/>
          <w:color w:val="0D0D0D" w:themeColor="text1" w:themeTint="F2"/>
          <w:sz w:val="22"/>
        </w:rPr>
        <w:t>ir</w:t>
      </w:r>
      <w:r w:rsidRPr="00457DEA">
        <w:rPr>
          <w:rFonts w:ascii="Times New Roman" w:eastAsia="宋体" w:hAnsi="Times New Roman" w:cs="Times New Roman"/>
          <w:color w:val="0D0D0D" w:themeColor="text1" w:themeTint="F2"/>
          <w:sz w:val="22"/>
        </w:rPr>
        <w:t xml:space="preserve"> (DOTA) technologies. Furthermore, vehicle-based systems </w:t>
      </w:r>
      <w:r w:rsidRPr="00457DEA">
        <w:rPr>
          <w:rFonts w:ascii="Times New Roman" w:eastAsia="宋体" w:hAnsi="Times New Roman" w:cs="Times New Roman"/>
          <w:color w:val="0D0D0D" w:themeColor="text1" w:themeTint="F2"/>
          <w:sz w:val="22"/>
        </w:rPr>
        <w:lastRenderedPageBreak/>
        <w:t>can keep updated to prevent information security accidents. What’s more, it can continuously adapt the internal algorithm of the controller to technology trends, provide customers with more value-added services, and realize the interactional networking technology in the CHAIN architecture at a deeper level.</w:t>
      </w:r>
      <w:r w:rsidRPr="00457DEA">
        <w:rPr>
          <w:rFonts w:ascii="宋体" w:eastAsia="宋体" w:hAnsi="宋体" w:cs="宋体"/>
          <w:color w:val="0D0D0D" w:themeColor="text1" w:themeTint="F2"/>
          <w:kern w:val="0"/>
          <w:sz w:val="24"/>
          <w:szCs w:val="24"/>
        </w:rPr>
        <w:t xml:space="preserve"> </w:t>
      </w:r>
      <w:r w:rsidRPr="00457DEA">
        <w:rPr>
          <w:rFonts w:ascii="Times New Roman" w:eastAsia="宋体" w:hAnsi="Times New Roman" w:cs="Times New Roman"/>
          <w:color w:val="0D0D0D" w:themeColor="text1" w:themeTint="F2"/>
          <w:sz w:val="22"/>
        </w:rPr>
        <w:t xml:space="preserve">The development of </w:t>
      </w:r>
      <w:r w:rsidRPr="00457DEA">
        <w:rPr>
          <w:rFonts w:ascii="Times New Roman" w:eastAsia="宋体" w:hAnsi="Times New Roman" w:cs="Times New Roman" w:hint="eastAsia"/>
          <w:color w:val="0D0D0D" w:themeColor="text1" w:themeTint="F2"/>
          <w:sz w:val="22"/>
        </w:rPr>
        <w:t xml:space="preserve">the </w:t>
      </w:r>
      <w:r w:rsidRPr="00457DEA">
        <w:rPr>
          <w:rFonts w:ascii="Times New Roman" w:eastAsia="宋体" w:hAnsi="Times New Roman" w:cs="Times New Roman"/>
          <w:color w:val="0D0D0D" w:themeColor="text1" w:themeTint="F2"/>
          <w:sz w:val="22"/>
        </w:rPr>
        <w:t xml:space="preserve">OTA technology needs to be compatible with local hardware </w:t>
      </w:r>
      <w:r w:rsidRPr="00457DEA">
        <w:rPr>
          <w:rFonts w:ascii="Times New Roman" w:eastAsia="宋体" w:hAnsi="Times New Roman" w:cs="Times New Roman" w:hint="eastAsia"/>
          <w:color w:val="0D0D0D" w:themeColor="text1" w:themeTint="F2"/>
          <w:sz w:val="22"/>
        </w:rPr>
        <w:t>devices</w:t>
      </w:r>
      <w:r w:rsidRPr="00457DEA">
        <w:rPr>
          <w:rFonts w:ascii="Times New Roman" w:eastAsia="宋体" w:hAnsi="Times New Roman" w:cs="Times New Roman"/>
          <w:color w:val="0D0D0D" w:themeColor="text1" w:themeTint="F2"/>
          <w:sz w:val="22"/>
        </w:rPr>
        <w:t xml:space="preserve"> and software architecture. At present, </w:t>
      </w:r>
      <w:r w:rsidRPr="00457DEA">
        <w:rPr>
          <w:rFonts w:ascii="Times New Roman" w:eastAsia="宋体" w:hAnsi="Times New Roman" w:cs="Times New Roman" w:hint="eastAsia"/>
          <w:color w:val="0D0D0D" w:themeColor="text1" w:themeTint="F2"/>
          <w:sz w:val="22"/>
        </w:rPr>
        <w:t>it</w:t>
      </w:r>
      <w:r w:rsidRPr="00457DEA">
        <w:rPr>
          <w:rFonts w:ascii="Times New Roman" w:eastAsia="宋体" w:hAnsi="Times New Roman" w:cs="Times New Roman"/>
          <w:color w:val="0D0D0D" w:themeColor="text1" w:themeTint="F2"/>
          <w:sz w:val="22"/>
        </w:rPr>
        <w:t xml:space="preserve"> requires a complete set of standards and development processes to be proposed to ensure overall compliance</w:t>
      </w:r>
      <w:r w:rsidRPr="00457DEA">
        <w:rPr>
          <w:rFonts w:ascii="Times New Roman" w:eastAsia="宋体" w:hAnsi="Times New Roman" w:cs="Times New Roman" w:hint="eastAsia"/>
          <w:color w:val="0D0D0D" w:themeColor="text1" w:themeTint="F2"/>
          <w:sz w:val="22"/>
        </w:rPr>
        <w:t xml:space="preserve"> for this field</w:t>
      </w:r>
      <w:r w:rsidRPr="00457DEA">
        <w:rPr>
          <w:rFonts w:ascii="Times New Roman" w:eastAsia="宋体" w:hAnsi="Times New Roman" w:cs="Times New Roman"/>
          <w:color w:val="0D0D0D" w:themeColor="text1" w:themeTint="F2"/>
          <w:sz w:val="22"/>
        </w:rPr>
        <w:t xml:space="preserve">. In addition, application development based on </w:t>
      </w:r>
      <w:r w:rsidRPr="00457DEA">
        <w:rPr>
          <w:rFonts w:ascii="Times New Roman" w:eastAsia="宋体" w:hAnsi="Times New Roman" w:cs="Times New Roman" w:hint="eastAsia"/>
          <w:color w:val="0D0D0D" w:themeColor="text1" w:themeTint="F2"/>
          <w:sz w:val="22"/>
        </w:rPr>
        <w:t>this</w:t>
      </w:r>
      <w:r w:rsidRPr="00457DEA">
        <w:rPr>
          <w:rFonts w:ascii="Times New Roman" w:eastAsia="宋体" w:hAnsi="Times New Roman" w:cs="Times New Roman"/>
          <w:color w:val="0D0D0D" w:themeColor="text1" w:themeTint="F2"/>
          <w:sz w:val="22"/>
        </w:rPr>
        <w:t xml:space="preserve"> system </w:t>
      </w:r>
      <w:r w:rsidRPr="00457DEA">
        <w:rPr>
          <w:rFonts w:ascii="Times New Roman" w:eastAsia="宋体" w:hAnsi="Times New Roman" w:cs="Times New Roman" w:hint="eastAsia"/>
          <w:color w:val="0D0D0D" w:themeColor="text1" w:themeTint="F2"/>
          <w:sz w:val="22"/>
        </w:rPr>
        <w:t>should</w:t>
      </w:r>
      <w:r w:rsidRPr="00457DEA">
        <w:rPr>
          <w:rFonts w:ascii="Times New Roman" w:eastAsia="宋体" w:hAnsi="Times New Roman" w:cs="Times New Roman"/>
          <w:color w:val="0D0D0D" w:themeColor="text1" w:themeTint="F2"/>
          <w:sz w:val="22"/>
        </w:rPr>
        <w:t xml:space="preserve"> be open source</w:t>
      </w:r>
      <w:r w:rsidRPr="00457DEA">
        <w:rPr>
          <w:rFonts w:ascii="Times New Roman" w:eastAsia="宋体" w:hAnsi="Times New Roman" w:cs="Times New Roman" w:hint="eastAsia"/>
          <w:color w:val="0D0D0D" w:themeColor="text1" w:themeTint="F2"/>
          <w:sz w:val="22"/>
        </w:rPr>
        <w:t>, which</w:t>
      </w:r>
      <w:r w:rsidRPr="00457DEA">
        <w:rPr>
          <w:rFonts w:ascii="Times New Roman" w:eastAsia="宋体" w:hAnsi="Times New Roman" w:cs="Times New Roman"/>
          <w:color w:val="0D0D0D" w:themeColor="text1" w:themeTint="F2"/>
          <w:sz w:val="22"/>
        </w:rPr>
        <w:t xml:space="preserve"> allows more engineers to participate in the formation of a software ecosystem with a larger scale and richer functions. </w:t>
      </w:r>
    </w:p>
    <w:p w14:paraId="68BD7B9A" w14:textId="77777777" w:rsidR="00672135" w:rsidRPr="00457DEA" w:rsidRDefault="00120DF0">
      <w:pPr>
        <w:rPr>
          <w:rFonts w:ascii="Times New Roman" w:eastAsia="宋体" w:hAnsi="Times New Roman" w:cs="Times New Roman"/>
          <w:color w:val="0D0D0D" w:themeColor="text1" w:themeTint="F2"/>
          <w:sz w:val="22"/>
        </w:rPr>
      </w:pPr>
      <w:r w:rsidRPr="00457DEA">
        <w:rPr>
          <w:rFonts w:ascii="Times New Roman" w:eastAsia="宋体" w:hAnsi="Times New Roman" w:cs="Times New Roman" w:hint="eastAsia"/>
          <w:color w:val="0D0D0D" w:themeColor="text1" w:themeTint="F2"/>
          <w:sz w:val="22"/>
        </w:rPr>
        <w:t>c</w:t>
      </w:r>
      <w:r w:rsidRPr="00457DEA">
        <w:rPr>
          <w:rFonts w:ascii="Times New Roman" w:eastAsia="宋体" w:hAnsi="Times New Roman" w:cs="Times New Roman"/>
          <w:color w:val="0D0D0D" w:themeColor="text1" w:themeTint="F2"/>
          <w:sz w:val="22"/>
        </w:rPr>
        <w:t>) Integration with other fields</w:t>
      </w:r>
    </w:p>
    <w:p w14:paraId="483BB210" w14:textId="77777777" w:rsidR="00672135" w:rsidRPr="00457DEA" w:rsidRDefault="00120DF0">
      <w:pPr>
        <w:ind w:firstLine="420"/>
        <w:rPr>
          <w:rFonts w:ascii="Times New Roman" w:eastAsia="宋体" w:hAnsi="Times New Roman" w:cs="Times New Roman"/>
          <w:color w:val="0D0D0D" w:themeColor="text1" w:themeTint="F2"/>
          <w:sz w:val="22"/>
        </w:rPr>
      </w:pPr>
      <w:r w:rsidRPr="00457DEA">
        <w:rPr>
          <w:rFonts w:ascii="Times New Roman" w:eastAsia="宋体" w:hAnsi="Times New Roman" w:cs="Times New Roman"/>
          <w:color w:val="0D0D0D" w:themeColor="text1" w:themeTint="F2"/>
          <w:sz w:val="22"/>
        </w:rPr>
        <w:t>With the widespread application of batteries as energy storage devices in smart microgrid, Internet Data Center (IDC), aerospace and other fields, BMS have encountered greater challenges and more functional requirements. For example, batteries are the power source of electric vehicle, while in a microgrid, the battery play a role as energy storage and peak load shifting, which needs to have a high energy density and excellent power characteristics to meet the demand, the battery becomes parts of a microgrid system at this time. Therefore, BMS not only ensure the safety, reliability, and longevity of the battery, but also communicate and coordinate with other parts of the system. At this time, the concept of cloud-based BMS can be extended to the control unit of the entire system, which means the solution of the CHAIN architecture is universal in many fields.</w:t>
      </w:r>
    </w:p>
    <w:p w14:paraId="352AF7F7" w14:textId="77777777" w:rsidR="00672135" w:rsidRDefault="00672135">
      <w:pPr>
        <w:ind w:firstLineChars="200" w:firstLine="440"/>
        <w:rPr>
          <w:rFonts w:ascii="Times New Roman" w:eastAsia="宋体" w:hAnsi="Times New Roman" w:cs="Times New Roman"/>
          <w:sz w:val="22"/>
        </w:rPr>
      </w:pPr>
    </w:p>
    <w:p w14:paraId="4C7784A3" w14:textId="77777777" w:rsidR="00672135" w:rsidRDefault="00120DF0">
      <w:pPr>
        <w:spacing w:before="180" w:after="120"/>
        <w:outlineLvl w:val="0"/>
        <w:rPr>
          <w:rFonts w:ascii="Times New Roman" w:hAnsi="Times New Roman"/>
          <w:b/>
          <w:bCs/>
          <w:kern w:val="20"/>
          <w:sz w:val="18"/>
          <w:szCs w:val="18"/>
        </w:rPr>
      </w:pPr>
      <w:r>
        <w:rPr>
          <w:rFonts w:ascii="Times New Roman" w:hAnsi="Times New Roman"/>
          <w:b/>
          <w:bCs/>
          <w:kern w:val="20"/>
        </w:rPr>
        <w:t xml:space="preserve">ACKNOWLEDGMENT </w:t>
      </w:r>
    </w:p>
    <w:p w14:paraId="20284D1D" w14:textId="77777777" w:rsidR="00672135" w:rsidRDefault="00120DF0">
      <w:pPr>
        <w:rPr>
          <w:rFonts w:ascii="Times New Roman" w:eastAsia="宋体" w:hAnsi="Times New Roman" w:cs="Times New Roman"/>
          <w:sz w:val="22"/>
        </w:rPr>
      </w:pPr>
      <w:r>
        <w:rPr>
          <w:rFonts w:ascii="Times New Roman" w:eastAsia="宋体" w:hAnsi="Times New Roman" w:cs="Times New Roman"/>
          <w:sz w:val="22"/>
        </w:rPr>
        <w:t>This work was supported by</w:t>
      </w:r>
      <w:r>
        <w:rPr>
          <w:rFonts w:ascii="Times New Roman" w:eastAsia="宋体" w:hAnsi="Times New Roman" w:cs="Times New Roman" w:hint="eastAsia"/>
          <w:sz w:val="22"/>
        </w:rPr>
        <w:t xml:space="preserve"> National Key R&amp;D Program of China</w:t>
      </w:r>
      <w:r>
        <w:rPr>
          <w:rFonts w:ascii="Times New Roman" w:eastAsia="宋体" w:hAnsi="Times New Roman" w:cs="Times New Roman"/>
          <w:sz w:val="22"/>
        </w:rPr>
        <w:t xml:space="preserve"> </w:t>
      </w:r>
      <w:r>
        <w:rPr>
          <w:rFonts w:ascii="Times New Roman" w:eastAsia="宋体" w:hAnsi="Times New Roman" w:cs="Times New Roman" w:hint="eastAsia"/>
          <w:sz w:val="22"/>
        </w:rPr>
        <w:t xml:space="preserve">(2018YFB0104001), </w:t>
      </w:r>
      <w:r>
        <w:rPr>
          <w:rFonts w:ascii="Times New Roman" w:eastAsia="宋体" w:hAnsi="Times New Roman" w:cs="Times New Roman"/>
          <w:sz w:val="22"/>
        </w:rPr>
        <w:t>the EPSRC</w:t>
      </w:r>
      <w:r>
        <w:rPr>
          <w:rFonts w:ascii="Times New Roman" w:eastAsia="宋体" w:hAnsi="Times New Roman" w:cs="Times New Roman" w:hint="eastAsia"/>
          <w:sz w:val="22"/>
        </w:rPr>
        <w:t xml:space="preserve"> Faraday Institution</w:t>
      </w:r>
      <w:r>
        <w:rPr>
          <w:rFonts w:ascii="Times New Roman" w:eastAsia="宋体" w:hAnsi="Times New Roman" w:cs="Times New Roman"/>
          <w:sz w:val="22"/>
        </w:rPr>
        <w:t xml:space="preserve">’s Multi-Scale Modelling Project (EP/S003053/1, grant number FIRG003). </w:t>
      </w:r>
    </w:p>
    <w:p w14:paraId="45231A97" w14:textId="77777777" w:rsidR="00672135" w:rsidRDefault="00120DF0">
      <w:pPr>
        <w:spacing w:before="180" w:after="120"/>
        <w:outlineLvl w:val="0"/>
        <w:rPr>
          <w:rFonts w:ascii="Times New Roman" w:hAnsi="Times New Roman"/>
          <w:b/>
          <w:bCs/>
          <w:kern w:val="20"/>
        </w:rPr>
      </w:pPr>
      <w:r>
        <w:rPr>
          <w:rFonts w:ascii="Times New Roman" w:hAnsi="Times New Roman"/>
          <w:b/>
          <w:bCs/>
          <w:kern w:val="20"/>
        </w:rPr>
        <w:t>AUTHOR CONTRIBUTIONS</w:t>
      </w:r>
    </w:p>
    <w:p w14:paraId="6EBFF083" w14:textId="77777777" w:rsidR="00672135" w:rsidRDefault="00120DF0">
      <w:pPr>
        <w:rPr>
          <w:rFonts w:ascii="Times New Roman" w:eastAsia="宋体" w:hAnsi="Times New Roman" w:cs="Times New Roman"/>
          <w:sz w:val="22"/>
        </w:rPr>
      </w:pPr>
      <w:r>
        <w:rPr>
          <w:rFonts w:ascii="Times New Roman" w:eastAsia="宋体" w:hAnsi="Times New Roman" w:cs="Times New Roman" w:hint="eastAsia"/>
          <w:sz w:val="22"/>
        </w:rPr>
        <w:t xml:space="preserve">S.Y. and </w:t>
      </w:r>
      <w:proofErr w:type="spellStart"/>
      <w:r>
        <w:rPr>
          <w:rFonts w:ascii="Times New Roman" w:eastAsia="宋体" w:hAnsi="Times New Roman" w:cs="Times New Roman" w:hint="eastAsia"/>
          <w:sz w:val="22"/>
        </w:rPr>
        <w:t>X.</w:t>
      </w:r>
      <w:proofErr w:type="gramStart"/>
      <w:r>
        <w:rPr>
          <w:rFonts w:ascii="Times New Roman" w:eastAsia="宋体" w:hAnsi="Times New Roman" w:cs="Times New Roman" w:hint="eastAsia"/>
          <w:sz w:val="22"/>
        </w:rPr>
        <w:t>L.conceived</w:t>
      </w:r>
      <w:proofErr w:type="spellEnd"/>
      <w:proofErr w:type="gramEnd"/>
      <w:r>
        <w:rPr>
          <w:rFonts w:ascii="Times New Roman" w:eastAsia="宋体" w:hAnsi="Times New Roman" w:cs="Times New Roman" w:hint="eastAsia"/>
          <w:sz w:val="22"/>
        </w:rPr>
        <w:t xml:space="preserve"> the research. S.Y., X.L., B.W., H. L., and Y. L. codirected the work. Z.Z., C.R., H.C., M.W., Y.J., </w:t>
      </w:r>
      <w:proofErr w:type="spellStart"/>
      <w:r>
        <w:rPr>
          <w:rFonts w:ascii="Times New Roman" w:eastAsia="宋体" w:hAnsi="Times New Roman" w:cs="Times New Roman" w:hint="eastAsia"/>
          <w:sz w:val="22"/>
        </w:rPr>
        <w:t>Y.</w:t>
      </w:r>
      <w:proofErr w:type="gramStart"/>
      <w:r>
        <w:rPr>
          <w:rFonts w:ascii="Times New Roman" w:eastAsia="宋体" w:hAnsi="Times New Roman" w:cs="Times New Roman" w:hint="eastAsia"/>
          <w:sz w:val="22"/>
        </w:rPr>
        <w:t>L.developed</w:t>
      </w:r>
      <w:proofErr w:type="spellEnd"/>
      <w:proofErr w:type="gramEnd"/>
      <w:r>
        <w:rPr>
          <w:rFonts w:ascii="Times New Roman" w:eastAsia="宋体" w:hAnsi="Times New Roman" w:cs="Times New Roman" w:hint="eastAsia"/>
          <w:sz w:val="22"/>
        </w:rPr>
        <w:t xml:space="preserve"> models and performed simulations. Z.Z., C.R., H.C., M.W., L.Z., Y.J., and Y.L. wrote the manuscript. S.Y., B.W., B.C. and X.L. revised the manuscript.</w:t>
      </w:r>
    </w:p>
    <w:p w14:paraId="547AD3BD" w14:textId="77777777" w:rsidR="00672135" w:rsidRDefault="00120DF0">
      <w:pPr>
        <w:pStyle w:val="SectionTitle"/>
        <w:outlineLvl w:val="0"/>
        <w:rPr>
          <w:rFonts w:ascii="Times New Roman" w:hAnsi="Times New Roman"/>
          <w:sz w:val="18"/>
          <w:szCs w:val="18"/>
        </w:rPr>
      </w:pPr>
      <w:r>
        <w:rPr>
          <w:rFonts w:ascii="Times New Roman" w:hAnsi="Times New Roman"/>
          <w:sz w:val="18"/>
          <w:szCs w:val="18"/>
        </w:rPr>
        <w:t xml:space="preserve"> </w:t>
      </w:r>
    </w:p>
    <w:p w14:paraId="0719E722" w14:textId="77777777" w:rsidR="00672135" w:rsidRDefault="00120DF0">
      <w:pPr>
        <w:spacing w:before="180" w:after="120"/>
        <w:outlineLvl w:val="0"/>
        <w:rPr>
          <w:rFonts w:ascii="Times New Roman" w:hAnsi="Times New Roman"/>
          <w:b/>
          <w:bCs/>
          <w:kern w:val="20"/>
        </w:rPr>
      </w:pPr>
      <w:r>
        <w:rPr>
          <w:rFonts w:ascii="Times New Roman" w:hAnsi="Times New Roman"/>
          <w:b/>
          <w:bCs/>
          <w:kern w:val="20"/>
        </w:rPr>
        <w:t>REFERENCES</w:t>
      </w:r>
    </w:p>
    <w:p w14:paraId="32C7A91B" w14:textId="7F07AAE5" w:rsidR="00BE06A1" w:rsidRPr="00BE06A1" w:rsidRDefault="00120DF0"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BE06A1" w:rsidRPr="00BE06A1">
        <w:rPr>
          <w:rFonts w:ascii="Times New Roman" w:hAnsi="Times New Roman" w:cs="Times New Roman"/>
          <w:noProof/>
          <w:kern w:val="0"/>
          <w:sz w:val="20"/>
          <w:szCs w:val="24"/>
        </w:rPr>
        <w:t>[1]</w:t>
      </w:r>
      <w:r w:rsidR="00BE06A1" w:rsidRPr="00BE06A1">
        <w:rPr>
          <w:rFonts w:ascii="Times New Roman" w:hAnsi="Times New Roman" w:cs="Times New Roman"/>
          <w:noProof/>
          <w:kern w:val="0"/>
          <w:sz w:val="20"/>
          <w:szCs w:val="24"/>
        </w:rPr>
        <w:tab/>
        <w:t>M.S.H. Lipu, M.A. Hannan, T.F. Karim, A. Hussain, M.H.M. Saad, A. Ayob, M.S. Miah, T.M.I. Mahlia, J. Clean. Prod. 292 (2021) 126044.</w:t>
      </w:r>
    </w:p>
    <w:p w14:paraId="30AF4DDF"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w:t>
      </w:r>
      <w:r w:rsidRPr="00BE06A1">
        <w:rPr>
          <w:rFonts w:ascii="Times New Roman" w:hAnsi="Times New Roman" w:cs="Times New Roman"/>
          <w:noProof/>
          <w:kern w:val="0"/>
          <w:sz w:val="20"/>
          <w:szCs w:val="24"/>
        </w:rPr>
        <w:tab/>
        <w:t>H. He, R. Xiong, H. Guo, Appl. Energy 89 (2012) 413–420.</w:t>
      </w:r>
    </w:p>
    <w:p w14:paraId="504B2E6A"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lastRenderedPageBreak/>
        <w:t>[3]</w:t>
      </w:r>
      <w:r w:rsidRPr="00BE06A1">
        <w:rPr>
          <w:rFonts w:ascii="Times New Roman" w:hAnsi="Times New Roman" w:cs="Times New Roman"/>
          <w:noProof/>
          <w:kern w:val="0"/>
          <w:sz w:val="20"/>
          <w:szCs w:val="24"/>
        </w:rPr>
        <w:tab/>
        <w:t>W. Huang, X. Feng, X. Han, W. Zhang, F. Jiang, Cell Reports Phys. Sci. 2 (2021) 100285.</w:t>
      </w:r>
    </w:p>
    <w:p w14:paraId="6F408081"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w:t>
      </w:r>
      <w:r w:rsidRPr="00BE06A1">
        <w:rPr>
          <w:rFonts w:ascii="Times New Roman" w:hAnsi="Times New Roman" w:cs="Times New Roman"/>
          <w:noProof/>
          <w:kern w:val="0"/>
          <w:sz w:val="20"/>
          <w:szCs w:val="24"/>
        </w:rPr>
        <w:tab/>
        <w:t>A. Kwade, W. Haselrieder, R. Leithoff, A. Modlinger, F. Dietrich, K. Droeder, Nat. Energy 3 (2018) 290–300.</w:t>
      </w:r>
    </w:p>
    <w:p w14:paraId="188ED99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w:t>
      </w:r>
      <w:r w:rsidRPr="00BE06A1">
        <w:rPr>
          <w:rFonts w:ascii="Times New Roman" w:hAnsi="Times New Roman" w:cs="Times New Roman"/>
          <w:noProof/>
          <w:kern w:val="0"/>
          <w:sz w:val="20"/>
          <w:szCs w:val="24"/>
        </w:rPr>
        <w:tab/>
        <w:t>Y. Saleem, N. Crespi, M.H. Rehmani, R. Copeland, ArXiv 7 (2017).</w:t>
      </w:r>
    </w:p>
    <w:p w14:paraId="3B3D372A"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w:t>
      </w:r>
      <w:r w:rsidRPr="00BE06A1">
        <w:rPr>
          <w:rFonts w:ascii="Times New Roman" w:hAnsi="Times New Roman" w:cs="Times New Roman"/>
          <w:noProof/>
          <w:kern w:val="0"/>
          <w:sz w:val="20"/>
          <w:szCs w:val="24"/>
        </w:rPr>
        <w:tab/>
        <w:t>K. Mahmud, G.E. Town, S. Morsalin, M.J. Hossain, Renew. Sustain. Energy Rev. 82 (2018) 4179–4203.</w:t>
      </w:r>
    </w:p>
    <w:p w14:paraId="367A1588"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[7]</w:t>
      </w:r>
      <w:r w:rsidRPr="00BE06A1">
        <w:rPr>
          <w:rFonts w:ascii="Times New Roman" w:hAnsi="Times New Roman" w:cs="Times New Roman"/>
          <w:noProof/>
          <w:kern w:val="0"/>
          <w:sz w:val="20"/>
          <w:szCs w:val="24"/>
        </w:rPr>
        <w:tab/>
        <w:t>M. Mierau, S. Fey, R. Kohrs, C. Wittwer, World Electr. Veh. J. 6 (2013) 1125–1135.</w:t>
      </w:r>
    </w:p>
    <w:p w14:paraId="0498E2FE"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[8]</w:t>
      </w:r>
      <w:r w:rsidRPr="00BE06A1">
        <w:rPr>
          <w:rFonts w:ascii="Times New Roman" w:hAnsi="Times New Roman" w:cs="Times New Roman"/>
          <w:noProof/>
          <w:kern w:val="0"/>
          <w:sz w:val="20"/>
          <w:szCs w:val="24"/>
        </w:rPr>
        <w:tab/>
        <w:t>T. Tanizawa, T. Suzumiya, K. Ikeda, Fujitsu Sci. Tech. J. 51 (2015) 27–35.</w:t>
      </w:r>
    </w:p>
    <w:p w14:paraId="7848E2EB"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[9]</w:t>
      </w:r>
      <w:r w:rsidRPr="00BE06A1">
        <w:rPr>
          <w:rFonts w:ascii="Times New Roman" w:hAnsi="Times New Roman" w:cs="Times New Roman"/>
          <w:noProof/>
          <w:kern w:val="0"/>
          <w:sz w:val="20"/>
          <w:szCs w:val="24"/>
        </w:rPr>
        <w:tab/>
        <w:t>M. Baumann, S. Rohr, M. Lienkamp, 2018 13th Int. Conf. Ecol. Veh. Renew. Energies, EVER 2018 (2018) 1–6.</w:t>
      </w:r>
    </w:p>
    <w:p w14:paraId="1F36378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[10]</w:t>
      </w:r>
      <w:r w:rsidRPr="00BE06A1">
        <w:rPr>
          <w:rFonts w:ascii="Times New Roman" w:hAnsi="Times New Roman" w:cs="Times New Roman"/>
          <w:noProof/>
          <w:kern w:val="0"/>
          <w:sz w:val="20"/>
          <w:szCs w:val="24"/>
        </w:rPr>
        <w:tab/>
        <w:t>W. Li, M. Rentemeister, J. Badeda, D. Jöst, D. Schulte, D.U. Sauer, J. Energy Storage 30 (2020) 101557.</w:t>
      </w:r>
    </w:p>
    <w:p w14:paraId="7DFBF327"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[11]</w:t>
      </w:r>
      <w:r w:rsidRPr="00BE06A1">
        <w:rPr>
          <w:rFonts w:ascii="Times New Roman" w:hAnsi="Times New Roman" w:cs="Times New Roman"/>
          <w:noProof/>
          <w:kern w:val="0"/>
          <w:sz w:val="20"/>
          <w:szCs w:val="24"/>
        </w:rPr>
        <w:tab/>
        <w:t>B. Wu, W.D. Widanage, S. Yang, X. Liu, Energy AI 1 (2020) 100016.</w:t>
      </w:r>
    </w:p>
    <w:p w14:paraId="45AC0E36"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[12]</w:t>
      </w:r>
      <w:r w:rsidRPr="00BE06A1">
        <w:rPr>
          <w:rFonts w:ascii="Times New Roman" w:hAnsi="Times New Roman" w:cs="Times New Roman"/>
          <w:noProof/>
          <w:kern w:val="0"/>
          <w:sz w:val="20"/>
          <w:szCs w:val="24"/>
        </w:rPr>
        <w:tab/>
        <w:t>W. Li, N. Sengupta, P. Dechent, D. Howey, A. Annaswamy, D.U. Sauer, J. Power Sources 482 (2021) 228863.</w:t>
      </w:r>
    </w:p>
    <w:p w14:paraId="74AA0EF2"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[13]</w:t>
      </w:r>
      <w:r w:rsidRPr="00BE06A1">
        <w:rPr>
          <w:rFonts w:ascii="Times New Roman" w:hAnsi="Times New Roman" w:cs="Times New Roman"/>
          <w:noProof/>
          <w:kern w:val="0"/>
          <w:sz w:val="20"/>
          <w:szCs w:val="24"/>
        </w:rPr>
        <w:tab/>
        <w:t>Z. Qin, G. Denker, C. Giannelli, P. Bellavista, N. Venkatasubramanian, IEEE/IFIP NOMS 2014 - IEEE/IFIP Netw. Oper. Manag. Symp. Manag. a Softw. Defin. World (2014).</w:t>
      </w:r>
    </w:p>
    <w:p w14:paraId="3B0C583E"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[14]</w:t>
      </w:r>
      <w:r w:rsidRPr="00BE06A1">
        <w:rPr>
          <w:rFonts w:ascii="Times New Roman" w:hAnsi="Times New Roman" w:cs="Times New Roman"/>
          <w:noProof/>
          <w:kern w:val="0"/>
          <w:sz w:val="20"/>
          <w:szCs w:val="24"/>
        </w:rPr>
        <w:tab/>
        <w:t>H. Qi, A. Gani, 2012 2nd Int. Conf. Digit. Inf. Commun. Technol. Its Appl. DICTAP 2012 (2012) 195–202.</w:t>
      </w:r>
    </w:p>
    <w:p w14:paraId="63A225F4"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[15]</w:t>
      </w:r>
      <w:r w:rsidRPr="00BE06A1">
        <w:rPr>
          <w:rFonts w:ascii="Times New Roman" w:hAnsi="Times New Roman" w:cs="Times New Roman"/>
          <w:noProof/>
          <w:kern w:val="0"/>
          <w:sz w:val="20"/>
          <w:szCs w:val="24"/>
        </w:rPr>
        <w:tab/>
        <w:t>S. Kumbhar, T. Faika, D. Makwana, T. Kim, Y. Lee, 2018 IEEE Transp. Electrif. Conf. Expo, ITEC 2018 (2018) 761–766.</w:t>
      </w:r>
    </w:p>
    <w:p w14:paraId="5E96DCE7"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[16]</w:t>
      </w:r>
      <w:r w:rsidRPr="00BE06A1">
        <w:rPr>
          <w:rFonts w:ascii="Times New Roman" w:hAnsi="Times New Roman" w:cs="Times New Roman"/>
          <w:noProof/>
          <w:kern w:val="0"/>
          <w:sz w:val="20"/>
          <w:szCs w:val="24"/>
        </w:rPr>
        <w:tab/>
        <w:t>R. Liu, B. Jia, W. Wang, Environ. Technol. Innov. 21 (2021) 101369.</w:t>
      </w:r>
    </w:p>
    <w:p w14:paraId="5CA56CE6"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[17]</w:t>
      </w:r>
      <w:r w:rsidRPr="00BE06A1">
        <w:rPr>
          <w:rFonts w:ascii="Times New Roman" w:hAnsi="Times New Roman" w:cs="Times New Roman"/>
          <w:noProof/>
          <w:kern w:val="0"/>
          <w:sz w:val="20"/>
          <w:szCs w:val="24"/>
        </w:rPr>
        <w:tab/>
        <w:t>F. Tao, Q. Qi, Nature 573 (2019) 490–491.</w:t>
      </w:r>
    </w:p>
    <w:p w14:paraId="514F8B5F"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[18]</w:t>
      </w:r>
      <w:r w:rsidRPr="00BE06A1">
        <w:rPr>
          <w:rFonts w:ascii="Times New Roman" w:hAnsi="Times New Roman" w:cs="Times New Roman"/>
          <w:noProof/>
          <w:kern w:val="0"/>
          <w:sz w:val="20"/>
          <w:szCs w:val="24"/>
        </w:rPr>
        <w:tab/>
        <w:t>M.S. Aslanpour, S.S. Gill, A.N. Toosi, Internet of Things 12 (2020) 100273.</w:t>
      </w:r>
    </w:p>
    <w:p w14:paraId="73A290DA"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[19]</w:t>
      </w:r>
      <w:r w:rsidRPr="00BE06A1">
        <w:rPr>
          <w:rFonts w:ascii="Times New Roman" w:hAnsi="Times New Roman" w:cs="Times New Roman"/>
          <w:noProof/>
          <w:kern w:val="0"/>
          <w:sz w:val="20"/>
          <w:szCs w:val="24"/>
        </w:rPr>
        <w:tab/>
        <w:t>A. Tomaszewska, Z. Chu, X. Feng, S. O’Kane, X. Liu, J. Chen, C. Ji, E. Endler, R. Li, L. Liu, Y. Li, S. Zheng, S. Vetterlein, M. Gao, J. Du, M. Parkes, M. Ouyang, M. Marinescu, G. Offer, B. Wu, ETransportation 1 (2019) 100011.</w:t>
      </w:r>
    </w:p>
    <w:p w14:paraId="3E9BF721"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[20]</w:t>
      </w:r>
      <w:r w:rsidRPr="00BE06A1">
        <w:rPr>
          <w:rFonts w:ascii="Times New Roman" w:hAnsi="Times New Roman" w:cs="Times New Roman"/>
          <w:noProof/>
          <w:kern w:val="0"/>
          <w:sz w:val="20"/>
          <w:szCs w:val="24"/>
        </w:rPr>
        <w:tab/>
        <w:t>S. Yang, X. Gao, Y. Li, W. Xie, B. Guo, L. Zhang, X. Liu, J. Power Sources 494 (2021) 229772.</w:t>
      </w:r>
    </w:p>
    <w:p w14:paraId="00647141"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[21]</w:t>
      </w:r>
      <w:r w:rsidRPr="00BE06A1">
        <w:rPr>
          <w:rFonts w:ascii="Times New Roman" w:hAnsi="Times New Roman" w:cs="Times New Roman"/>
          <w:noProof/>
          <w:kern w:val="0"/>
          <w:sz w:val="20"/>
          <w:szCs w:val="24"/>
        </w:rPr>
        <w:tab/>
        <w:t>J. Spillner, J. Müller, A. Schill, Futur. Gener. Comput. Syst. 29 (2013) 1062–1072.</w:t>
      </w:r>
    </w:p>
    <w:p w14:paraId="285969EF"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[22]</w:t>
      </w:r>
      <w:r w:rsidRPr="00BE06A1">
        <w:rPr>
          <w:rFonts w:ascii="Times New Roman" w:hAnsi="Times New Roman" w:cs="Times New Roman"/>
          <w:noProof/>
          <w:kern w:val="0"/>
          <w:sz w:val="20"/>
          <w:szCs w:val="24"/>
        </w:rPr>
        <w:tab/>
        <w:t>P.J. Sun, J. Netw. Comput. Appl. 160 (2020) 102642.</w:t>
      </w:r>
    </w:p>
    <w:p w14:paraId="0941CCD2"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[23]</w:t>
      </w:r>
      <w:r w:rsidRPr="00BE06A1">
        <w:rPr>
          <w:rFonts w:ascii="Times New Roman" w:hAnsi="Times New Roman" w:cs="Times New Roman"/>
          <w:noProof/>
          <w:kern w:val="0"/>
          <w:sz w:val="20"/>
          <w:szCs w:val="24"/>
        </w:rPr>
        <w:tab/>
        <w:t>P. Arcaini, R. Mirandola, E. Riccobene, P. Scandurra, J. Syst. Softw. 164 (2020) 110558.</w:t>
      </w:r>
    </w:p>
    <w:p w14:paraId="3C5B51BB"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lastRenderedPageBreak/>
        <w:t>[24]</w:t>
      </w:r>
      <w:r w:rsidRPr="00BE06A1">
        <w:rPr>
          <w:rFonts w:ascii="Times New Roman" w:hAnsi="Times New Roman" w:cs="Times New Roman"/>
          <w:noProof/>
          <w:kern w:val="0"/>
          <w:sz w:val="20"/>
          <w:szCs w:val="24"/>
        </w:rPr>
        <w:tab/>
        <w:t>L. Lu, X. Han, J. Li, J. Hua, M. Ouyang, J. Power Sources 226 (2013) 272–288.</w:t>
      </w:r>
    </w:p>
    <w:p w14:paraId="165B4AAD"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[25]</w:t>
      </w:r>
      <w:r w:rsidRPr="00BE06A1">
        <w:rPr>
          <w:rFonts w:ascii="Times New Roman" w:hAnsi="Times New Roman" w:cs="Times New Roman"/>
          <w:noProof/>
          <w:kern w:val="0"/>
          <w:sz w:val="20"/>
          <w:szCs w:val="24"/>
        </w:rPr>
        <w:tab/>
        <w:t>H. Kuusisto, T. Wik, 287 (2015) 448–457.</w:t>
      </w:r>
    </w:p>
    <w:p w14:paraId="474C9D39"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[26]</w:t>
      </w:r>
      <w:r w:rsidRPr="00BE06A1">
        <w:rPr>
          <w:rFonts w:ascii="Times New Roman" w:hAnsi="Times New Roman" w:cs="Times New Roman"/>
          <w:noProof/>
          <w:kern w:val="0"/>
          <w:sz w:val="20"/>
          <w:szCs w:val="24"/>
        </w:rPr>
        <w:tab/>
        <w:t>J. Meng, M. Boukhnifer, D. Diallo, IET Electr. Syst. Transp. 10 (2020) 162–169.</w:t>
      </w:r>
    </w:p>
    <w:p w14:paraId="61386D65"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[27]</w:t>
      </w:r>
      <w:r w:rsidRPr="00BE06A1">
        <w:rPr>
          <w:rFonts w:ascii="Times New Roman" w:hAnsi="Times New Roman" w:cs="Times New Roman"/>
          <w:noProof/>
          <w:kern w:val="0"/>
          <w:sz w:val="20"/>
          <w:szCs w:val="24"/>
        </w:rPr>
        <w:tab/>
        <w:t>L. Teo, V.R. Subramanian, D.T. Schwartz, J. Electrochem. Soc. 168 (2021) 010526.</w:t>
      </w:r>
    </w:p>
    <w:p w14:paraId="4CC9A5CA"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[28]</w:t>
      </w:r>
      <w:r w:rsidRPr="00BE06A1">
        <w:rPr>
          <w:rFonts w:ascii="Times New Roman" w:hAnsi="Times New Roman" w:cs="Times New Roman"/>
          <w:noProof/>
          <w:kern w:val="0"/>
          <w:sz w:val="20"/>
          <w:szCs w:val="24"/>
        </w:rPr>
        <w:tab/>
        <w:t>S. Zhang, X. Guo, X. Dou, X. Zhang, Sustain. Energy Technol. Assessments 40 (2020).</w:t>
      </w:r>
    </w:p>
    <w:p w14:paraId="6EEA180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[29]</w:t>
      </w:r>
      <w:r w:rsidRPr="00BE06A1">
        <w:rPr>
          <w:rFonts w:ascii="Times New Roman" w:hAnsi="Times New Roman" w:cs="Times New Roman"/>
          <w:noProof/>
          <w:kern w:val="0"/>
          <w:sz w:val="20"/>
          <w:szCs w:val="24"/>
        </w:rPr>
        <w:tab/>
        <w:t>S. Wang, C. Fernandez, C. Yu, Y. Fan, W. Cao, D.I. Stroe, J. Power Sources 471 (2020) 228450.</w:t>
      </w:r>
    </w:p>
    <w:p w14:paraId="25A81EEE"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[30]</w:t>
      </w:r>
      <w:r w:rsidRPr="00BE06A1">
        <w:rPr>
          <w:rFonts w:ascii="Times New Roman" w:hAnsi="Times New Roman" w:cs="Times New Roman"/>
          <w:noProof/>
          <w:kern w:val="0"/>
          <w:sz w:val="20"/>
          <w:szCs w:val="24"/>
        </w:rPr>
        <w:tab/>
        <w:t>R. Zhu, B. Duan, J. Zhang, Q. Zhang, C. Zhang, Appl. Energy 277 (2020) 115494.</w:t>
      </w:r>
    </w:p>
    <w:p w14:paraId="3DB76368"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[31]</w:t>
      </w:r>
      <w:r w:rsidRPr="00BE06A1">
        <w:rPr>
          <w:rFonts w:ascii="Times New Roman" w:hAnsi="Times New Roman" w:cs="Times New Roman"/>
          <w:noProof/>
          <w:kern w:val="0"/>
          <w:sz w:val="20"/>
          <w:szCs w:val="24"/>
        </w:rPr>
        <w:tab/>
        <w:t>P. Shrivastava, T. Kok Soon, M.Y.I. Bin Idris, S. Mekhilef, S.B.R.S. Adnan, IEEE Trans. Veh. Technol. 70 (2021) 1200–1215.</w:t>
      </w:r>
    </w:p>
    <w:p w14:paraId="3F6D698B"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[32]</w:t>
      </w:r>
      <w:r w:rsidRPr="00BE06A1">
        <w:rPr>
          <w:rFonts w:ascii="Times New Roman" w:hAnsi="Times New Roman" w:cs="Times New Roman"/>
          <w:noProof/>
          <w:kern w:val="0"/>
          <w:sz w:val="20"/>
          <w:szCs w:val="24"/>
        </w:rPr>
        <w:tab/>
        <w:t>L. Ling, Y. Wei, IEEE Access 9 (2021) 47588–47602.</w:t>
      </w:r>
    </w:p>
    <w:p w14:paraId="6376CE6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[33]</w:t>
      </w:r>
      <w:r w:rsidRPr="00BE06A1">
        <w:rPr>
          <w:rFonts w:ascii="Times New Roman" w:hAnsi="Times New Roman" w:cs="Times New Roman"/>
          <w:noProof/>
          <w:kern w:val="0"/>
          <w:sz w:val="20"/>
          <w:szCs w:val="24"/>
        </w:rPr>
        <w:tab/>
        <w:t>P. Fermín-cueto, E. Mcturk, M. Allerhand, E. Medina-lopez, M.F. Anjos, J. Sylvester, Q. Court, H. Watt, 1 (2020).</w:t>
      </w:r>
    </w:p>
    <w:p w14:paraId="5FD8A47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[34]</w:t>
      </w:r>
      <w:r w:rsidRPr="00BE06A1">
        <w:rPr>
          <w:rFonts w:ascii="Times New Roman" w:hAnsi="Times New Roman" w:cs="Times New Roman"/>
          <w:noProof/>
          <w:kern w:val="0"/>
          <w:sz w:val="20"/>
          <w:szCs w:val="24"/>
        </w:rPr>
        <w:tab/>
        <w:t>P.M. Attia, A. Grover, N. Jin, K.A. Severson, T.M. Markov, Y.H. Liao, M.H. Chen, B. Cheong, N. Perkins, Z. Yang, P.K. Herring, M. Aykol, S.J. Harris, R.D. Braatz, S. Ermon, W.C. Chueh, Nature 578 (2020) 397–402.</w:t>
      </w:r>
    </w:p>
    <w:p w14:paraId="1529AC9E"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[35]</w:t>
      </w:r>
      <w:r w:rsidRPr="00BE06A1">
        <w:rPr>
          <w:rFonts w:ascii="Times New Roman" w:hAnsi="Times New Roman" w:cs="Times New Roman"/>
          <w:noProof/>
          <w:kern w:val="0"/>
          <w:sz w:val="20"/>
          <w:szCs w:val="24"/>
        </w:rPr>
        <w:tab/>
        <w:t>A. Gayon-lombardo, L. Mosser, N.P. Brandon, S.J. Cooper, Npj Comput. Mater. (2020) 1–11.</w:t>
      </w:r>
    </w:p>
    <w:p w14:paraId="7ACFDEE5"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[36]</w:t>
      </w:r>
      <w:r w:rsidRPr="00BE06A1">
        <w:rPr>
          <w:rFonts w:ascii="Times New Roman" w:hAnsi="Times New Roman" w:cs="Times New Roman"/>
          <w:noProof/>
          <w:kern w:val="0"/>
          <w:sz w:val="20"/>
          <w:szCs w:val="24"/>
        </w:rPr>
        <w:tab/>
        <w:t>B. Ning, B. Cao, B. Wang, Z. Zou, Energy 153 (2018) 732–742.</w:t>
      </w:r>
    </w:p>
    <w:p w14:paraId="13A6EB8F"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[37]</w:t>
      </w:r>
      <w:r w:rsidRPr="00BE06A1">
        <w:rPr>
          <w:rFonts w:ascii="Times New Roman" w:hAnsi="Times New Roman" w:cs="Times New Roman"/>
          <w:noProof/>
          <w:kern w:val="0"/>
          <w:sz w:val="20"/>
          <w:szCs w:val="24"/>
        </w:rPr>
        <w:tab/>
        <w:t>X. Chen, W. Shen, Z. Cao, A. Kapoor, J. Power Sources 246 (2014) 667–678.</w:t>
      </w:r>
    </w:p>
    <w:p w14:paraId="05A783E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[38]</w:t>
      </w:r>
      <w:r w:rsidRPr="00BE06A1">
        <w:rPr>
          <w:rFonts w:ascii="Times New Roman" w:hAnsi="Times New Roman" w:cs="Times New Roman"/>
          <w:noProof/>
          <w:kern w:val="0"/>
          <w:sz w:val="20"/>
          <w:szCs w:val="24"/>
        </w:rPr>
        <w:tab/>
        <w:t>J. Xu, S. Member, C.C. Mi, B. Cao, J. Deng, Z. Chen, S. Li, 63 (2014) 1614–1621.</w:t>
      </w:r>
    </w:p>
    <w:p w14:paraId="067AE15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[39]</w:t>
      </w:r>
      <w:r w:rsidRPr="00BE06A1">
        <w:rPr>
          <w:rFonts w:ascii="Times New Roman" w:hAnsi="Times New Roman" w:cs="Times New Roman"/>
          <w:noProof/>
          <w:kern w:val="0"/>
          <w:sz w:val="20"/>
          <w:szCs w:val="24"/>
        </w:rPr>
        <w:tab/>
        <w:t>M. Technique, J.C. Alvarez, F. Javier, D.C. Juez, 28 (2013) 3798–3805.</w:t>
      </w:r>
    </w:p>
    <w:p w14:paraId="3322E26D"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[40]</w:t>
      </w:r>
      <w:r w:rsidRPr="00BE06A1">
        <w:rPr>
          <w:rFonts w:ascii="Times New Roman" w:hAnsi="Times New Roman" w:cs="Times New Roman"/>
          <w:noProof/>
          <w:kern w:val="0"/>
          <w:sz w:val="20"/>
          <w:szCs w:val="24"/>
        </w:rPr>
        <w:tab/>
        <w:t>W. Liye, W. Lifang, L. Yong, (2013) 26–29.</w:t>
      </w:r>
    </w:p>
    <w:p w14:paraId="5C554F0E"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[41]</w:t>
      </w:r>
      <w:r w:rsidRPr="00BE06A1">
        <w:rPr>
          <w:rFonts w:ascii="Times New Roman" w:hAnsi="Times New Roman" w:cs="Times New Roman"/>
          <w:noProof/>
          <w:kern w:val="0"/>
          <w:sz w:val="20"/>
          <w:szCs w:val="24"/>
        </w:rPr>
        <w:tab/>
        <w:t>A.H. Ranjbar, A. Banaei, A. Khoobroo, B. Fahimi, 3 (2012) 360–367.</w:t>
      </w:r>
    </w:p>
    <w:p w14:paraId="4FC6B5A9"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[42]</w:t>
      </w:r>
      <w:r w:rsidRPr="00BE06A1">
        <w:rPr>
          <w:rFonts w:ascii="Times New Roman" w:hAnsi="Times New Roman" w:cs="Times New Roman"/>
          <w:noProof/>
          <w:kern w:val="0"/>
          <w:sz w:val="20"/>
          <w:szCs w:val="24"/>
        </w:rPr>
        <w:tab/>
        <w:t>H. Liu, Z. Wei, W. He, J. Zhao, Energy Convers. Manag. 150 (2017) 304–330.</w:t>
      </w:r>
    </w:p>
    <w:p w14:paraId="1533EB9D"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[43]</w:t>
      </w:r>
      <w:r w:rsidRPr="00BE06A1">
        <w:rPr>
          <w:rFonts w:ascii="Times New Roman" w:hAnsi="Times New Roman" w:cs="Times New Roman"/>
          <w:noProof/>
          <w:kern w:val="0"/>
          <w:sz w:val="20"/>
          <w:szCs w:val="24"/>
        </w:rPr>
        <w:tab/>
        <w:t>M. Lu, X. Zhang, J. Ji, X. Xu, Y. Zhang, J. Energy Storage 27 (2020) 101155.</w:t>
      </w:r>
    </w:p>
    <w:p w14:paraId="03E2AA0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[44]</w:t>
      </w:r>
      <w:r w:rsidRPr="00BE06A1">
        <w:rPr>
          <w:rFonts w:ascii="Times New Roman" w:hAnsi="Times New Roman" w:cs="Times New Roman"/>
          <w:noProof/>
          <w:kern w:val="0"/>
          <w:sz w:val="20"/>
          <w:szCs w:val="24"/>
        </w:rPr>
        <w:tab/>
        <w:t>S. Arora, A. Kapoor, W. Shen, J. Power Sources 378 (2018) 759–775.</w:t>
      </w:r>
    </w:p>
    <w:p w14:paraId="29A06BD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[45]</w:t>
      </w:r>
      <w:r w:rsidRPr="00BE06A1">
        <w:rPr>
          <w:rFonts w:ascii="Times New Roman" w:hAnsi="Times New Roman" w:cs="Times New Roman"/>
          <w:noProof/>
          <w:kern w:val="0"/>
          <w:sz w:val="20"/>
          <w:szCs w:val="24"/>
        </w:rPr>
        <w:tab/>
        <w:t>G. Zhang, X. Wei, X. Tang, J. Zhu, S. Chen, H. Dai, Renew. Sustain. Energy Rev. 141 (2021) 110790.</w:t>
      </w:r>
    </w:p>
    <w:p w14:paraId="0A54CBAE"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[46]</w:t>
      </w:r>
      <w:r w:rsidRPr="00BE06A1">
        <w:rPr>
          <w:rFonts w:ascii="Times New Roman" w:hAnsi="Times New Roman" w:cs="Times New Roman"/>
          <w:noProof/>
          <w:kern w:val="0"/>
          <w:sz w:val="20"/>
          <w:szCs w:val="24"/>
        </w:rPr>
        <w:tab/>
        <w:t>J. Chiew, C.S. Chin, W.D. Toh, Z. Gao, J. Jia, C.Z. Zhang, Appl. Therm. Eng. 147 (2019) 450–463.</w:t>
      </w:r>
    </w:p>
    <w:p w14:paraId="72167FC4"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[47]</w:t>
      </w:r>
      <w:r w:rsidRPr="00BE06A1">
        <w:rPr>
          <w:rFonts w:ascii="Times New Roman" w:hAnsi="Times New Roman" w:cs="Times New Roman"/>
          <w:noProof/>
          <w:kern w:val="0"/>
          <w:sz w:val="20"/>
          <w:szCs w:val="24"/>
        </w:rPr>
        <w:tab/>
        <w:t>J. Lin, X. Liu, S. Li, C. Zhang, S. Yang, Int. J. Heat Mass Transf. 167 (2021) 120834.</w:t>
      </w:r>
    </w:p>
    <w:p w14:paraId="64306CD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lastRenderedPageBreak/>
        <w:t>[48]</w:t>
      </w:r>
      <w:r w:rsidRPr="00BE06A1">
        <w:rPr>
          <w:rFonts w:ascii="Times New Roman" w:hAnsi="Times New Roman" w:cs="Times New Roman"/>
          <w:noProof/>
          <w:kern w:val="0"/>
          <w:sz w:val="20"/>
          <w:szCs w:val="24"/>
        </w:rPr>
        <w:tab/>
        <w:t>T. Liu, C. Tao, X. Wang, Appl. Energy 267 (2020) 115087.</w:t>
      </w:r>
    </w:p>
    <w:p w14:paraId="30CBC6C6"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[49]</w:t>
      </w:r>
      <w:r w:rsidRPr="00BE06A1">
        <w:rPr>
          <w:rFonts w:ascii="Times New Roman" w:hAnsi="Times New Roman" w:cs="Times New Roman"/>
          <w:noProof/>
          <w:kern w:val="0"/>
          <w:sz w:val="20"/>
          <w:szCs w:val="24"/>
        </w:rPr>
        <w:tab/>
        <w:t>T. Liu, Y. Liu, X. Wang, X. Kong, G. Li, Energy Convers. Manag. 199 (2019) 111969.</w:t>
      </w:r>
    </w:p>
    <w:p w14:paraId="149577E5"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[50]</w:t>
      </w:r>
      <w:r w:rsidRPr="00BE06A1">
        <w:rPr>
          <w:rFonts w:ascii="Times New Roman" w:hAnsi="Times New Roman" w:cs="Times New Roman"/>
          <w:noProof/>
          <w:kern w:val="0"/>
          <w:sz w:val="20"/>
          <w:szCs w:val="24"/>
        </w:rPr>
        <w:tab/>
        <w:t>X. Liu, W. Ai, M. Naylor Marlow, Y. Patel, B. Wu, Appl. Energy 248 (2019) 489–499.</w:t>
      </w:r>
    </w:p>
    <w:p w14:paraId="4525372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[51]</w:t>
      </w:r>
      <w:r w:rsidRPr="00BE06A1">
        <w:rPr>
          <w:rFonts w:ascii="Times New Roman" w:hAnsi="Times New Roman" w:cs="Times New Roman"/>
          <w:noProof/>
          <w:kern w:val="0"/>
          <w:sz w:val="20"/>
          <w:szCs w:val="24"/>
        </w:rPr>
        <w:tab/>
        <w:t>J. Schmalstieg, S. Käbitz, M. Ecker, D.U. Sauer, J. Power Sources 257 (2014) 325–334.</w:t>
      </w:r>
    </w:p>
    <w:p w14:paraId="3FC0A389"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[52]</w:t>
      </w:r>
      <w:r w:rsidRPr="00BE06A1">
        <w:rPr>
          <w:rFonts w:ascii="Times New Roman" w:hAnsi="Times New Roman" w:cs="Times New Roman"/>
          <w:noProof/>
          <w:kern w:val="0"/>
          <w:sz w:val="20"/>
          <w:szCs w:val="24"/>
        </w:rPr>
        <w:tab/>
        <w:t>L. Hu, X. Hu, Y. Che, F. Feng, X. Lin, Z. Zhang, Appl. Energy 262 (2020) 114569.</w:t>
      </w:r>
    </w:p>
    <w:p w14:paraId="5C4EA199"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[53]</w:t>
      </w:r>
      <w:r w:rsidRPr="00BE06A1">
        <w:rPr>
          <w:rFonts w:ascii="Times New Roman" w:hAnsi="Times New Roman" w:cs="Times New Roman"/>
          <w:noProof/>
          <w:kern w:val="0"/>
          <w:sz w:val="20"/>
          <w:szCs w:val="24"/>
        </w:rPr>
        <w:tab/>
        <w:t>Y. Zheng, M. Ouyang, L. Lu, J. Li, X. Han, L. Xu, H. Ma, T.A. Dollmeyer, V. Freyermuth, Appl. Energy 111 (2013) 571–580.</w:t>
      </w:r>
    </w:p>
    <w:p w14:paraId="4F9A5AD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[54]</w:t>
      </w:r>
      <w:r w:rsidRPr="00BE06A1">
        <w:rPr>
          <w:rFonts w:ascii="Times New Roman" w:hAnsi="Times New Roman" w:cs="Times New Roman"/>
          <w:noProof/>
          <w:kern w:val="0"/>
          <w:sz w:val="20"/>
          <w:szCs w:val="24"/>
        </w:rPr>
        <w:tab/>
        <w:t>P. Ladpli, F. Kopsaftopoulos, F.K. Chang, J. Power Sources 384 (2018) 342–354.</w:t>
      </w:r>
    </w:p>
    <w:p w14:paraId="6F9B2E3C"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[55]</w:t>
      </w:r>
      <w:r w:rsidRPr="00BE06A1">
        <w:rPr>
          <w:rFonts w:ascii="Times New Roman" w:hAnsi="Times New Roman" w:cs="Times New Roman"/>
          <w:noProof/>
          <w:kern w:val="0"/>
          <w:sz w:val="20"/>
          <w:szCs w:val="24"/>
        </w:rPr>
        <w:tab/>
        <w:t>F. Feng, X. Hu, J. Liu, X. Lin, B. Liu, Renew. Sustain. Energy Rev. 116 (2019) 109464.</w:t>
      </w:r>
    </w:p>
    <w:p w14:paraId="2F49AEFB"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[56]</w:t>
      </w:r>
      <w:r w:rsidRPr="00BE06A1">
        <w:rPr>
          <w:rFonts w:ascii="Times New Roman" w:hAnsi="Times New Roman" w:cs="Times New Roman"/>
          <w:noProof/>
          <w:kern w:val="0"/>
          <w:sz w:val="20"/>
          <w:szCs w:val="24"/>
        </w:rPr>
        <w:tab/>
        <w:t>C. Lin, H. Mu, R. Xiong, W. Shen, Appl. Energy 166 (2016) 76–83.</w:t>
      </w:r>
    </w:p>
    <w:p w14:paraId="38CA9E56"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[57]</w:t>
      </w:r>
      <w:r w:rsidRPr="00BE06A1">
        <w:rPr>
          <w:rFonts w:ascii="Times New Roman" w:hAnsi="Times New Roman" w:cs="Times New Roman"/>
          <w:noProof/>
          <w:kern w:val="0"/>
          <w:sz w:val="20"/>
          <w:szCs w:val="24"/>
        </w:rPr>
        <w:tab/>
        <w:t>X. Lai, C. Jin, W. Yi, X. Han, X. Feng, Y. Zheng, M. Ouyang, Energy Storage Mater. 35 (2021) 470–499.</w:t>
      </w:r>
    </w:p>
    <w:p w14:paraId="50292A33"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[58]</w:t>
      </w:r>
      <w:r w:rsidRPr="00BE06A1">
        <w:rPr>
          <w:rFonts w:ascii="Times New Roman" w:hAnsi="Times New Roman" w:cs="Times New Roman"/>
          <w:noProof/>
          <w:kern w:val="0"/>
          <w:sz w:val="20"/>
          <w:szCs w:val="24"/>
        </w:rPr>
        <w:tab/>
        <w:t>Y. Wang, J. Tian, Z. Chen, X. Liu, Meas. J. Int. Meas. Confed. 131 (2019) 443–451.</w:t>
      </w:r>
    </w:p>
    <w:p w14:paraId="5644C204"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[59]</w:t>
      </w:r>
      <w:r w:rsidRPr="00BE06A1">
        <w:rPr>
          <w:rFonts w:ascii="Times New Roman" w:hAnsi="Times New Roman" w:cs="Times New Roman"/>
          <w:noProof/>
          <w:kern w:val="0"/>
          <w:sz w:val="20"/>
          <w:szCs w:val="24"/>
        </w:rPr>
        <w:tab/>
        <w:t>M. Ma, Y. Wang, Q. Duan, T. Wu, J. Sun, Q. Wang, Energy 164 (2018) 745–756.</w:t>
      </w:r>
    </w:p>
    <w:p w14:paraId="26D3E4FA"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[60]</w:t>
      </w:r>
      <w:r w:rsidRPr="00BE06A1">
        <w:rPr>
          <w:rFonts w:ascii="Times New Roman" w:hAnsi="Times New Roman" w:cs="Times New Roman"/>
          <w:noProof/>
          <w:kern w:val="0"/>
          <w:sz w:val="20"/>
          <w:szCs w:val="24"/>
        </w:rPr>
        <w:tab/>
        <w:t>J. Tian, Y. Wang, Z. Chen, Int. J. Electr. Power Energy Syst. 121 (2020) 106087.</w:t>
      </w:r>
    </w:p>
    <w:p w14:paraId="2A041646"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[61]</w:t>
      </w:r>
      <w:r w:rsidRPr="00BE06A1">
        <w:rPr>
          <w:rFonts w:ascii="Times New Roman" w:hAnsi="Times New Roman" w:cs="Times New Roman"/>
          <w:noProof/>
          <w:kern w:val="0"/>
          <w:sz w:val="20"/>
          <w:szCs w:val="24"/>
        </w:rPr>
        <w:tab/>
        <w:t>S. Dey, S. Mohon, P. Pisu, B. Ayalew, IEEE Trans. Control Syst. Technol. 24 (2016) 2141–2149.</w:t>
      </w:r>
    </w:p>
    <w:p w14:paraId="79D751E5"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[62]</w:t>
      </w:r>
      <w:r w:rsidRPr="00BE06A1">
        <w:rPr>
          <w:rFonts w:ascii="Times New Roman" w:hAnsi="Times New Roman" w:cs="Times New Roman"/>
          <w:noProof/>
          <w:kern w:val="0"/>
          <w:sz w:val="20"/>
          <w:szCs w:val="24"/>
        </w:rPr>
        <w:tab/>
        <w:t>X. Hu, L. Xu, X. Lin, M. Pecht, Joule 4 (2020) 310–346.</w:t>
      </w:r>
    </w:p>
    <w:p w14:paraId="546DAF8F"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[63]</w:t>
      </w:r>
      <w:r w:rsidRPr="00BE06A1">
        <w:rPr>
          <w:rFonts w:ascii="Times New Roman" w:hAnsi="Times New Roman" w:cs="Times New Roman"/>
          <w:noProof/>
          <w:kern w:val="0"/>
          <w:sz w:val="20"/>
          <w:szCs w:val="24"/>
        </w:rPr>
        <w:tab/>
        <w:t>A. Nuhic, T. Terzimehic, T. Soczka-Guth, M. Buchholz, K. Dietmayer, J. Power Sources 239 (2013) 680–688.</w:t>
      </w:r>
    </w:p>
    <w:p w14:paraId="0EF4D40C"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[64]</w:t>
      </w:r>
      <w:r w:rsidRPr="00BE06A1">
        <w:rPr>
          <w:rFonts w:ascii="Times New Roman" w:hAnsi="Times New Roman" w:cs="Times New Roman"/>
          <w:noProof/>
          <w:kern w:val="0"/>
          <w:sz w:val="20"/>
          <w:szCs w:val="24"/>
        </w:rPr>
        <w:tab/>
        <w:t>Y. Zhang, R. Xiong, H. He, M.G. Pecht, IEEE Trans. Ind. Electron. 66 (2019) 1585–1597.</w:t>
      </w:r>
    </w:p>
    <w:p w14:paraId="617794B1"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[65]</w:t>
      </w:r>
      <w:r w:rsidRPr="00BE06A1">
        <w:rPr>
          <w:rFonts w:ascii="Times New Roman" w:hAnsi="Times New Roman" w:cs="Times New Roman"/>
          <w:noProof/>
          <w:kern w:val="0"/>
          <w:sz w:val="20"/>
          <w:szCs w:val="24"/>
        </w:rPr>
        <w:tab/>
        <w:t>X. Kong, Y. Zheng, M. Ouyang, L. Lu, J. Li, Z. Zhang, J. Power Sources 395 (2018) 358–368.</w:t>
      </w:r>
    </w:p>
    <w:p w14:paraId="43903D51"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[66]</w:t>
      </w:r>
      <w:r w:rsidRPr="00BE06A1">
        <w:rPr>
          <w:rFonts w:ascii="Times New Roman" w:hAnsi="Times New Roman" w:cs="Times New Roman"/>
          <w:noProof/>
          <w:kern w:val="0"/>
          <w:sz w:val="20"/>
          <w:szCs w:val="24"/>
        </w:rPr>
        <w:tab/>
        <w:t>Z. Chen, R. Xiong, J. Tian, X. Shang, J. Lu, Appl. Energy 184 (2016) 365–374.</w:t>
      </w:r>
    </w:p>
    <w:p w14:paraId="0F8D1F4D"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[67]</w:t>
      </w:r>
      <w:r w:rsidRPr="00BE06A1">
        <w:rPr>
          <w:rFonts w:ascii="Times New Roman" w:hAnsi="Times New Roman" w:cs="Times New Roman"/>
          <w:noProof/>
          <w:kern w:val="0"/>
          <w:sz w:val="20"/>
          <w:szCs w:val="24"/>
        </w:rPr>
        <w:tab/>
        <w:t>A. Sidhu, A. Izadian, S. Anwar, IEEE Trans. Ind. Electron. 62 (2015) 1002–1011.</w:t>
      </w:r>
    </w:p>
    <w:p w14:paraId="33F67C67"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kern w:val="0"/>
          <w:sz w:val="20"/>
          <w:szCs w:val="24"/>
        </w:rPr>
      </w:pPr>
      <w:r w:rsidRPr="00BE06A1">
        <w:rPr>
          <w:rFonts w:ascii="Times New Roman" w:hAnsi="Times New Roman" w:cs="Times New Roman"/>
          <w:noProof/>
          <w:kern w:val="0"/>
          <w:sz w:val="20"/>
          <w:szCs w:val="24"/>
        </w:rPr>
        <w:t>[68]</w:t>
      </w:r>
      <w:r w:rsidRPr="00BE06A1">
        <w:rPr>
          <w:rFonts w:ascii="Times New Roman" w:hAnsi="Times New Roman" w:cs="Times New Roman"/>
          <w:noProof/>
          <w:kern w:val="0"/>
          <w:sz w:val="20"/>
          <w:szCs w:val="24"/>
        </w:rPr>
        <w:tab/>
        <w:t>H. Nordmann, M. Frisch, D.U. Sauer, Meas. J. Int. Meas. Confed. 114 (2018) 484–491.</w:t>
      </w:r>
    </w:p>
    <w:p w14:paraId="120F5470" w14:textId="77777777" w:rsidR="00BE06A1" w:rsidRPr="00BE06A1" w:rsidRDefault="00BE06A1" w:rsidP="00BE06A1">
      <w:pPr>
        <w:autoSpaceDE w:val="0"/>
        <w:autoSpaceDN w:val="0"/>
        <w:adjustRightInd w:val="0"/>
        <w:spacing w:line="240" w:lineRule="auto"/>
        <w:ind w:left="640" w:hanging="640"/>
        <w:jc w:val="left"/>
        <w:rPr>
          <w:rFonts w:ascii="Times New Roman" w:hAnsi="Times New Roman" w:cs="Times New Roman"/>
          <w:noProof/>
          <w:sz w:val="20"/>
        </w:rPr>
      </w:pPr>
      <w:r w:rsidRPr="00BE06A1">
        <w:rPr>
          <w:rFonts w:ascii="Times New Roman" w:hAnsi="Times New Roman" w:cs="Times New Roman"/>
          <w:noProof/>
          <w:kern w:val="0"/>
          <w:sz w:val="20"/>
          <w:szCs w:val="24"/>
        </w:rPr>
        <w:t>[69]</w:t>
      </w:r>
      <w:r w:rsidRPr="00BE06A1">
        <w:rPr>
          <w:rFonts w:ascii="Times New Roman" w:hAnsi="Times New Roman" w:cs="Times New Roman"/>
          <w:noProof/>
          <w:kern w:val="0"/>
          <w:sz w:val="20"/>
          <w:szCs w:val="24"/>
        </w:rPr>
        <w:tab/>
        <w:t>X. Gao, X. Liu, R. He, M. Wang, W. Xie, N.P. Brandon, B. Wu, H. Ling, S. Yang, Energy Storage Mater. 36 (2021) 435–458.</w:t>
      </w:r>
    </w:p>
    <w:p w14:paraId="2AE28848" w14:textId="77777777" w:rsidR="00672135" w:rsidRDefault="00120DF0">
      <w:pPr>
        <w:autoSpaceDE w:val="0"/>
        <w:autoSpaceDN w:val="0"/>
        <w:adjustRightInd w:val="0"/>
        <w:spacing w:line="240" w:lineRule="auto"/>
        <w:ind w:left="640" w:hanging="640"/>
        <w:jc w:val="left"/>
        <w:rPr>
          <w:rFonts w:ascii="Times New Roman" w:hAnsi="Times New Roman" w:cs="Times New Roman"/>
        </w:rPr>
      </w:pPr>
      <w:r>
        <w:rPr>
          <w:rFonts w:ascii="Times New Roman" w:hAnsi="Times New Roman" w:cs="Times New Roman"/>
        </w:rPr>
        <w:fldChar w:fldCharType="end"/>
      </w:r>
    </w:p>
    <w:sectPr w:rsidR="00672135">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9209B" w14:textId="77777777" w:rsidR="009173F1" w:rsidRDefault="009173F1">
      <w:pPr>
        <w:spacing w:after="0" w:line="240" w:lineRule="auto"/>
      </w:pPr>
      <w:r>
        <w:separator/>
      </w:r>
    </w:p>
  </w:endnote>
  <w:endnote w:type="continuationSeparator" w:id="0">
    <w:p w14:paraId="23EA0261" w14:textId="77777777" w:rsidR="009173F1" w:rsidRDefault="00917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w:altName w:val="苹方-简"/>
    <w:panose1 w:val="020B0502040204020203"/>
    <w:charset w:val="00"/>
    <w:family w:val="swiss"/>
    <w:pitch w:val="variable"/>
    <w:sig w:usb0="E4002EFF" w:usb1="C000E47F" w:usb2="00000009" w:usb3="00000000" w:csb0="000001FF" w:csb1="00000000"/>
  </w:font>
  <w:font w:name="BSGulliver-Bold">
    <w:altName w:val="Cambria"/>
    <w:charset w:val="00"/>
    <w:family w:val="roman"/>
    <w:pitch w:val="default"/>
  </w:font>
  <w:font w:name="BSGulliver">
    <w:altName w:val="Cambria"/>
    <w:charset w:val="00"/>
    <w:family w:val="roman"/>
    <w:pitch w:val="default"/>
  </w:font>
  <w:font w:name="Arno Pro">
    <w:altName w:val="Calibri"/>
    <w:charset w:val="00"/>
    <w:family w:val="auto"/>
    <w:pitch w:val="default"/>
  </w:font>
  <w:font w:name="Myriad Pro Light">
    <w:altName w:val="Segoe UI Light"/>
    <w:charset w:val="00"/>
    <w:family w:val="auto"/>
    <w:pitch w:val="default"/>
  </w:font>
  <w:font w:name="Arial Unicode MS">
    <w:altName w:val="Malgun Gothic Semilight"/>
    <w:panose1 w:val="020B0604020202020204"/>
    <w:charset w:val="86"/>
    <w:family w:val="swiss"/>
    <w:pitch w:val="default"/>
    <w:sig w:usb0="FFFFFFFF" w:usb1="E9FFFFFF" w:usb2="0000003F" w:usb3="00000000" w:csb0="603F01FF" w:csb1="FFFF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631147"/>
    </w:sdtPr>
    <w:sdtEndPr>
      <w:rPr>
        <w:rFonts w:ascii="Times New Roman" w:hAnsi="Times New Roman" w:cs="Times New Roman"/>
      </w:rPr>
    </w:sdtEndPr>
    <w:sdtContent>
      <w:p w14:paraId="650789BB" w14:textId="77777777" w:rsidR="00672135" w:rsidRDefault="00120DF0">
        <w:pPr>
          <w:pStyle w:val="a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sdtContent>
  </w:sdt>
  <w:p w14:paraId="6D3BBB53" w14:textId="77777777" w:rsidR="00672135" w:rsidRDefault="0067213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2EF43" w14:textId="77777777" w:rsidR="009173F1" w:rsidRDefault="009173F1">
      <w:pPr>
        <w:spacing w:after="0" w:line="240" w:lineRule="auto"/>
      </w:pPr>
      <w:r>
        <w:separator/>
      </w:r>
    </w:p>
  </w:footnote>
  <w:footnote w:type="continuationSeparator" w:id="0">
    <w:p w14:paraId="4BBBEDE8" w14:textId="77777777" w:rsidR="009173F1" w:rsidRDefault="009173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024AD"/>
    <w:multiLevelType w:val="multilevel"/>
    <w:tmpl w:val="541024AD"/>
    <w:lvl w:ilvl="0">
      <w:start w:val="1"/>
      <w:numFmt w:val="decimal"/>
      <w:pStyle w:val="1"/>
      <w:lvlText w:val="%1"/>
      <w:lvlJc w:val="left"/>
      <w:pPr>
        <w:ind w:left="420" w:hanging="420"/>
      </w:pPr>
      <w:rPr>
        <w:rFonts w:hint="eastAsia"/>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E64"/>
    <w:rsid w:val="FB7B02D8"/>
    <w:rsid w:val="00000CFC"/>
    <w:rsid w:val="00033213"/>
    <w:rsid w:val="00035E9D"/>
    <w:rsid w:val="0005270C"/>
    <w:rsid w:val="00066849"/>
    <w:rsid w:val="00067B4B"/>
    <w:rsid w:val="00080EE1"/>
    <w:rsid w:val="00083275"/>
    <w:rsid w:val="00096E07"/>
    <w:rsid w:val="000A5FDF"/>
    <w:rsid w:val="000A6740"/>
    <w:rsid w:val="000C36C0"/>
    <w:rsid w:val="000D7B4D"/>
    <w:rsid w:val="0010213A"/>
    <w:rsid w:val="001165D9"/>
    <w:rsid w:val="00120DF0"/>
    <w:rsid w:val="00131366"/>
    <w:rsid w:val="0013266A"/>
    <w:rsid w:val="00173BFA"/>
    <w:rsid w:val="00197CE3"/>
    <w:rsid w:val="001A0C92"/>
    <w:rsid w:val="001A37EC"/>
    <w:rsid w:val="001A4DA1"/>
    <w:rsid w:val="001A7607"/>
    <w:rsid w:val="001F2536"/>
    <w:rsid w:val="001F293E"/>
    <w:rsid w:val="00203BF6"/>
    <w:rsid w:val="00207E55"/>
    <w:rsid w:val="00212A0E"/>
    <w:rsid w:val="0021538F"/>
    <w:rsid w:val="00221F72"/>
    <w:rsid w:val="0022258A"/>
    <w:rsid w:val="0022688F"/>
    <w:rsid w:val="00240033"/>
    <w:rsid w:val="002526EF"/>
    <w:rsid w:val="0025296F"/>
    <w:rsid w:val="002567A1"/>
    <w:rsid w:val="0026406E"/>
    <w:rsid w:val="00270313"/>
    <w:rsid w:val="0027285C"/>
    <w:rsid w:val="002822F8"/>
    <w:rsid w:val="002A028B"/>
    <w:rsid w:val="002B22B3"/>
    <w:rsid w:val="002B3C67"/>
    <w:rsid w:val="002D5B01"/>
    <w:rsid w:val="002D6FC6"/>
    <w:rsid w:val="002D7F31"/>
    <w:rsid w:val="002E05C8"/>
    <w:rsid w:val="002F0293"/>
    <w:rsid w:val="003007AD"/>
    <w:rsid w:val="003029DD"/>
    <w:rsid w:val="00307F42"/>
    <w:rsid w:val="00316B8C"/>
    <w:rsid w:val="00327997"/>
    <w:rsid w:val="0034138B"/>
    <w:rsid w:val="00344794"/>
    <w:rsid w:val="0034654B"/>
    <w:rsid w:val="00352F12"/>
    <w:rsid w:val="003548F9"/>
    <w:rsid w:val="003606C7"/>
    <w:rsid w:val="00381680"/>
    <w:rsid w:val="003851FF"/>
    <w:rsid w:val="00387B46"/>
    <w:rsid w:val="003A377D"/>
    <w:rsid w:val="003C6199"/>
    <w:rsid w:val="003E7B87"/>
    <w:rsid w:val="003F18A7"/>
    <w:rsid w:val="004071C8"/>
    <w:rsid w:val="00414A7B"/>
    <w:rsid w:val="00427C34"/>
    <w:rsid w:val="004337A7"/>
    <w:rsid w:val="00455564"/>
    <w:rsid w:val="004578A1"/>
    <w:rsid w:val="00457DEA"/>
    <w:rsid w:val="004679E2"/>
    <w:rsid w:val="004814C8"/>
    <w:rsid w:val="0049078A"/>
    <w:rsid w:val="004922B1"/>
    <w:rsid w:val="004935B2"/>
    <w:rsid w:val="004A70A6"/>
    <w:rsid w:val="004A7B73"/>
    <w:rsid w:val="004B0C36"/>
    <w:rsid w:val="004F65EB"/>
    <w:rsid w:val="004F7E25"/>
    <w:rsid w:val="00510B83"/>
    <w:rsid w:val="00512CEB"/>
    <w:rsid w:val="005367BA"/>
    <w:rsid w:val="0054280B"/>
    <w:rsid w:val="00552BB6"/>
    <w:rsid w:val="0056498B"/>
    <w:rsid w:val="00570497"/>
    <w:rsid w:val="00586C8E"/>
    <w:rsid w:val="00590911"/>
    <w:rsid w:val="005A4F89"/>
    <w:rsid w:val="005A67B2"/>
    <w:rsid w:val="005B0348"/>
    <w:rsid w:val="005B0414"/>
    <w:rsid w:val="005B1A01"/>
    <w:rsid w:val="005C0F66"/>
    <w:rsid w:val="005C5CD7"/>
    <w:rsid w:val="005F69F6"/>
    <w:rsid w:val="00600CDD"/>
    <w:rsid w:val="0060170A"/>
    <w:rsid w:val="006019E0"/>
    <w:rsid w:val="006165BA"/>
    <w:rsid w:val="00662DCF"/>
    <w:rsid w:val="0067114B"/>
    <w:rsid w:val="00672135"/>
    <w:rsid w:val="00685F5C"/>
    <w:rsid w:val="006A52C5"/>
    <w:rsid w:val="006A5A81"/>
    <w:rsid w:val="006B7C53"/>
    <w:rsid w:val="006C6C29"/>
    <w:rsid w:val="006D694D"/>
    <w:rsid w:val="006E1BEF"/>
    <w:rsid w:val="006E7AC6"/>
    <w:rsid w:val="006F579E"/>
    <w:rsid w:val="007100EC"/>
    <w:rsid w:val="00732BC0"/>
    <w:rsid w:val="00743CB9"/>
    <w:rsid w:val="00750DDD"/>
    <w:rsid w:val="00755E24"/>
    <w:rsid w:val="00756F3F"/>
    <w:rsid w:val="00765160"/>
    <w:rsid w:val="0076558A"/>
    <w:rsid w:val="00765CC4"/>
    <w:rsid w:val="007914B6"/>
    <w:rsid w:val="007A45BF"/>
    <w:rsid w:val="007A7FE8"/>
    <w:rsid w:val="007B492E"/>
    <w:rsid w:val="007B6E7D"/>
    <w:rsid w:val="007C5322"/>
    <w:rsid w:val="007D35C3"/>
    <w:rsid w:val="007D5A9E"/>
    <w:rsid w:val="007F0DB6"/>
    <w:rsid w:val="00842E41"/>
    <w:rsid w:val="0085166D"/>
    <w:rsid w:val="00886CDE"/>
    <w:rsid w:val="008A7B36"/>
    <w:rsid w:val="008B11F7"/>
    <w:rsid w:val="008B1E64"/>
    <w:rsid w:val="008D177C"/>
    <w:rsid w:val="008D2F98"/>
    <w:rsid w:val="008E06BB"/>
    <w:rsid w:val="008E29DB"/>
    <w:rsid w:val="008F5FAC"/>
    <w:rsid w:val="00902C12"/>
    <w:rsid w:val="00910503"/>
    <w:rsid w:val="009171FF"/>
    <w:rsid w:val="009173F1"/>
    <w:rsid w:val="00947C01"/>
    <w:rsid w:val="00954B0B"/>
    <w:rsid w:val="009609BB"/>
    <w:rsid w:val="00974FF0"/>
    <w:rsid w:val="009A2B9A"/>
    <w:rsid w:val="009D1F3C"/>
    <w:rsid w:val="009D755D"/>
    <w:rsid w:val="00A07D38"/>
    <w:rsid w:val="00A13F1B"/>
    <w:rsid w:val="00A33BE9"/>
    <w:rsid w:val="00A366A9"/>
    <w:rsid w:val="00A424A1"/>
    <w:rsid w:val="00A45DC4"/>
    <w:rsid w:val="00A512F4"/>
    <w:rsid w:val="00A5625B"/>
    <w:rsid w:val="00A6368A"/>
    <w:rsid w:val="00A71B28"/>
    <w:rsid w:val="00A87E55"/>
    <w:rsid w:val="00A92100"/>
    <w:rsid w:val="00AA49FA"/>
    <w:rsid w:val="00AA6AD5"/>
    <w:rsid w:val="00AB380A"/>
    <w:rsid w:val="00AB52A6"/>
    <w:rsid w:val="00AC6447"/>
    <w:rsid w:val="00B2675E"/>
    <w:rsid w:val="00B27111"/>
    <w:rsid w:val="00B51628"/>
    <w:rsid w:val="00B86DA8"/>
    <w:rsid w:val="00B93FE9"/>
    <w:rsid w:val="00BA0F29"/>
    <w:rsid w:val="00BA1201"/>
    <w:rsid w:val="00BC03CD"/>
    <w:rsid w:val="00BE06A1"/>
    <w:rsid w:val="00BE43E4"/>
    <w:rsid w:val="00BE4AD9"/>
    <w:rsid w:val="00BE68C9"/>
    <w:rsid w:val="00C33FA2"/>
    <w:rsid w:val="00C355A1"/>
    <w:rsid w:val="00C44C1A"/>
    <w:rsid w:val="00C5508A"/>
    <w:rsid w:val="00C576AF"/>
    <w:rsid w:val="00C6654B"/>
    <w:rsid w:val="00C74DC8"/>
    <w:rsid w:val="00C75852"/>
    <w:rsid w:val="00C91074"/>
    <w:rsid w:val="00C93DD0"/>
    <w:rsid w:val="00C9461D"/>
    <w:rsid w:val="00CB0B18"/>
    <w:rsid w:val="00CB4638"/>
    <w:rsid w:val="00CB77A9"/>
    <w:rsid w:val="00CC713C"/>
    <w:rsid w:val="00CD1337"/>
    <w:rsid w:val="00CF618E"/>
    <w:rsid w:val="00D16E6E"/>
    <w:rsid w:val="00D239DA"/>
    <w:rsid w:val="00D23CAB"/>
    <w:rsid w:val="00D53650"/>
    <w:rsid w:val="00D70831"/>
    <w:rsid w:val="00D74BDC"/>
    <w:rsid w:val="00D8258E"/>
    <w:rsid w:val="00D82822"/>
    <w:rsid w:val="00D9687A"/>
    <w:rsid w:val="00DA6606"/>
    <w:rsid w:val="00DC40B2"/>
    <w:rsid w:val="00DD753F"/>
    <w:rsid w:val="00DF7C81"/>
    <w:rsid w:val="00E0074A"/>
    <w:rsid w:val="00E10DE2"/>
    <w:rsid w:val="00E33127"/>
    <w:rsid w:val="00E53BA4"/>
    <w:rsid w:val="00EB1309"/>
    <w:rsid w:val="00EB4FFB"/>
    <w:rsid w:val="00ED4FA5"/>
    <w:rsid w:val="00ED5EB0"/>
    <w:rsid w:val="00EE4E29"/>
    <w:rsid w:val="00F26042"/>
    <w:rsid w:val="00F300E0"/>
    <w:rsid w:val="00F331C2"/>
    <w:rsid w:val="00F35212"/>
    <w:rsid w:val="00F3684D"/>
    <w:rsid w:val="00F40D0F"/>
    <w:rsid w:val="00F414EF"/>
    <w:rsid w:val="00F43F99"/>
    <w:rsid w:val="00F92DE8"/>
    <w:rsid w:val="00F94DC5"/>
    <w:rsid w:val="00FA1795"/>
    <w:rsid w:val="00FA51F5"/>
    <w:rsid w:val="00FD0874"/>
    <w:rsid w:val="00FD4839"/>
    <w:rsid w:val="00FD7FEF"/>
    <w:rsid w:val="00FE4F55"/>
    <w:rsid w:val="01135F55"/>
    <w:rsid w:val="01900C93"/>
    <w:rsid w:val="046C3B0B"/>
    <w:rsid w:val="05247024"/>
    <w:rsid w:val="05FA43DB"/>
    <w:rsid w:val="06822A87"/>
    <w:rsid w:val="074C0515"/>
    <w:rsid w:val="076A13C8"/>
    <w:rsid w:val="07D420B0"/>
    <w:rsid w:val="082D5ABD"/>
    <w:rsid w:val="08B665E4"/>
    <w:rsid w:val="099C6635"/>
    <w:rsid w:val="0BF800BB"/>
    <w:rsid w:val="0C61657A"/>
    <w:rsid w:val="110D44D6"/>
    <w:rsid w:val="12104E6A"/>
    <w:rsid w:val="138570AF"/>
    <w:rsid w:val="13875E94"/>
    <w:rsid w:val="14C66932"/>
    <w:rsid w:val="157C0B95"/>
    <w:rsid w:val="158B279D"/>
    <w:rsid w:val="16BE067D"/>
    <w:rsid w:val="18CC7AF1"/>
    <w:rsid w:val="1A507380"/>
    <w:rsid w:val="1AA63295"/>
    <w:rsid w:val="1AF02FA3"/>
    <w:rsid w:val="1B3B3CB4"/>
    <w:rsid w:val="1B674E4B"/>
    <w:rsid w:val="1BB66095"/>
    <w:rsid w:val="1BDD1E2A"/>
    <w:rsid w:val="1BE334B7"/>
    <w:rsid w:val="1CEE7BB3"/>
    <w:rsid w:val="1E6766B9"/>
    <w:rsid w:val="219152CB"/>
    <w:rsid w:val="275210E4"/>
    <w:rsid w:val="293D60DB"/>
    <w:rsid w:val="29865C3D"/>
    <w:rsid w:val="2A46655B"/>
    <w:rsid w:val="2AE77AD0"/>
    <w:rsid w:val="2CF9394C"/>
    <w:rsid w:val="2D7D0E72"/>
    <w:rsid w:val="2D9A73CB"/>
    <w:rsid w:val="308F182D"/>
    <w:rsid w:val="31BE1E43"/>
    <w:rsid w:val="329F4030"/>
    <w:rsid w:val="33472C53"/>
    <w:rsid w:val="34680238"/>
    <w:rsid w:val="349D3A18"/>
    <w:rsid w:val="34B21B6B"/>
    <w:rsid w:val="3849244B"/>
    <w:rsid w:val="3AF948C3"/>
    <w:rsid w:val="3B280751"/>
    <w:rsid w:val="3BC17972"/>
    <w:rsid w:val="3D6F13ED"/>
    <w:rsid w:val="3DD81344"/>
    <w:rsid w:val="3E661EFA"/>
    <w:rsid w:val="3F29479E"/>
    <w:rsid w:val="3F477838"/>
    <w:rsid w:val="40183FE3"/>
    <w:rsid w:val="41461329"/>
    <w:rsid w:val="432E7B14"/>
    <w:rsid w:val="43664690"/>
    <w:rsid w:val="43E30944"/>
    <w:rsid w:val="449F37FC"/>
    <w:rsid w:val="44C67751"/>
    <w:rsid w:val="45650E56"/>
    <w:rsid w:val="4760723E"/>
    <w:rsid w:val="48A45BC5"/>
    <w:rsid w:val="48B40650"/>
    <w:rsid w:val="49E073A0"/>
    <w:rsid w:val="4A085775"/>
    <w:rsid w:val="4A497781"/>
    <w:rsid w:val="4AF103EB"/>
    <w:rsid w:val="4B5B050E"/>
    <w:rsid w:val="4BBD1012"/>
    <w:rsid w:val="4CA216FA"/>
    <w:rsid w:val="4E5F33FE"/>
    <w:rsid w:val="4E8E7F0A"/>
    <w:rsid w:val="4FA119C1"/>
    <w:rsid w:val="523D49F8"/>
    <w:rsid w:val="52D67C66"/>
    <w:rsid w:val="54DA6740"/>
    <w:rsid w:val="54F407EB"/>
    <w:rsid w:val="56712B84"/>
    <w:rsid w:val="56901380"/>
    <w:rsid w:val="56F43C49"/>
    <w:rsid w:val="5811018C"/>
    <w:rsid w:val="58B87FD1"/>
    <w:rsid w:val="59715F94"/>
    <w:rsid w:val="598523BF"/>
    <w:rsid w:val="5A005728"/>
    <w:rsid w:val="5C3D3325"/>
    <w:rsid w:val="5DED0E10"/>
    <w:rsid w:val="5E5F157B"/>
    <w:rsid w:val="5EFA6C94"/>
    <w:rsid w:val="5FFE70F2"/>
    <w:rsid w:val="602061B8"/>
    <w:rsid w:val="6033186C"/>
    <w:rsid w:val="639C2C0C"/>
    <w:rsid w:val="64E501CA"/>
    <w:rsid w:val="655C29D8"/>
    <w:rsid w:val="65A71AF1"/>
    <w:rsid w:val="67E14419"/>
    <w:rsid w:val="681043F4"/>
    <w:rsid w:val="683F0752"/>
    <w:rsid w:val="69041445"/>
    <w:rsid w:val="69201F5B"/>
    <w:rsid w:val="692B4453"/>
    <w:rsid w:val="6A0801F1"/>
    <w:rsid w:val="6AFB71E5"/>
    <w:rsid w:val="6CBD4F76"/>
    <w:rsid w:val="6F0C76A6"/>
    <w:rsid w:val="6FDC52EF"/>
    <w:rsid w:val="702115AC"/>
    <w:rsid w:val="715A2125"/>
    <w:rsid w:val="71D53814"/>
    <w:rsid w:val="720A75F1"/>
    <w:rsid w:val="739C32B5"/>
    <w:rsid w:val="74A41DCC"/>
    <w:rsid w:val="752371CC"/>
    <w:rsid w:val="794720DF"/>
    <w:rsid w:val="79765F27"/>
    <w:rsid w:val="79787B19"/>
    <w:rsid w:val="7A0923FB"/>
    <w:rsid w:val="7A835D6B"/>
    <w:rsid w:val="7BC925BB"/>
    <w:rsid w:val="7BC96F35"/>
    <w:rsid w:val="7BDC49C7"/>
    <w:rsid w:val="7E5E7804"/>
    <w:rsid w:val="7F600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835E14"/>
  <w15:docId w15:val="{9CF83CC4-E7E2-464C-831E-877A3E16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numPr>
        <w:numId w:val="1"/>
      </w:numPr>
      <w:spacing w:before="100" w:beforeAutospacing="1" w:after="100" w:afterAutospacing="1" w:line="360" w:lineRule="auto"/>
      <w:outlineLvl w:val="0"/>
    </w:pPr>
    <w:rPr>
      <w:rFonts w:ascii="Times New Roman" w:eastAsia="宋体" w:hAnsi="Times New Roman"/>
      <w:b/>
      <w:bCs/>
      <w:kern w:val="44"/>
      <w:sz w:val="32"/>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imes New Roman" w:eastAsia="Times New Roman" w:hAnsi="Times New Roman" w:cstheme="majorBidi"/>
      <w:b/>
      <w:bCs/>
      <w:sz w:val="28"/>
      <w:szCs w:val="32"/>
    </w:rPr>
  </w:style>
  <w:style w:type="paragraph" w:styleId="3">
    <w:name w:val="heading 3"/>
    <w:basedOn w:val="a"/>
    <w:next w:val="a"/>
    <w:link w:val="30"/>
    <w:uiPriority w:val="9"/>
    <w:unhideWhenUsed/>
    <w:qFormat/>
    <w:pPr>
      <w:keepNext/>
      <w:keepLines/>
      <w:spacing w:before="260" w:after="260" w:line="416" w:lineRule="auto"/>
      <w:outlineLvl w:val="2"/>
    </w:pPr>
    <w:rPr>
      <w:rFonts w:ascii="Times New Roman" w:eastAsia="Times New Roman" w:hAnsi="Times New Roman"/>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pPr>
      <w:spacing w:line="240" w:lineRule="auto"/>
      <w:jc w:val="both"/>
    </w:pPr>
    <w:rPr>
      <w:b/>
      <w:bCs/>
      <w:sz w:val="20"/>
      <w:szCs w:val="20"/>
    </w:rPr>
  </w:style>
  <w:style w:type="paragraph" w:styleId="a4">
    <w:name w:val="annotation text"/>
    <w:basedOn w:val="a"/>
    <w:link w:val="a6"/>
    <w:uiPriority w:val="99"/>
    <w:unhideWhenUsed/>
    <w:qFormat/>
    <w:pPr>
      <w:jc w:val="left"/>
    </w:pPr>
  </w:style>
  <w:style w:type="paragraph" w:styleId="a7">
    <w:name w:val="caption"/>
    <w:basedOn w:val="a"/>
    <w:next w:val="a"/>
    <w:uiPriority w:val="35"/>
    <w:unhideWhenUsed/>
    <w:qFormat/>
    <w:rPr>
      <w:rFonts w:asciiTheme="majorHAnsi" w:eastAsia="黑体" w:hAnsiTheme="majorHAnsi" w:cstheme="majorBidi"/>
      <w:sz w:val="20"/>
      <w:szCs w:val="20"/>
    </w:rPr>
  </w:style>
  <w:style w:type="paragraph" w:styleId="a8">
    <w:name w:val="Balloon Text"/>
    <w:basedOn w:val="a"/>
    <w:link w:val="a9"/>
    <w:uiPriority w:val="99"/>
    <w:unhideWhenUsed/>
    <w:qFormat/>
    <w:pPr>
      <w:spacing w:after="0" w:line="240" w:lineRule="auto"/>
    </w:pPr>
    <w:rPr>
      <w:rFonts w:ascii="Segoe UI" w:hAnsi="Segoe UI" w:cs="Segoe UI"/>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character" w:styleId="ae">
    <w:name w:val="Strong"/>
    <w:basedOn w:val="a0"/>
    <w:uiPriority w:val="22"/>
    <w:qFormat/>
    <w:rPr>
      <w:b/>
      <w:bCs/>
    </w:rPr>
  </w:style>
  <w:style w:type="character" w:styleId="af">
    <w:name w:val="Emphasis"/>
    <w:basedOn w:val="a0"/>
    <w:uiPriority w:val="20"/>
    <w:qFormat/>
    <w:rPr>
      <w:i/>
    </w:rPr>
  </w:style>
  <w:style w:type="character" w:styleId="af0">
    <w:name w:val="Hyperlink"/>
    <w:basedOn w:val="a0"/>
    <w:uiPriority w:val="99"/>
    <w:unhideWhenUsed/>
    <w:qFormat/>
    <w:rPr>
      <w:color w:val="0000FF"/>
      <w:u w:val="single"/>
    </w:rPr>
  </w:style>
  <w:style w:type="character" w:styleId="af1">
    <w:name w:val="annotation reference"/>
    <w:basedOn w:val="a0"/>
    <w:uiPriority w:val="99"/>
    <w:unhideWhenUsed/>
    <w:qFormat/>
    <w:rPr>
      <w:sz w:val="16"/>
      <w:szCs w:val="16"/>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imes New Roman" w:eastAsia="宋体" w:hAnsi="Times New Roman"/>
      <w:b/>
      <w:bCs/>
      <w:kern w:val="44"/>
      <w:sz w:val="32"/>
      <w:szCs w:val="44"/>
    </w:rPr>
  </w:style>
  <w:style w:type="character" w:customStyle="1" w:styleId="fontstyle01">
    <w:name w:val="fontstyle01"/>
    <w:basedOn w:val="a0"/>
    <w:qFormat/>
    <w:rPr>
      <w:rFonts w:ascii="BSGulliver-Bold" w:hAnsi="BSGulliver-Bold" w:hint="default"/>
      <w:b/>
      <w:bCs/>
      <w:color w:val="242021"/>
      <w:sz w:val="14"/>
      <w:szCs w:val="14"/>
    </w:rPr>
  </w:style>
  <w:style w:type="character" w:customStyle="1" w:styleId="fontstyle21">
    <w:name w:val="fontstyle21"/>
    <w:basedOn w:val="a0"/>
    <w:qFormat/>
    <w:rPr>
      <w:rFonts w:ascii="BSGulliver" w:hAnsi="BSGulliver" w:hint="default"/>
      <w:color w:val="242021"/>
      <w:sz w:val="14"/>
      <w:szCs w:val="14"/>
    </w:rPr>
  </w:style>
  <w:style w:type="character" w:customStyle="1" w:styleId="20">
    <w:name w:val="标题 2 字符"/>
    <w:basedOn w:val="a0"/>
    <w:link w:val="2"/>
    <w:uiPriority w:val="9"/>
    <w:qFormat/>
    <w:rPr>
      <w:rFonts w:ascii="Times New Roman" w:eastAsia="Times New Roman" w:hAnsi="Times New Roman" w:cstheme="majorBidi"/>
      <w:b/>
      <w:bCs/>
      <w:sz w:val="28"/>
      <w:szCs w:val="32"/>
    </w:rPr>
  </w:style>
  <w:style w:type="character" w:customStyle="1" w:styleId="30">
    <w:name w:val="标题 3 字符"/>
    <w:basedOn w:val="a0"/>
    <w:link w:val="3"/>
    <w:uiPriority w:val="9"/>
    <w:qFormat/>
    <w:rPr>
      <w:rFonts w:ascii="Times New Roman" w:eastAsia="Times New Roman" w:hAnsi="Times New Roman"/>
      <w:b/>
      <w:bCs/>
      <w:szCs w:val="32"/>
    </w:rPr>
  </w:style>
  <w:style w:type="paragraph" w:customStyle="1" w:styleId="11">
    <w:name w:val="列表段落1"/>
    <w:basedOn w:val="a"/>
    <w:uiPriority w:val="34"/>
    <w:qFormat/>
    <w:pPr>
      <w:ind w:firstLineChars="200" w:firstLine="420"/>
    </w:p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15">
    <w:name w:val="15"/>
    <w:basedOn w:val="a0"/>
    <w:qFormat/>
    <w:rPr>
      <w:rFonts w:ascii="Times New Roman" w:hAnsi="Times New Roman" w:cs="Times New Roman" w:hint="default"/>
    </w:rPr>
  </w:style>
  <w:style w:type="character" w:customStyle="1" w:styleId="16">
    <w:name w:val="16"/>
    <w:basedOn w:val="a0"/>
    <w:qFormat/>
    <w:rPr>
      <w:rFonts w:ascii="Times New Roman" w:hAnsi="Times New Roman" w:cs="Times New Roman" w:hint="default"/>
    </w:rPr>
  </w:style>
  <w:style w:type="character" w:customStyle="1" w:styleId="jlqj4b">
    <w:name w:val="jlqj4b"/>
    <w:basedOn w:val="a0"/>
    <w:qFormat/>
  </w:style>
  <w:style w:type="character" w:customStyle="1" w:styleId="viiyi">
    <w:name w:val="viiyi"/>
    <w:basedOn w:val="a0"/>
    <w:qFormat/>
  </w:style>
  <w:style w:type="paragraph" w:customStyle="1" w:styleId="BHBriefs">
    <w:name w:val="BH_Briefs"/>
    <w:basedOn w:val="a"/>
    <w:next w:val="a"/>
    <w:qFormat/>
    <w:pPr>
      <w:widowControl/>
      <w:spacing w:before="180" w:after="60"/>
      <w:jc w:val="left"/>
    </w:pPr>
    <w:rPr>
      <w:rFonts w:ascii="Arno Pro" w:eastAsia="Times New Roman" w:hAnsi="Arno Pro" w:cs="Times New Roman"/>
      <w:kern w:val="22"/>
      <w:sz w:val="20"/>
      <w:szCs w:val="20"/>
    </w:rPr>
  </w:style>
  <w:style w:type="paragraph" w:customStyle="1" w:styleId="SectionTitle">
    <w:name w:val="Section_Title"/>
    <w:basedOn w:val="a"/>
    <w:qFormat/>
    <w:pPr>
      <w:widowControl/>
      <w:spacing w:before="180" w:after="120"/>
    </w:pPr>
    <w:rPr>
      <w:rFonts w:ascii="Myriad Pro Light" w:eastAsia="Times New Roman" w:hAnsi="Myriad Pro Light" w:cs="Times New Roman"/>
      <w:b/>
      <w:bCs/>
      <w:kern w:val="20"/>
      <w:szCs w:val="21"/>
    </w:rPr>
  </w:style>
  <w:style w:type="character" w:customStyle="1" w:styleId="a9">
    <w:name w:val="批注框文本 字符"/>
    <w:basedOn w:val="a0"/>
    <w:link w:val="a8"/>
    <w:uiPriority w:val="99"/>
    <w:semiHidden/>
    <w:qFormat/>
    <w:rPr>
      <w:rFonts w:ascii="Segoe UI" w:hAnsi="Segoe UI" w:cs="Segoe UI"/>
      <w:kern w:val="2"/>
      <w:sz w:val="18"/>
      <w:szCs w:val="18"/>
      <w:lang w:val="en-US" w:eastAsia="zh-CN"/>
    </w:rPr>
  </w:style>
  <w:style w:type="character" w:customStyle="1" w:styleId="a6">
    <w:name w:val="批注文字 字符"/>
    <w:basedOn w:val="a0"/>
    <w:link w:val="a4"/>
    <w:uiPriority w:val="99"/>
    <w:semiHidden/>
    <w:qFormat/>
    <w:rPr>
      <w:kern w:val="2"/>
      <w:sz w:val="21"/>
      <w:szCs w:val="22"/>
      <w:lang w:val="en-US" w:eastAsia="zh-CN"/>
    </w:rPr>
  </w:style>
  <w:style w:type="character" w:customStyle="1" w:styleId="a5">
    <w:name w:val="批注主题 字符"/>
    <w:basedOn w:val="a6"/>
    <w:link w:val="a3"/>
    <w:uiPriority w:val="99"/>
    <w:semiHidden/>
    <w:qFormat/>
    <w:rPr>
      <w:b/>
      <w:bCs/>
      <w:kern w:val="2"/>
      <w:sz w:val="21"/>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D:/Program%20Files%20(x86)/youdao/Dict/8.9.6.0/resultui/html/index.html" TargetMode="External"/><Relationship Id="rId4" Type="http://schemas.openxmlformats.org/officeDocument/2006/relationships/styles" Target="styles.xml"/><Relationship Id="rId9" Type="http://schemas.openxmlformats.org/officeDocument/2006/relationships/hyperlink" Target="mailto:liuxinhua19@buaa.edu.cn" TargetMode="Externa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D15288-1B78-49A9-A1B6-CC5EB34D6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19</Pages>
  <Words>34946</Words>
  <Characters>199196</Characters>
  <Application>Microsoft Office Word</Application>
  <DocSecurity>0</DocSecurity>
  <Lines>1659</Lines>
  <Paragraphs>467</Paragraphs>
  <ScaleCrop>false</ScaleCrop>
  <Company>Microsoft</Company>
  <LinksUpToDate>false</LinksUpToDate>
  <CharactersWithSpaces>233675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 新岸</dc:creator>
  <cp:lastModifiedBy>zhengjie_zhang@163.com</cp:lastModifiedBy>
  <cp:revision>65</cp:revision>
  <dcterms:created xsi:type="dcterms:W3CDTF">2021-03-05T10:37:00Z</dcterms:created>
  <dcterms:modified xsi:type="dcterms:W3CDTF">2021-04-30T14:52:00Z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2052-3.3.1.5149</vt:lpwstr>
  </property>
  <property fmtid="{D5CDD505-2E9C-101B-9397-08002B2CF9AE}" pid="3" name="Mendeley Document_1">
    <vt:lpwstr>True</vt:lpwstr>
  </property>
  <property fmtid="{D5CDD505-2E9C-101B-9397-08002B2CF9AE}" pid="4" name="Mendeley Unique User Id_1">
    <vt:lpwstr>b73140b8-48c4-3b49-9a0b-92f40851f96f</vt:lpwstr>
  </property>
  <property fmtid="{D5CDD505-2E9C-101B-9397-08002B2CF9AE}" pid="5" name="Mendeley Citation Style_1">
    <vt:lpwstr>http://www.zotero.org/styles/elsevier-without-titles</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http://www.zotero.org/styles/elsevier-without-titles</vt:lpwstr>
  </property>
  <property fmtid="{D5CDD505-2E9C-101B-9397-08002B2CF9AE}" pid="19" name="Mendeley Recent Style Name 6_1">
    <vt:lpwstr>Elsevier (numeric, without titles)</vt:lpwstr>
  </property>
  <property fmtid="{D5CDD505-2E9C-101B-9397-08002B2CF9AE}" pid="20" name="Mendeley Recent Style Id 7_1">
    <vt:lpwstr>http://www.zotero.org/styles/ieee</vt:lpwstr>
  </property>
  <property fmtid="{D5CDD505-2E9C-101B-9397-08002B2CF9AE}" pid="21" name="Mendeley Recent Style Name 7_1">
    <vt:lpwstr>IEEE</vt:lpwstr>
  </property>
  <property fmtid="{D5CDD505-2E9C-101B-9397-08002B2CF9AE}" pid="22" name="Mendeley Recent Style Id 8_1">
    <vt:lpwstr>http://www.zotero.org/styles/joule</vt:lpwstr>
  </property>
  <property fmtid="{D5CDD505-2E9C-101B-9397-08002B2CF9AE}" pid="23" name="Mendeley Recent Style Name 8_1">
    <vt:lpwstr>Joule</vt:lpwstr>
  </property>
  <property fmtid="{D5CDD505-2E9C-101B-9397-08002B2CF9AE}" pid="24" name="Mendeley Recent Style Id 9_1">
    <vt:lpwstr>http://www.zotero.org/styles/modern-humanities-research-association</vt:lpwstr>
  </property>
  <property fmtid="{D5CDD505-2E9C-101B-9397-08002B2CF9AE}" pid="25" name="Mendeley Recent Style Name 9_1">
    <vt:lpwstr>Modern Humanities Research Association 3rd edition (note with bibliography)</vt:lpwstr>
  </property>
</Properties>
</file>