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571A2" w14:textId="77777777" w:rsidR="00C1248E" w:rsidRDefault="00C1248E" w:rsidP="00674ACB">
      <w:pPr>
        <w:spacing w:line="480" w:lineRule="auto"/>
      </w:pPr>
    </w:p>
    <w:p w14:paraId="035508AE" w14:textId="77777777" w:rsidR="00760CC2" w:rsidRDefault="00760CC2" w:rsidP="00674ACB">
      <w:pPr>
        <w:spacing w:line="480" w:lineRule="auto"/>
      </w:pPr>
    </w:p>
    <w:p w14:paraId="703AB0DB" w14:textId="77777777" w:rsidR="00760CC2" w:rsidRDefault="00760CC2" w:rsidP="00674ACB">
      <w:pPr>
        <w:spacing w:line="480" w:lineRule="auto"/>
      </w:pPr>
    </w:p>
    <w:p w14:paraId="169FC3DD" w14:textId="77777777" w:rsidR="00760CC2" w:rsidRDefault="00760CC2" w:rsidP="00674ACB">
      <w:pPr>
        <w:spacing w:line="480" w:lineRule="auto"/>
      </w:pPr>
    </w:p>
    <w:p w14:paraId="0A29BAE6" w14:textId="77777777" w:rsidR="00760CC2" w:rsidRDefault="00760CC2" w:rsidP="00674ACB">
      <w:pPr>
        <w:spacing w:line="480" w:lineRule="auto"/>
      </w:pPr>
    </w:p>
    <w:p w14:paraId="7DF3B336" w14:textId="77777777" w:rsidR="00760CC2" w:rsidRDefault="00760CC2" w:rsidP="00674ACB">
      <w:pPr>
        <w:spacing w:line="480" w:lineRule="auto"/>
      </w:pPr>
    </w:p>
    <w:p w14:paraId="092F1E86" w14:textId="77777777" w:rsidR="00760CC2" w:rsidRDefault="00760CC2" w:rsidP="00674ACB">
      <w:pPr>
        <w:spacing w:line="480" w:lineRule="auto"/>
      </w:pPr>
    </w:p>
    <w:p w14:paraId="6FB2B08D" w14:textId="77777777" w:rsidR="00760CC2" w:rsidRDefault="00760CC2" w:rsidP="00674ACB">
      <w:pPr>
        <w:spacing w:line="480" w:lineRule="auto"/>
        <w:jc w:val="center"/>
        <w:rPr>
          <w:sz w:val="28"/>
        </w:rPr>
      </w:pPr>
      <w:r w:rsidRPr="00B516B2">
        <w:rPr>
          <w:sz w:val="28"/>
        </w:rPr>
        <w:t xml:space="preserve">Micromotion </w:t>
      </w:r>
      <w:r w:rsidR="006C1F77" w:rsidRPr="00B516B2">
        <w:rPr>
          <w:sz w:val="28"/>
        </w:rPr>
        <w:t xml:space="preserve">and Push </w:t>
      </w:r>
      <w:proofErr w:type="gramStart"/>
      <w:r w:rsidR="006C1F77" w:rsidRPr="00B516B2">
        <w:rPr>
          <w:sz w:val="28"/>
        </w:rPr>
        <w:t>Out</w:t>
      </w:r>
      <w:proofErr w:type="gramEnd"/>
      <w:r w:rsidR="006C1F77" w:rsidRPr="00B516B2">
        <w:rPr>
          <w:sz w:val="28"/>
        </w:rPr>
        <w:t xml:space="preserve"> </w:t>
      </w:r>
      <w:r w:rsidR="00D36BAB">
        <w:rPr>
          <w:sz w:val="28"/>
        </w:rPr>
        <w:t>Evaluation</w:t>
      </w:r>
      <w:r w:rsidRPr="00B516B2">
        <w:rPr>
          <w:sz w:val="28"/>
        </w:rPr>
        <w:t xml:space="preserve"> of an Additive Manufactured Implant for Above-the-Knee Amputees</w:t>
      </w:r>
    </w:p>
    <w:p w14:paraId="352C0211" w14:textId="77777777" w:rsidR="00B516B2" w:rsidRPr="00B516B2" w:rsidRDefault="00B516B2" w:rsidP="00674ACB">
      <w:pPr>
        <w:spacing w:line="480" w:lineRule="auto"/>
        <w:jc w:val="center"/>
        <w:rPr>
          <w:sz w:val="28"/>
        </w:rPr>
      </w:pPr>
    </w:p>
    <w:p w14:paraId="74580EEE" w14:textId="76B67567" w:rsidR="00760CC2" w:rsidRDefault="00760CC2" w:rsidP="00674ACB">
      <w:pPr>
        <w:spacing w:line="480" w:lineRule="auto"/>
        <w:jc w:val="center"/>
      </w:pPr>
      <w:r>
        <w:t>Spencer C Barnes</w:t>
      </w:r>
      <w:r w:rsidRPr="00B516B2">
        <w:rPr>
          <w:vertAlign w:val="superscript"/>
        </w:rPr>
        <w:t>1</w:t>
      </w:r>
      <w:proofErr w:type="gramStart"/>
      <w:r w:rsidRPr="00B516B2">
        <w:rPr>
          <w:vertAlign w:val="superscript"/>
        </w:rPr>
        <w:t>,2</w:t>
      </w:r>
      <w:proofErr w:type="gramEnd"/>
      <w:r w:rsidR="00C95F67">
        <w:rPr>
          <w:vertAlign w:val="superscript"/>
        </w:rPr>
        <w:t>,*</w:t>
      </w:r>
      <w:r>
        <w:t>, Jon C Clasper</w:t>
      </w:r>
      <w:r w:rsidRPr="00B516B2">
        <w:rPr>
          <w:vertAlign w:val="superscript"/>
        </w:rPr>
        <w:t>1</w:t>
      </w:r>
      <w:r w:rsidR="007D5874" w:rsidRPr="00B516B2">
        <w:rPr>
          <w:vertAlign w:val="superscript"/>
        </w:rPr>
        <w:t>,3</w:t>
      </w:r>
      <w:r w:rsidR="007D5874">
        <w:t>, Anthony MJ Bull</w:t>
      </w:r>
      <w:r w:rsidR="007D5874" w:rsidRPr="00B516B2">
        <w:rPr>
          <w:vertAlign w:val="superscript"/>
        </w:rPr>
        <w:t>1,4</w:t>
      </w:r>
      <w:r>
        <w:t>, Jonathan RT Jeffers</w:t>
      </w:r>
      <w:r w:rsidRPr="00B516B2">
        <w:rPr>
          <w:vertAlign w:val="superscript"/>
        </w:rPr>
        <w:t>2</w:t>
      </w:r>
    </w:p>
    <w:p w14:paraId="7141A89C" w14:textId="77777777" w:rsidR="00760CC2" w:rsidRPr="00B516B2" w:rsidRDefault="00760CC2" w:rsidP="00674ACB">
      <w:pPr>
        <w:pStyle w:val="NoSpacing"/>
        <w:spacing w:line="480" w:lineRule="auto"/>
        <w:jc w:val="center"/>
        <w:rPr>
          <w:sz w:val="18"/>
        </w:rPr>
      </w:pPr>
      <w:r w:rsidRPr="00B516B2">
        <w:rPr>
          <w:sz w:val="18"/>
          <w:vertAlign w:val="superscript"/>
        </w:rPr>
        <w:t>1</w:t>
      </w:r>
      <w:r w:rsidRPr="00B516B2">
        <w:rPr>
          <w:sz w:val="18"/>
        </w:rPr>
        <w:t>The Royal British Legion Centre for Blast Injury Studies, Imperial College London, London, UK</w:t>
      </w:r>
    </w:p>
    <w:p w14:paraId="7EEE5517" w14:textId="77777777" w:rsidR="00760CC2" w:rsidRPr="00B516B2" w:rsidRDefault="00760CC2" w:rsidP="00674ACB">
      <w:pPr>
        <w:pStyle w:val="NoSpacing"/>
        <w:spacing w:line="480" w:lineRule="auto"/>
        <w:jc w:val="center"/>
        <w:rPr>
          <w:sz w:val="18"/>
        </w:rPr>
      </w:pPr>
      <w:r w:rsidRPr="00B516B2">
        <w:rPr>
          <w:sz w:val="18"/>
          <w:vertAlign w:val="superscript"/>
        </w:rPr>
        <w:t>2</w:t>
      </w:r>
      <w:r w:rsidRPr="00B516B2">
        <w:rPr>
          <w:sz w:val="18"/>
        </w:rPr>
        <w:t>Department of Mechanical Engineering, Imperial College London, London, UK</w:t>
      </w:r>
    </w:p>
    <w:p w14:paraId="2FCCDE95" w14:textId="48396E5C" w:rsidR="006831ED" w:rsidRPr="006831ED" w:rsidRDefault="006831ED" w:rsidP="00674ACB">
      <w:pPr>
        <w:pStyle w:val="NoSpacing"/>
        <w:spacing w:line="480" w:lineRule="auto"/>
        <w:jc w:val="center"/>
        <w:rPr>
          <w:sz w:val="18"/>
        </w:rPr>
      </w:pPr>
      <w:r>
        <w:rPr>
          <w:sz w:val="18"/>
          <w:vertAlign w:val="superscript"/>
        </w:rPr>
        <w:t>3</w:t>
      </w:r>
      <w:r>
        <w:rPr>
          <w:sz w:val="18"/>
        </w:rPr>
        <w:t>Defence Medical Group South East, Frimley Park Hospital, Portsmouth Road, Camberley, UK</w:t>
      </w:r>
    </w:p>
    <w:p w14:paraId="54DEAE40" w14:textId="43709465" w:rsidR="006D67AB" w:rsidRPr="00544C4D" w:rsidRDefault="007D5874" w:rsidP="00544C4D">
      <w:pPr>
        <w:pStyle w:val="NoSpacing"/>
        <w:spacing w:line="480" w:lineRule="auto"/>
        <w:jc w:val="center"/>
        <w:rPr>
          <w:sz w:val="18"/>
        </w:rPr>
      </w:pPr>
      <w:r w:rsidRPr="00B516B2">
        <w:rPr>
          <w:sz w:val="18"/>
          <w:vertAlign w:val="superscript"/>
        </w:rPr>
        <w:t>4</w:t>
      </w:r>
      <w:r w:rsidR="00760CC2" w:rsidRPr="00B516B2">
        <w:rPr>
          <w:sz w:val="18"/>
        </w:rPr>
        <w:t>Department of Bioengineering, Imperial College London, London, UK</w:t>
      </w:r>
    </w:p>
    <w:p w14:paraId="5267E3C9" w14:textId="77777777" w:rsidR="00544C4D" w:rsidRDefault="00544C4D" w:rsidP="00544C4D">
      <w:pPr>
        <w:tabs>
          <w:tab w:val="center" w:pos="4513"/>
          <w:tab w:val="right" w:pos="9026"/>
        </w:tabs>
        <w:spacing w:after="0" w:line="480" w:lineRule="auto"/>
        <w:rPr>
          <w:rFonts w:eastAsia="Times New Roman" w:cs="Times New Roman"/>
          <w:sz w:val="20"/>
        </w:rPr>
      </w:pPr>
    </w:p>
    <w:p w14:paraId="44C5D3DA" w14:textId="4A4BD25B" w:rsidR="003C5FCB" w:rsidRPr="00F3720B" w:rsidRDefault="006A09A1" w:rsidP="00544C4D">
      <w:pPr>
        <w:tabs>
          <w:tab w:val="center" w:pos="4513"/>
          <w:tab w:val="right" w:pos="9026"/>
        </w:tabs>
        <w:spacing w:after="0" w:line="480" w:lineRule="auto"/>
        <w:rPr>
          <w:rFonts w:eastAsia="Times New Roman"/>
          <w:sz w:val="20"/>
        </w:rPr>
      </w:pPr>
      <w:r>
        <w:rPr>
          <w:rFonts w:eastAsia="Times New Roman" w:cs="Times New Roman"/>
          <w:sz w:val="20"/>
        </w:rPr>
        <w:t>*Corresponding author.</w:t>
      </w:r>
      <w:r w:rsidR="003C5FCB" w:rsidRPr="00122715">
        <w:rPr>
          <w:rFonts w:eastAsia="Times New Roman" w:cs="Times New Roman"/>
          <w:sz w:val="20"/>
        </w:rPr>
        <w:t xml:space="preserve"> </w:t>
      </w:r>
      <w:r w:rsidR="00F3720B">
        <w:rPr>
          <w:rFonts w:eastAsia="Times New Roman" w:cs="Times New Roman"/>
          <w:sz w:val="20"/>
        </w:rPr>
        <w:t xml:space="preserve">Tel: </w:t>
      </w:r>
      <w:r w:rsidR="00F3720B" w:rsidRPr="00F3720B">
        <w:rPr>
          <w:rFonts w:eastAsia="Times New Roman"/>
          <w:sz w:val="20"/>
        </w:rPr>
        <w:t>+44 (0)20 7594 1986</w:t>
      </w:r>
      <w:r w:rsidR="00F3720B">
        <w:rPr>
          <w:rFonts w:eastAsia="Times New Roman"/>
          <w:sz w:val="20"/>
        </w:rPr>
        <w:t>.</w:t>
      </w:r>
      <w:r w:rsidR="00FA20DC">
        <w:rPr>
          <w:rFonts w:eastAsia="Times New Roman"/>
          <w:sz w:val="20"/>
        </w:rPr>
        <w:t xml:space="preserve"> Address: Department of Mechanical Engineering, Imperial College London, Exhibition Road, South Kensington, London, SW7 2AZ, UK.</w:t>
      </w:r>
      <w:r w:rsidR="00F3720B">
        <w:rPr>
          <w:rFonts w:eastAsia="Times New Roman"/>
          <w:sz w:val="20"/>
        </w:rPr>
        <w:t xml:space="preserve"> </w:t>
      </w:r>
      <w:r w:rsidR="003C5FCB" w:rsidRPr="00122715">
        <w:rPr>
          <w:rFonts w:eastAsia="Times New Roman" w:cs="Times New Roman"/>
          <w:sz w:val="20"/>
        </w:rPr>
        <w:t xml:space="preserve">Email address: </w:t>
      </w:r>
      <w:r w:rsidR="003C5FCB">
        <w:rPr>
          <w:rFonts w:eastAsia="Times New Roman" w:cs="Times New Roman"/>
          <w:color w:val="0000FF"/>
          <w:sz w:val="20"/>
          <w:u w:val="single"/>
        </w:rPr>
        <w:t>spencer.barnes</w:t>
      </w:r>
      <w:r w:rsidR="003C5FCB" w:rsidRPr="00122715">
        <w:rPr>
          <w:rFonts w:eastAsia="Times New Roman" w:cs="Times New Roman"/>
          <w:color w:val="0000FF"/>
          <w:sz w:val="20"/>
          <w:u w:val="single"/>
        </w:rPr>
        <w:t>@imperial.ac.uk</w:t>
      </w:r>
      <w:r w:rsidR="003C5FCB" w:rsidRPr="00122715">
        <w:rPr>
          <w:rFonts w:eastAsia="Times New Roman" w:cs="Times New Roman"/>
          <w:sz w:val="20"/>
        </w:rPr>
        <w:t xml:space="preserve"> (</w:t>
      </w:r>
      <w:r w:rsidR="003C5FCB">
        <w:rPr>
          <w:rFonts w:eastAsia="Times New Roman" w:cs="Times New Roman"/>
          <w:sz w:val="20"/>
        </w:rPr>
        <w:t>Spencer C Barnes</w:t>
      </w:r>
      <w:r w:rsidR="003C5FCB" w:rsidRPr="00122715">
        <w:rPr>
          <w:rFonts w:eastAsia="Times New Roman" w:cs="Times New Roman"/>
          <w:sz w:val="20"/>
        </w:rPr>
        <w:t>)</w:t>
      </w:r>
    </w:p>
    <w:p w14:paraId="5AA0A0A0" w14:textId="77777777" w:rsidR="00C95F67" w:rsidRDefault="00C95F67" w:rsidP="00674ACB">
      <w:pPr>
        <w:spacing w:line="480" w:lineRule="auto"/>
      </w:pPr>
    </w:p>
    <w:p w14:paraId="58D10EC5" w14:textId="194613F2" w:rsidR="00F3720B" w:rsidRPr="00F3720B" w:rsidRDefault="00F3720B" w:rsidP="003B2F45">
      <w:pPr>
        <w:spacing w:line="480" w:lineRule="auto"/>
      </w:pPr>
      <w:r>
        <w:rPr>
          <w:b/>
        </w:rPr>
        <w:t xml:space="preserve">Running title: </w:t>
      </w:r>
      <w:r>
        <w:t>Implant micromotion for Above-the-Knee amputees</w:t>
      </w:r>
    </w:p>
    <w:p w14:paraId="26B20B9F" w14:textId="2E06D80A" w:rsidR="006D67AB" w:rsidRPr="00544C4D" w:rsidRDefault="003B2F45" w:rsidP="00544C4D">
      <w:pPr>
        <w:spacing w:line="480" w:lineRule="auto"/>
        <w:rPr>
          <w:b/>
        </w:rPr>
      </w:pPr>
      <w:r w:rsidRPr="00F92552">
        <w:rPr>
          <w:b/>
        </w:rPr>
        <w:t>Authors’ Contributions</w:t>
      </w:r>
      <w:r w:rsidR="00544C4D">
        <w:rPr>
          <w:b/>
        </w:rPr>
        <w:t xml:space="preserve">: </w:t>
      </w:r>
      <w:r>
        <w:t>All authors engaged in the conception of the study, study design and review of the manuscript. SB performed the testing, analysed the data and wrote the manuscript.</w:t>
      </w:r>
    </w:p>
    <w:p w14:paraId="74BCFF9B" w14:textId="51DE334C" w:rsidR="006D67AB" w:rsidRPr="00B516B2" w:rsidRDefault="00544C4D" w:rsidP="00674ACB">
      <w:pPr>
        <w:spacing w:line="480" w:lineRule="auto"/>
        <w:rPr>
          <w:b/>
        </w:rPr>
      </w:pPr>
      <w:r>
        <w:rPr>
          <w:b/>
        </w:rPr>
        <w:lastRenderedPageBreak/>
        <w:t>A</w:t>
      </w:r>
      <w:r w:rsidR="006D67AB" w:rsidRPr="00B516B2">
        <w:rPr>
          <w:b/>
        </w:rPr>
        <w:t>bstract</w:t>
      </w:r>
    </w:p>
    <w:p w14:paraId="11A6E262" w14:textId="1C452D5B" w:rsidR="006D67AB" w:rsidRDefault="0091217F" w:rsidP="00660059">
      <w:pPr>
        <w:spacing w:line="480" w:lineRule="auto"/>
        <w:ind w:firstLine="720"/>
      </w:pPr>
      <w:r>
        <w:t xml:space="preserve">In comparison to through knee amputees the outcomes for above-the-knee amputees are </w:t>
      </w:r>
      <w:r w:rsidR="00485489">
        <w:t xml:space="preserve">relatively </w:t>
      </w:r>
      <w:r>
        <w:t>poor</w:t>
      </w:r>
      <w:r w:rsidR="00485489">
        <w:t>; based on this novel techniques have been developed</w:t>
      </w:r>
      <w:r w:rsidR="008931F1">
        <w:t>. Most c</w:t>
      </w:r>
      <w:r>
        <w:t>urrent</w:t>
      </w:r>
      <w:r w:rsidR="00DC70BD">
        <w:t xml:space="preserve"> percutaneous</w:t>
      </w:r>
      <w:r>
        <w:t xml:space="preserve"> implant based solutions for transfemoral amputees make use of high stiffness intramedullary rods for skeletal fixation</w:t>
      </w:r>
      <w:r w:rsidR="00DC70BD">
        <w:t xml:space="preserve"> which can have risks including infection, femoral fractures and bone resorption due to stress shielding. </w:t>
      </w:r>
      <w:r>
        <w:t>This work details the cadaveric testing of a short</w:t>
      </w:r>
      <w:r w:rsidR="00793407">
        <w:t>,</w:t>
      </w:r>
      <w:r>
        <w:t xml:space="preserve"> </w:t>
      </w:r>
      <w:r w:rsidR="00793407">
        <w:t xml:space="preserve">cortical bone </w:t>
      </w:r>
      <w:r w:rsidR="00DC70BD">
        <w:t xml:space="preserve">stiffness matched subcutaneous </w:t>
      </w:r>
      <w:r>
        <w:t>implant, produ</w:t>
      </w:r>
      <w:r w:rsidR="00793407">
        <w:t>ced using additive manufacture</w:t>
      </w:r>
      <w:r w:rsidR="005B3B6A">
        <w:t>,</w:t>
      </w:r>
      <w:r w:rsidR="00A46A82">
        <w:t xml:space="preserve"> to determine bone implant micromotion</w:t>
      </w:r>
      <w:r w:rsidR="00A62C3B">
        <w:t xml:space="preserve"> and push out load. The results for the micromotions were all less than </w:t>
      </w:r>
      <w:r w:rsidR="0053678E">
        <w:t>20 microns and t</w:t>
      </w:r>
      <w:r w:rsidR="00D85A1A">
        <w:t xml:space="preserve">he mean push out load was 2099 </w:t>
      </w:r>
      <w:proofErr w:type="spellStart"/>
      <w:r w:rsidR="00D85A1A">
        <w:t>N</w:t>
      </w:r>
      <w:r w:rsidR="0053678E">
        <w:t>ewtons</w:t>
      </w:r>
      <w:proofErr w:type="spellEnd"/>
      <w:r w:rsidR="0053678E">
        <w:t xml:space="preserve">. </w:t>
      </w:r>
      <w:r w:rsidR="003D3527">
        <w:t>In comparison to a solid control</w:t>
      </w:r>
      <w:r w:rsidR="00884927">
        <w:t>,</w:t>
      </w:r>
      <w:r w:rsidR="003D3527">
        <w:t xml:space="preserve"> the stiffness matched implant exhibited significantly higher micromotion distributions and </w:t>
      </w:r>
      <w:r w:rsidR="00884927">
        <w:t>no significant difference in terms of push out load</w:t>
      </w:r>
      <w:r w:rsidR="003D3527">
        <w:t xml:space="preserve">. These results suggest that, for the stiffness </w:t>
      </w:r>
      <w:r w:rsidR="00D85A1A">
        <w:t>matched implant</w:t>
      </w:r>
      <w:r w:rsidR="003D3527">
        <w:t xml:space="preserve"> at time zero, </w:t>
      </w:r>
      <w:r w:rsidR="003D3527" w:rsidRPr="00884927">
        <w:t>osseointegration</w:t>
      </w:r>
      <w:r w:rsidR="003D3527">
        <w:rPr>
          <w:i/>
        </w:rPr>
        <w:t xml:space="preserve"> </w:t>
      </w:r>
      <w:r w:rsidR="003D3527">
        <w:t xml:space="preserve">would be facilitated and that the implant </w:t>
      </w:r>
      <w:r w:rsidR="000708B0">
        <w:t xml:space="preserve">would be </w:t>
      </w:r>
      <w:r w:rsidR="003D3527">
        <w:t xml:space="preserve">securely anchored. </w:t>
      </w:r>
      <w:r w:rsidR="00884927">
        <w:t>For these metrics</w:t>
      </w:r>
      <w:r w:rsidR="000708B0">
        <w:t>,</w:t>
      </w:r>
      <w:r w:rsidR="00884927">
        <w:t xml:space="preserve"> t</w:t>
      </w:r>
      <w:r w:rsidR="003D3527">
        <w:t xml:space="preserve">his provides justification for the use of </w:t>
      </w:r>
      <w:r w:rsidR="00D85A1A">
        <w:t>a short stem implant for transfemoral amputees in this subcutaneous application.</w:t>
      </w:r>
    </w:p>
    <w:p w14:paraId="6E3C96DB" w14:textId="77777777" w:rsidR="003B2F45" w:rsidRPr="0053678E" w:rsidRDefault="003B2F45" w:rsidP="00884927">
      <w:pPr>
        <w:spacing w:line="480" w:lineRule="auto"/>
        <w:ind w:firstLine="720"/>
      </w:pPr>
    </w:p>
    <w:p w14:paraId="76F609B6" w14:textId="77777777" w:rsidR="003B2F45" w:rsidRPr="00B516B2" w:rsidRDefault="003B2F45" w:rsidP="003B2F45">
      <w:pPr>
        <w:spacing w:line="480" w:lineRule="auto"/>
        <w:rPr>
          <w:b/>
        </w:rPr>
      </w:pPr>
      <w:r w:rsidRPr="00B516B2">
        <w:rPr>
          <w:b/>
        </w:rPr>
        <w:t>Keywords</w:t>
      </w:r>
      <w:bookmarkStart w:id="0" w:name="_GoBack"/>
      <w:bookmarkEnd w:id="0"/>
    </w:p>
    <w:p w14:paraId="57DF9356" w14:textId="04379085" w:rsidR="003B2F45" w:rsidRDefault="00BB0475" w:rsidP="003B2F45">
      <w:pPr>
        <w:spacing w:line="480" w:lineRule="auto"/>
      </w:pPr>
      <w:r>
        <w:t xml:space="preserve">Above-the-Knee </w:t>
      </w:r>
      <w:r w:rsidR="003B2F45">
        <w:t xml:space="preserve">Amputation, Implant, Additive Manufacture, Micromotion, </w:t>
      </w:r>
      <w:r w:rsidR="00BC0E57" w:rsidRPr="008931F1">
        <w:t>Osseointegration</w:t>
      </w:r>
    </w:p>
    <w:p w14:paraId="4A4793DB" w14:textId="77777777" w:rsidR="00644574" w:rsidRDefault="00644574" w:rsidP="00674ACB">
      <w:pPr>
        <w:spacing w:line="480" w:lineRule="auto"/>
      </w:pPr>
    </w:p>
    <w:p w14:paraId="18D74457" w14:textId="77777777" w:rsidR="006D67AB" w:rsidRDefault="006D67AB" w:rsidP="00674ACB">
      <w:pPr>
        <w:spacing w:line="480" w:lineRule="auto"/>
      </w:pPr>
    </w:p>
    <w:p w14:paraId="15658AA2" w14:textId="77777777" w:rsidR="006D67AB" w:rsidRDefault="006D67AB" w:rsidP="00674ACB">
      <w:pPr>
        <w:spacing w:line="480" w:lineRule="auto"/>
      </w:pPr>
    </w:p>
    <w:p w14:paraId="73843833" w14:textId="4B0416CD" w:rsidR="006D67AB" w:rsidRDefault="00C95F67" w:rsidP="00C95F67">
      <w:pPr>
        <w:tabs>
          <w:tab w:val="left" w:pos="2263"/>
        </w:tabs>
        <w:spacing w:line="480" w:lineRule="auto"/>
      </w:pPr>
      <w:r>
        <w:tab/>
      </w:r>
    </w:p>
    <w:p w14:paraId="1676AE4E" w14:textId="77777777" w:rsidR="006D67AB" w:rsidRDefault="006D67AB" w:rsidP="00674ACB">
      <w:pPr>
        <w:spacing w:line="480" w:lineRule="auto"/>
      </w:pPr>
    </w:p>
    <w:p w14:paraId="486F58A3" w14:textId="77777777" w:rsidR="00F3720B" w:rsidRDefault="00F3720B" w:rsidP="00674ACB">
      <w:pPr>
        <w:spacing w:line="480" w:lineRule="auto"/>
      </w:pPr>
    </w:p>
    <w:p w14:paraId="6209B469" w14:textId="77777777" w:rsidR="006D67AB" w:rsidRPr="00B516B2" w:rsidRDefault="006D67AB" w:rsidP="00674ACB">
      <w:pPr>
        <w:spacing w:line="480" w:lineRule="auto"/>
        <w:rPr>
          <w:b/>
        </w:rPr>
      </w:pPr>
      <w:r w:rsidRPr="00B516B2">
        <w:rPr>
          <w:b/>
        </w:rPr>
        <w:lastRenderedPageBreak/>
        <w:t>Introduction</w:t>
      </w:r>
    </w:p>
    <w:p w14:paraId="295B0453" w14:textId="5B62A63C" w:rsidR="0092567E" w:rsidRDefault="00FD0193" w:rsidP="0092567E">
      <w:pPr>
        <w:spacing w:line="480" w:lineRule="auto"/>
        <w:ind w:firstLine="720"/>
      </w:pPr>
      <w:r>
        <w:t xml:space="preserve">Above-the-knee amputees experience </w:t>
      </w:r>
      <w:r w:rsidR="00E61A8F">
        <w:t>poor outcomes</w:t>
      </w:r>
      <w:r w:rsidR="00C84671">
        <w:t xml:space="preserve">, which </w:t>
      </w:r>
      <w:r w:rsidR="00EA42F4">
        <w:t>has a detrimental effect on their quality of life</w:t>
      </w:r>
      <w:r w:rsidR="00EA42F4">
        <w:fldChar w:fldCharType="begin" w:fldLock="1"/>
      </w:r>
      <w:r w:rsidR="005C7750">
        <w:instrText>ADDIN CSL_CITATION {"citationItems":[{"id":"ITEM-1","itemData":{"DOI":"10.1080/03093640108726601","ISBN":"0309-3646 (Print) 0309-3646 (Linking)","ISSN":"0309-3646","PMID":"11860092","abstract":"Individuals with unilateral trans-femoral amputations due to non-vascular causes were studied in a mailed survey designed to investigate health-related quality of life (HRQL), prosthetic use and problems. The Swedish SF-36 Health Survey and a structured questionnaire designed for trans-femoral amputees were used. The series consisted of 97 subjects (60 men, 37 women), aged 20 to 69 years with a mean of 22 years since the amputation. Trauma was the cause of amputation in 55%, tumour in 35% and other causes in 10%. Ninety-two (92) subjects (95%) had a prosthesis and 80 (82%) used it daily. General HRQL was significantly lower than Swedish age- and gender-matched norms in all dimensions as measured by SF-36. Most frequently reported problems that had led to reduction in quality of life were heat/sweating in the prosthetic socket (72%), sores/skin irritation from the socket (62%), inability to walk in woods and fields (61%) and inability to walk quickly (59%). Close to half were troubled by stump pain (51%), phantom limb pain (48%), back pain (47%) and pain in the other leg (46%). One fourth considered themselves to have a poor or extremely poor overall situation. Transfemoral amputation, due to non-vascular causes, has an evident impact on quality of life and there are considerable problems related to the amputation and the prosthesis. Efforts to improve the physical and the psychological well-being for this group, with a long life expectancy, are needed.","author":[{"dropping-particle":"","family":"Hagberg","given":"K","non-dropping-particle":"","parse-names":false,"suffix":""},{"dropping-particle":"","family":"Brånemark","given":"R","non-dropping-particle":"","parse-names":false,"suffix":""}],"container-title":"Prosthetics and orthotics international","id":"ITEM-1","issue":"3","issued":{"date-parts":[["2001"]]},"page":"186-194","title":"Consequences of non-vascular trans-femoral amputation: a survey of quality of life, prosthetic use and problems.","type":"article-journal","volume":"25"},"uris":["http://www.mendeley.com/documents/?uuid=e2d56984-8cf9-4dd9-af79-85275286758a"]}],"mendeley":{"formattedCitation":"&lt;sup&gt;1&lt;/sup&gt;","plainTextFormattedCitation":"1","previouslyFormattedCitation":"&lt;sup&gt;1&lt;/sup&gt;"},"properties":{"noteIndex":0},"schema":"https://github.com/citation-style-language/schema/raw/master/csl-citation.json"}</w:instrText>
      </w:r>
      <w:r w:rsidR="00EA42F4">
        <w:fldChar w:fldCharType="separate"/>
      </w:r>
      <w:r w:rsidR="005C7750" w:rsidRPr="005C7750">
        <w:rPr>
          <w:noProof/>
          <w:vertAlign w:val="superscript"/>
        </w:rPr>
        <w:t>1</w:t>
      </w:r>
      <w:r w:rsidR="00EA42F4">
        <w:fldChar w:fldCharType="end"/>
      </w:r>
      <w:r w:rsidR="00EA42F4">
        <w:t>.</w:t>
      </w:r>
      <w:r w:rsidR="00EA42F4" w:rsidRPr="00EA42F4">
        <w:t xml:space="preserve"> </w:t>
      </w:r>
      <w:r w:rsidR="00EA42F4">
        <w:t>In contrast to through-knee amputees</w:t>
      </w:r>
      <w:r w:rsidR="000708B0">
        <w:t>,</w:t>
      </w:r>
      <w:r w:rsidR="00EA42F4">
        <w:t xml:space="preserve"> e</w:t>
      </w:r>
      <w:r w:rsidR="00EA42F4" w:rsidRPr="00EA42F4">
        <w:t xml:space="preserve">nd weight bearing is </w:t>
      </w:r>
      <w:r w:rsidR="00EA42F4">
        <w:t>rarely</w:t>
      </w:r>
      <w:r w:rsidR="00EA42F4" w:rsidRPr="00EA42F4">
        <w:t xml:space="preserve"> possible due to the low surface area of the residual bone causing high pressure </w:t>
      </w:r>
      <w:r w:rsidR="00EA42F4">
        <w:t>and the formation of bone spurs</w:t>
      </w:r>
      <w:r w:rsidR="00EA42F4">
        <w:fldChar w:fldCharType="begin" w:fldLock="1"/>
      </w:r>
      <w:r w:rsidR="005C7750">
        <w:instrText>ADDIN CSL_CITATION {"citationItems":[{"id":"ITEM-1","itemData":{"author":[{"dropping-particle":"","family":"Pinzur","given":"Michael S","non-dropping-particle":"","parse-names":false,"suffix":""},{"dropping-particle":"","family":"Gottschalk","given":"Frank A","non-dropping-particle":"","parse-names":false,"suffix":""},{"dropping-particle":"","family":"Pinto","given":"Marco Antonio Guedes de S","non-dropping-particle":"","parse-names":false,"suffix":""},{"dropping-particle":"","family":"Smith","given":"Douglas G","non-dropping-particle":"","parse-names":false,"suffix":""}],"container-title":"The Journal of Bone and Joint Surgery","id":"ITEM-1","issue":"5","issued":{"date-parts":[["2007"]]},"page":"1118-1127","title":"Controversies in lower-extremity amputations","type":"article-journal","volume":"89A"},"uris":["http://www.mendeley.com/documents/?uuid=7d3f9af3-0495-308f-969f-928325d5fce0"]}],"mendeley":{"formattedCitation":"&lt;sup&gt;2&lt;/sup&gt;","plainTextFormattedCitation":"2","previouslyFormattedCitation":"&lt;sup&gt;2&lt;/sup&gt;"},"properties":{"noteIndex":0},"schema":"https://github.com/citation-style-language/schema/raw/master/csl-citation.json"}</w:instrText>
      </w:r>
      <w:r w:rsidR="00EA42F4">
        <w:fldChar w:fldCharType="separate"/>
      </w:r>
      <w:r w:rsidR="005C7750" w:rsidRPr="005C7750">
        <w:rPr>
          <w:noProof/>
          <w:vertAlign w:val="superscript"/>
        </w:rPr>
        <w:t>2</w:t>
      </w:r>
      <w:r w:rsidR="00EA42F4">
        <w:fldChar w:fldCharType="end"/>
      </w:r>
      <w:r w:rsidR="00EA42F4">
        <w:t xml:space="preserve">. </w:t>
      </w:r>
      <w:r w:rsidR="00EA42F4" w:rsidRPr="00EA42F4">
        <w:t>Therefore</w:t>
      </w:r>
      <w:r w:rsidR="000708B0">
        <w:t>,</w:t>
      </w:r>
      <w:r w:rsidR="00EA42F4" w:rsidRPr="00EA42F4">
        <w:t xml:space="preserve"> </w:t>
      </w:r>
      <w:r w:rsidR="0028454B">
        <w:t xml:space="preserve">ischial weight bearing prostheses </w:t>
      </w:r>
      <w:r w:rsidR="00EA42F4">
        <w:t xml:space="preserve">are used which </w:t>
      </w:r>
      <w:r w:rsidR="00EA42F4" w:rsidRPr="00EA42F4">
        <w:t>can cause discomfort at th</w:t>
      </w:r>
      <w:r w:rsidR="0028454B">
        <w:t>is region of the</w:t>
      </w:r>
      <w:r w:rsidR="00EA42F4" w:rsidRPr="00EA42F4">
        <w:t xml:space="preserve"> hip, </w:t>
      </w:r>
      <w:r w:rsidR="00EA42F4">
        <w:t xml:space="preserve">pressure sores, friction, </w:t>
      </w:r>
      <w:r w:rsidR="00EA42F4" w:rsidRPr="00EA42F4">
        <w:t>bone mineral density loss in the re</w:t>
      </w:r>
      <w:r w:rsidR="00EA42F4">
        <w:t>sidual femur and muscle atrophy</w:t>
      </w:r>
      <w:r w:rsidR="0092567E">
        <w:fldChar w:fldCharType="begin" w:fldLock="1"/>
      </w:r>
      <w:r w:rsidR="005C7750">
        <w:instrText>ADDIN CSL_CITATION {"citationItems":[{"id":"ITEM-1","itemData":{"author":[{"dropping-particle":"","family":"Pinzur","given":"Michael S","non-dropping-particle":"","parse-names":false,"suffix":""},{"dropping-particle":"","family":"Gottschalk","given":"Frank A","non-dropping-particle":"","parse-names":false,"suffix":""},{"dropping-particle":"","family":"Pinto","given":"Marco Antonio Guedes de S","non-dropping-particle":"","parse-names":false,"suffix":""},{"dropping-particle":"","family":"Smith","given":"Douglas G","non-dropping-particle":"","parse-names":false,"suffix":""}],"container-title":"The Journal of Bone and Joint Surgery","id":"ITEM-1","issue":"5","issued":{"date-parts":[["2007"]]},"page":"1118-1127","title":"Controversies in lower-extremity amputations","type":"article-journal","volume":"89A"},"uris":["http://www.mendeley.com/documents/?uuid=7d3f9af3-0495-308f-969f-928325d5fce0"]},{"id":"ITEM-2","itemData":{"author":[{"dropping-particle":"","family":"World Health Organization United States Department of Defense MossRehab Amputee Rehabilitation Program MossRehab Hospital USA","given":"","non-dropping-particle":"","parse-names":false,"suffix":""}],"id":"ITEM-2","issued":{"date-parts":[["2004"]]},"title":"The Rehabilitation of People with Amputations","type":"article"},"uris":["http://www.mendeley.com/documents/?uuid=a21702fc-20de-4722-a366-96765a735d81"]},{"id":"ITEM-3","itemData":{"DOI":"10.1016/j.injury.2011.07.005","ISBN":"7810867555","ISSN":"00201383","PMID":"21831371","abstract":"Introduction: Lower limb amputation (LLA) is life-changing surgery. Shorter residual limbs are known to place greater physiological strain on patients than longer residual limbs; however, there is ongoing debate as to whether through-knee amputations are preferable to above-knee amputations. This analysis aims to resolve this question by systematically collecting and pooling published and unpublished data on this subject. Methods: An exhaustive search of Medline, Embase and Recal databases was made for outcome studies of patients with lower limb amputations following trauma. Studies concerned with amputations of the upper limb or foot and ankle were excluded as were papers reporting outcomes in a population of mixed trauma and non-trauma patients. Authors of studies published in the last 10 years were contacted for unpublished details. Patients were then divided, according to amputation height, into four groups: below-knee amputation (BKA), through-knee amputation (TKA), above-knee amputation (AKA) and bilateral amputation. The primary outcome measure was Physical Component Score (PCS) of the short-form-36 measure of quality of life and secondary outcomes were pain, employment, ability to walk 500 m and proportion of time that prosthesis is worn. Results: As many as 27 studies were included, representing a total of 3105 patients, 1855 with a BKA, 104 with a TKA, 888 with an AKA and 258 bilateral amputees. There was progressive and significant lowering of PCS (worsening outcomes) as unilateral amputation height became more proximal from BKA to TKA and AKA. A significantly greater proportion of patients with a BKA or a TKA were able to walk 500 m than those with an AKA or bilateral amputation (p = 0.0035). However, patients with a TKA wore their prosthesis significantly less, and had significantly more pain than those with an AKA. Conclusion: This study describes the impact of LLA of different levels on patients' lives. The results indicate that patients with a TKA have a better physical quality of life than those with an AKA and, therefore, support the surgical strategy of maintaining maximum length and performing TKA in preference to AKA, where possible. ?? 2011 Elsevier Ltd. All rights reserved.","author":[{"dropping-particle":"","family":"Penn-Barwell","given":"Jowan G.","non-dropping-particle":"","parse-names":false,"suffix":""}],"container-title":"Injury","id":"ITEM-3","issue":"12","issued":{"date-parts":[["2011"]]},"page":"1474-1479","title":"Outcomes in lower limb amputation following trauma: A systematic review and meta-analysis","type":"article-journal","volume":"42"},"uris":["http://www.mendeley.com/documents/?uuid=1f0c9b85-58bd-3a1a-8b55-28324d5ecbcf"]},{"id":"ITEM-4","itemData":{"DOI":"10.1002/jbm.a.34606","ISBN":"2122633255","ISSN":"15493296","PMID":"23554122","abstract":"In direct skeletal attachment (DSA) of limb prostheses, a construct is implanted into an amputee's residuum bone and protrudes out of the residuum's skin. This technology represents an alternative to traditional suspension of prostheses via various socket systems, with clear indications when the sockets cannot be properly fitted. Contemporary DSA was invented in the 1990s, and several implant systems have been introduced since then. The current review is intended to compare the design features of implants for DSA whose use in humans or in animal studies has been reported in the literature.","author":[{"dropping-particle":"","family":"Pitkin","given":"M.","non-dropping-particle":"","parse-names":false,"suffix":""}],"container-title":"Journal of Biomedical Materials Research - Part A","id":"ITEM-4","issue":"11","issued":{"date-parts":[["2013"]]},"page":"3339-3348","title":"Design features of implants for direct skeletal attachment of limb prostheses","type":"article-journal","volume":"101A"},"uris":["http://www.mendeley.com/documents/?uuid=0d399ef7-457e-347e-acb9-c0108c2239c3"]},{"id":"ITEM-5","itemData":{"DOI":"10.1016/j.apmr.2013.05.020","ISBN":"1532-821X; 0003-9993","ISSN":"00039993","PMID":"23774380","abstract":"Objective: To investigate walking ability and quality of life of osseointegrated leg prostheses compared with socket prostheses. Design: Prospective case-control study. Setting: University medical center. Participants: Subjects (N=22) with transfemoral amputation (1 bilateral) referred to our center because of socket-related skin and residual limb problems resulting in limited prosthesis use. Their mean age was 46.5 years (range, 23-67y) and mean time since amputation was 16.4 years (range, 2-45y). Causes of amputation were trauma (n=20) and tumor (n=2). Intervention: Implantation of an osseointegration prosthesis (OIP). Main Outcome Measures: Global score of the Questionnaire for Persons With a Transfemoral Amputation (Q-TFA), prosthesis use, 6-minute walk test (6MWT), Timed Up &amp; Go (TUG) test, and oxygen consumption during treadmill walking. Results: With the socket prosthesis, the mean ± SD Q-TFA global score, prosthesis use, 6MWT, TUG, and oxygen consumption were 39±4.7 points, 56±7.9h/wk, 321±28m, 15.1±2.1 seconds, and 1330±310mL/min, respectively, and significantly improved with OIP to 63±5.3 points, 101±2.4h/wk, 423±21m, 8.1±0.7 seconds, and 1093±361mL/min, respectively. Conclusions: Osseointegration is a suitable intervention for persons whose prosthesis use is reduced because of socket-related problems. Subjects with OIP significantly increased their walking ability and prosthesis-related quality of life. © 2013 by the American Congress of Rehabilitation Medicine.","author":[{"dropping-particle":"","family":"Meent","given":"Hendrik","non-dropping-particle":"Van De","parse-names":false,"suffix":""},{"dropping-particle":"","family":"Hopman","given":"Maria T.","non-dropping-particle":"","parse-names":false,"suffix":""},{"dropping-particle":"","family":"Frölke","given":"Jan Paul","non-dropping-particle":"","parse-names":false,"suffix":""}],"container-title":"Archives of Physical Medicine and Rehabilitation","id":"ITEM-5","issue":"11","issued":{"date-parts":[["2013"]]},"page":"2174-2178","title":"Walking ability and quality of life in subjects with transfemoral amputation: A comparison of osseointegration with socket prostheses","type":"article-journal","volume":"94"},"uris":["http://www.mendeley.com/documents/?uuid=64fddb74-de8a-4f3b-b5c7-9742476c85a5"]},{"id":"ITEM-6","itemData":{"DOI":"10.1302/0301-620X.96B1.31905","ISBN":"2049-4394","ISSN":"20494408","PMID":"24395320","abstract":"Patients with transfemoral amputation (TFA) often experience problems related to the use of socket-suspended prostheses. The clinical development of osseointegrated percutaneous prostheses for patients with a TFA started in 1990, based on the long-term successful results of osseointegrated dental implants. Between1999 and 2007, 51 patients with 55 TFAs were consecutively enrolled in a prospective, single-centre non-randomised study and followed for two years. The indication for amputation was trauma in 33 patients (65%) and tumour in 12 (24%). A two-stage surgical procedure was used to introduce a percutaneous implant to which an external amputation prosthesis was attached. The assessment of outcome included the use of two self-report questionnaires, the Questionnaire for Persons with a Transfemoral Amputation (Q-TFA) and the Short-Form (SF)-36. The cumulative survival at two years' follow-up was 92%. The Q-TFA showed improved prosthetic use, mobility, global situation and fewer problems (all p &lt; 0.001). The physical function SF-36 scores were also improved (p &lt; 0.001). Superficial infection was the most frequent complication, occurring 41 times in 28 patients (rate of infection 54.9%). Most were treated effectively with oral antibiotics. The implant was removed in four patients because of loosening (three aseptic, one infection). Osseointegrated percutaneous implants constitute a novel form of treatment for patients with TFA. The high cumulative survival rate at two years (92%) combined with enhanced prosthetic use and mobility, fewer problems and improved quality of life, supports the 'revolutionary change' that patients with TFA have reported following treatment with osseointegrated percutaneous prostheses. Cite this article: Bone Joint J 2014;96-B:106-13.","author":[{"dropping-particle":"","family":"Brånemark","given":"R.","non-dropping-particle":"","parse-names":false,"suffix":""},{"dropping-particle":"","family":"Berlin","given":"Ö","non-dropping-particle":"","parse-names":false,"suffix":""},{"dropping-particle":"","family":"Hagberg","given":"K.","non-dropping-particle":"","parse-names":false,"suffix":""},{"dropping-particle":"","family":"Bergh","given":"P.","non-dropping-particle":"","parse-names":false,"suffix":""},{"dropping-particle":"","family":"Gunterberg","given":"B.","non-dropping-particle":"","parse-names":false,"suffix":""},{"dropping-particle":"","family":"Rydevik","given":"B.","non-dropping-particle":"","parse-names":false,"suffix":""}],"container-title":"Bone and Joint Journal","id":"ITEM-6","issue":"1","issued":{"date-parts":[["2014"]]},"page":"106-113","title":"A novel osseointegrated percutaneous prosthetic system for the treatment of patients with transfemoral amputation: A prospective study of 51 patients","type":"article-journal","volume":"96 B"},"uris":["http://www.mendeley.com/documents/?uuid=285b1cc0-aa12-4197-9cbe-2bb9abb0afdc"]}],"mendeley":{"formattedCitation":"&lt;sup&gt;2–7&lt;/sup&gt;","plainTextFormattedCitation":"2–7","previouslyFormattedCitation":"&lt;sup&gt;2–7&lt;/sup&gt;"},"properties":{"noteIndex":0},"schema":"https://github.com/citation-style-language/schema/raw/master/csl-citation.json"}</w:instrText>
      </w:r>
      <w:r w:rsidR="0092567E">
        <w:fldChar w:fldCharType="separate"/>
      </w:r>
      <w:r w:rsidR="005C7750" w:rsidRPr="005C7750">
        <w:rPr>
          <w:noProof/>
          <w:vertAlign w:val="superscript"/>
        </w:rPr>
        <w:t>2–7</w:t>
      </w:r>
      <w:r w:rsidR="0092567E">
        <w:fldChar w:fldCharType="end"/>
      </w:r>
      <w:r w:rsidR="00EA42F4" w:rsidRPr="00EA42F4">
        <w:t>.</w:t>
      </w:r>
      <w:r w:rsidR="0092567E">
        <w:t xml:space="preserve"> </w:t>
      </w:r>
    </w:p>
    <w:p w14:paraId="49ED91FB" w14:textId="21FACB3D" w:rsidR="00AF63A1" w:rsidRDefault="00485489" w:rsidP="0066552B">
      <w:pPr>
        <w:spacing w:line="480" w:lineRule="auto"/>
        <w:ind w:firstLine="720"/>
      </w:pPr>
      <w:r>
        <w:t>However, a</w:t>
      </w:r>
      <w:r w:rsidR="00AF63A1">
        <w:t xml:space="preserve">mputation through the knee </w:t>
      </w:r>
      <w:r w:rsidR="00724AE1">
        <w:t>(or</w:t>
      </w:r>
      <w:r w:rsidR="000708B0">
        <w:t xml:space="preserve"> knee disarticulation amputation) </w:t>
      </w:r>
      <w:r w:rsidR="00AF63A1">
        <w:t>has not been considered a good site for severe lower limb trauma</w:t>
      </w:r>
      <w:r w:rsidR="00AF63A1">
        <w:fldChar w:fldCharType="begin" w:fldLock="1"/>
      </w:r>
      <w:r w:rsidR="005C7750">
        <w:instrText>ADDIN CSL_CITATION {"citationItems":[{"id":"ITEM-1","itemData":{"DOI":"10.1097/01.bot.0000151813.10046.e4","ISBN":"0890-5339","ISSN":"08905339","PMID":"15795573","abstract":"OBJETIVOS: Describir el resultado funcional de las lesiones bilaterales que amenazan las extremidades a los 2 años después de la lesión y evaluar si se debe utilizar un proceso diferente de toma de decisiones para estos pacientes en comparación con los pacientes con lesión unilateral de la extremidad. DISEÑO / CONFIGURACIÓN / PACIENTES: Esta población de estudio de 32 pacientes es un subconjunto de 601 pacientes de un estudio de 8 centros de trauma de nivel I. Los pacientes fueron seguidos prospectivamente durante 24 meses. PRINCIPALES MEDIDAS DE RESULTADOS: La principal medida de resultado a los 2 años fue el Perfil de Impacto de Enfermedad, diseñado para medir las dimensiones físicas y psicosociales. RESULTADOS: Las puntuaciones generales del Perfil de Impacto de Enfermedad a los 2 años demuestran que los 3 grupos de lesiones bilaterales (salvamento bilateral [n = 14], rescate / amputación unilateral [n = 8] y amputación bilateral [n = 10]) fueron severamente discapacitados ( Sickness Impact Profile&gt; 10). El grupo de rescate bilateral tuvo la mejoría más dramática durante los 24 meses. Los datos del Perfil de Impacto de Enfermedad de la subescala física a 2 años mostraron una tendencia similar. En la evaluación de 2 años, el grupo de amputación bilateral registró mayor discapacidad (perfil de impacto de enfermedad = 16.3) en comparación con el salvamento bilateral y los grupos de amputación / rescate unilateral (perfil de impacto de enfermedad = 8.5 y 12.6, respectivamente). La Dimensión Psicosocial general, que comenzó peor en el grupo de salvamento bilateral, terminó similar en los 3 grupos (8 a 9). El porcentaje de pacientes que regresaron al trabajo fue del 66,7% en el grupo de rescate / amputación unilateral frente a 21,4 y 16% en los grupos de rescate y amputación bilateral, respectivamente. CONCLUSIONES: Los resultados indican que los juicios de tratamiento deben basarse en los resultados derivados del análisis de los datos de la cohorte unilateral más grande. A los pacientes con lesiones graves y bilaterales en las extremidades inferiores se les debe aconsejar que, independientemente de las combinaciones de tratamientos, la función de cada extremidad sea similar a los 24 meses. El grupo de amputación / rescate unilateral tenía una mayor probabilidad de volver al trabajo. Este es el principal beneficio identificable al someterse a rescate versus amputación.----------- ------------ OBJECTIVES: To describe the functional outcome of bilateral limb…","author":[{"dropping-particle":"","family":"Smith","given":"Joel J.","non-dropping-particle":"","parse-names":false,"suffix":""},{"dropping-particle":"","family":"Agel","given":"Julie","non-dropping-particle":"","parse-names":false,"suffix":""},{"dropping-particle":"","family":"Swiontkowski","given":"Mark F.","non-dropping-particle":"","parse-names":false,"suffix":""},{"dropping-particle":"","family":"Castillo","given":"Renan","non-dropping-particle":"","parse-names":false,"suffix":""},{"dropping-particle":"","family":"MacKenzie","given":"Ellen","non-dropping-particle":"","parse-names":false,"suffix":""},{"dropping-particle":"","family":"Kellam","given":"James F.","non-dropping-particle":"","parse-names":false,"suffix":""},{"dropping-particle":"","family":"Bosse","given":"Michael J.","non-dropping-particle":"","parse-names":false,"suffix":""},{"dropping-particle":"","family":"Burgess","given":"Andrew R.","non-dropping-particle":"","parse-names":false,"suffix":""},{"dropping-particle":"","family":"Webb","given":"Lawrence X.","non-dropping-particle":"","parse-names":false,"suffix":""},{"dropping-particle":"","family":"Sanders","given":"Roy W.","non-dropping-particle":"","parse-names":false,"suffix":""},{"dropping-particle":"","family":"Jones","given":"Alan L.","non-dropping-particle":"","parse-names":false,"suffix":""},{"dropping-particle":"","family":"McAndrew","given":"Mark P.","non-dropping-particle":"","parse-names":false,"suffix":""},{"dropping-particle":"","family":"Patterson","given":"Brendan M.","non-dropping-particle":"","parse-names":false,"suffix":""},{"dropping-particle":"","family":"McCarthy","given":"Melissa L.","non-dropping-particle":"","parse-names":false,"suffix":""},{"dropping-particle":"","family":"Avery","given":"Jennifer","non-dropping-particle":"","parse-names":false,"suffix":""},{"dropping-particle":"","family":"Bailey","given":"Denise","non-dropping-particle":"","parse-names":false,"suffix":""},{"dropping-particle":"","family":"Bryan","given":"Wendall","non-dropping-particle":"","parse-names":false,"suffix":""},{"dropping-particle":"","family":"Bullard","given":"Debbie","non-dropping-particle":"","parse-names":false,"suffix":""},{"dropping-particle":"","family":"Carpenter","given":"Carla","non-dropping-particle":"","parse-names":false,"suffix":""},{"dropping-particle":"","family":"Chaparro","given":"Elizabeth","non-dropping-particle":"","parse-names":false,"suffix":""},{"dropping-particle":"","family":"Corbin","given":"Kate","non-dropping-particle":"","parse-names":false,"suffix":""},{"dropping-particle":"","family":"Darnell","given":"Denise","non-dropping-particle":"","parse-names":false,"suffix":""},{"dropping-particle":"","family":"Dickason","given":"Stephanie","non-dropping-particle":"","parse-names":false,"suffix":""},{"dropping-particle":"","family":"DiPasquale","given":"Thomas","non-dropping-particle":"","parse-names":false,"suffix":""},{"dropping-particle":"","family":"Harkin","given":"Betty","non-dropping-particle":"","parse-names":false,"suffix":""},{"dropping-particle":"","family":"Harrington","given":"Michael","non-dropping-particle":"","parse-names":false,"suffix":""},{"dropping-particle":"","family":"Herscovici","given":"Dolfi","non-dropping-particle":"","parse-names":false,"suffix":""},{"dropping-particle":"","family":"Holdren","given":"Amy","non-dropping-particle":"","parse-names":false,"suffix":""},{"dropping-particle":"","family":"Howard","given":"Linda","non-dropping-particle":"","parse-names":false,"suffix":""},{"dropping-particle":"","family":"Hutchings","given":"Sarah","non-dropping-particle":"","parse-names":false,"suffix":""},{"dropping-particle":"","family":"Johnson","given":"Marie","non-dropping-particle":"","parse-names":false,"suffix":""},{"dropping-particle":"","family":"Jurewicz","given":"Melissa","non-dropping-particle":"","parse-names":false,"suffix":""},{"dropping-particle":"","family":"Lampke","given":"Donna","non-dropping-particle":"","parse-names":false,"suffix":""},{"dropping-particle":"","family":"Lee","given":"Karen","non-dropping-particle":"","parse-names":false,"suffix":""},{"dropping-particle":"","family":"Mars","given":"Marianne","non-dropping-particle":"","parse-names":false,"suffix":""},{"dropping-particle":"","family":"MendozaWelch","given":"Maxine","non-dropping-particle":"","parse-names":false,"suffix":""},{"dropping-particle":"","family":"Meredith","given":"J. Wayne","non-dropping-particle":"","parse-names":false,"suffix":""},{"dropping-particle":"","family":"Morris","given":"Nan","non-dropping-particle":"","parse-names":false,"suffix":""},{"dropping-particle":"","family":"Murdock","given":"Karen","non-dropping-particle":"","parse-names":false,"suffix":""},{"dropping-particle":"","family":"Pollak","given":"Andrew","non-dropping-particle":"","parse-names":false,"suffix":""},{"dropping-particle":"","family":"Radey","given":"Par","non-dropping-particle":"","parse-names":false,"suffix":""},{"dropping-particle":"","family":"Shelton","given":"Sandy","non-dropping-particle":"","parse-names":false,"suffix":""},{"dropping-particle":"","family":"Simpson","given":"Sherry","non-dropping-particle":"","parse-names":false,"suffix":""},{"dropping-particle":"","family":"Sims","given":"Steven","non-dropping-particle":"","parse-names":false,"suffix":""},{"dropping-particle":"","family":"Smith","given":"Douglas","non-dropping-particle":"","parse-names":false,"suffix":""},{"dropping-particle":"","family":"Star","given":"Adam","non-dropping-particle":"","parse-names":false,"suffix":""},{"dropping-particle":"","family":"Wiegman","given":"Celia","non-dropping-particle":"","parse-names":false,"suffix":""},{"dropping-particle":"","family":"Wilber","given":"John","non-dropping-particle":"","parse-names":false,"suffix":""},{"dropping-particle":"","family":"Williams","given":"Stephanie","non-dropping-particle":"","parse-names":false,"suffix":""},{"dropping-particle":"","family":"Wolinsky","given":"Philip","non-dropping-particle":"","parse-names":false,"suffix":""},{"dropping-particle":"","family":"Woodman","given":"Mary","non-dropping-particle":"","parse-names":false,"suffix":""},{"dropping-particle":"","family":"Zimmerman","given":"Michele","non-dropping-particle":"","parse-names":false,"suffix":""}],"container-title":"Journal of Orthopaedic Trauma","id":"ITEM-1","issue":"4","issued":{"date-parts":[["2005"]]},"page":"249-253","title":"Functional outcome of bilateral limb threatening: Lower extremity injuries at two years postinjury","type":"article-journal","volume":"19"},"uris":["http://www.mendeley.com/documents/?uuid=9fe6e9e7-840d-46f6-a02a-6718cfd9d011"]}],"mendeley":{"formattedCitation":"&lt;sup&gt;8&lt;/sup&gt;","plainTextFormattedCitation":"8","previouslyFormattedCitation":"&lt;sup&gt;8&lt;/sup&gt;"},"properties":{"noteIndex":0},"schema":"https://github.com/citation-style-language/schema/raw/master/csl-citation.json"}</w:instrText>
      </w:r>
      <w:r w:rsidR="00AF63A1">
        <w:fldChar w:fldCharType="separate"/>
      </w:r>
      <w:r w:rsidR="005C7750" w:rsidRPr="005C7750">
        <w:rPr>
          <w:noProof/>
          <w:vertAlign w:val="superscript"/>
        </w:rPr>
        <w:t>8</w:t>
      </w:r>
      <w:r w:rsidR="00AF63A1">
        <w:fldChar w:fldCharType="end"/>
      </w:r>
      <w:r w:rsidR="00AF63A1">
        <w:t xml:space="preserve"> and based on this UK guidelines for the management of severe lower limb trauma specifically discourage this site</w:t>
      </w:r>
      <w:r w:rsidR="00AF63A1">
        <w:fldChar w:fldCharType="begin" w:fldLock="1"/>
      </w:r>
      <w:r w:rsidR="005C7750">
        <w:instrText>ADDIN CSL_CITATION {"citationItems":[{"id":"ITEM-1","itemData":{"ISBN":"9781853159114","author":[{"dropping-particle":"","family":"Nanchahal","given":"J","non-dropping-particle":"","parse-names":false,"suffix":""},{"dropping-particle":"","family":"Nayagam","given":"S","non-dropping-particle":"","parse-names":false,"suffix":""},{"dropping-particle":"","family":"Khan","given":"U","non-dropping-particle":"","parse-names":false,"suffix":""},{"dropping-particle":"","family":"Moran","given":"C","non-dropping-particle":"","parse-names":false,"suffix":""},{"dropping-particle":"","family":"Barrett","given":"S","non-dropping-particle":"","parse-names":false,"suffix":""},{"dropping-particle":"","family":"Sanderson","given":"F","non-dropping-particle":"","parse-names":false,"suffix":""},{"dropping-particle":"","family":"Pallister","given":"I","non-dropping-particle":"","parse-names":false,"suffix":""}],"id":"ITEM-1","issued":{"date-parts":[["2009"]]},"publisher":"Royal Society of Medicine Press","publisher-place":"London","title":"Standards for the management of open fractures of the lower limb","type":"book"},"uris":["http://www.mendeley.com/documents/?uuid=e4677e3b-7e46-4b5b-883e-810078a74d72"]}],"mendeley":{"formattedCitation":"&lt;sup&gt;9&lt;/sup&gt;","plainTextFormattedCitation":"9","previouslyFormattedCitation":"&lt;sup&gt;9&lt;/sup&gt;"},"properties":{"noteIndex":0},"schema":"https://github.com/citation-style-language/schema/raw/master/csl-citation.json"}</w:instrText>
      </w:r>
      <w:r w:rsidR="00AF63A1">
        <w:fldChar w:fldCharType="separate"/>
      </w:r>
      <w:r w:rsidR="005C7750" w:rsidRPr="005C7750">
        <w:rPr>
          <w:noProof/>
          <w:vertAlign w:val="superscript"/>
        </w:rPr>
        <w:t>9</w:t>
      </w:r>
      <w:r w:rsidR="00AF63A1">
        <w:fldChar w:fldCharType="end"/>
      </w:r>
      <w:r w:rsidR="00AF63A1">
        <w:t>. This is despite other evidence that whilst function is inferior to a trans-tibial amputation, through knee amputation is associated with better results</w:t>
      </w:r>
      <w:r w:rsidR="000708B0">
        <w:t xml:space="preserve"> than above-the-knee amputations</w:t>
      </w:r>
      <w:r w:rsidR="00AF63A1">
        <w:fldChar w:fldCharType="begin" w:fldLock="1"/>
      </w:r>
      <w:r w:rsidR="005C7750">
        <w:instrText>ADDIN CSL_CITATION {"citationItems":[{"id":"ITEM-1","itemData":{"abstract":"Fifty-nine amuptees, 24 below-knee (BK), 17 through-knee (TK) and 18 above-knee (AK) who had prosthetic replacements, were evaluated using a questionnaire which provided a quantitative and qualitative assessment scale for the prosthetic function.","author":[{"dropping-particle":"","family":"Hagberg","given":"E","non-dropping-particle":"","parse-names":false,"suffix":""},{"dropping-particle":"","family":"Berlin","given":"K","non-dropping-particle":"","parse-names":false,"suffix":""},{"dropping-particle":"","family":"Renstrom","given":"P","non-dropping-particle":"","parse-names":false,"suffix":""}],"container-title":"Prosthetics and Orthotics International","id":"ITEM-1","issued":{"date-parts":[["1992"]]},"page":"168-173","title":"Function after through-knee compared with below-knee and above-knee amputation","type":"article-journal","volume":"16"},"uris":["http://www.mendeley.com/documents/?uuid=24cb76ce-2c67-3995-9fea-b9604a638b70"]}],"mendeley":{"formattedCitation":"&lt;sup&gt;10&lt;/sup&gt;","plainTextFormattedCitation":"10","previouslyFormattedCitation":"&lt;sup&gt;10&lt;/sup&gt;"},"properties":{"noteIndex":0},"schema":"https://github.com/citation-style-language/schema/raw/master/csl-citation.json"}</w:instrText>
      </w:r>
      <w:r w:rsidR="00AF63A1">
        <w:fldChar w:fldCharType="separate"/>
      </w:r>
      <w:r w:rsidR="005C7750" w:rsidRPr="005C7750">
        <w:rPr>
          <w:noProof/>
          <w:vertAlign w:val="superscript"/>
        </w:rPr>
        <w:t>10</w:t>
      </w:r>
      <w:r w:rsidR="00AF63A1">
        <w:fldChar w:fldCharType="end"/>
      </w:r>
      <w:r w:rsidR="00AF63A1">
        <w:t xml:space="preserve">. Concerns have been raised about </w:t>
      </w:r>
      <w:r>
        <w:t xml:space="preserve">the </w:t>
      </w:r>
      <w:r w:rsidR="00AF63A1">
        <w:t>cosmesis of through knee amputation, as well as the perceived difficulties of prosthetic fitting</w:t>
      </w:r>
      <w:r w:rsidR="00AF63A1">
        <w:fldChar w:fldCharType="begin" w:fldLock="1"/>
      </w:r>
      <w:r w:rsidR="005C7750">
        <w:instrText>ADDIN CSL_CITATION {"citationItems":[{"id":"ITEM-1","itemData":{"DOI":"10.1682/JRRD.2014.03.0068","ISSN":"0748-7711","PMID":"25856500","abstract":"Despite numerous advantages, knee disarticulations (KDs) are rarely performed because of the anticipated KD prosthesis fitting problems that include the positioning of the knee joint distally from the KD socket. This results in lengthening of the thigh and subsequent shortening of the shank. The objective of this study was to assess the cosmetic effect of the knee joint in a KD prosthesis by determining the extent of the lengthening of the thigh and the shortening of the shank. This lengthening and shortening were measured through an experimental setup using laser techniques. These measurements were made of 18 knee joints used in KD prostheses. Lengthening of the thigh varied between 23 and 92 mm, and shortening of the shank varied between 3 and 50 mm. The polycentric knees Medi KH6 and Medi KHF1 showed the least lengthening of the thigh, and the polycentric knees Teh Lin Prosthetic {&amp;} Orthotic Co. Ltd Graph-Lite and Medi KP5 showed the least shortening of the shank.","author":[{"dropping-particle":"","family":"Laat","given":"Fred A.","non-dropping-particle":"de","parse-names":false,"suffix":""},{"dropping-particle":"","family":"Pluijm","given":"Mark J.","non-dropping-particle":"van der","parse-names":false,"suffix":""},{"dropping-particle":"","family":"Kuijk","given":"Annette A.","non-dropping-particle":"van","parse-names":false,"suffix":""},{"dropping-particle":"","family":"Geertzen","given":"Jan H.","non-dropping-particle":"","parse-names":false,"suffix":""},{"dropping-particle":"","family":"Roorda","given":"Leo D.","non-dropping-particle":"","parse-names":false,"suffix":""}],"container-title":"Journal of Rehabilitation Research and Development","id":"ITEM-1","issue":"10","issued":{"date-parts":[["2014"]]},"page":"1545-1554","title":"Cosmetic effect of knee joint in a knee disarticulation prosthesis","type":"article-journal","volume":"51"},"uris":["http://www.mendeley.com/documents/?uuid=f1596818-30f3-4868-8084-ff764bbf2d0d"]}],"mendeley":{"formattedCitation":"&lt;sup&gt;11&lt;/sup&gt;","plainTextFormattedCitation":"11","previouslyFormattedCitation":"&lt;sup&gt;11&lt;/sup&gt;"},"properties":{"noteIndex":0},"schema":"https://github.com/citation-style-language/schema/raw/master/csl-citation.json"}</w:instrText>
      </w:r>
      <w:r w:rsidR="00AF63A1">
        <w:fldChar w:fldCharType="separate"/>
      </w:r>
      <w:r w:rsidR="005C7750" w:rsidRPr="005C7750">
        <w:rPr>
          <w:noProof/>
          <w:vertAlign w:val="superscript"/>
        </w:rPr>
        <w:t>11</w:t>
      </w:r>
      <w:r w:rsidR="00AF63A1">
        <w:fldChar w:fldCharType="end"/>
      </w:r>
      <w:r w:rsidR="000708B0">
        <w:t>. D</w:t>
      </w:r>
      <w:r w:rsidR="00AF63A1">
        <w:t>espite this</w:t>
      </w:r>
      <w:r w:rsidR="000708B0">
        <w:t>,</w:t>
      </w:r>
      <w:r w:rsidR="00AF63A1">
        <w:t xml:space="preserve"> UK military surgeons supported amputation at this site based on the experience of the Defence Medical Rehabilitation Centre at Headley Court</w:t>
      </w:r>
      <w:r w:rsidR="00AF63A1">
        <w:fldChar w:fldCharType="begin" w:fldLock="1"/>
      </w:r>
      <w:r w:rsidR="005C7750">
        <w:instrText>ADDIN CSL_CITATION {"citationItems":[{"id":"ITEM-1","itemData":{"ISSN":"00358665","PMID":"18200912","author":[{"dropping-particle":"","family":"Clasper","given":"J.","non-dropping-particle":"","parse-names":false,"suffix":""}],"container-title":"Journal of the Royal Army Medical Corps","id":"ITEM-1","issue":"3","issued":{"date-parts":[["2007"]]},"page":"172-174","title":"Amputations of the lower limb: a multidisciplinary consensus.","type":"article-journal","volume":"153"},"uris":["http://www.mendeley.com/documents/?uuid=a11d62f8-372d-3a2e-8f8f-044438554eca"]}],"mendeley":{"formattedCitation":"&lt;sup&gt;12&lt;/sup&gt;","plainTextFormattedCitation":"12","previouslyFormattedCitation":"&lt;sup&gt;12&lt;/sup&gt;"},"properties":{"noteIndex":0},"schema":"https://github.com/citation-style-language/schema/raw/master/csl-citation.json"}</w:instrText>
      </w:r>
      <w:r w:rsidR="00AF63A1">
        <w:fldChar w:fldCharType="separate"/>
      </w:r>
      <w:r w:rsidR="005C7750" w:rsidRPr="005C7750">
        <w:rPr>
          <w:noProof/>
          <w:vertAlign w:val="superscript"/>
        </w:rPr>
        <w:t>12</w:t>
      </w:r>
      <w:r w:rsidR="00AF63A1">
        <w:fldChar w:fldCharType="end"/>
      </w:r>
      <w:r w:rsidR="00AF63A1">
        <w:t>. It was felt that superior results might be related to the ability of through-knee amputees being able to end bear</w:t>
      </w:r>
      <w:r w:rsidR="00AF63A1">
        <w:fldChar w:fldCharType="begin" w:fldLock="1"/>
      </w:r>
      <w:r w:rsidR="005C7750">
        <w:instrText>ADDIN CSL_CITATION {"citationItems":[{"id":"ITEM-1","itemData":{"author":[{"dropping-particle":"","family":"Pinzur","given":"Michael S","non-dropping-particle":"","parse-names":false,"suffix":""},{"dropping-particle":"","family":"Gottschalk","given":"Frank A","non-dropping-particle":"","parse-names":false,"suffix":""},{"dropping-particle":"","family":"Pinto","given":"Marco Antonio Guedes de S","non-dropping-particle":"","parse-names":false,"suffix":""},{"dropping-particle":"","family":"Smith","given":"Douglas G","non-dropping-particle":"","parse-names":false,"suffix":""}],"container-title":"The Journal of Bone and Joint Surgery","id":"ITEM-1","issue":"5","issued":{"date-parts":[["2007"]]},"page":"1118-1127","title":"Controversies in lower-extremity amputations","type":"article-journal","volume":"89A"},"uris":["http://www.mendeley.com/documents/?uuid=7d3f9af3-0495-308f-969f-928325d5fce0"]}],"mendeley":{"formattedCitation":"&lt;sup&gt;2&lt;/sup&gt;","plainTextFormattedCitation":"2","previouslyFormattedCitation":"&lt;sup&gt;2&lt;/sup&gt;"},"properties":{"noteIndex":0},"schema":"https://github.com/citation-style-language/schema/raw/master/csl-citation.json"}</w:instrText>
      </w:r>
      <w:r w:rsidR="00AF63A1">
        <w:fldChar w:fldCharType="separate"/>
      </w:r>
      <w:r w:rsidR="005C7750" w:rsidRPr="005C7750">
        <w:rPr>
          <w:noProof/>
          <w:vertAlign w:val="superscript"/>
        </w:rPr>
        <w:t>2</w:t>
      </w:r>
      <w:r w:rsidR="00AF63A1">
        <w:fldChar w:fldCharType="end"/>
      </w:r>
      <w:r w:rsidR="000708B0">
        <w:t>;</w:t>
      </w:r>
      <w:r w:rsidR="00AF63A1">
        <w:t xml:space="preserve"> as such</w:t>
      </w:r>
      <w:r w:rsidR="000708B0">
        <w:t>,</w:t>
      </w:r>
      <w:r w:rsidR="00AF63A1">
        <w:t xml:space="preserve"> the UK military consensus was that the distal femoral condyles should not be excised</w:t>
      </w:r>
      <w:r w:rsidR="00AF63A1">
        <w:fldChar w:fldCharType="begin" w:fldLock="1"/>
      </w:r>
      <w:r w:rsidR="005C7750">
        <w:instrText>ADDIN CSL_CITATION {"citationItems":[{"id":"ITEM-1","itemData":{"ISSN":"00358665","PMID":"18200912","author":[{"dropping-particle":"","family":"Clasper","given":"J.","non-dropping-particle":"","parse-names":false,"suffix":""}],"container-title":"Journal of the Royal Army Medical Corps","id":"ITEM-1","issue":"3","issued":{"date-parts":[["2007"]]},"page":"172-174","title":"Amputations of the lower limb: a multidisciplinary consensus.","type":"article-journal","volume":"153"},"uris":["http://www.mendeley.com/documents/?uuid=a11d62f8-372d-3a2e-8f8f-044438554eca"]}],"mendeley":{"formattedCitation":"&lt;sup&gt;12&lt;/sup&gt;","plainTextFormattedCitation":"12","previouslyFormattedCitation":"&lt;sup&gt;12&lt;/sup&gt;"},"properties":{"noteIndex":0},"schema":"https://github.com/citation-style-language/schema/raw/master/csl-citation.json"}</w:instrText>
      </w:r>
      <w:r w:rsidR="00AF63A1">
        <w:fldChar w:fldCharType="separate"/>
      </w:r>
      <w:r w:rsidR="005C7750" w:rsidRPr="005C7750">
        <w:rPr>
          <w:noProof/>
          <w:vertAlign w:val="superscript"/>
        </w:rPr>
        <w:t>12</w:t>
      </w:r>
      <w:r w:rsidR="00AF63A1">
        <w:fldChar w:fldCharType="end"/>
      </w:r>
      <w:r w:rsidR="00AF63A1">
        <w:t>.</w:t>
      </w:r>
    </w:p>
    <w:p w14:paraId="23C1B860" w14:textId="022ACE8F" w:rsidR="00D65D25" w:rsidRDefault="00AF63A1" w:rsidP="00AF63A1">
      <w:pPr>
        <w:spacing w:line="480" w:lineRule="auto"/>
        <w:ind w:firstLine="720"/>
      </w:pPr>
      <w:r>
        <w:t xml:space="preserve">To alleviate </w:t>
      </w:r>
      <w:r w:rsidR="00BA608F">
        <w:t xml:space="preserve">some of </w:t>
      </w:r>
      <w:r>
        <w:t>the problems with the above-the-knee amputation site one option is percutaneous direct skeletal fixation</w:t>
      </w:r>
      <w:r w:rsidR="0081561F">
        <w:t>, an example</w:t>
      </w:r>
      <w:r w:rsidR="006C0FE2">
        <w:t xml:space="preserve"> of which</w:t>
      </w:r>
      <w:r w:rsidR="0081561F">
        <w:t xml:space="preserve"> can be seen in figure 1</w:t>
      </w:r>
      <w:r>
        <w:t xml:space="preserve">. </w:t>
      </w:r>
      <w:r w:rsidR="00AC2F6C">
        <w:t>These</w:t>
      </w:r>
      <w:r w:rsidR="00A559DC">
        <w:t xml:space="preserve"> procedure</w:t>
      </w:r>
      <w:r w:rsidR="00AC2F6C">
        <w:t>s do</w:t>
      </w:r>
      <w:r w:rsidR="00A559DC">
        <w:t xml:space="preserve"> not have the same socket related </w:t>
      </w:r>
      <w:r w:rsidR="00AC2F6C">
        <w:t>soft tissue issues, facilitate</w:t>
      </w:r>
      <w:r w:rsidR="006D2B67">
        <w:t xml:space="preserve"> quick attachment of the</w:t>
      </w:r>
      <w:r w:rsidR="00AC2F6C">
        <w:t xml:space="preserve"> amputee</w:t>
      </w:r>
      <w:r w:rsidR="000708B0">
        <w:t>’</w:t>
      </w:r>
      <w:r w:rsidR="00AC2F6C">
        <w:t>s prosthesis, transfer</w:t>
      </w:r>
      <w:r w:rsidR="006D2B67">
        <w:t xml:space="preserve"> load </w:t>
      </w:r>
      <w:r w:rsidR="00976A7C">
        <w:t>directly</w:t>
      </w:r>
      <w:r w:rsidR="006D2B67">
        <w:t xml:space="preserve"> </w:t>
      </w:r>
      <w:r w:rsidR="00AC2F6C">
        <w:t>to the residual femur and enable</w:t>
      </w:r>
      <w:r w:rsidR="006D2B67">
        <w:t xml:space="preserve"> </w:t>
      </w:r>
      <w:r w:rsidR="006D2B67" w:rsidRPr="00A154EB">
        <w:t>osseoperception</w:t>
      </w:r>
      <w:r w:rsidR="006D2B67">
        <w:t xml:space="preserve"> whereby the amputee can discern the type of surface they are walking on</w:t>
      </w:r>
      <w:r w:rsidR="00D41CA5">
        <w:fldChar w:fldCharType="begin" w:fldLock="1"/>
      </w:r>
      <w:r w:rsidR="005C7750">
        <w:instrText>ADDIN CSL_CITATION {"citationItems":[{"id":"ITEM-1","itemData":{"DOI":"10.1016/j.apmr.2013.05.020","ISBN":"1532-821X; 0003-9993","ISSN":"00039993","PMID":"23774380","abstract":"Objective: To investigate walking ability and quality of life of osseointegrated leg prostheses compared with socket prostheses. Design: Prospective case-control study. Setting: University medical center. Participants: Subjects (N=22) with transfemoral amputation (1 bilateral) referred to our center because of socket-related skin and residual limb problems resulting in limited prosthesis use. Their mean age was 46.5 years (range, 23-67y) and mean time since amputation was 16.4 years (range, 2-45y). Causes of amputation were trauma (n=20) and tumor (n=2). Intervention: Implantation of an osseointegration prosthesis (OIP). Main Outcome Measures: Global score of the Questionnaire for Persons With a Transfemoral Amputation (Q-TFA), prosthesis use, 6-minute walk test (6MWT), Timed Up &amp; Go (TUG) test, and oxygen consumption during treadmill walking. Results: With the socket prosthesis, the mean ± SD Q-TFA global score, prosthesis use, 6MWT, TUG, and oxygen consumption were 39±4.7 points, 56±7.9h/wk, 321±28m, 15.1±2.1 seconds, and 1330±310mL/min, respectively, and significantly improved with OIP to 63±5.3 points, 101±2.4h/wk, 423±21m, 8.1±0.7 seconds, and 1093±361mL/min, respectively. Conclusions: Osseointegration is a suitable intervention for persons whose prosthesis use is reduced because of socket-related problems. Subjects with OIP significantly increased their walking ability and prosthesis-related quality of life. © 2013 by the American Congress of Rehabilitation Medicine.","author":[{"dropping-particle":"","family":"Meent","given":"Hendrik","non-dropping-particle":"Van De","parse-names":false,"suffix":""},{"dropping-particle":"","family":"Hopman","given":"Maria T.","non-dropping-particle":"","parse-names":false,"suffix":""},{"dropping-particle":"","family":"Frölke","given":"Jan Paul","non-dropping-particle":"","parse-names":false,"suffix":""}],"container-title":"Archives of Physical Medicine and Rehabilitation","id":"ITEM-1","issue":"11","issued":{"date-parts":[["2013"]]},"page":"2174-2178","title":"Walking ability and quality of life in subjects with transfemoral amputation: A comparison of osseointegration with socket prostheses","type":"article-journal","volume":"94"},"uris":["http://www.mendeley.com/documents/?uuid=64fddb74-de8a-4f3b-b5c7-9742476c85a5"]}],"mendeley":{"formattedCitation":"&lt;sup&gt;6&lt;/sup&gt;","plainTextFormattedCitation":"6","previouslyFormattedCitation":"&lt;sup&gt;6&lt;/sup&gt;"},"properties":{"noteIndex":0},"schema":"https://github.com/citation-style-language/schema/raw/master/csl-citation.json"}</w:instrText>
      </w:r>
      <w:r w:rsidR="00D41CA5">
        <w:fldChar w:fldCharType="separate"/>
      </w:r>
      <w:r w:rsidR="005C7750" w:rsidRPr="005C7750">
        <w:rPr>
          <w:noProof/>
          <w:vertAlign w:val="superscript"/>
        </w:rPr>
        <w:t>6</w:t>
      </w:r>
      <w:r w:rsidR="00D41CA5">
        <w:fldChar w:fldCharType="end"/>
      </w:r>
      <w:r w:rsidR="00D41CA5">
        <w:t xml:space="preserve">. </w:t>
      </w:r>
      <w:r w:rsidR="00655148">
        <w:t>Downsides to</w:t>
      </w:r>
      <w:r w:rsidR="006D2B67">
        <w:t xml:space="preserve"> direct skeletal attachment include a risk of</w:t>
      </w:r>
      <w:r w:rsidR="000B767A">
        <w:t xml:space="preserve"> superficial and deep</w:t>
      </w:r>
      <w:r w:rsidR="006D2B67">
        <w:t xml:space="preserve"> infection through the skin opening, a risk of femoral fractures</w:t>
      </w:r>
      <w:r w:rsidR="00AC2F6C">
        <w:t xml:space="preserve">, </w:t>
      </w:r>
      <w:r w:rsidR="006F4E7C">
        <w:t xml:space="preserve">implant </w:t>
      </w:r>
      <w:r w:rsidR="00AC2F6C">
        <w:t>extraction</w:t>
      </w:r>
      <w:r w:rsidR="00D65D25">
        <w:t xml:space="preserve">, high </w:t>
      </w:r>
      <w:r w:rsidR="00976A7C">
        <w:t xml:space="preserve">proximal </w:t>
      </w:r>
      <w:r w:rsidR="00D65D25">
        <w:t>revision</w:t>
      </w:r>
      <w:r w:rsidR="00AC2F6C">
        <w:t xml:space="preserve"> and potential bone resorption due to stress shielding</w:t>
      </w:r>
      <w:r w:rsidR="006F4E7C">
        <w:fldChar w:fldCharType="begin" w:fldLock="1"/>
      </w:r>
      <w:r w:rsidR="005C7750">
        <w:instrText>ADDIN CSL_CITATION {"citationItems":[{"id":"ITEM-1","itemData":{"DOI":"10.1097/BCO.0000000000000248","ISSN":"1941-7551","author":[{"dropping-particle":"","family":"Eck","given":"Carola F","non-dropping-particle":"van","parse-names":false,"suffix":""},{"dropping-particle":"","family":"Mcgough","given":"Richard L","non-dropping-particle":"","parse-names":false,"suffix":""}],"container-title":"Current Othopaedic Practice","id":"ITEM-1","issue":"4","issued":{"date-parts":[["2015"]]},"page":"349-357","title":"Clinical outcomes of osseointegrated prostheses for lower extremity amputations: a systematic review of the literature","type":"article-journal","volume":"26"},"uris":["http://www.mendeley.com/documents/?uuid=fb62ba51-dfe7-4474-a73f-61705d9879fd"]},{"id":"ITEM-2","itemData":{"DOI":"10.1115/1.4039105","ISSN":"2572-7958","author":[{"dropping-particle":"","family":"Maryniak","given":"Andrii","non-dropping-particle":"","parse-names":false,"suffix":""},{"dropping-particle":"","family":"Laschowski","given":"Brock","non-dropping-particle":"","parse-names":false,"suffix":""},{"dropping-particle":"","family":"Andrysek","given":"Jan","non-dropping-particle":"","parse-names":false,"suffix":""}],"container-title":"Journal of Engineering and Science in Medical Diagnostics and Therapy","id":"ITEM-2","issue":"2","issued":{"date-parts":[["2018"]]},"page":"020801","title":"Technical Overview of Osseointegrated Transfemoral Prostheses: Orthopedic Surgery and Implant Design Centered","type":"article-journal","volume":"1"},"uris":["http://www.mendeley.com/documents/?uuid=51b36fc2-54d9-4f29-b2ec-a4489493dfca"]},{"id":"ITEM-3","itemData":{"DOI":"10.3109/17453674.2012.678799","ISBN":"1745-3674","ISSN":"17453674","PMID":"22489885","abstract":"BACKGROUND AND PURPOSE: Rehabilitation of patients with transfemoral amputations is particularly difficult due to problems in using standard socket prostheses. We wanted to assess long-term fixation of the osseointegrated implant system (OPRA) using radiostereometric analysis (RSA) and periprosthetic bone remodeling. METHODS: 51 patients with transfemoral amputations (55 implants) were enrolled in an RSA study. RSA and plain radiographs were scheduled at 6 months and at 1, 2, 5, 7, and 10 years after surgery. RSA films were analyzed using UmRSA software. Plain radiographs were graded for bone resorption, cancellization, cortical thinning, and trabecular streaming or buttressing in specifically defined zones around the implant. RESULTS: At 5 years, the median (SE) migration of the implant was -0.02 (0.06) mm distally. The rotational movement was 0.42 (0.32) degrees around the longitudinal axis. There was no statistically significant difference in median rotation or migration at any follow-up time. Cancellization of the cortex (plain radiographic grading) appeared in at least 1 zone in over half of the patients at 2 years. However, the prevalence of cancellization had decreased by the 5-year follow-up. INTERPRETATION: The RSA analysis for the OPRA system indicated stable fixation of the implant. The periprosthetic bone remodeling showed similarities with changes seen around uncemented hip stems. The OPRA system is a new and promising approach for addressing the challenges faced by patients with transfemoral amputations.","author":[{"dropping-particle":"","family":"Nebergall","given":"Audrey","non-dropping-particle":"","parse-names":false,"suffix":""},{"dropping-particle":"","family":"Bragdon","given":"Charles","non-dropping-particle":"","parse-names":false,"suffix":""},{"dropping-particle":"","family":"Antonellis","given":"Anne","non-dropping-particle":"","parse-names":false,"suffix":""},{"dropping-particle":"","family":"Kärrholm","given":"Johan","non-dropping-particle":"","parse-names":false,"suffix":""},{"dropping-particle":"","family":"Brånemark","given":"Rickard","non-dropping-particle":"","parse-names":false,"suffix":""},{"dropping-particle":"","family":"Malchau","given":"Henrik","non-dropping-particle":"","parse-names":false,"suffix":""}],"container-title":"Acta Orthopaedica","id":"ITEM-3","issue":"2","issued":{"date-parts":[["2012"]]},"page":"121-128","title":"Stable fixation of an osseointegated implant system for above-the-knee amputees: Titel RSA and radiographic evaluation of migration and bone remodeling in 55 cases","type":"article-journal","volume":"83"},"uris":["http://www.mendeley.com/documents/?uuid=07ba2468-7892-4e2b-a064-9329a566ce1c"]},{"id":"ITEM-4","itemData":{"DOI":"10.1016/j.jmbbm.2012.06.015","ISBN":"1878-0180 (Electronic)\\r1878-0180 (Linking)","ISSN":"17516161","PMID":"23032436","abstract":"Direct attachment of an upper leg prosthesis to the skeletal system by a percutaneous implant is an alternative solution to the traditional socket fixation. In this study, we investigated long-term periprosthetic bone changes around two types of fixation implants using two different initial conditions, namely immediate post-amputation implantation and the conventional implantation after considerable time of socket prosthesis use. We questioned the difference in bone modeling response the implants provoked and if it could lead to premature bone fracture.Generic CT-based finite element models of an intact femoral bone and amputated bone implanted with models of two existing direct-fixation implants, the OPRA system (Integrum AB) and the ISP Endo/Exo prosthesis (ESKA Implants AG) were created for this study. Adaptive bone-remodeling simulations used the heel-strike and toe-off loads from a normal walking cycle.The bone loss caused by prolonged use of socket prosthesis had more severe effects on the ultimate bone quality than adaptation induced by the direct-fixation implants.Both implants showed considerable bone remodeling; the titanium screw implant (OPRA system) provoked more bone loss than the porous coated CoCrMo stem (ISP implant). The chance of the peri-prosthetic bone fracture remained higher for the post-socket case as compared to the direct amputation cases. In conclusion, both direct-fixation implants lead to considerable bone loss and bone loss is more severe after a prolonged period of post-socket use. Hence, from a biomechanical perspective it is better to limit the post-socket time and to re-design direct fixation devices to reduce bone loss and the probability of peri-prosthetic bone fractures. © 2012 Elsevier Ltd.","author":[{"dropping-particle":"","family":"Tomaszewski","given":"P. K.","non-dropping-particle":"","parse-names":false,"suffix":""},{"dropping-particle":"","family":"Verdonschot","given":"N.","non-dropping-particle":"","parse-names":false,"suffix":""},{"dropping-particle":"","family":"Bulstra","given":"S. K.","non-dropping-particle":"","parse-names":false,"suffix":""},{"dropping-particle":"","family":"Rietman","given":"J. S.","non-dropping-particle":"","parse-names":false,"suffix":""},{"dropping-particle":"","family":"Verkerke","given":"G. J.","non-dropping-particle":"","parse-names":false,"suffix":""}],"container-title":"Journal of the Mechanical Behavior of Biomedical Materials","id":"ITEM-4","issued":{"date-parts":[["2012"]]},"page":"167-175","publisher":"Elsevier","title":"Simulated bone remodeling around two types of osseointegrated implants for direct fixation of upper-leg prostheses","type":"article-journal","volume":"15"},"uris":["http://www.mendeley.com/documents/?uuid=e20745d2-961a-4e6e-b518-1361b45f5a43"]}],"mendeley":{"formattedCitation":"&lt;sup&gt;13–16&lt;/sup&gt;","plainTextFormattedCitation":"13–16","previouslyFormattedCitation":"&lt;sup&gt;13–16&lt;/sup&gt;"},"properties":{"noteIndex":0},"schema":"https://github.com/citation-style-language/schema/raw/master/csl-citation.json"}</w:instrText>
      </w:r>
      <w:r w:rsidR="006F4E7C">
        <w:fldChar w:fldCharType="separate"/>
      </w:r>
      <w:r w:rsidR="005C7750" w:rsidRPr="005C7750">
        <w:rPr>
          <w:noProof/>
          <w:vertAlign w:val="superscript"/>
        </w:rPr>
        <w:t>13–16</w:t>
      </w:r>
      <w:r w:rsidR="006F4E7C">
        <w:fldChar w:fldCharType="end"/>
      </w:r>
      <w:r w:rsidR="006F4E7C">
        <w:t>.</w:t>
      </w:r>
      <w:r w:rsidR="00D949C3" w:rsidRPr="00D949C3">
        <w:t xml:space="preserve"> </w:t>
      </w:r>
      <w:r w:rsidR="00E12F00" w:rsidRPr="00A3599A">
        <w:t xml:space="preserve">Despite the variety of devices, it appears that many surgeons remain unhappy </w:t>
      </w:r>
      <w:r w:rsidR="00E12F00" w:rsidRPr="00A3599A">
        <w:lastRenderedPageBreak/>
        <w:t>with the concept of a permanent percutaneous implant.</w:t>
      </w:r>
      <w:r w:rsidR="00E12F00">
        <w:t xml:space="preserve"> </w:t>
      </w:r>
      <w:r w:rsidR="0071295E">
        <w:t>Subcutaneous implants have been</w:t>
      </w:r>
      <w:r w:rsidR="00D949C3">
        <w:t xml:space="preserve"> </w:t>
      </w:r>
      <w:r w:rsidR="0071295E">
        <w:t>developed</w:t>
      </w:r>
      <w:r w:rsidR="000708B0">
        <w:t>:</w:t>
      </w:r>
      <w:r w:rsidR="0071295E">
        <w:t xml:space="preserve"> in</w:t>
      </w:r>
      <w:r w:rsidR="00D949C3">
        <w:t xml:space="preserve"> the 1960s Swanson </w:t>
      </w:r>
      <w:r w:rsidR="00D949C3" w:rsidRPr="00D949C3">
        <w:rPr>
          <w:i/>
        </w:rPr>
        <w:t>et al.</w:t>
      </w:r>
      <w:r w:rsidR="00D949C3">
        <w:t xml:space="preserve"> developed a mushroom shaped silicone implant in an attempt to improve end wearing bearing</w:t>
      </w:r>
      <w:r w:rsidR="00D949C3">
        <w:fldChar w:fldCharType="begin" w:fldLock="1"/>
      </w:r>
      <w:r w:rsidR="005C7750">
        <w:instrText>ADDIN CSL_CITATION {"citationItems":[{"id":"ITEM-1","itemData":{"author":[{"dropping-particle":"","family":"Swanson","given":"Alfred B","non-dropping-particle":"","parse-names":false,"suffix":""}],"container-title":"Journal of the Association of Children's Prosthetic-Orthotic Clinics","id":"ITEM-1","issue":"9","issued":{"date-parts":[["1972"]]},"page":"13","title":"Silicone-gel pads to improve end-bearing tolerance in lower-extremity amputees","type":"article-journal","volume":"11"},"uris":["http://www.mendeley.com/documents/?uuid=226d171a-a25d-4eed-b202-1e2ee19125d1"]}],"mendeley":{"formattedCitation":"&lt;sup&gt;17&lt;/sup&gt;","plainTextFormattedCitation":"17","previouslyFormattedCitation":"&lt;sup&gt;17&lt;/sup&gt;"},"properties":{"noteIndex":0},"schema":"https://github.com/citation-style-language/schema/raw/master/csl-citation.json"}</w:instrText>
      </w:r>
      <w:r w:rsidR="00D949C3">
        <w:fldChar w:fldCharType="separate"/>
      </w:r>
      <w:r w:rsidR="005C7750" w:rsidRPr="005C7750">
        <w:rPr>
          <w:noProof/>
          <w:vertAlign w:val="superscript"/>
        </w:rPr>
        <w:t>17</w:t>
      </w:r>
      <w:r w:rsidR="00D949C3">
        <w:fldChar w:fldCharType="end"/>
      </w:r>
      <w:r w:rsidR="00D65D25">
        <w:t>.</w:t>
      </w:r>
      <w:r w:rsidR="00DC70BD">
        <w:t xml:space="preserve"> </w:t>
      </w:r>
      <w:r w:rsidR="00AC2F6C" w:rsidRPr="00AC2F6C">
        <w:t>A</w:t>
      </w:r>
      <w:r w:rsidR="0071295E">
        <w:t>nother</w:t>
      </w:r>
      <w:r w:rsidR="00AC2F6C" w:rsidRPr="00AC2F6C">
        <w:t xml:space="preserve"> more recent variation is the subcutaneous</w:t>
      </w:r>
      <w:r w:rsidR="005432C9">
        <w:t xml:space="preserve"> multi-part</w:t>
      </w:r>
      <w:r w:rsidR="00AC2F6C" w:rsidRPr="00AC2F6C">
        <w:t xml:space="preserve"> ‘keep on walking implant’ which adds a bulbous polyethylene distal end onto</w:t>
      </w:r>
      <w:r w:rsidR="00AC2F6C">
        <w:t xml:space="preserve"> a</w:t>
      </w:r>
      <w:r w:rsidR="003B29F7">
        <w:t xml:space="preserve"> long</w:t>
      </w:r>
      <w:r w:rsidR="00AC2F6C" w:rsidRPr="00AC2F6C">
        <w:t xml:space="preserve"> stem</w:t>
      </w:r>
      <w:r w:rsidR="003B29F7">
        <w:t xml:space="preserve"> similar to the direct skeletal attachment prostheses</w:t>
      </w:r>
      <w:r w:rsidR="00AC2F6C">
        <w:fldChar w:fldCharType="begin" w:fldLock="1"/>
      </w:r>
      <w:r w:rsidR="005C7750">
        <w:instrText>ADDIN CSL_CITATION {"citationItems":[{"id":"ITEM-1","itemData":{"DOI":"10.29011/2575-8241.","author":[{"dropping-particle":"","family":"Guirao Cano","given":"Lluis","non-dropping-particle":"","parse-names":false,"suffix":""},{"dropping-particle":"","family":"Pastor","given":"Beatriz Samitier","non-dropping-particle":"","parse-names":false,"suffix":""},{"dropping-particle":"","family":"Garrido","given":"Dolores Maldonado","non-dropping-particle":"","parse-names":false,"suffix":""},{"dropping-particle":"","family":"Duran","given":"Manuel Rodriguez-piñero","non-dropping-particle":"","parse-names":false,"suffix":""},{"dropping-particle":"","family":"Exposito","given":"Jose","non-dropping-particle":"","parse-names":false,"suffix":""}],"container-title":"Journal of Orthopedic Research and Therapy","id":"ITEM-1","issue":"04","issued":{"date-parts":[["2018"]]},"page":"1-11","title":"Evaluation of functional health and well-being in 23 transfemoral amputees after distal weight-bearing implant","type":"article-journal","volume":"2018"},"uris":["http://www.mendeley.com/documents/?uuid=7f340907-72f1-4507-bba9-f6c7df00053a"]}],"mendeley":{"formattedCitation":"&lt;sup&gt;18&lt;/sup&gt;","plainTextFormattedCitation":"18","previouslyFormattedCitation":"&lt;sup&gt;18&lt;/sup&gt;"},"properties":{"noteIndex":0},"schema":"https://github.com/citation-style-language/schema/raw/master/csl-citation.json"}</w:instrText>
      </w:r>
      <w:r w:rsidR="00AC2F6C">
        <w:fldChar w:fldCharType="separate"/>
      </w:r>
      <w:r w:rsidR="005C7750" w:rsidRPr="005C7750">
        <w:rPr>
          <w:noProof/>
          <w:vertAlign w:val="superscript"/>
        </w:rPr>
        <w:t>18</w:t>
      </w:r>
      <w:r w:rsidR="00AC2F6C">
        <w:fldChar w:fldCharType="end"/>
      </w:r>
      <w:r w:rsidR="00AC2F6C" w:rsidRPr="00AC2F6C">
        <w:t>.</w:t>
      </w:r>
      <w:r w:rsidR="00B04738">
        <w:t xml:space="preserve"> </w:t>
      </w:r>
      <w:r w:rsidR="00145080">
        <w:t>With this implant</w:t>
      </w:r>
      <w:r w:rsidR="000708B0">
        <w:t>,</w:t>
      </w:r>
      <w:r w:rsidR="00145080">
        <w:t xml:space="preserve"> improvements have been measured</w:t>
      </w:r>
      <w:r w:rsidR="00F71A9F">
        <w:t xml:space="preserve"> at 14 months</w:t>
      </w:r>
      <w:r w:rsidR="00145080">
        <w:t xml:space="preserve"> in</w:t>
      </w:r>
      <w:r w:rsidR="00F71A9F">
        <w:t xml:space="preserve"> metrics such as</w:t>
      </w:r>
      <w:r w:rsidR="00145080">
        <w:t xml:space="preserve"> 2 minute walking tests, pain scores and gait speeds but </w:t>
      </w:r>
      <w:r w:rsidR="00F71A9F">
        <w:t>a</w:t>
      </w:r>
      <w:r w:rsidR="00145080">
        <w:t xml:space="preserve"> complication rate of 17% </w:t>
      </w:r>
      <w:r w:rsidR="00F71A9F">
        <w:t>has also been reported and the authors state the need for long term follow up studies</w:t>
      </w:r>
      <w:r w:rsidR="00B04738">
        <w:fldChar w:fldCharType="begin" w:fldLock="1"/>
      </w:r>
      <w:r w:rsidR="005C7750">
        <w:instrText>ADDIN CSL_CITATION {"citationItems":[{"id":"ITEM-1","itemData":{"DOI":"10.1177/0309364616633920","ISSN":"0309-3646","PMID":"27052274","abstract":"BACKGROUND: The ability to walk with a prosthesis is the main objective of rehabilitation following amputation, and distance and speed of walking achieved are considered determining factors in amputees' perception of quality-of-life.\\n\\nOBJECTIVES: To assess walking abilities and improvement in gait distance and speed parameters in patients undergoing transfemoral amputation with a femoral implant that allows distal support of the residuum.\\n\\nSTUDY DESIGN: Experimental before-and-after study.\\n\\nMETHODS: Ten transfemoral amputation patients received a titanium implant that allowed distal weight bearing of the residuum within the socket. The post-intervention follow-up period was 14 months. We evaluated the functionality using a 2-min walk test and the physiological cost index.\\n\\nRESULTS: The etiology of amputation was traumatic in six patients (60%). The mean 2-min walk test score was 98.4 ± 19.5 m prior to the femoral implant and 122.5 ± 26.1 m at 14 months (p &lt; 0.008), representing an improvement of 24.5%. The mean gait speed prior to the femoral implant was 0.82 ± 0.16 and 1.02 ± 0.21 m/s at 14 months (p &lt; 0.008). The physiological cost index showed no differences (p &lt; 0.55).\\n\\nCONCLUSION: The results of this study show an improvement in the distance walked and gait speed in amputees 14 months after having received a femoral implant.\\n\\nCLINICAL RELEVANCE: This article provides additional insight into the use of a femoral implant that allows distal support of the residuum to improve walking abilities and gait distance and speed parameters in patients undergoing transfemoral amputation, mainly those of vascular origin.","author":[{"dropping-particle":"","family":"Guirao","given":"Lluis","non-dropping-particle":"","parse-names":false,"suffix":""},{"dropping-particle":"","family":"Samitier","given":"C Beatriz","non-dropping-particle":"","parse-names":false,"suffix":""},{"dropping-particle":"","family":"Costea","given":"Maria","non-dropping-particle":"","parse-names":false,"suffix":""},{"dropping-particle":"","family":"Camos","given":"Josep Maria","non-dropping-particle":"","parse-names":false,"suffix":""},{"dropping-particle":"","family":"Majo","given":"Maria","non-dropping-particle":"","parse-names":false,"suffix":""},{"dropping-particle":"","family":"Pleguezuelos","given":"Eulogio","non-dropping-particle":"","parse-names":false,"suffix":""}],"container-title":"Prosthetics and Orthotics International","id":"ITEM-1","issue":"1","issued":{"date-parts":[["2017"]]},"page":"26-32","title":"Improvement in walking abilities in transfemoral amputees with a distal weight bearing implant","type":"article-journal","volume":"41"},"uris":["http://www.mendeley.com/documents/?uuid=686594e1-3a6c-42bf-9eac-1b154b99f403"]},{"id":"ITEM-2","itemData":{"DOI":"10.1016/j.otsr.2018.04.011","ISSN":"18770568","PMID":"29864519","abstract":"INTRODUCTION Preservation of femoral condyles in patients with knee disarticulation amputation (KDA) facilitates distal support inside the socket, compared to transfemoral amputation (TFA), and allows the direct transfer of weight-bearing loads toward residual limbs. HYPOTHESIS The hypothesis was that the gait distance and speed of TFA patients after a surgical femoral implant that allowed the distal support of the residuum would improve. MATERIAL AND METHODS 23 TFA patients received a titanium implant that allowed the distal weight bearing of the residuum inside the socket. The post-intervention follow-up period lasted 14 months. Gait distance and speed were assessed with the 2-minute walk test (2MWT). RESULTS The amputation etiology was trauma in 11 patients (48%), peripheral vascular disease in nine (39%) and oncologic disease in three (13%). The mean 2MWT distance was 103.6±34.7 m prior to femoral implant and 128±38.9 m at 14 months, which implies an improvement of 24% (p&lt;0.001). The mean gait speed was 0.86±0.29 m/s prior to femoral implant and 1.06±0.32 m/s at 14 months (p&lt;0.001). DISCUSSION After implant placement, distance covered increased by 24%. This value is higher than those described by other groups, such as Rau (12.6%) and Darter (19.2%), who assessed improvement in distance covered with the 2MWT in a younger population and after completing different physiotherapy programs. Our results showed improved distance walked and gait speed as well as in the physical functioning score in TFA patients 14 months after receiving a femoral implant that permitted distal residuum loading. TYPE OF STUDY An experimental prospective study LEVEL OF PROOF: III, case-control study.","author":[{"dropping-particle":"","family":"Guirao","given":"Lluis","non-dropping-particle":"","parse-names":false,"suffix":""},{"dropping-particle":"","family":"Samitier","given":"Beatriz","non-dropping-particle":"","parse-names":false,"suffix":""},{"dropping-particle":"","family":"Tibau","given":"Rafael","non-dropping-particle":"","parse-names":false,"suffix":""},{"dropping-particle":"","family":"Alós","given":"Jesús","non-dropping-particle":"","parse-names":false,"suffix":""},{"dropping-particle":"","family":"Monago","given":"Mireia","non-dropping-particle":"","parse-names":false,"suffix":""},{"dropping-particle":"","family":"Morales-Suarez-Varela","given":"Maria","non-dropping-particle":"","parse-names":false,"suffix":""},{"dropping-particle":"","family":"Pleguezuelos","given":"Eulogio","non-dropping-particle":"","parse-names":false,"suffix":""}],"container-title":"Orthopaedics &amp; Traumatology: Surgery &amp; Research","id":"ITEM-2","issued":{"date-parts":[["2018"]]},"publisher":"Elsevier Masson SAS","title":"Distance and speed of walking in individuals with transfemoral amputation fitted with a distal weight-bearing implant","type":"article-journal","volume":"In press"},"uris":["http://www.mendeley.com/documents/?uuid=582ac8bf-b91d-496c-9d0e-4351ce9f6e9b"]},{"id":"ITEM-3","itemData":{"DOI":"10.29011/2575-8241.","author":[{"dropping-particle":"","family":"Guirao Cano","given":"Lluis","non-dropping-particle":"","parse-names":false,"suffix":""},{"dropping-particle":"","family":"Pastor","given":"Beatriz Samitier","non-dropping-particle":"","parse-names":false,"suffix":""},{"dropping-particle":"","family":"Garrido","given":"Dolores Maldonado","non-dropping-particle":"","parse-names":false,"suffix":""},{"dropping-particle":"","family":"Duran","given":"Manuel Rodriguez-piñero","non-dropping-particle":"","parse-names":false,"suffix":""},{"dropping-particle":"","family":"Exposito","given":"Jose","non-dropping-particle":"","parse-names":false,"suffix":""}],"container-title":"Journal of Orthopedic Research and Therapy","id":"ITEM-3","issue":"04","issued":{"date-parts":[["2018"]]},"page":"1-11","title":"Evaluation of functional health and well-being in 23 transfemoral amputees after distal weight-bearing implant","type":"article-journal","volume":"2018"},"uris":["http://www.mendeley.com/documents/?uuid=7f340907-72f1-4507-bba9-f6c7df00053a"]}],"mendeley":{"formattedCitation":"&lt;sup&gt;18–20&lt;/sup&gt;","plainTextFormattedCitation":"18–20","previouslyFormattedCitation":"&lt;sup&gt;18–20&lt;/sup&gt;"},"properties":{"noteIndex":0},"schema":"https://github.com/citation-style-language/schema/raw/master/csl-citation.json"}</w:instrText>
      </w:r>
      <w:r w:rsidR="00B04738">
        <w:fldChar w:fldCharType="separate"/>
      </w:r>
      <w:r w:rsidR="005C7750" w:rsidRPr="005C7750">
        <w:rPr>
          <w:noProof/>
          <w:vertAlign w:val="superscript"/>
        </w:rPr>
        <w:t>18–20</w:t>
      </w:r>
      <w:r w:rsidR="00B04738">
        <w:fldChar w:fldCharType="end"/>
      </w:r>
      <w:r w:rsidR="00F71A9F">
        <w:t>.</w:t>
      </w:r>
      <w:r w:rsidR="00145080">
        <w:t xml:space="preserve"> </w:t>
      </w:r>
      <w:r w:rsidR="00E12F00">
        <w:t>It is possible that surgeons would be more w</w:t>
      </w:r>
      <w:r w:rsidR="00C318FB">
        <w:t>i</w:t>
      </w:r>
      <w:r w:rsidR="00E12F00">
        <w:t>lling to use subcutaneous implants, if their reliability and effectiveness could be proved.</w:t>
      </w:r>
    </w:p>
    <w:p w14:paraId="5F5F9396" w14:textId="77777777" w:rsidR="003D2879" w:rsidRDefault="003D2879" w:rsidP="003D2879">
      <w:pPr>
        <w:spacing w:line="480" w:lineRule="auto"/>
        <w:jc w:val="center"/>
        <w:rPr>
          <w:b/>
        </w:rPr>
      </w:pPr>
      <w:r>
        <w:rPr>
          <w:b/>
          <w:noProof/>
          <w:lang w:eastAsia="en-GB"/>
        </w:rPr>
        <w:drawing>
          <wp:inline distT="0" distB="0" distL="0" distR="0" wp14:anchorId="55E12790" wp14:editId="39B7B507">
            <wp:extent cx="3140612" cy="186855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6C8938.tmp"/>
                    <pic:cNvPicPr/>
                  </pic:nvPicPr>
                  <pic:blipFill rotWithShape="1">
                    <a:blip r:embed="rId8" cstate="print">
                      <a:extLst>
                        <a:ext uri="{28A0092B-C50C-407E-A947-70E740481C1C}">
                          <a14:useLocalDpi xmlns:a14="http://schemas.microsoft.com/office/drawing/2010/main" val="0"/>
                        </a:ext>
                      </a:extLst>
                    </a:blip>
                    <a:srcRect l="11316" t="9175" r="7610" b="5624"/>
                    <a:stretch/>
                  </pic:blipFill>
                  <pic:spPr bwMode="auto">
                    <a:xfrm>
                      <a:off x="0" y="0"/>
                      <a:ext cx="3145126" cy="1871242"/>
                    </a:xfrm>
                    <a:prstGeom prst="rect">
                      <a:avLst/>
                    </a:prstGeom>
                    <a:ln>
                      <a:noFill/>
                    </a:ln>
                    <a:extLst>
                      <a:ext uri="{53640926-AAD7-44D8-BBD7-CCE9431645EC}">
                        <a14:shadowObscured xmlns:a14="http://schemas.microsoft.com/office/drawing/2010/main"/>
                      </a:ext>
                    </a:extLst>
                  </pic:spPr>
                </pic:pic>
              </a:graphicData>
            </a:graphic>
          </wp:inline>
        </w:drawing>
      </w:r>
    </w:p>
    <w:p w14:paraId="70ADC811" w14:textId="368EE942" w:rsidR="003D2879" w:rsidRPr="003D2879" w:rsidRDefault="003D2879" w:rsidP="003D2879">
      <w:pPr>
        <w:spacing w:line="480" w:lineRule="auto"/>
        <w:jc w:val="center"/>
        <w:rPr>
          <w:i/>
        </w:rPr>
      </w:pPr>
      <w:r w:rsidRPr="003D2879">
        <w:rPr>
          <w:i/>
        </w:rPr>
        <w:t>Figure 1 – Implanted di</w:t>
      </w:r>
      <w:r w:rsidR="00FF1DC2">
        <w:rPr>
          <w:i/>
        </w:rPr>
        <w:t>rect skeletal fixation devices.</w:t>
      </w:r>
    </w:p>
    <w:p w14:paraId="5A183981" w14:textId="7CDBDA61" w:rsidR="00E40982" w:rsidRDefault="00A85A69" w:rsidP="00FF635B">
      <w:pPr>
        <w:spacing w:line="480" w:lineRule="auto"/>
        <w:ind w:firstLine="720"/>
      </w:pPr>
      <w:r>
        <w:t>Metal additive manufacture (AM)</w:t>
      </w:r>
      <w:r w:rsidR="00826FE1">
        <w:t xml:space="preserve"> </w:t>
      </w:r>
      <w:r w:rsidR="006C4324">
        <w:t xml:space="preserve">is currently used to manufacture </w:t>
      </w:r>
      <w:r w:rsidR="003666B5">
        <w:t xml:space="preserve">orthopaedic </w:t>
      </w:r>
      <w:r w:rsidR="006C4324">
        <w:t xml:space="preserve">implants such as the 4Web spinal fusion cages and the distal </w:t>
      </w:r>
      <w:r w:rsidR="003666B5">
        <w:t>portion</w:t>
      </w:r>
      <w:r w:rsidR="006C4324">
        <w:t xml:space="preserve"> of the Stryker triathlon tibial component</w:t>
      </w:r>
      <w:r w:rsidR="00226B11">
        <w:fldChar w:fldCharType="begin" w:fldLock="1"/>
      </w:r>
      <w:r w:rsidR="005C7750">
        <w:instrText>ADDIN CSL_CITATION {"citationItems":[{"id":"ITEM-1","itemData":{"DOI":"10.1016/j.spinee.2016.07.480","ISBN":"1529-9430","ISSN":"15299430","abstract":"BACKGROUND CONTEXT: Anterior cervical discectomy and fusion (ACDF) is one of the most commonly performed procedures in spine surgery proven effective in the treatment of various cervical pathologies, and there has been a large focus on cage fusion technology. Compared to their graft counterparts, cage interbody implants have enhanced biomechanical properties, with designs constantly improving to maximize biocompatibility and osseointegration. Evolution of design has been dramatic over the past decades; however an ideal cage design has yet to be realized. Modern designs have conformed to a wedge shaped profile and a choice between titanium alloy or polyetheretherketone (PEEK) materials. Important characteristics include the type of material used, load distribution and whether the architecture allows for the implant to be filled with graft material. PURPOSE: The purpose of this study is to assess the efficacy of a novel 3-D printed FDA-cleared cervical titanium cage in ACDF procedures. STUDY DESIGN/SETTING: Researchers prospectively analyzed consecutive patients undergoing a ACDF procedure from C1 to C7, performed using a 3-D printed titanium cage. These procedures included one-level to threelevel fusions, performed by a single surgeon. PATIENT SAMPLE: Eighty-eight consecutive patients resulting in 194 operated levels, comprising of 56 men and 32 women. The mean age of the patient population was 54 years. The surgeon performed 20 one-level cases (23%), 30 four two-level cases (39%), 30 three-level cases (34%) and 4 fourlevel cases (4%). OUTCOME MEASURES: The outcome measures for the study were postoperative complication rates, reoperation rates, alignment maintenance, and evidence of bone integration through the cage. METHODS: Procedures were performed using standard approach using Cervical Spine Truss System™ cage (4WEB® Medical, Frisco, TX) combined with iliac bone marrow aspirate, Platelet rich fibrin matrix (PRFM) synthetic bone graft, and an anterior plate. Both immediate and long term complications were recorded. Alignment and radiographic fusion results were assessed using follow up CT scans, where an independent reviewer compared preop and post op Cobb angles, and assessed bone incorporation through the implant. RESULTS: Out of 88 patients, 5 experienced surgery related complications (5.6%), however no device related complications were noted. Two patients required postoperative revision surgery (2.3%), 1 due to a surgical site infection, and the o…","author":[{"dropping-particle":"","family":"Callanan","given":"Tucker C.","non-dropping-particle":"","parse-names":false,"suffix":""},{"dropping-particle":"","family":"Walker","given":"Brendon","non-dropping-particle":"","parse-names":false,"suffix":""},{"dropping-particle":"","family":"Grinberg","given":"Samuel","non-dropping-particle":"","parse-names":false,"suffix":""},{"dropping-particle":"","family":"Cammisa","given":"Frank P.","non-dropping-particle":"","parse-names":false,"suffix":""},{"dropping-particle":"","family":"Abjornson","given":"Celeste","non-dropping-particle":"","parse-names":false,"suffix":""}],"container-title":"The Spine Journal","id":"ITEM-1","issue":"10","issued":{"date-parts":[["2016"]]},"page":"S318","publisher":"Elsevier Inc.","title":"Prospective, 88 patient series study of the use of a novel 3-D printed titanium truss system cage in anterior cervical spinal surgery","type":"article-journal","volume":"16"},"uris":["http://www.mendeley.com/documents/?uuid=9ba4459a-5608-4d9f-9715-24926db156ff"]},{"id":"ITEM-2","itemData":{"author":[{"dropping-particle":"","family":"Smith","given":"L","non-dropping-particle":"","parse-names":false,"suffix":""},{"dropping-particle":"","family":"Bhowmik-Stoker","given":"M","non-dropping-particle":"","parse-names":false,"suffix":""},{"dropping-particle":"","family":"Stimac","given":"J","non-dropping-particle":"","parse-names":false,"suffix":""}],"container-title":"International Congress for Joint Reconstruction","id":"ITEM-2","issued":{"date-parts":[["2015"]]},"title":"Early results of a highly porous titanium cementless tibial baseplate in TKA","type":"paper-conference"},"uris":["http://www.mendeley.com/documents/?uuid=3c30134f-89fb-4d0a-b285-94161f6f5687"]}],"mendeley":{"formattedCitation":"&lt;sup&gt;21,22&lt;/sup&gt;","plainTextFormattedCitation":"21,22","previouslyFormattedCitation":"&lt;sup&gt;21,22&lt;/sup&gt;"},"properties":{"noteIndex":0},"schema":"https://github.com/citation-style-language/schema/raw/master/csl-citation.json"}</w:instrText>
      </w:r>
      <w:r w:rsidR="00226B11">
        <w:fldChar w:fldCharType="separate"/>
      </w:r>
      <w:r w:rsidR="005C7750" w:rsidRPr="005C7750">
        <w:rPr>
          <w:noProof/>
          <w:vertAlign w:val="superscript"/>
        </w:rPr>
        <w:t>21,22</w:t>
      </w:r>
      <w:r w:rsidR="00226B11">
        <w:fldChar w:fldCharType="end"/>
      </w:r>
      <w:r w:rsidR="00226B11">
        <w:t>.</w:t>
      </w:r>
      <w:r w:rsidR="006C4324">
        <w:t xml:space="preserve"> </w:t>
      </w:r>
      <w:r w:rsidR="00960605">
        <w:t xml:space="preserve">One advantage of AM is </w:t>
      </w:r>
      <w:r w:rsidR="006C4324">
        <w:t xml:space="preserve">the ability to </w:t>
      </w:r>
      <w:r w:rsidR="003E0CBD">
        <w:t>manufacture</w:t>
      </w:r>
      <w:r w:rsidR="006C4324">
        <w:t xml:space="preserve"> </w:t>
      </w:r>
      <w:r w:rsidR="003E0CBD">
        <w:t xml:space="preserve">with </w:t>
      </w:r>
      <w:r w:rsidR="006C4324">
        <w:t>lattice structures</w:t>
      </w:r>
      <w:r w:rsidR="00960605">
        <w:t xml:space="preserve"> which enable structures from Stainless Steel, Titanium alloys and Tantalum with stiffness gradients from 0.5 GPa to 20 GPa, well in the range of human bone</w:t>
      </w:r>
      <w:r w:rsidR="005E348F">
        <w:fldChar w:fldCharType="begin" w:fldLock="1"/>
      </w:r>
      <w:r w:rsidR="005C7750">
        <w:instrText>ADDIN CSL_CITATION {"citationItems":[{"id":"ITEM-1","itemData":{"DOI":"10.1016/j.matdes.2017.06.041","ISSN":"18734197","abstract":"Additive manufacturing enables architectured porous material design, but 3D-CAD modelling of these materials is prohibitively computationally expensive. This bottleneck can be removed using a line-based representation of porous materials instead, with strut thickness controlled by the supplied laser energy. This study investigated how laser energy and scan strategy affects strut thickness and mechanical strength of porous materials. Specimens were manufactured using varying laser parameters, 3 scan strategies (Contour, Points, Pulsing), 2 porous architectures and 2 materials (Titanium, Stainless Steel), with strut thickness, density, modulus, mechanical strength and build time measured. Struts could be built successfully as low as 15° with a minimum diameter of 0.13 mm. Strut thickness was linearly related to the specific enthalpy delivered by the laser to the melt-pool. For a given stiffness, Titanium specimens built at low power/slow speed had a 10% higher strength than those built at high power/fast speed. The opposite was found in Stainless Steel. As specimen stiffness increased, the Contour Strategy produced samples with the highest strength:stiffness and strength:weight ratio. The Points strategy offered the fastest build time, 20% and 100% faster than the Contour and Pulsing strategies, respectively. This work highlights the importance of optimising build parameters to maximize mechanical performance.","author":[{"dropping-particle":"","family":"Ghouse","given":"Shaaz","non-dropping-particle":"","parse-names":false,"suffix":""},{"dropping-particle":"","family":"Babu","given":"Sarat","non-dropping-particle":"","parse-names":false,"suffix":""},{"dropping-particle":"","family":"Arkel","given":"Richard J.","non-dropping-particle":"Van","parse-names":false,"suffix":""},{"dropping-particle":"","family":"Nai","given":"Kenneth","non-dropping-particle":"","parse-names":false,"suffix":""},{"dropping-particle":"","family":"Hooper","given":"Paul A.","non-dropping-particle":"","parse-names":false,"suffix":""},{"dropping-particle":"","family":"Jeffers","given":"Jonathan R.T.","non-dropping-particle":"","parse-names":false,"suffix":""}],"container-title":"Materials and Design","id":"ITEM-1","issued":{"date-parts":[["2017"]]},"page":"498-508","publisher":"The Authors","title":"The influence of laser parameters and scanning strategies on the mechanical properties of a stochastic porous material","type":"article-journal","volume":"131"},"uris":["http://www.mendeley.com/documents/?uuid=bb82eb4d-1df1-4f11-8e34-4ee1dd62f08c"]},{"id":"ITEM-2","itemData":{"DOI":"10.1016/j.addma.2018.05.024","ISSN":"22148604","abstract":"Additive manufactured (AM) porous materials behave quantitatively and qualitatively differently in fatigue than bulk materials, and the relationships normally used for the fatigue design of continuous bulk materials are not applicable to AM porous materials particularly for low stiffness applications. This study investigated how the manufacturing methods and the material used during powder bed fusion affects the compressive strength and high cycle fatigue strength of a stochastic porous material for a given stiffness. Specimens were manufactured using varying laser parameters, 3 scan strategies (Contour, Points, Pulsing) and 4 materials. The materials investigated were two titanium alloys: commercially pure grade 2 (CP-Ti) and Ti6Al4V ELI, commercially pure tantalum (Ta) and a titanium-tantalum alloy (Ti-30Ta). The trends observed during fatigue testing for monolithic metals and statically for solid and porous AM materials were not always indicative of the high cycle fatigue behaviour of porous AM materials. Unlike their solid counterparts, porous tantalum and the titanium-tantalum alloy had the greatest fatigue strength for a given stiffness, 8% greater than CP-Ti and 19% greater than Ti6Al4V ELI. Optimisation of the laser parameters and scan strategies was found to also increase the fatigue strength for a given stiffness of porous AM materials by 7–8%.","author":[{"dropping-particle":"","family":"Ghouse","given":"Shaaz","non-dropping-particle":"","parse-names":false,"suffix":""},{"dropping-particle":"","family":"Babu","given":"Sarat","non-dropping-particle":"","parse-names":false,"suffix":""},{"dropping-particle":"","family":"Nai","given":"Kenneth","non-dropping-particle":"","parse-names":false,"suffix":""},{"dropping-particle":"","family":"Hooper","given":"Paul A.","non-dropping-particle":"","parse-names":false,"suffix":""},{"dropping-particle":"","family":"Jeffers","given":"Jonathan R.T.","non-dropping-particle":"","parse-names":false,"suffix":""}],"container-title":"Additive Manufacturing","id":"ITEM-2","issue":"March","issued":{"date-parts":[["2018"]]},"page":"290-301","title":"The influence of laser parameters, scanning strategies and material on the fatigue strength of a stochastic porous structure","type":"article-journal","volume":"22"},"uris":["http://www.mendeley.com/documents/?uuid=3d741afe-1e69-4127-9359-339e87d5f131"]},{"id":"ITEM-3","itemData":{"DOI":"10.1016/j.jmbbm.2015.06.024","ISBN":"1878-0180 (Electronic)\\r1878-0180 (Linking)","ISSN":"18780180","PMID":"26210549","abstract":"Triply periodic minimal surface (TPMS) structures have already been shown to be a versatile source of biomorphic scaffold designs. Therefore, in this work, Ti-6Al-4V Gyroid and Diamond TPMS lattices having an interconnected high porosity of 80-95% and pore sizes in the range of 560-1600. ??m and 480-1450. ??m respectively were manufactured by selective laser melting (SLM) for bone implants. The manufacturability, microstructure and mechanical properties of the Ti-6Al-4V TPMS lattices were evaluated. Comparison between 3D micro-CT reconstructed models and original CAD models of the Ti-6Al-4V TPMS lattices shows excellent reproduction of the designs. The as-built Ti-6Al-4V struts exhibit the microstructure of columnar grains filled with very fine and orthogonally oriented ??' martensitic laths with the width of 100-300. nm and have the microhardness of 4.01??0.34. GPa. After heat treatment at 680. ??C for 4. h, the ??' martensite was converted to a mixture of ?? and ??, in which the ?? phase being the dominant fraction is present as fine laths with the width of 500-800. nm and separated by a small amount of narrow, interphase regions of dark ?? phase. Also, the microhardness is decreased to 3.71??0.35. GPa due to the coarsening of the microstructure. The 80-95% porosity TPMS lattices exhibit a comparable porosity with trabecular bone, and the modulus is in the range of 0.12-1.25. GPa and thus can be adjusted to the modulus of trabecular bone. At the same range of porosity of 5-10%, the moduli of cortical bone and of the Ti-6Al-4V TPMS lattices are in a similar range. Therefore, the modulus and porosity of Ti-6Al-4V TPMS lattices can be tailored to the levels of human bones and thus reduce or avoid \"stress shielding\" and increase longevity of implants. Due to the biomorphic designs, and high interconnected porosity and stiffness comparable to human bones, SLM-made Ti-6Al-4V TPMS lattices can be a promising material for load bearing bone implants.","author":[{"dropping-particle":"","family":"Yan","given":"Chunze","non-dropping-particle":"","parse-names":false,"suffix":""},{"dropping-particle":"","family":"Hao","given":"Liang","non-dropping-particle":"","parse-names":false,"suffix":""},{"dropping-particle":"","family":"Hussein","given":"Ahmed","non-dropping-particle":"","parse-names":false,"suffix":""},{"dropping-particle":"","family":"Young","given":"Philippe","non-dropping-particle":"","parse-names":false,"suffix":""}],"container-title":"Journal of the Mechanical Behavior of Biomedical Materials","id":"ITEM-3","issued":{"date-parts":[["2015"]]},"page":"61-73","publisher":"Elsevier","title":"Ti-6Al-4V triply periodic minimal surface structures for bone implants fabricated via selective laser melting","type":"article-journal","volume":"51"},"uris":["http://www.mendeley.com/documents/?uuid=f68475a1-c3d1-4244-89ec-0fafa09140b1"]}],"mendeley":{"formattedCitation":"&lt;sup&gt;23–25&lt;/sup&gt;","plainTextFormattedCitation":"23–25","previouslyFormattedCitation":"&lt;sup&gt;23–25&lt;/sup&gt;"},"properties":{"noteIndex":0},"schema":"https://github.com/citation-style-language/schema/raw/master/csl-citation.json"}</w:instrText>
      </w:r>
      <w:r w:rsidR="005E348F">
        <w:fldChar w:fldCharType="separate"/>
      </w:r>
      <w:r w:rsidR="005C7750" w:rsidRPr="005C7750">
        <w:rPr>
          <w:noProof/>
          <w:vertAlign w:val="superscript"/>
        </w:rPr>
        <w:t>23–25</w:t>
      </w:r>
      <w:r w:rsidR="005E348F">
        <w:fldChar w:fldCharType="end"/>
      </w:r>
      <w:r w:rsidR="00A154EB">
        <w:t xml:space="preserve">. </w:t>
      </w:r>
      <w:r w:rsidR="00960605">
        <w:t>W</w:t>
      </w:r>
      <w:r w:rsidR="00E40982">
        <w:t xml:space="preserve">e hypothesise that we can use </w:t>
      </w:r>
      <w:r w:rsidR="00FF635B">
        <w:t>AM</w:t>
      </w:r>
      <w:r w:rsidR="00E40982">
        <w:t xml:space="preserve"> technology to produce a</w:t>
      </w:r>
      <w:r w:rsidR="00D65D25">
        <w:t xml:space="preserve"> cortical bone stiffness matched</w:t>
      </w:r>
      <w:r w:rsidR="00E40982">
        <w:t xml:space="preserve"> end bearing </w:t>
      </w:r>
      <w:r w:rsidR="00FF635B">
        <w:t>implant</w:t>
      </w:r>
      <w:r w:rsidR="00E40982">
        <w:t xml:space="preserve"> with </w:t>
      </w:r>
      <w:r w:rsidR="00FF635B">
        <w:t xml:space="preserve">a </w:t>
      </w:r>
      <w:r w:rsidR="00E40982">
        <w:t>minimal fixation feature</w:t>
      </w:r>
      <w:r w:rsidR="00152718">
        <w:t xml:space="preserve"> for above knee amputees. T</w:t>
      </w:r>
      <w:r w:rsidR="00E40982">
        <w:t xml:space="preserve">his would allow </w:t>
      </w:r>
      <w:r w:rsidR="00FF635B">
        <w:t>for easy installation</w:t>
      </w:r>
      <w:r w:rsidR="00C16908">
        <w:t xml:space="preserve"> during surgery</w:t>
      </w:r>
      <w:r w:rsidR="00E40982">
        <w:t xml:space="preserve">, </w:t>
      </w:r>
      <w:r w:rsidR="00440AF0">
        <w:t xml:space="preserve">would </w:t>
      </w:r>
      <w:r w:rsidR="00FF635B">
        <w:t xml:space="preserve">generate </w:t>
      </w:r>
      <w:r w:rsidR="00440AF0">
        <w:t>physiological stresses in the femur, would potentially allow a sub ischial socket to be worn</w:t>
      </w:r>
      <w:r w:rsidR="00E40982">
        <w:t xml:space="preserve"> and could be</w:t>
      </w:r>
      <w:r w:rsidR="00976A7C">
        <w:t xml:space="preserve"> more</w:t>
      </w:r>
      <w:r w:rsidR="00E40982">
        <w:t xml:space="preserve"> easily revised should it become necessary.</w:t>
      </w:r>
    </w:p>
    <w:p w14:paraId="0D1C39A2" w14:textId="7758B912" w:rsidR="0066552B" w:rsidRDefault="00BA3625" w:rsidP="00611664">
      <w:pPr>
        <w:spacing w:line="480" w:lineRule="auto"/>
        <w:ind w:firstLine="720"/>
      </w:pPr>
      <w:r>
        <w:lastRenderedPageBreak/>
        <w:t xml:space="preserve">The </w:t>
      </w:r>
      <w:r w:rsidR="00FF635B">
        <w:t>primary</w:t>
      </w:r>
      <w:r>
        <w:t xml:space="preserve"> aim of this study was to investigate</w:t>
      </w:r>
      <w:r w:rsidR="00FD0193">
        <w:t xml:space="preserve"> </w:t>
      </w:r>
      <w:r w:rsidR="00D36BAB">
        <w:t xml:space="preserve">whether </w:t>
      </w:r>
      <w:r>
        <w:t xml:space="preserve">this stiffness matched implant would provide a suitable environment for bone in growth and </w:t>
      </w:r>
      <w:r w:rsidR="008A25B6">
        <w:t>stable</w:t>
      </w:r>
      <w:r>
        <w:t xml:space="preserve"> anchoring at the time of insertion</w:t>
      </w:r>
      <w:r w:rsidR="00802603">
        <w:t>.</w:t>
      </w:r>
      <w:r w:rsidR="008A25B6">
        <w:t xml:space="preserve"> These parameters were investigated in terms of micromotion and push out load. A secondary aim of this study was to compare the results of the stiffness matched implant to that of</w:t>
      </w:r>
      <w:r w:rsidR="0079533C">
        <w:t xml:space="preserve"> a high stiffness solid implant, manufactured using the same process and of the same geometry, to</w:t>
      </w:r>
      <w:r w:rsidR="008A25B6">
        <w:t xml:space="preserve"> ascertain </w:t>
      </w:r>
      <w:r w:rsidR="0079533C">
        <w:t>any</w:t>
      </w:r>
      <w:r w:rsidR="008A25B6">
        <w:t xml:space="preserve"> differences.</w:t>
      </w:r>
    </w:p>
    <w:p w14:paraId="62928463" w14:textId="204F71C0" w:rsidR="00D428D6" w:rsidRDefault="00914B27" w:rsidP="00674ACB">
      <w:pPr>
        <w:spacing w:line="480" w:lineRule="auto"/>
        <w:rPr>
          <w:b/>
        </w:rPr>
      </w:pPr>
      <w:r>
        <w:rPr>
          <w:b/>
        </w:rPr>
        <w:t xml:space="preserve">Materials and </w:t>
      </w:r>
      <w:r w:rsidR="00D428D6">
        <w:rPr>
          <w:b/>
        </w:rPr>
        <w:t>Methods</w:t>
      </w:r>
    </w:p>
    <w:p w14:paraId="29EDC72C" w14:textId="640D4EC2" w:rsidR="00E40982" w:rsidRDefault="00440AF0" w:rsidP="00E40982">
      <w:pPr>
        <w:spacing w:line="480" w:lineRule="auto"/>
        <w:ind w:firstLine="720"/>
      </w:pPr>
      <w:r>
        <w:t>A</w:t>
      </w:r>
      <w:r w:rsidR="00E40982">
        <w:t xml:space="preserve"> subcutaneous cortical bone stiffness matched press fit implant </w:t>
      </w:r>
      <w:r>
        <w:t xml:space="preserve">comprising of </w:t>
      </w:r>
      <w:r w:rsidR="00E40982">
        <w:t>a bone interface proximal section and a distal end bearing surface</w:t>
      </w:r>
      <w:r w:rsidR="00152718">
        <w:t xml:space="preserve"> was manufactured in 316 Stainless Steel by an AM process</w:t>
      </w:r>
      <w:r w:rsidR="00E40982">
        <w:t>.</w:t>
      </w:r>
      <w:r w:rsidR="005432C9">
        <w:t xml:space="preserve"> The solid</w:t>
      </w:r>
      <w:r w:rsidR="00976A7C">
        <w:t xml:space="preserve"> control</w:t>
      </w:r>
      <w:r w:rsidR="005432C9">
        <w:t xml:space="preserve"> implant was solid in both proximal and distal sections, whereas the </w:t>
      </w:r>
      <w:r w:rsidR="00F6535E">
        <w:t>stiffness matched implant comprised of a lattice structure in the proximal bone interface section and was solid in the distal end bearing surface</w:t>
      </w:r>
      <w:r w:rsidR="006A7C16">
        <w:t xml:space="preserve"> (Figure 2</w:t>
      </w:r>
      <w:r w:rsidR="00152718">
        <w:t>)</w:t>
      </w:r>
      <w:r w:rsidR="00F6535E">
        <w:t>.</w:t>
      </w:r>
    </w:p>
    <w:p w14:paraId="52C52F5C" w14:textId="77777777" w:rsidR="003D2879" w:rsidRDefault="003D2879" w:rsidP="003D2879">
      <w:pPr>
        <w:spacing w:line="480" w:lineRule="auto"/>
        <w:jc w:val="center"/>
        <w:rPr>
          <w:b/>
        </w:rPr>
      </w:pPr>
      <w:r>
        <w:rPr>
          <w:b/>
          <w:noProof/>
          <w:lang w:eastAsia="en-GB"/>
        </w:rPr>
        <w:drawing>
          <wp:inline distT="0" distB="0" distL="0" distR="0" wp14:anchorId="07E88C1F" wp14:editId="7F5435EF">
            <wp:extent cx="4880758" cy="251756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F427E.tmp"/>
                    <pic:cNvPicPr/>
                  </pic:nvPicPr>
                  <pic:blipFill rotWithShape="1">
                    <a:blip r:embed="rId9" cstate="print">
                      <a:extLst>
                        <a:ext uri="{28A0092B-C50C-407E-A947-70E740481C1C}">
                          <a14:useLocalDpi xmlns:a14="http://schemas.microsoft.com/office/drawing/2010/main" val="0"/>
                        </a:ext>
                      </a:extLst>
                    </a:blip>
                    <a:srcRect l="10982" t="17567" r="3853" b="4839"/>
                    <a:stretch/>
                  </pic:blipFill>
                  <pic:spPr bwMode="auto">
                    <a:xfrm>
                      <a:off x="0" y="0"/>
                      <a:ext cx="4881263" cy="2517829"/>
                    </a:xfrm>
                    <a:prstGeom prst="rect">
                      <a:avLst/>
                    </a:prstGeom>
                    <a:ln>
                      <a:noFill/>
                    </a:ln>
                    <a:extLst>
                      <a:ext uri="{53640926-AAD7-44D8-BBD7-CCE9431645EC}">
                        <a14:shadowObscured xmlns:a14="http://schemas.microsoft.com/office/drawing/2010/main"/>
                      </a:ext>
                    </a:extLst>
                  </pic:spPr>
                </pic:pic>
              </a:graphicData>
            </a:graphic>
          </wp:inline>
        </w:drawing>
      </w:r>
    </w:p>
    <w:p w14:paraId="71B6ABC5" w14:textId="77777777" w:rsidR="003D2879" w:rsidRDefault="003D2879" w:rsidP="00B142C0">
      <w:pPr>
        <w:spacing w:line="480" w:lineRule="auto"/>
        <w:jc w:val="center"/>
        <w:rPr>
          <w:i/>
        </w:rPr>
      </w:pPr>
      <w:r w:rsidRPr="003D2879">
        <w:rPr>
          <w:i/>
        </w:rPr>
        <w:t>Figure 2 – Cortical bone stiffness matched transfemoral implant where top is proximal bone interface section and bottom is distal end bearing section (l). Associated additive manufactured conical reamer with hex bar driver attachment (r).</w:t>
      </w:r>
    </w:p>
    <w:p w14:paraId="113B1B7A" w14:textId="77777777" w:rsidR="005F1547" w:rsidRPr="003D2879" w:rsidRDefault="005F1547" w:rsidP="00B142C0">
      <w:pPr>
        <w:spacing w:line="480" w:lineRule="auto"/>
        <w:jc w:val="center"/>
        <w:rPr>
          <w:i/>
        </w:rPr>
      </w:pPr>
    </w:p>
    <w:p w14:paraId="21FEAA78" w14:textId="77777777" w:rsidR="00D36BAB" w:rsidRPr="00AE6484" w:rsidRDefault="00D36BAB" w:rsidP="00674ACB">
      <w:pPr>
        <w:spacing w:line="480" w:lineRule="auto"/>
        <w:rPr>
          <w:b/>
          <w:i/>
        </w:rPr>
      </w:pPr>
      <w:r w:rsidRPr="00AE6484">
        <w:rPr>
          <w:b/>
          <w:i/>
        </w:rPr>
        <w:lastRenderedPageBreak/>
        <w:t>Specimens</w:t>
      </w:r>
    </w:p>
    <w:p w14:paraId="41DE7C02" w14:textId="2480B373" w:rsidR="00AE6484" w:rsidRDefault="009F4A55" w:rsidP="00674ACB">
      <w:pPr>
        <w:spacing w:line="480" w:lineRule="auto"/>
        <w:ind w:firstLine="720"/>
      </w:pPr>
      <w:r>
        <w:t>N</w:t>
      </w:r>
      <w:r w:rsidR="004E083F">
        <w:t>ine</w:t>
      </w:r>
      <w:r w:rsidR="00AE6484">
        <w:t xml:space="preserve"> fresh </w:t>
      </w:r>
      <w:r w:rsidR="000B1E7F">
        <w:t xml:space="preserve">frozen </w:t>
      </w:r>
      <w:r w:rsidR="00AE6484">
        <w:t xml:space="preserve">cadaveric </w:t>
      </w:r>
      <w:r w:rsidR="000B1E7F">
        <w:t xml:space="preserve">proximal </w:t>
      </w:r>
      <w:r w:rsidR="009B2F64">
        <w:t>femurs</w:t>
      </w:r>
      <w:r w:rsidR="00AE6484">
        <w:t xml:space="preserve"> from </w:t>
      </w:r>
      <w:r w:rsidR="004E083F">
        <w:t>six</w:t>
      </w:r>
      <w:r w:rsidR="00AE6484">
        <w:t xml:space="preserve"> donors </w:t>
      </w:r>
      <w:r w:rsidR="004E083F">
        <w:t>(4</w:t>
      </w:r>
      <w:r w:rsidR="00B62BD1">
        <w:t xml:space="preserve"> male and 2 female) </w:t>
      </w:r>
      <w:r w:rsidR="00AE6484">
        <w:t xml:space="preserve">were obtained </w:t>
      </w:r>
      <w:r w:rsidR="003B29F7">
        <w:t>with a mean age of 76 ± 9</w:t>
      </w:r>
      <w:r w:rsidR="00B62BD1">
        <w:t xml:space="preserve"> years (± 1 standard deviation)</w:t>
      </w:r>
      <w:r w:rsidR="00167F55">
        <w:t xml:space="preserve">, individual patient characteristics can be seen in table 1. </w:t>
      </w:r>
      <w:r w:rsidR="00AE6484">
        <w:t>Ethical Approval had been obtained from the host institution’s tissue bank.</w:t>
      </w:r>
    </w:p>
    <w:p w14:paraId="57571C9E" w14:textId="77777777" w:rsidR="003D2879" w:rsidRPr="003D2879" w:rsidRDefault="003D2879" w:rsidP="003D2879">
      <w:pPr>
        <w:spacing w:line="480" w:lineRule="auto"/>
        <w:rPr>
          <w:i/>
        </w:rPr>
      </w:pPr>
      <w:r w:rsidRPr="003D2879">
        <w:rPr>
          <w:i/>
        </w:rPr>
        <w:t>Table 1 – Specimen potting and loading parameters.</w:t>
      </w:r>
    </w:p>
    <w:tbl>
      <w:tblPr>
        <w:tblW w:w="9498" w:type="dxa"/>
        <w:tblLook w:val="04A0" w:firstRow="1" w:lastRow="0" w:firstColumn="1" w:lastColumn="0" w:noHBand="0" w:noVBand="1"/>
      </w:tblPr>
      <w:tblGrid>
        <w:gridCol w:w="1040"/>
        <w:gridCol w:w="897"/>
        <w:gridCol w:w="1054"/>
        <w:gridCol w:w="875"/>
        <w:gridCol w:w="533"/>
        <w:gridCol w:w="704"/>
        <w:gridCol w:w="814"/>
        <w:gridCol w:w="1304"/>
        <w:gridCol w:w="1134"/>
        <w:gridCol w:w="1276"/>
      </w:tblGrid>
      <w:tr w:rsidR="003D2879" w:rsidRPr="00F66A96" w14:paraId="3AF14B11" w14:textId="77777777" w:rsidTr="001C6EA7">
        <w:trPr>
          <w:trHeight w:val="300"/>
        </w:trPr>
        <w:tc>
          <w:tcPr>
            <w:tcW w:w="1040" w:type="dxa"/>
            <w:vMerge w:val="restart"/>
            <w:tcBorders>
              <w:top w:val="single" w:sz="4" w:space="0" w:color="auto"/>
              <w:left w:val="nil"/>
              <w:bottom w:val="single" w:sz="4" w:space="0" w:color="000000"/>
              <w:right w:val="nil"/>
            </w:tcBorders>
            <w:shd w:val="clear" w:color="auto" w:fill="auto"/>
            <w:vAlign w:val="center"/>
            <w:hideMark/>
          </w:tcPr>
          <w:p w14:paraId="43F1C54C"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Specimen</w:t>
            </w:r>
          </w:p>
        </w:tc>
        <w:tc>
          <w:tcPr>
            <w:tcW w:w="897" w:type="dxa"/>
            <w:vMerge w:val="restart"/>
            <w:tcBorders>
              <w:top w:val="single" w:sz="4" w:space="0" w:color="auto"/>
              <w:left w:val="nil"/>
              <w:bottom w:val="single" w:sz="4" w:space="0" w:color="000000"/>
              <w:right w:val="nil"/>
            </w:tcBorders>
            <w:shd w:val="clear" w:color="auto" w:fill="auto"/>
            <w:vAlign w:val="center"/>
            <w:hideMark/>
          </w:tcPr>
          <w:p w14:paraId="2D2ABDAA"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Donor</w:t>
            </w:r>
          </w:p>
        </w:tc>
        <w:tc>
          <w:tcPr>
            <w:tcW w:w="1054" w:type="dxa"/>
            <w:vMerge w:val="restart"/>
            <w:tcBorders>
              <w:top w:val="single" w:sz="4" w:space="0" w:color="auto"/>
              <w:left w:val="nil"/>
              <w:bottom w:val="single" w:sz="4" w:space="0" w:color="000000"/>
              <w:right w:val="nil"/>
            </w:tcBorders>
            <w:shd w:val="clear" w:color="auto" w:fill="auto"/>
            <w:noWrap/>
            <w:vAlign w:val="center"/>
            <w:hideMark/>
          </w:tcPr>
          <w:p w14:paraId="5BBB006B"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Right/Left</w:t>
            </w:r>
          </w:p>
        </w:tc>
        <w:tc>
          <w:tcPr>
            <w:tcW w:w="875" w:type="dxa"/>
            <w:vMerge w:val="restart"/>
            <w:tcBorders>
              <w:top w:val="single" w:sz="4" w:space="0" w:color="auto"/>
              <w:left w:val="nil"/>
              <w:bottom w:val="single" w:sz="4" w:space="0" w:color="000000"/>
              <w:right w:val="nil"/>
            </w:tcBorders>
            <w:shd w:val="clear" w:color="auto" w:fill="auto"/>
            <w:noWrap/>
            <w:vAlign w:val="center"/>
            <w:hideMark/>
          </w:tcPr>
          <w:p w14:paraId="300BE4A9"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Gender</w:t>
            </w:r>
          </w:p>
        </w:tc>
        <w:tc>
          <w:tcPr>
            <w:tcW w:w="533" w:type="dxa"/>
            <w:vMerge w:val="restart"/>
            <w:tcBorders>
              <w:top w:val="single" w:sz="4" w:space="0" w:color="auto"/>
              <w:left w:val="nil"/>
              <w:bottom w:val="single" w:sz="4" w:space="0" w:color="000000"/>
              <w:right w:val="nil"/>
            </w:tcBorders>
            <w:shd w:val="clear" w:color="auto" w:fill="auto"/>
            <w:noWrap/>
            <w:vAlign w:val="center"/>
            <w:hideMark/>
          </w:tcPr>
          <w:p w14:paraId="534FEE6D"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Age</w:t>
            </w:r>
          </w:p>
        </w:tc>
        <w:tc>
          <w:tcPr>
            <w:tcW w:w="704" w:type="dxa"/>
            <w:vMerge w:val="restart"/>
            <w:tcBorders>
              <w:top w:val="single" w:sz="4" w:space="0" w:color="auto"/>
              <w:left w:val="nil"/>
              <w:bottom w:val="single" w:sz="4" w:space="0" w:color="000000"/>
            </w:tcBorders>
            <w:shd w:val="clear" w:color="auto" w:fill="auto"/>
            <w:noWrap/>
            <w:vAlign w:val="center"/>
            <w:hideMark/>
          </w:tcPr>
          <w:p w14:paraId="3C7AACEE"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BMI</w:t>
            </w:r>
          </w:p>
        </w:tc>
        <w:tc>
          <w:tcPr>
            <w:tcW w:w="1985" w:type="dxa"/>
            <w:gridSpan w:val="2"/>
            <w:tcBorders>
              <w:top w:val="single" w:sz="4" w:space="0" w:color="auto"/>
              <w:left w:val="nil"/>
              <w:bottom w:val="nil"/>
            </w:tcBorders>
            <w:shd w:val="clear" w:color="auto" w:fill="auto"/>
            <w:noWrap/>
            <w:vAlign w:val="bottom"/>
            <w:hideMark/>
          </w:tcPr>
          <w:p w14:paraId="4948FE6D" w14:textId="77777777" w:rsidR="003D2879" w:rsidRPr="00F66A96" w:rsidRDefault="003D2879" w:rsidP="001C6EA7">
            <w:pPr>
              <w:spacing w:after="0" w:line="240" w:lineRule="auto"/>
              <w:jc w:val="center"/>
              <w:rPr>
                <w:rFonts w:ascii="Calibri" w:eastAsia="Times New Roman" w:hAnsi="Calibri" w:cs="Times New Roman"/>
                <w:b/>
                <w:bCs/>
                <w:color w:val="000000"/>
                <w:lang w:eastAsia="en-GB"/>
              </w:rPr>
            </w:pPr>
            <w:r w:rsidRPr="00F66A96">
              <w:rPr>
                <w:rFonts w:ascii="Calibri" w:eastAsia="Times New Roman" w:hAnsi="Calibri" w:cs="Times New Roman"/>
                <w:b/>
                <w:bCs/>
                <w:color w:val="000000"/>
                <w:lang w:eastAsia="en-GB"/>
              </w:rPr>
              <w:t>Potting Parameters</w:t>
            </w:r>
          </w:p>
        </w:tc>
        <w:tc>
          <w:tcPr>
            <w:tcW w:w="2410" w:type="dxa"/>
            <w:gridSpan w:val="2"/>
            <w:tcBorders>
              <w:top w:val="single" w:sz="4" w:space="0" w:color="auto"/>
              <w:left w:val="nil"/>
              <w:bottom w:val="nil"/>
              <w:right w:val="nil"/>
            </w:tcBorders>
            <w:shd w:val="clear" w:color="auto" w:fill="auto"/>
            <w:noWrap/>
            <w:vAlign w:val="bottom"/>
            <w:hideMark/>
          </w:tcPr>
          <w:p w14:paraId="10557EE2" w14:textId="77777777" w:rsidR="003D2879" w:rsidRPr="00F66A96" w:rsidRDefault="003D2879" w:rsidP="001C6EA7">
            <w:pPr>
              <w:spacing w:after="0" w:line="240" w:lineRule="auto"/>
              <w:jc w:val="center"/>
              <w:rPr>
                <w:rFonts w:ascii="Calibri" w:eastAsia="Times New Roman" w:hAnsi="Calibri" w:cs="Times New Roman"/>
                <w:b/>
                <w:bCs/>
                <w:color w:val="000000"/>
                <w:lang w:eastAsia="en-GB"/>
              </w:rPr>
            </w:pPr>
            <w:r w:rsidRPr="00F66A96">
              <w:rPr>
                <w:rFonts w:ascii="Calibri" w:eastAsia="Times New Roman" w:hAnsi="Calibri" w:cs="Times New Roman"/>
                <w:b/>
                <w:bCs/>
                <w:color w:val="000000"/>
                <w:lang w:eastAsia="en-GB"/>
              </w:rPr>
              <w:t>Loading Parameters</w:t>
            </w:r>
          </w:p>
        </w:tc>
      </w:tr>
      <w:tr w:rsidR="003D2879" w:rsidRPr="00F66A96" w14:paraId="0A13F9D6" w14:textId="77777777" w:rsidTr="001C6EA7">
        <w:trPr>
          <w:trHeight w:val="315"/>
        </w:trPr>
        <w:tc>
          <w:tcPr>
            <w:tcW w:w="1040" w:type="dxa"/>
            <w:vMerge/>
            <w:tcBorders>
              <w:top w:val="nil"/>
              <w:left w:val="nil"/>
              <w:bottom w:val="single" w:sz="4" w:space="0" w:color="000000"/>
              <w:right w:val="nil"/>
            </w:tcBorders>
            <w:vAlign w:val="center"/>
            <w:hideMark/>
          </w:tcPr>
          <w:p w14:paraId="55D99009" w14:textId="77777777" w:rsidR="003D2879" w:rsidRPr="00F66A96" w:rsidRDefault="003D2879" w:rsidP="001C6EA7">
            <w:pPr>
              <w:spacing w:after="0" w:line="240" w:lineRule="auto"/>
              <w:rPr>
                <w:rFonts w:ascii="Calibri" w:eastAsia="Times New Roman" w:hAnsi="Calibri" w:cs="Times New Roman"/>
                <w:b/>
                <w:bCs/>
                <w:color w:val="000000"/>
                <w:lang w:eastAsia="en-GB"/>
              </w:rPr>
            </w:pPr>
          </w:p>
        </w:tc>
        <w:tc>
          <w:tcPr>
            <w:tcW w:w="897" w:type="dxa"/>
            <w:vMerge/>
            <w:tcBorders>
              <w:top w:val="nil"/>
              <w:left w:val="nil"/>
              <w:bottom w:val="single" w:sz="4" w:space="0" w:color="000000"/>
              <w:right w:val="nil"/>
            </w:tcBorders>
            <w:vAlign w:val="center"/>
            <w:hideMark/>
          </w:tcPr>
          <w:p w14:paraId="16778057" w14:textId="77777777" w:rsidR="003D2879" w:rsidRPr="00F66A96" w:rsidRDefault="003D2879" w:rsidP="001C6EA7">
            <w:pPr>
              <w:spacing w:after="0" w:line="240" w:lineRule="auto"/>
              <w:rPr>
                <w:rFonts w:ascii="Calibri" w:eastAsia="Times New Roman" w:hAnsi="Calibri" w:cs="Times New Roman"/>
                <w:b/>
                <w:bCs/>
                <w:color w:val="000000"/>
                <w:lang w:eastAsia="en-GB"/>
              </w:rPr>
            </w:pPr>
          </w:p>
        </w:tc>
        <w:tc>
          <w:tcPr>
            <w:tcW w:w="1054" w:type="dxa"/>
            <w:vMerge/>
            <w:tcBorders>
              <w:top w:val="nil"/>
              <w:left w:val="nil"/>
              <w:bottom w:val="single" w:sz="4" w:space="0" w:color="000000"/>
              <w:right w:val="nil"/>
            </w:tcBorders>
            <w:vAlign w:val="center"/>
            <w:hideMark/>
          </w:tcPr>
          <w:p w14:paraId="01833FA2" w14:textId="77777777" w:rsidR="003D2879" w:rsidRPr="00F66A96" w:rsidRDefault="003D2879" w:rsidP="001C6EA7">
            <w:pPr>
              <w:spacing w:after="0" w:line="240" w:lineRule="auto"/>
              <w:rPr>
                <w:rFonts w:ascii="Calibri" w:eastAsia="Times New Roman" w:hAnsi="Calibri" w:cs="Times New Roman"/>
                <w:b/>
                <w:bCs/>
                <w:color w:val="000000"/>
                <w:lang w:eastAsia="en-GB"/>
              </w:rPr>
            </w:pPr>
          </w:p>
        </w:tc>
        <w:tc>
          <w:tcPr>
            <w:tcW w:w="875" w:type="dxa"/>
            <w:vMerge/>
            <w:tcBorders>
              <w:top w:val="nil"/>
              <w:left w:val="nil"/>
              <w:bottom w:val="single" w:sz="4" w:space="0" w:color="000000"/>
              <w:right w:val="nil"/>
            </w:tcBorders>
            <w:vAlign w:val="center"/>
            <w:hideMark/>
          </w:tcPr>
          <w:p w14:paraId="232CDBE8" w14:textId="77777777" w:rsidR="003D2879" w:rsidRPr="00F66A96" w:rsidRDefault="003D2879" w:rsidP="001C6EA7">
            <w:pPr>
              <w:spacing w:after="0" w:line="240" w:lineRule="auto"/>
              <w:rPr>
                <w:rFonts w:ascii="Calibri" w:eastAsia="Times New Roman" w:hAnsi="Calibri" w:cs="Times New Roman"/>
                <w:b/>
                <w:bCs/>
                <w:color w:val="000000"/>
                <w:lang w:eastAsia="en-GB"/>
              </w:rPr>
            </w:pPr>
          </w:p>
        </w:tc>
        <w:tc>
          <w:tcPr>
            <w:tcW w:w="533" w:type="dxa"/>
            <w:vMerge/>
            <w:tcBorders>
              <w:top w:val="nil"/>
              <w:left w:val="nil"/>
              <w:bottom w:val="single" w:sz="4" w:space="0" w:color="000000"/>
              <w:right w:val="nil"/>
            </w:tcBorders>
            <w:vAlign w:val="center"/>
            <w:hideMark/>
          </w:tcPr>
          <w:p w14:paraId="0AFD13A6" w14:textId="77777777" w:rsidR="003D2879" w:rsidRPr="00F66A96" w:rsidRDefault="003D2879" w:rsidP="001C6EA7">
            <w:pPr>
              <w:spacing w:after="0" w:line="240" w:lineRule="auto"/>
              <w:rPr>
                <w:rFonts w:ascii="Calibri" w:eastAsia="Times New Roman" w:hAnsi="Calibri" w:cs="Times New Roman"/>
                <w:b/>
                <w:bCs/>
                <w:color w:val="000000"/>
                <w:lang w:eastAsia="en-GB"/>
              </w:rPr>
            </w:pPr>
          </w:p>
        </w:tc>
        <w:tc>
          <w:tcPr>
            <w:tcW w:w="704" w:type="dxa"/>
            <w:vMerge/>
            <w:tcBorders>
              <w:top w:val="nil"/>
              <w:left w:val="nil"/>
              <w:bottom w:val="single" w:sz="4" w:space="0" w:color="000000"/>
            </w:tcBorders>
            <w:vAlign w:val="center"/>
            <w:hideMark/>
          </w:tcPr>
          <w:p w14:paraId="29E78768" w14:textId="77777777" w:rsidR="003D2879" w:rsidRPr="00F66A96" w:rsidRDefault="003D2879" w:rsidP="001C6EA7">
            <w:pPr>
              <w:spacing w:after="0" w:line="240" w:lineRule="auto"/>
              <w:rPr>
                <w:rFonts w:ascii="Calibri" w:eastAsia="Times New Roman" w:hAnsi="Calibri" w:cs="Times New Roman"/>
                <w:b/>
                <w:bCs/>
                <w:color w:val="000000"/>
                <w:lang w:eastAsia="en-GB"/>
              </w:rPr>
            </w:pPr>
          </w:p>
        </w:tc>
        <w:tc>
          <w:tcPr>
            <w:tcW w:w="681" w:type="dxa"/>
            <w:tcBorders>
              <w:top w:val="nil"/>
              <w:left w:val="nil"/>
              <w:bottom w:val="single" w:sz="4" w:space="0" w:color="auto"/>
              <w:right w:val="nil"/>
            </w:tcBorders>
            <w:shd w:val="clear" w:color="auto" w:fill="auto"/>
            <w:noWrap/>
            <w:vAlign w:val="bottom"/>
            <w:hideMark/>
          </w:tcPr>
          <w:p w14:paraId="3242768A"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Flexion (mm)</w:t>
            </w:r>
          </w:p>
        </w:tc>
        <w:tc>
          <w:tcPr>
            <w:tcW w:w="1304" w:type="dxa"/>
            <w:tcBorders>
              <w:top w:val="nil"/>
              <w:left w:val="nil"/>
              <w:bottom w:val="single" w:sz="4" w:space="0" w:color="auto"/>
            </w:tcBorders>
            <w:shd w:val="clear" w:color="auto" w:fill="auto"/>
            <w:noWrap/>
            <w:vAlign w:val="bottom"/>
            <w:hideMark/>
          </w:tcPr>
          <w:p w14:paraId="3ACA4E7C"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Adduction (</w:t>
            </w:r>
            <w:r w:rsidRPr="00F66A96">
              <w:rPr>
                <w:rFonts w:ascii="Symbol" w:eastAsia="Times New Roman" w:hAnsi="Symbol" w:cs="Times New Roman"/>
                <w:b/>
                <w:bCs/>
                <w:color w:val="000000"/>
                <w:sz w:val="20"/>
                <w:lang w:eastAsia="en-GB"/>
              </w:rPr>
              <w:t></w:t>
            </w:r>
            <w:r w:rsidRPr="00F66A96">
              <w:rPr>
                <w:rFonts w:ascii="Calibri" w:eastAsia="Times New Roman" w:hAnsi="Calibri" w:cs="Times New Roman"/>
                <w:b/>
                <w:bCs/>
                <w:color w:val="000000"/>
                <w:sz w:val="20"/>
                <w:lang w:eastAsia="en-GB"/>
              </w:rPr>
              <w:t>)</w:t>
            </w:r>
          </w:p>
        </w:tc>
        <w:tc>
          <w:tcPr>
            <w:tcW w:w="1134" w:type="dxa"/>
            <w:tcBorders>
              <w:top w:val="nil"/>
              <w:left w:val="nil"/>
              <w:bottom w:val="single" w:sz="4" w:space="0" w:color="auto"/>
              <w:right w:val="nil"/>
            </w:tcBorders>
            <w:shd w:val="clear" w:color="auto" w:fill="auto"/>
            <w:vAlign w:val="bottom"/>
            <w:hideMark/>
          </w:tcPr>
          <w:p w14:paraId="7E31ABAB"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Peak Load (N)</w:t>
            </w:r>
          </w:p>
        </w:tc>
        <w:tc>
          <w:tcPr>
            <w:tcW w:w="1276" w:type="dxa"/>
            <w:tcBorders>
              <w:top w:val="nil"/>
              <w:left w:val="nil"/>
              <w:bottom w:val="single" w:sz="4" w:space="0" w:color="auto"/>
              <w:right w:val="nil"/>
            </w:tcBorders>
            <w:shd w:val="clear" w:color="auto" w:fill="auto"/>
            <w:vAlign w:val="bottom"/>
            <w:hideMark/>
          </w:tcPr>
          <w:p w14:paraId="5293C5B1" w14:textId="77777777" w:rsidR="003D2879" w:rsidRPr="00F66A96" w:rsidRDefault="003D2879" w:rsidP="001C6EA7">
            <w:pPr>
              <w:spacing w:after="0" w:line="240" w:lineRule="auto"/>
              <w:jc w:val="center"/>
              <w:rPr>
                <w:rFonts w:ascii="Calibri" w:eastAsia="Times New Roman" w:hAnsi="Calibri" w:cs="Times New Roman"/>
                <w:b/>
                <w:bCs/>
                <w:color w:val="000000"/>
                <w:sz w:val="20"/>
                <w:lang w:eastAsia="en-GB"/>
              </w:rPr>
            </w:pPr>
            <w:r w:rsidRPr="00F66A96">
              <w:rPr>
                <w:rFonts w:ascii="Calibri" w:eastAsia="Times New Roman" w:hAnsi="Calibri" w:cs="Times New Roman"/>
                <w:b/>
                <w:bCs/>
                <w:color w:val="000000"/>
                <w:sz w:val="20"/>
                <w:lang w:eastAsia="en-GB"/>
              </w:rPr>
              <w:t>Trough Load (N)</w:t>
            </w:r>
          </w:p>
        </w:tc>
      </w:tr>
      <w:tr w:rsidR="003D2879" w:rsidRPr="00F66A96" w14:paraId="586A783E" w14:textId="77777777" w:rsidTr="001C6EA7">
        <w:trPr>
          <w:trHeight w:val="255"/>
        </w:trPr>
        <w:tc>
          <w:tcPr>
            <w:tcW w:w="1040" w:type="dxa"/>
            <w:tcBorders>
              <w:top w:val="nil"/>
              <w:left w:val="nil"/>
              <w:bottom w:val="nil"/>
              <w:right w:val="nil"/>
            </w:tcBorders>
            <w:shd w:val="clear" w:color="auto" w:fill="auto"/>
            <w:noWrap/>
            <w:vAlign w:val="bottom"/>
            <w:hideMark/>
          </w:tcPr>
          <w:p w14:paraId="3B6434C0"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S0</w:t>
            </w:r>
          </w:p>
        </w:tc>
        <w:tc>
          <w:tcPr>
            <w:tcW w:w="897" w:type="dxa"/>
            <w:tcBorders>
              <w:top w:val="nil"/>
              <w:left w:val="nil"/>
              <w:bottom w:val="nil"/>
              <w:right w:val="nil"/>
            </w:tcBorders>
            <w:shd w:val="clear" w:color="auto" w:fill="auto"/>
            <w:noWrap/>
            <w:vAlign w:val="bottom"/>
            <w:hideMark/>
          </w:tcPr>
          <w:p w14:paraId="0E487176"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4</w:t>
            </w:r>
          </w:p>
        </w:tc>
        <w:tc>
          <w:tcPr>
            <w:tcW w:w="1054" w:type="dxa"/>
            <w:tcBorders>
              <w:top w:val="nil"/>
              <w:left w:val="nil"/>
              <w:bottom w:val="nil"/>
              <w:right w:val="nil"/>
            </w:tcBorders>
            <w:shd w:val="clear" w:color="auto" w:fill="auto"/>
            <w:noWrap/>
            <w:vAlign w:val="bottom"/>
            <w:hideMark/>
          </w:tcPr>
          <w:p w14:paraId="0C3568D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L</w:t>
            </w:r>
          </w:p>
        </w:tc>
        <w:tc>
          <w:tcPr>
            <w:tcW w:w="875" w:type="dxa"/>
            <w:tcBorders>
              <w:top w:val="nil"/>
              <w:left w:val="nil"/>
              <w:bottom w:val="nil"/>
              <w:right w:val="nil"/>
            </w:tcBorders>
            <w:shd w:val="clear" w:color="auto" w:fill="auto"/>
            <w:noWrap/>
            <w:vAlign w:val="bottom"/>
            <w:hideMark/>
          </w:tcPr>
          <w:p w14:paraId="78033FE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MALE</w:t>
            </w:r>
          </w:p>
        </w:tc>
        <w:tc>
          <w:tcPr>
            <w:tcW w:w="533" w:type="dxa"/>
            <w:tcBorders>
              <w:top w:val="nil"/>
              <w:left w:val="nil"/>
              <w:bottom w:val="nil"/>
              <w:right w:val="nil"/>
            </w:tcBorders>
            <w:shd w:val="clear" w:color="auto" w:fill="auto"/>
            <w:noWrap/>
            <w:vAlign w:val="bottom"/>
            <w:hideMark/>
          </w:tcPr>
          <w:p w14:paraId="2FB6F47B"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75</w:t>
            </w:r>
          </w:p>
        </w:tc>
        <w:tc>
          <w:tcPr>
            <w:tcW w:w="704" w:type="dxa"/>
            <w:tcBorders>
              <w:top w:val="nil"/>
              <w:left w:val="nil"/>
              <w:bottom w:val="nil"/>
            </w:tcBorders>
            <w:shd w:val="clear" w:color="auto" w:fill="auto"/>
            <w:noWrap/>
            <w:vAlign w:val="bottom"/>
            <w:hideMark/>
          </w:tcPr>
          <w:p w14:paraId="18CDE6D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23.0</w:t>
            </w:r>
          </w:p>
        </w:tc>
        <w:tc>
          <w:tcPr>
            <w:tcW w:w="681" w:type="dxa"/>
            <w:tcBorders>
              <w:top w:val="single" w:sz="4" w:space="0" w:color="auto"/>
              <w:left w:val="nil"/>
              <w:bottom w:val="nil"/>
              <w:right w:val="nil"/>
            </w:tcBorders>
            <w:shd w:val="clear" w:color="auto" w:fill="auto"/>
            <w:noWrap/>
            <w:vAlign w:val="bottom"/>
            <w:hideMark/>
          </w:tcPr>
          <w:p w14:paraId="2E1D2C2F"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16</w:t>
            </w:r>
          </w:p>
        </w:tc>
        <w:tc>
          <w:tcPr>
            <w:tcW w:w="1304" w:type="dxa"/>
            <w:tcBorders>
              <w:top w:val="nil"/>
              <w:left w:val="nil"/>
              <w:bottom w:val="nil"/>
            </w:tcBorders>
            <w:shd w:val="clear" w:color="auto" w:fill="auto"/>
            <w:noWrap/>
            <w:vAlign w:val="bottom"/>
            <w:hideMark/>
          </w:tcPr>
          <w:p w14:paraId="3034C06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17</w:t>
            </w:r>
          </w:p>
        </w:tc>
        <w:tc>
          <w:tcPr>
            <w:tcW w:w="1134" w:type="dxa"/>
            <w:tcBorders>
              <w:top w:val="nil"/>
              <w:left w:val="nil"/>
              <w:bottom w:val="nil"/>
              <w:right w:val="nil"/>
            </w:tcBorders>
            <w:shd w:val="clear" w:color="auto" w:fill="auto"/>
            <w:noWrap/>
            <w:vAlign w:val="bottom"/>
            <w:hideMark/>
          </w:tcPr>
          <w:p w14:paraId="72C5BACE"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996</w:t>
            </w:r>
          </w:p>
        </w:tc>
        <w:tc>
          <w:tcPr>
            <w:tcW w:w="1276" w:type="dxa"/>
            <w:tcBorders>
              <w:top w:val="nil"/>
              <w:left w:val="nil"/>
              <w:bottom w:val="nil"/>
              <w:right w:val="nil"/>
            </w:tcBorders>
            <w:shd w:val="clear" w:color="auto" w:fill="auto"/>
            <w:noWrap/>
            <w:vAlign w:val="bottom"/>
            <w:hideMark/>
          </w:tcPr>
          <w:p w14:paraId="269C620E"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100</w:t>
            </w:r>
          </w:p>
        </w:tc>
      </w:tr>
      <w:tr w:rsidR="003D2879" w:rsidRPr="00F66A96" w14:paraId="40B7B714" w14:textId="77777777" w:rsidTr="001C6EA7">
        <w:trPr>
          <w:trHeight w:val="255"/>
        </w:trPr>
        <w:tc>
          <w:tcPr>
            <w:tcW w:w="1040" w:type="dxa"/>
            <w:tcBorders>
              <w:top w:val="nil"/>
              <w:left w:val="nil"/>
              <w:bottom w:val="nil"/>
              <w:right w:val="nil"/>
            </w:tcBorders>
            <w:shd w:val="clear" w:color="auto" w:fill="auto"/>
            <w:noWrap/>
            <w:vAlign w:val="bottom"/>
            <w:hideMark/>
          </w:tcPr>
          <w:p w14:paraId="0793D57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S1</w:t>
            </w:r>
          </w:p>
        </w:tc>
        <w:tc>
          <w:tcPr>
            <w:tcW w:w="897" w:type="dxa"/>
            <w:tcBorders>
              <w:top w:val="nil"/>
              <w:left w:val="nil"/>
              <w:bottom w:val="nil"/>
              <w:right w:val="nil"/>
            </w:tcBorders>
            <w:shd w:val="clear" w:color="auto" w:fill="auto"/>
            <w:noWrap/>
            <w:vAlign w:val="bottom"/>
            <w:hideMark/>
          </w:tcPr>
          <w:p w14:paraId="4D710222"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6</w:t>
            </w:r>
          </w:p>
        </w:tc>
        <w:tc>
          <w:tcPr>
            <w:tcW w:w="1054" w:type="dxa"/>
            <w:tcBorders>
              <w:top w:val="nil"/>
              <w:left w:val="nil"/>
              <w:bottom w:val="nil"/>
              <w:right w:val="nil"/>
            </w:tcBorders>
            <w:shd w:val="clear" w:color="auto" w:fill="auto"/>
            <w:noWrap/>
            <w:vAlign w:val="bottom"/>
            <w:hideMark/>
          </w:tcPr>
          <w:p w14:paraId="036BAC4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R</w:t>
            </w:r>
          </w:p>
        </w:tc>
        <w:tc>
          <w:tcPr>
            <w:tcW w:w="875" w:type="dxa"/>
            <w:tcBorders>
              <w:top w:val="nil"/>
              <w:left w:val="nil"/>
              <w:bottom w:val="nil"/>
              <w:right w:val="nil"/>
            </w:tcBorders>
            <w:shd w:val="clear" w:color="auto" w:fill="auto"/>
            <w:noWrap/>
            <w:vAlign w:val="bottom"/>
            <w:hideMark/>
          </w:tcPr>
          <w:p w14:paraId="54BC855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FEMALE</w:t>
            </w:r>
          </w:p>
        </w:tc>
        <w:tc>
          <w:tcPr>
            <w:tcW w:w="533" w:type="dxa"/>
            <w:tcBorders>
              <w:top w:val="nil"/>
              <w:left w:val="nil"/>
              <w:bottom w:val="nil"/>
              <w:right w:val="nil"/>
            </w:tcBorders>
            <w:shd w:val="clear" w:color="auto" w:fill="auto"/>
            <w:noWrap/>
            <w:vAlign w:val="bottom"/>
            <w:hideMark/>
          </w:tcPr>
          <w:p w14:paraId="5F54563C"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74</w:t>
            </w:r>
          </w:p>
        </w:tc>
        <w:tc>
          <w:tcPr>
            <w:tcW w:w="704" w:type="dxa"/>
            <w:tcBorders>
              <w:top w:val="nil"/>
              <w:left w:val="nil"/>
              <w:bottom w:val="nil"/>
            </w:tcBorders>
            <w:shd w:val="clear" w:color="auto" w:fill="auto"/>
            <w:noWrap/>
            <w:vAlign w:val="bottom"/>
            <w:hideMark/>
          </w:tcPr>
          <w:p w14:paraId="417D30C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24.0</w:t>
            </w:r>
          </w:p>
        </w:tc>
        <w:tc>
          <w:tcPr>
            <w:tcW w:w="681" w:type="dxa"/>
            <w:tcBorders>
              <w:top w:val="nil"/>
              <w:left w:val="nil"/>
              <w:bottom w:val="nil"/>
              <w:right w:val="nil"/>
            </w:tcBorders>
            <w:shd w:val="clear" w:color="auto" w:fill="auto"/>
            <w:noWrap/>
            <w:vAlign w:val="bottom"/>
            <w:hideMark/>
          </w:tcPr>
          <w:p w14:paraId="7AC47111"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19</w:t>
            </w:r>
          </w:p>
        </w:tc>
        <w:tc>
          <w:tcPr>
            <w:tcW w:w="1304" w:type="dxa"/>
            <w:tcBorders>
              <w:top w:val="nil"/>
              <w:left w:val="nil"/>
              <w:bottom w:val="nil"/>
            </w:tcBorders>
            <w:shd w:val="clear" w:color="auto" w:fill="auto"/>
            <w:noWrap/>
            <w:vAlign w:val="bottom"/>
            <w:hideMark/>
          </w:tcPr>
          <w:p w14:paraId="5D329D46"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16</w:t>
            </w:r>
          </w:p>
        </w:tc>
        <w:tc>
          <w:tcPr>
            <w:tcW w:w="1134" w:type="dxa"/>
            <w:tcBorders>
              <w:top w:val="nil"/>
              <w:left w:val="nil"/>
              <w:bottom w:val="nil"/>
              <w:right w:val="nil"/>
            </w:tcBorders>
            <w:shd w:val="clear" w:color="auto" w:fill="auto"/>
            <w:noWrap/>
            <w:vAlign w:val="bottom"/>
            <w:hideMark/>
          </w:tcPr>
          <w:p w14:paraId="79C86942"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872</w:t>
            </w:r>
          </w:p>
        </w:tc>
        <w:tc>
          <w:tcPr>
            <w:tcW w:w="1276" w:type="dxa"/>
            <w:tcBorders>
              <w:top w:val="nil"/>
              <w:left w:val="nil"/>
              <w:bottom w:val="nil"/>
              <w:right w:val="nil"/>
            </w:tcBorders>
            <w:shd w:val="clear" w:color="auto" w:fill="auto"/>
            <w:noWrap/>
            <w:vAlign w:val="bottom"/>
            <w:hideMark/>
          </w:tcPr>
          <w:p w14:paraId="187AF939"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87</w:t>
            </w:r>
          </w:p>
        </w:tc>
      </w:tr>
      <w:tr w:rsidR="003D2879" w:rsidRPr="00F66A96" w14:paraId="2ED0CAA5" w14:textId="77777777" w:rsidTr="001C6EA7">
        <w:trPr>
          <w:trHeight w:val="255"/>
        </w:trPr>
        <w:tc>
          <w:tcPr>
            <w:tcW w:w="1040" w:type="dxa"/>
            <w:tcBorders>
              <w:top w:val="nil"/>
              <w:left w:val="nil"/>
              <w:bottom w:val="nil"/>
              <w:right w:val="nil"/>
            </w:tcBorders>
            <w:shd w:val="clear" w:color="auto" w:fill="auto"/>
            <w:noWrap/>
            <w:vAlign w:val="bottom"/>
            <w:hideMark/>
          </w:tcPr>
          <w:p w14:paraId="62F75D0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S2</w:t>
            </w:r>
          </w:p>
        </w:tc>
        <w:tc>
          <w:tcPr>
            <w:tcW w:w="897" w:type="dxa"/>
            <w:tcBorders>
              <w:top w:val="nil"/>
              <w:left w:val="nil"/>
              <w:bottom w:val="nil"/>
              <w:right w:val="nil"/>
            </w:tcBorders>
            <w:shd w:val="clear" w:color="auto" w:fill="auto"/>
            <w:noWrap/>
            <w:vAlign w:val="bottom"/>
            <w:hideMark/>
          </w:tcPr>
          <w:p w14:paraId="46B87217"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w:t>
            </w:r>
          </w:p>
        </w:tc>
        <w:tc>
          <w:tcPr>
            <w:tcW w:w="1054" w:type="dxa"/>
            <w:tcBorders>
              <w:top w:val="nil"/>
              <w:left w:val="nil"/>
              <w:bottom w:val="nil"/>
              <w:right w:val="nil"/>
            </w:tcBorders>
            <w:shd w:val="clear" w:color="auto" w:fill="auto"/>
            <w:noWrap/>
            <w:vAlign w:val="bottom"/>
            <w:hideMark/>
          </w:tcPr>
          <w:p w14:paraId="2CFDBE10"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R</w:t>
            </w:r>
          </w:p>
        </w:tc>
        <w:tc>
          <w:tcPr>
            <w:tcW w:w="875" w:type="dxa"/>
            <w:tcBorders>
              <w:top w:val="nil"/>
              <w:left w:val="nil"/>
              <w:bottom w:val="nil"/>
              <w:right w:val="nil"/>
            </w:tcBorders>
            <w:shd w:val="clear" w:color="auto" w:fill="auto"/>
            <w:noWrap/>
            <w:vAlign w:val="bottom"/>
            <w:hideMark/>
          </w:tcPr>
          <w:p w14:paraId="1D714042"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MALE</w:t>
            </w:r>
          </w:p>
        </w:tc>
        <w:tc>
          <w:tcPr>
            <w:tcW w:w="533" w:type="dxa"/>
            <w:tcBorders>
              <w:top w:val="nil"/>
              <w:left w:val="nil"/>
              <w:bottom w:val="nil"/>
              <w:right w:val="nil"/>
            </w:tcBorders>
            <w:shd w:val="clear" w:color="auto" w:fill="auto"/>
            <w:noWrap/>
            <w:vAlign w:val="bottom"/>
            <w:hideMark/>
          </w:tcPr>
          <w:p w14:paraId="1CBAF2A7"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87</w:t>
            </w:r>
          </w:p>
        </w:tc>
        <w:tc>
          <w:tcPr>
            <w:tcW w:w="704" w:type="dxa"/>
            <w:tcBorders>
              <w:top w:val="nil"/>
              <w:left w:val="nil"/>
              <w:bottom w:val="nil"/>
            </w:tcBorders>
            <w:shd w:val="clear" w:color="auto" w:fill="auto"/>
            <w:noWrap/>
            <w:vAlign w:val="bottom"/>
            <w:hideMark/>
          </w:tcPr>
          <w:p w14:paraId="4AFBBFDE"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22.5</w:t>
            </w:r>
          </w:p>
        </w:tc>
        <w:tc>
          <w:tcPr>
            <w:tcW w:w="681" w:type="dxa"/>
            <w:tcBorders>
              <w:top w:val="nil"/>
              <w:left w:val="nil"/>
              <w:bottom w:val="nil"/>
              <w:right w:val="nil"/>
            </w:tcBorders>
            <w:shd w:val="clear" w:color="auto" w:fill="auto"/>
            <w:noWrap/>
            <w:vAlign w:val="bottom"/>
            <w:hideMark/>
          </w:tcPr>
          <w:p w14:paraId="36FC814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23</w:t>
            </w:r>
          </w:p>
        </w:tc>
        <w:tc>
          <w:tcPr>
            <w:tcW w:w="1304" w:type="dxa"/>
            <w:tcBorders>
              <w:top w:val="nil"/>
              <w:left w:val="nil"/>
              <w:bottom w:val="nil"/>
            </w:tcBorders>
            <w:shd w:val="clear" w:color="auto" w:fill="auto"/>
            <w:noWrap/>
            <w:vAlign w:val="bottom"/>
            <w:hideMark/>
          </w:tcPr>
          <w:p w14:paraId="0FF7CA79"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15</w:t>
            </w:r>
          </w:p>
        </w:tc>
        <w:tc>
          <w:tcPr>
            <w:tcW w:w="1134" w:type="dxa"/>
            <w:tcBorders>
              <w:top w:val="nil"/>
              <w:left w:val="nil"/>
              <w:bottom w:val="nil"/>
              <w:right w:val="nil"/>
            </w:tcBorders>
            <w:shd w:val="clear" w:color="auto" w:fill="auto"/>
            <w:noWrap/>
            <w:vAlign w:val="bottom"/>
            <w:hideMark/>
          </w:tcPr>
          <w:p w14:paraId="301F4359"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1003</w:t>
            </w:r>
          </w:p>
        </w:tc>
        <w:tc>
          <w:tcPr>
            <w:tcW w:w="1276" w:type="dxa"/>
            <w:tcBorders>
              <w:top w:val="nil"/>
              <w:left w:val="nil"/>
              <w:bottom w:val="nil"/>
              <w:right w:val="nil"/>
            </w:tcBorders>
            <w:shd w:val="clear" w:color="auto" w:fill="auto"/>
            <w:noWrap/>
            <w:vAlign w:val="bottom"/>
            <w:hideMark/>
          </w:tcPr>
          <w:p w14:paraId="3A677A6F"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100</w:t>
            </w:r>
          </w:p>
        </w:tc>
      </w:tr>
      <w:tr w:rsidR="003D2879" w:rsidRPr="00F66A96" w14:paraId="06FFB26B" w14:textId="77777777" w:rsidTr="001C6EA7">
        <w:trPr>
          <w:trHeight w:val="255"/>
        </w:trPr>
        <w:tc>
          <w:tcPr>
            <w:tcW w:w="1040" w:type="dxa"/>
            <w:tcBorders>
              <w:top w:val="nil"/>
              <w:left w:val="nil"/>
              <w:bottom w:val="nil"/>
              <w:right w:val="nil"/>
            </w:tcBorders>
            <w:shd w:val="clear" w:color="auto" w:fill="auto"/>
            <w:noWrap/>
            <w:vAlign w:val="bottom"/>
            <w:hideMark/>
          </w:tcPr>
          <w:p w14:paraId="1AFAD90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S3</w:t>
            </w:r>
          </w:p>
        </w:tc>
        <w:tc>
          <w:tcPr>
            <w:tcW w:w="897" w:type="dxa"/>
            <w:tcBorders>
              <w:top w:val="nil"/>
              <w:left w:val="nil"/>
              <w:bottom w:val="nil"/>
              <w:right w:val="nil"/>
            </w:tcBorders>
            <w:shd w:val="clear" w:color="auto" w:fill="auto"/>
            <w:noWrap/>
            <w:vAlign w:val="bottom"/>
            <w:hideMark/>
          </w:tcPr>
          <w:p w14:paraId="2463FCFE"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w:t>
            </w:r>
          </w:p>
        </w:tc>
        <w:tc>
          <w:tcPr>
            <w:tcW w:w="1054" w:type="dxa"/>
            <w:tcBorders>
              <w:top w:val="nil"/>
              <w:left w:val="nil"/>
              <w:bottom w:val="nil"/>
              <w:right w:val="nil"/>
            </w:tcBorders>
            <w:shd w:val="clear" w:color="auto" w:fill="auto"/>
            <w:noWrap/>
            <w:vAlign w:val="bottom"/>
            <w:hideMark/>
          </w:tcPr>
          <w:p w14:paraId="2AED58E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R</w:t>
            </w:r>
          </w:p>
        </w:tc>
        <w:tc>
          <w:tcPr>
            <w:tcW w:w="875" w:type="dxa"/>
            <w:tcBorders>
              <w:top w:val="nil"/>
              <w:left w:val="nil"/>
              <w:bottom w:val="nil"/>
              <w:right w:val="nil"/>
            </w:tcBorders>
            <w:shd w:val="clear" w:color="auto" w:fill="auto"/>
            <w:noWrap/>
            <w:vAlign w:val="bottom"/>
            <w:hideMark/>
          </w:tcPr>
          <w:p w14:paraId="6E77FAA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MALE</w:t>
            </w:r>
          </w:p>
        </w:tc>
        <w:tc>
          <w:tcPr>
            <w:tcW w:w="533" w:type="dxa"/>
            <w:tcBorders>
              <w:top w:val="nil"/>
              <w:left w:val="nil"/>
              <w:bottom w:val="nil"/>
              <w:right w:val="nil"/>
            </w:tcBorders>
            <w:shd w:val="clear" w:color="auto" w:fill="auto"/>
            <w:noWrap/>
            <w:vAlign w:val="bottom"/>
            <w:hideMark/>
          </w:tcPr>
          <w:p w14:paraId="0BD7614A"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79</w:t>
            </w:r>
          </w:p>
        </w:tc>
        <w:tc>
          <w:tcPr>
            <w:tcW w:w="704" w:type="dxa"/>
            <w:tcBorders>
              <w:top w:val="nil"/>
              <w:left w:val="nil"/>
              <w:bottom w:val="nil"/>
            </w:tcBorders>
            <w:shd w:val="clear" w:color="auto" w:fill="auto"/>
            <w:noWrap/>
            <w:vAlign w:val="bottom"/>
            <w:hideMark/>
          </w:tcPr>
          <w:p w14:paraId="60BC0329"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26.3</w:t>
            </w:r>
          </w:p>
        </w:tc>
        <w:tc>
          <w:tcPr>
            <w:tcW w:w="681" w:type="dxa"/>
            <w:tcBorders>
              <w:top w:val="nil"/>
              <w:left w:val="nil"/>
              <w:bottom w:val="nil"/>
              <w:right w:val="nil"/>
            </w:tcBorders>
            <w:shd w:val="clear" w:color="auto" w:fill="auto"/>
            <w:noWrap/>
            <w:vAlign w:val="bottom"/>
            <w:hideMark/>
          </w:tcPr>
          <w:p w14:paraId="27D22D56"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24</w:t>
            </w:r>
          </w:p>
        </w:tc>
        <w:tc>
          <w:tcPr>
            <w:tcW w:w="1304" w:type="dxa"/>
            <w:tcBorders>
              <w:top w:val="nil"/>
              <w:left w:val="nil"/>
              <w:bottom w:val="nil"/>
            </w:tcBorders>
            <w:shd w:val="clear" w:color="auto" w:fill="auto"/>
            <w:noWrap/>
            <w:vAlign w:val="bottom"/>
            <w:hideMark/>
          </w:tcPr>
          <w:p w14:paraId="4522163B"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14</w:t>
            </w:r>
          </w:p>
        </w:tc>
        <w:tc>
          <w:tcPr>
            <w:tcW w:w="1134" w:type="dxa"/>
            <w:tcBorders>
              <w:top w:val="nil"/>
              <w:left w:val="nil"/>
              <w:bottom w:val="nil"/>
              <w:right w:val="nil"/>
            </w:tcBorders>
            <w:shd w:val="clear" w:color="auto" w:fill="auto"/>
            <w:noWrap/>
            <w:vAlign w:val="bottom"/>
            <w:hideMark/>
          </w:tcPr>
          <w:p w14:paraId="47BBB50B"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1277</w:t>
            </w:r>
          </w:p>
        </w:tc>
        <w:tc>
          <w:tcPr>
            <w:tcW w:w="1276" w:type="dxa"/>
            <w:tcBorders>
              <w:top w:val="nil"/>
              <w:left w:val="nil"/>
              <w:bottom w:val="nil"/>
              <w:right w:val="nil"/>
            </w:tcBorders>
            <w:shd w:val="clear" w:color="auto" w:fill="auto"/>
            <w:noWrap/>
            <w:vAlign w:val="bottom"/>
            <w:hideMark/>
          </w:tcPr>
          <w:p w14:paraId="071D3826"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128</w:t>
            </w:r>
          </w:p>
        </w:tc>
      </w:tr>
      <w:tr w:rsidR="003D2879" w:rsidRPr="00F66A96" w14:paraId="35F183F8" w14:textId="77777777" w:rsidTr="001C6EA7">
        <w:trPr>
          <w:trHeight w:val="255"/>
        </w:trPr>
        <w:tc>
          <w:tcPr>
            <w:tcW w:w="1040" w:type="dxa"/>
            <w:tcBorders>
              <w:top w:val="nil"/>
              <w:left w:val="nil"/>
              <w:bottom w:val="nil"/>
              <w:right w:val="nil"/>
            </w:tcBorders>
            <w:shd w:val="clear" w:color="auto" w:fill="auto"/>
            <w:noWrap/>
            <w:vAlign w:val="bottom"/>
            <w:hideMark/>
          </w:tcPr>
          <w:p w14:paraId="1A6C779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S4</w:t>
            </w:r>
          </w:p>
        </w:tc>
        <w:tc>
          <w:tcPr>
            <w:tcW w:w="897" w:type="dxa"/>
            <w:tcBorders>
              <w:top w:val="nil"/>
              <w:left w:val="nil"/>
              <w:bottom w:val="nil"/>
              <w:right w:val="nil"/>
            </w:tcBorders>
            <w:shd w:val="clear" w:color="auto" w:fill="auto"/>
            <w:noWrap/>
            <w:vAlign w:val="bottom"/>
            <w:hideMark/>
          </w:tcPr>
          <w:p w14:paraId="4E345842"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5</w:t>
            </w:r>
          </w:p>
        </w:tc>
        <w:tc>
          <w:tcPr>
            <w:tcW w:w="1054" w:type="dxa"/>
            <w:tcBorders>
              <w:top w:val="nil"/>
              <w:left w:val="nil"/>
              <w:bottom w:val="nil"/>
              <w:right w:val="nil"/>
            </w:tcBorders>
            <w:shd w:val="clear" w:color="auto" w:fill="auto"/>
            <w:noWrap/>
            <w:vAlign w:val="bottom"/>
            <w:hideMark/>
          </w:tcPr>
          <w:p w14:paraId="492AC09B"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L</w:t>
            </w:r>
          </w:p>
        </w:tc>
        <w:tc>
          <w:tcPr>
            <w:tcW w:w="875" w:type="dxa"/>
            <w:tcBorders>
              <w:top w:val="nil"/>
              <w:left w:val="nil"/>
              <w:bottom w:val="nil"/>
              <w:right w:val="nil"/>
            </w:tcBorders>
            <w:shd w:val="clear" w:color="auto" w:fill="auto"/>
            <w:noWrap/>
            <w:vAlign w:val="bottom"/>
            <w:hideMark/>
          </w:tcPr>
          <w:p w14:paraId="082BD1FA"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FEMALE</w:t>
            </w:r>
          </w:p>
        </w:tc>
        <w:tc>
          <w:tcPr>
            <w:tcW w:w="533" w:type="dxa"/>
            <w:tcBorders>
              <w:top w:val="nil"/>
              <w:left w:val="nil"/>
              <w:bottom w:val="nil"/>
              <w:right w:val="nil"/>
            </w:tcBorders>
            <w:shd w:val="clear" w:color="auto" w:fill="auto"/>
            <w:noWrap/>
            <w:vAlign w:val="bottom"/>
            <w:hideMark/>
          </w:tcPr>
          <w:p w14:paraId="14232B3B"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58</w:t>
            </w:r>
          </w:p>
        </w:tc>
        <w:tc>
          <w:tcPr>
            <w:tcW w:w="704" w:type="dxa"/>
            <w:tcBorders>
              <w:top w:val="nil"/>
              <w:left w:val="nil"/>
              <w:bottom w:val="nil"/>
            </w:tcBorders>
            <w:shd w:val="clear" w:color="auto" w:fill="auto"/>
            <w:noWrap/>
            <w:vAlign w:val="bottom"/>
            <w:hideMark/>
          </w:tcPr>
          <w:p w14:paraId="243E2DE2"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25.7</w:t>
            </w:r>
          </w:p>
        </w:tc>
        <w:tc>
          <w:tcPr>
            <w:tcW w:w="681" w:type="dxa"/>
            <w:tcBorders>
              <w:top w:val="nil"/>
              <w:left w:val="nil"/>
              <w:bottom w:val="nil"/>
              <w:right w:val="nil"/>
            </w:tcBorders>
            <w:shd w:val="clear" w:color="auto" w:fill="auto"/>
            <w:noWrap/>
            <w:vAlign w:val="bottom"/>
            <w:hideMark/>
          </w:tcPr>
          <w:p w14:paraId="0072FA77"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20</w:t>
            </w:r>
          </w:p>
        </w:tc>
        <w:tc>
          <w:tcPr>
            <w:tcW w:w="1304" w:type="dxa"/>
            <w:tcBorders>
              <w:top w:val="nil"/>
              <w:left w:val="nil"/>
              <w:bottom w:val="nil"/>
            </w:tcBorders>
            <w:shd w:val="clear" w:color="auto" w:fill="auto"/>
            <w:noWrap/>
            <w:vAlign w:val="bottom"/>
            <w:hideMark/>
          </w:tcPr>
          <w:p w14:paraId="55FF660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13</w:t>
            </w:r>
          </w:p>
        </w:tc>
        <w:tc>
          <w:tcPr>
            <w:tcW w:w="1134" w:type="dxa"/>
            <w:tcBorders>
              <w:top w:val="nil"/>
              <w:left w:val="nil"/>
              <w:bottom w:val="nil"/>
              <w:right w:val="nil"/>
            </w:tcBorders>
            <w:shd w:val="clear" w:color="auto" w:fill="auto"/>
            <w:noWrap/>
            <w:vAlign w:val="bottom"/>
            <w:hideMark/>
          </w:tcPr>
          <w:p w14:paraId="41F9AFE6"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934</w:t>
            </w:r>
          </w:p>
        </w:tc>
        <w:tc>
          <w:tcPr>
            <w:tcW w:w="1276" w:type="dxa"/>
            <w:tcBorders>
              <w:top w:val="nil"/>
              <w:left w:val="nil"/>
              <w:bottom w:val="nil"/>
              <w:right w:val="nil"/>
            </w:tcBorders>
            <w:shd w:val="clear" w:color="auto" w:fill="auto"/>
            <w:noWrap/>
            <w:vAlign w:val="bottom"/>
            <w:hideMark/>
          </w:tcPr>
          <w:p w14:paraId="22DDE6F2"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93</w:t>
            </w:r>
          </w:p>
        </w:tc>
      </w:tr>
      <w:tr w:rsidR="003D2879" w:rsidRPr="00F66A96" w14:paraId="53097DC6" w14:textId="77777777" w:rsidTr="001C6EA7">
        <w:trPr>
          <w:trHeight w:val="255"/>
        </w:trPr>
        <w:tc>
          <w:tcPr>
            <w:tcW w:w="1040" w:type="dxa"/>
            <w:tcBorders>
              <w:top w:val="nil"/>
              <w:left w:val="nil"/>
              <w:bottom w:val="nil"/>
              <w:right w:val="nil"/>
            </w:tcBorders>
            <w:shd w:val="clear" w:color="auto" w:fill="auto"/>
            <w:noWrap/>
            <w:vAlign w:val="bottom"/>
            <w:hideMark/>
          </w:tcPr>
          <w:p w14:paraId="0D608176"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S5</w:t>
            </w:r>
          </w:p>
        </w:tc>
        <w:tc>
          <w:tcPr>
            <w:tcW w:w="897" w:type="dxa"/>
            <w:tcBorders>
              <w:top w:val="nil"/>
              <w:left w:val="nil"/>
              <w:bottom w:val="nil"/>
              <w:right w:val="nil"/>
            </w:tcBorders>
            <w:shd w:val="clear" w:color="auto" w:fill="auto"/>
            <w:noWrap/>
            <w:vAlign w:val="bottom"/>
            <w:hideMark/>
          </w:tcPr>
          <w:p w14:paraId="4A534077"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3</w:t>
            </w:r>
          </w:p>
        </w:tc>
        <w:tc>
          <w:tcPr>
            <w:tcW w:w="1054" w:type="dxa"/>
            <w:tcBorders>
              <w:top w:val="nil"/>
              <w:left w:val="nil"/>
              <w:bottom w:val="nil"/>
              <w:right w:val="nil"/>
            </w:tcBorders>
            <w:shd w:val="clear" w:color="auto" w:fill="auto"/>
            <w:noWrap/>
            <w:vAlign w:val="bottom"/>
            <w:hideMark/>
          </w:tcPr>
          <w:p w14:paraId="76DD02B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L</w:t>
            </w:r>
          </w:p>
        </w:tc>
        <w:tc>
          <w:tcPr>
            <w:tcW w:w="875" w:type="dxa"/>
            <w:tcBorders>
              <w:top w:val="nil"/>
              <w:left w:val="nil"/>
              <w:bottom w:val="nil"/>
              <w:right w:val="nil"/>
            </w:tcBorders>
            <w:shd w:val="clear" w:color="auto" w:fill="auto"/>
            <w:noWrap/>
            <w:vAlign w:val="bottom"/>
            <w:hideMark/>
          </w:tcPr>
          <w:p w14:paraId="17BD755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MALE</w:t>
            </w:r>
          </w:p>
        </w:tc>
        <w:tc>
          <w:tcPr>
            <w:tcW w:w="533" w:type="dxa"/>
            <w:tcBorders>
              <w:top w:val="nil"/>
              <w:left w:val="nil"/>
              <w:bottom w:val="nil"/>
              <w:right w:val="nil"/>
            </w:tcBorders>
            <w:shd w:val="clear" w:color="auto" w:fill="auto"/>
            <w:noWrap/>
            <w:vAlign w:val="bottom"/>
            <w:hideMark/>
          </w:tcPr>
          <w:p w14:paraId="5A4AEB5C"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80</w:t>
            </w:r>
          </w:p>
        </w:tc>
        <w:tc>
          <w:tcPr>
            <w:tcW w:w="704" w:type="dxa"/>
            <w:tcBorders>
              <w:top w:val="nil"/>
              <w:left w:val="nil"/>
              <w:bottom w:val="nil"/>
            </w:tcBorders>
            <w:shd w:val="clear" w:color="auto" w:fill="auto"/>
            <w:noWrap/>
            <w:vAlign w:val="bottom"/>
            <w:hideMark/>
          </w:tcPr>
          <w:p w14:paraId="07340C1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23.9</w:t>
            </w:r>
          </w:p>
        </w:tc>
        <w:tc>
          <w:tcPr>
            <w:tcW w:w="681" w:type="dxa"/>
            <w:tcBorders>
              <w:top w:val="nil"/>
              <w:left w:val="nil"/>
              <w:bottom w:val="nil"/>
              <w:right w:val="nil"/>
            </w:tcBorders>
            <w:shd w:val="clear" w:color="auto" w:fill="auto"/>
            <w:noWrap/>
            <w:vAlign w:val="bottom"/>
            <w:hideMark/>
          </w:tcPr>
          <w:p w14:paraId="72C02511"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24</w:t>
            </w:r>
          </w:p>
        </w:tc>
        <w:tc>
          <w:tcPr>
            <w:tcW w:w="1304" w:type="dxa"/>
            <w:tcBorders>
              <w:top w:val="nil"/>
              <w:left w:val="nil"/>
              <w:bottom w:val="nil"/>
            </w:tcBorders>
            <w:shd w:val="clear" w:color="auto" w:fill="auto"/>
            <w:noWrap/>
            <w:vAlign w:val="bottom"/>
            <w:hideMark/>
          </w:tcPr>
          <w:p w14:paraId="505AFA2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17</w:t>
            </w:r>
          </w:p>
        </w:tc>
        <w:tc>
          <w:tcPr>
            <w:tcW w:w="1134" w:type="dxa"/>
            <w:tcBorders>
              <w:top w:val="nil"/>
              <w:left w:val="nil"/>
              <w:bottom w:val="nil"/>
              <w:right w:val="nil"/>
            </w:tcBorders>
            <w:shd w:val="clear" w:color="auto" w:fill="auto"/>
            <w:noWrap/>
            <w:vAlign w:val="bottom"/>
            <w:hideMark/>
          </w:tcPr>
          <w:p w14:paraId="4D3BA97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1065</w:t>
            </w:r>
          </w:p>
        </w:tc>
        <w:tc>
          <w:tcPr>
            <w:tcW w:w="1276" w:type="dxa"/>
            <w:tcBorders>
              <w:top w:val="nil"/>
              <w:left w:val="nil"/>
              <w:bottom w:val="nil"/>
              <w:right w:val="nil"/>
            </w:tcBorders>
            <w:shd w:val="clear" w:color="auto" w:fill="auto"/>
            <w:noWrap/>
            <w:vAlign w:val="bottom"/>
            <w:hideMark/>
          </w:tcPr>
          <w:p w14:paraId="04E151BD"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106</w:t>
            </w:r>
          </w:p>
        </w:tc>
      </w:tr>
      <w:tr w:rsidR="003D2879" w:rsidRPr="00F66A96" w14:paraId="295BA309" w14:textId="77777777" w:rsidTr="001C6EA7">
        <w:trPr>
          <w:trHeight w:val="255"/>
        </w:trPr>
        <w:tc>
          <w:tcPr>
            <w:tcW w:w="1040" w:type="dxa"/>
            <w:tcBorders>
              <w:top w:val="nil"/>
              <w:left w:val="nil"/>
              <w:bottom w:val="nil"/>
              <w:right w:val="nil"/>
            </w:tcBorders>
            <w:shd w:val="clear" w:color="auto" w:fill="auto"/>
            <w:noWrap/>
            <w:vAlign w:val="bottom"/>
            <w:hideMark/>
          </w:tcPr>
          <w:p w14:paraId="2E2B0506"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S6</w:t>
            </w:r>
          </w:p>
        </w:tc>
        <w:tc>
          <w:tcPr>
            <w:tcW w:w="897" w:type="dxa"/>
            <w:tcBorders>
              <w:top w:val="nil"/>
              <w:left w:val="nil"/>
              <w:bottom w:val="nil"/>
              <w:right w:val="nil"/>
            </w:tcBorders>
            <w:shd w:val="clear" w:color="auto" w:fill="auto"/>
            <w:noWrap/>
            <w:vAlign w:val="bottom"/>
            <w:hideMark/>
          </w:tcPr>
          <w:p w14:paraId="436C86D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4</w:t>
            </w:r>
          </w:p>
        </w:tc>
        <w:tc>
          <w:tcPr>
            <w:tcW w:w="1054" w:type="dxa"/>
            <w:tcBorders>
              <w:top w:val="nil"/>
              <w:left w:val="nil"/>
              <w:bottom w:val="nil"/>
              <w:right w:val="nil"/>
            </w:tcBorders>
            <w:shd w:val="clear" w:color="auto" w:fill="auto"/>
            <w:noWrap/>
            <w:vAlign w:val="bottom"/>
            <w:hideMark/>
          </w:tcPr>
          <w:p w14:paraId="357D501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R</w:t>
            </w:r>
          </w:p>
        </w:tc>
        <w:tc>
          <w:tcPr>
            <w:tcW w:w="875" w:type="dxa"/>
            <w:tcBorders>
              <w:top w:val="nil"/>
              <w:left w:val="nil"/>
              <w:bottom w:val="nil"/>
              <w:right w:val="nil"/>
            </w:tcBorders>
            <w:shd w:val="clear" w:color="auto" w:fill="auto"/>
            <w:noWrap/>
            <w:vAlign w:val="bottom"/>
            <w:hideMark/>
          </w:tcPr>
          <w:p w14:paraId="2375D9AC"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MALE</w:t>
            </w:r>
          </w:p>
        </w:tc>
        <w:tc>
          <w:tcPr>
            <w:tcW w:w="533" w:type="dxa"/>
            <w:tcBorders>
              <w:top w:val="nil"/>
              <w:left w:val="nil"/>
              <w:bottom w:val="nil"/>
              <w:right w:val="nil"/>
            </w:tcBorders>
            <w:shd w:val="clear" w:color="auto" w:fill="auto"/>
            <w:noWrap/>
            <w:vAlign w:val="bottom"/>
            <w:hideMark/>
          </w:tcPr>
          <w:p w14:paraId="7B2C5D1E"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75</w:t>
            </w:r>
          </w:p>
        </w:tc>
        <w:tc>
          <w:tcPr>
            <w:tcW w:w="704" w:type="dxa"/>
            <w:tcBorders>
              <w:top w:val="nil"/>
              <w:left w:val="nil"/>
              <w:bottom w:val="nil"/>
            </w:tcBorders>
            <w:shd w:val="clear" w:color="auto" w:fill="auto"/>
            <w:noWrap/>
            <w:vAlign w:val="bottom"/>
            <w:hideMark/>
          </w:tcPr>
          <w:p w14:paraId="6FFD4C9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23.0</w:t>
            </w:r>
          </w:p>
        </w:tc>
        <w:tc>
          <w:tcPr>
            <w:tcW w:w="681" w:type="dxa"/>
            <w:tcBorders>
              <w:top w:val="nil"/>
              <w:left w:val="nil"/>
              <w:bottom w:val="nil"/>
              <w:right w:val="nil"/>
            </w:tcBorders>
            <w:shd w:val="clear" w:color="auto" w:fill="auto"/>
            <w:noWrap/>
            <w:vAlign w:val="bottom"/>
            <w:hideMark/>
          </w:tcPr>
          <w:p w14:paraId="6370576E"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18</w:t>
            </w:r>
          </w:p>
        </w:tc>
        <w:tc>
          <w:tcPr>
            <w:tcW w:w="1304" w:type="dxa"/>
            <w:tcBorders>
              <w:top w:val="nil"/>
              <w:left w:val="nil"/>
              <w:bottom w:val="nil"/>
            </w:tcBorders>
            <w:shd w:val="clear" w:color="auto" w:fill="auto"/>
            <w:noWrap/>
            <w:vAlign w:val="bottom"/>
            <w:hideMark/>
          </w:tcPr>
          <w:p w14:paraId="67D70CAC"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16</w:t>
            </w:r>
          </w:p>
        </w:tc>
        <w:tc>
          <w:tcPr>
            <w:tcW w:w="1134" w:type="dxa"/>
            <w:tcBorders>
              <w:top w:val="nil"/>
              <w:left w:val="nil"/>
              <w:bottom w:val="nil"/>
              <w:right w:val="nil"/>
            </w:tcBorders>
            <w:shd w:val="clear" w:color="auto" w:fill="auto"/>
            <w:noWrap/>
            <w:vAlign w:val="bottom"/>
            <w:hideMark/>
          </w:tcPr>
          <w:p w14:paraId="400E0A09"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996</w:t>
            </w:r>
          </w:p>
        </w:tc>
        <w:tc>
          <w:tcPr>
            <w:tcW w:w="1276" w:type="dxa"/>
            <w:tcBorders>
              <w:top w:val="nil"/>
              <w:left w:val="nil"/>
              <w:bottom w:val="nil"/>
              <w:right w:val="nil"/>
            </w:tcBorders>
            <w:shd w:val="clear" w:color="auto" w:fill="auto"/>
            <w:noWrap/>
            <w:vAlign w:val="bottom"/>
            <w:hideMark/>
          </w:tcPr>
          <w:p w14:paraId="75A3D62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100</w:t>
            </w:r>
          </w:p>
        </w:tc>
      </w:tr>
      <w:tr w:rsidR="003D2879" w:rsidRPr="00F66A96" w14:paraId="7361F2C8" w14:textId="77777777" w:rsidTr="001C6EA7">
        <w:trPr>
          <w:trHeight w:val="255"/>
        </w:trPr>
        <w:tc>
          <w:tcPr>
            <w:tcW w:w="1040" w:type="dxa"/>
            <w:tcBorders>
              <w:top w:val="nil"/>
              <w:left w:val="nil"/>
              <w:bottom w:val="nil"/>
              <w:right w:val="nil"/>
            </w:tcBorders>
            <w:shd w:val="clear" w:color="auto" w:fill="auto"/>
            <w:noWrap/>
            <w:vAlign w:val="bottom"/>
            <w:hideMark/>
          </w:tcPr>
          <w:p w14:paraId="3B8A565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S7</w:t>
            </w:r>
          </w:p>
        </w:tc>
        <w:tc>
          <w:tcPr>
            <w:tcW w:w="897" w:type="dxa"/>
            <w:tcBorders>
              <w:top w:val="nil"/>
              <w:left w:val="nil"/>
              <w:bottom w:val="nil"/>
              <w:right w:val="nil"/>
            </w:tcBorders>
            <w:shd w:val="clear" w:color="auto" w:fill="auto"/>
            <w:noWrap/>
            <w:vAlign w:val="bottom"/>
            <w:hideMark/>
          </w:tcPr>
          <w:p w14:paraId="451EA7FC"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w:t>
            </w:r>
          </w:p>
        </w:tc>
        <w:tc>
          <w:tcPr>
            <w:tcW w:w="1054" w:type="dxa"/>
            <w:tcBorders>
              <w:top w:val="nil"/>
              <w:left w:val="nil"/>
              <w:bottom w:val="nil"/>
              <w:right w:val="nil"/>
            </w:tcBorders>
            <w:shd w:val="clear" w:color="auto" w:fill="auto"/>
            <w:noWrap/>
            <w:vAlign w:val="bottom"/>
            <w:hideMark/>
          </w:tcPr>
          <w:p w14:paraId="441F55B9"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L</w:t>
            </w:r>
          </w:p>
        </w:tc>
        <w:tc>
          <w:tcPr>
            <w:tcW w:w="875" w:type="dxa"/>
            <w:tcBorders>
              <w:top w:val="nil"/>
              <w:left w:val="nil"/>
              <w:bottom w:val="nil"/>
              <w:right w:val="nil"/>
            </w:tcBorders>
            <w:shd w:val="clear" w:color="auto" w:fill="auto"/>
            <w:noWrap/>
            <w:vAlign w:val="bottom"/>
            <w:hideMark/>
          </w:tcPr>
          <w:p w14:paraId="0128789F"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MALE</w:t>
            </w:r>
          </w:p>
        </w:tc>
        <w:tc>
          <w:tcPr>
            <w:tcW w:w="533" w:type="dxa"/>
            <w:tcBorders>
              <w:top w:val="nil"/>
              <w:left w:val="nil"/>
              <w:bottom w:val="nil"/>
              <w:right w:val="nil"/>
            </w:tcBorders>
            <w:shd w:val="clear" w:color="auto" w:fill="auto"/>
            <w:noWrap/>
            <w:vAlign w:val="bottom"/>
            <w:hideMark/>
          </w:tcPr>
          <w:p w14:paraId="08A81A2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87</w:t>
            </w:r>
          </w:p>
        </w:tc>
        <w:tc>
          <w:tcPr>
            <w:tcW w:w="704" w:type="dxa"/>
            <w:tcBorders>
              <w:top w:val="nil"/>
              <w:left w:val="nil"/>
              <w:bottom w:val="nil"/>
            </w:tcBorders>
            <w:shd w:val="clear" w:color="auto" w:fill="auto"/>
            <w:noWrap/>
            <w:vAlign w:val="bottom"/>
            <w:hideMark/>
          </w:tcPr>
          <w:p w14:paraId="33FFC1A1"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22.5</w:t>
            </w:r>
          </w:p>
        </w:tc>
        <w:tc>
          <w:tcPr>
            <w:tcW w:w="681" w:type="dxa"/>
            <w:tcBorders>
              <w:top w:val="nil"/>
              <w:left w:val="nil"/>
              <w:bottom w:val="nil"/>
              <w:right w:val="nil"/>
            </w:tcBorders>
            <w:shd w:val="clear" w:color="auto" w:fill="auto"/>
            <w:noWrap/>
            <w:vAlign w:val="bottom"/>
            <w:hideMark/>
          </w:tcPr>
          <w:p w14:paraId="75B407B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21</w:t>
            </w:r>
          </w:p>
        </w:tc>
        <w:tc>
          <w:tcPr>
            <w:tcW w:w="1304" w:type="dxa"/>
            <w:tcBorders>
              <w:top w:val="nil"/>
              <w:left w:val="nil"/>
              <w:bottom w:val="nil"/>
            </w:tcBorders>
            <w:shd w:val="clear" w:color="auto" w:fill="auto"/>
            <w:noWrap/>
            <w:vAlign w:val="bottom"/>
            <w:hideMark/>
          </w:tcPr>
          <w:p w14:paraId="16986E2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16</w:t>
            </w:r>
          </w:p>
        </w:tc>
        <w:tc>
          <w:tcPr>
            <w:tcW w:w="1134" w:type="dxa"/>
            <w:tcBorders>
              <w:top w:val="nil"/>
              <w:left w:val="nil"/>
              <w:bottom w:val="nil"/>
              <w:right w:val="nil"/>
            </w:tcBorders>
            <w:shd w:val="clear" w:color="auto" w:fill="auto"/>
            <w:noWrap/>
            <w:vAlign w:val="bottom"/>
            <w:hideMark/>
          </w:tcPr>
          <w:p w14:paraId="70C6A3A9"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1003</w:t>
            </w:r>
          </w:p>
        </w:tc>
        <w:tc>
          <w:tcPr>
            <w:tcW w:w="1276" w:type="dxa"/>
            <w:tcBorders>
              <w:top w:val="nil"/>
              <w:left w:val="nil"/>
              <w:bottom w:val="nil"/>
              <w:right w:val="nil"/>
            </w:tcBorders>
            <w:shd w:val="clear" w:color="auto" w:fill="auto"/>
            <w:noWrap/>
            <w:vAlign w:val="bottom"/>
            <w:hideMark/>
          </w:tcPr>
          <w:p w14:paraId="0F816DE7"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100</w:t>
            </w:r>
          </w:p>
        </w:tc>
      </w:tr>
      <w:tr w:rsidR="003D2879" w:rsidRPr="00F66A96" w14:paraId="36BD127F" w14:textId="77777777" w:rsidTr="001C6EA7">
        <w:trPr>
          <w:trHeight w:val="255"/>
        </w:trPr>
        <w:tc>
          <w:tcPr>
            <w:tcW w:w="1040" w:type="dxa"/>
            <w:tcBorders>
              <w:top w:val="nil"/>
              <w:left w:val="nil"/>
              <w:bottom w:val="single" w:sz="4" w:space="0" w:color="auto"/>
              <w:right w:val="nil"/>
            </w:tcBorders>
            <w:shd w:val="clear" w:color="auto" w:fill="auto"/>
            <w:noWrap/>
            <w:vAlign w:val="bottom"/>
            <w:hideMark/>
          </w:tcPr>
          <w:p w14:paraId="0FABE7E2"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Pr>
                <w:rFonts w:ascii="Calibri" w:eastAsia="Times New Roman" w:hAnsi="Calibri" w:cs="Times New Roman"/>
                <w:color w:val="000000"/>
                <w:sz w:val="18"/>
                <w:lang w:eastAsia="en-GB"/>
              </w:rPr>
              <w:t>S8</w:t>
            </w:r>
          </w:p>
        </w:tc>
        <w:tc>
          <w:tcPr>
            <w:tcW w:w="897" w:type="dxa"/>
            <w:tcBorders>
              <w:top w:val="nil"/>
              <w:left w:val="nil"/>
              <w:bottom w:val="single" w:sz="4" w:space="0" w:color="auto"/>
              <w:right w:val="nil"/>
            </w:tcBorders>
            <w:shd w:val="clear" w:color="auto" w:fill="auto"/>
            <w:noWrap/>
            <w:vAlign w:val="bottom"/>
            <w:hideMark/>
          </w:tcPr>
          <w:p w14:paraId="50EB7B14"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w:t>
            </w:r>
          </w:p>
        </w:tc>
        <w:tc>
          <w:tcPr>
            <w:tcW w:w="1054" w:type="dxa"/>
            <w:tcBorders>
              <w:top w:val="nil"/>
              <w:left w:val="nil"/>
              <w:bottom w:val="single" w:sz="4" w:space="0" w:color="auto"/>
              <w:right w:val="nil"/>
            </w:tcBorders>
            <w:shd w:val="clear" w:color="auto" w:fill="auto"/>
            <w:noWrap/>
            <w:vAlign w:val="bottom"/>
            <w:hideMark/>
          </w:tcPr>
          <w:p w14:paraId="74DD8E05"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L</w:t>
            </w:r>
          </w:p>
        </w:tc>
        <w:tc>
          <w:tcPr>
            <w:tcW w:w="875" w:type="dxa"/>
            <w:tcBorders>
              <w:top w:val="nil"/>
              <w:left w:val="nil"/>
              <w:bottom w:val="single" w:sz="4" w:space="0" w:color="auto"/>
              <w:right w:val="nil"/>
            </w:tcBorders>
            <w:shd w:val="clear" w:color="auto" w:fill="auto"/>
            <w:noWrap/>
            <w:vAlign w:val="bottom"/>
            <w:hideMark/>
          </w:tcPr>
          <w:p w14:paraId="729E5B4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MALE</w:t>
            </w:r>
          </w:p>
        </w:tc>
        <w:tc>
          <w:tcPr>
            <w:tcW w:w="533" w:type="dxa"/>
            <w:tcBorders>
              <w:top w:val="nil"/>
              <w:left w:val="nil"/>
              <w:bottom w:val="single" w:sz="4" w:space="0" w:color="auto"/>
              <w:right w:val="nil"/>
            </w:tcBorders>
            <w:shd w:val="clear" w:color="auto" w:fill="auto"/>
            <w:noWrap/>
            <w:vAlign w:val="bottom"/>
            <w:hideMark/>
          </w:tcPr>
          <w:p w14:paraId="4020068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79</w:t>
            </w:r>
          </w:p>
        </w:tc>
        <w:tc>
          <w:tcPr>
            <w:tcW w:w="704" w:type="dxa"/>
            <w:tcBorders>
              <w:top w:val="nil"/>
              <w:left w:val="nil"/>
              <w:bottom w:val="single" w:sz="4" w:space="0" w:color="auto"/>
            </w:tcBorders>
            <w:shd w:val="clear" w:color="auto" w:fill="auto"/>
            <w:noWrap/>
            <w:vAlign w:val="bottom"/>
            <w:hideMark/>
          </w:tcPr>
          <w:p w14:paraId="27A69C1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26.3</w:t>
            </w:r>
          </w:p>
        </w:tc>
        <w:tc>
          <w:tcPr>
            <w:tcW w:w="681" w:type="dxa"/>
            <w:tcBorders>
              <w:top w:val="nil"/>
              <w:left w:val="nil"/>
              <w:bottom w:val="single" w:sz="4" w:space="0" w:color="auto"/>
              <w:right w:val="nil"/>
            </w:tcBorders>
            <w:shd w:val="clear" w:color="auto" w:fill="auto"/>
            <w:noWrap/>
            <w:vAlign w:val="bottom"/>
            <w:hideMark/>
          </w:tcPr>
          <w:p w14:paraId="3DBF09A7"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22</w:t>
            </w:r>
          </w:p>
        </w:tc>
        <w:tc>
          <w:tcPr>
            <w:tcW w:w="1304" w:type="dxa"/>
            <w:tcBorders>
              <w:top w:val="nil"/>
              <w:left w:val="nil"/>
              <w:bottom w:val="single" w:sz="4" w:space="0" w:color="auto"/>
            </w:tcBorders>
            <w:shd w:val="clear" w:color="auto" w:fill="auto"/>
            <w:noWrap/>
            <w:vAlign w:val="bottom"/>
            <w:hideMark/>
          </w:tcPr>
          <w:p w14:paraId="64E229B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14</w:t>
            </w:r>
          </w:p>
        </w:tc>
        <w:tc>
          <w:tcPr>
            <w:tcW w:w="1134" w:type="dxa"/>
            <w:tcBorders>
              <w:top w:val="nil"/>
              <w:left w:val="nil"/>
              <w:bottom w:val="single" w:sz="4" w:space="0" w:color="auto"/>
              <w:right w:val="nil"/>
            </w:tcBorders>
            <w:shd w:val="clear" w:color="auto" w:fill="auto"/>
            <w:noWrap/>
            <w:vAlign w:val="bottom"/>
            <w:hideMark/>
          </w:tcPr>
          <w:p w14:paraId="5366B6A8"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1277</w:t>
            </w:r>
          </w:p>
        </w:tc>
        <w:tc>
          <w:tcPr>
            <w:tcW w:w="1276" w:type="dxa"/>
            <w:tcBorders>
              <w:top w:val="nil"/>
              <w:left w:val="nil"/>
              <w:bottom w:val="single" w:sz="4" w:space="0" w:color="auto"/>
              <w:right w:val="nil"/>
            </w:tcBorders>
            <w:shd w:val="clear" w:color="auto" w:fill="auto"/>
            <w:noWrap/>
            <w:vAlign w:val="bottom"/>
            <w:hideMark/>
          </w:tcPr>
          <w:p w14:paraId="267A23D3" w14:textId="77777777" w:rsidR="003D2879" w:rsidRPr="00105404" w:rsidRDefault="003D2879" w:rsidP="001C6EA7">
            <w:pPr>
              <w:spacing w:after="0" w:line="240" w:lineRule="auto"/>
              <w:jc w:val="center"/>
              <w:rPr>
                <w:rFonts w:ascii="Calibri" w:eastAsia="Times New Roman" w:hAnsi="Calibri" w:cs="Times New Roman"/>
                <w:color w:val="000000"/>
                <w:sz w:val="18"/>
                <w:lang w:eastAsia="en-GB"/>
              </w:rPr>
            </w:pPr>
            <w:r w:rsidRPr="00105404">
              <w:rPr>
                <w:rFonts w:ascii="Calibri" w:eastAsia="Times New Roman" w:hAnsi="Calibri" w:cs="Times New Roman"/>
                <w:color w:val="000000"/>
                <w:sz w:val="18"/>
                <w:lang w:eastAsia="en-GB"/>
              </w:rPr>
              <w:t>128</w:t>
            </w:r>
          </w:p>
        </w:tc>
      </w:tr>
    </w:tbl>
    <w:p w14:paraId="6D7C41F7" w14:textId="77777777" w:rsidR="003D2879" w:rsidRDefault="003D2879" w:rsidP="00674ACB">
      <w:pPr>
        <w:spacing w:line="480" w:lineRule="auto"/>
        <w:rPr>
          <w:b/>
          <w:i/>
        </w:rPr>
      </w:pPr>
    </w:p>
    <w:p w14:paraId="618C020B" w14:textId="77777777" w:rsidR="00D36BAB" w:rsidRPr="00AE6484" w:rsidRDefault="00D36BAB" w:rsidP="00674ACB">
      <w:pPr>
        <w:spacing w:line="480" w:lineRule="auto"/>
        <w:rPr>
          <w:b/>
          <w:i/>
        </w:rPr>
      </w:pPr>
      <w:r w:rsidRPr="00AE6484">
        <w:rPr>
          <w:b/>
          <w:i/>
        </w:rPr>
        <w:t>Potting</w:t>
      </w:r>
    </w:p>
    <w:p w14:paraId="275C0AAE" w14:textId="1BD56876" w:rsidR="000B1E7F" w:rsidRDefault="000B1E7F" w:rsidP="000B1E7F">
      <w:pPr>
        <w:spacing w:line="480" w:lineRule="auto"/>
        <w:ind w:firstLine="720"/>
      </w:pPr>
      <w:r>
        <w:t>The specimens were aligned according to a modified version of the International Society of Biomechanics (ISB) coordinate system</w:t>
      </w:r>
      <w:r>
        <w:fldChar w:fldCharType="begin" w:fldLock="1"/>
      </w:r>
      <w:r w:rsidR="005C7750">
        <w:instrText>ADDIN CSL_CITATION {"citationItems":[{"id":"ITEM-1","itemData":{"DOI":"10.1016/S0021-9290(01)00222-6","ISBN":"0021-9290 (Print)\\n0021-9290 (Linking)","ISSN":"00219290","PMID":"11934426","abstract":"The Standardization and Terminology Committee (STC) of the International Society of Biomechanics (ISB) proposes a general reporting standard for joint kinematics based on the Joint Coordinate System (JCS), first proposed by Grood and Suntay for the knee joint in 1983 (J. Biomech. Eng. 105 (1983) 136). There is currently a lack of standard for reporting joint motion in the field of biomechanics for human movement, and the JCS as proposed by Grood and Suntay has the advantage of reporting joint motions in clinically relevant terms. In this communication, the STC proposes definitions of JCS for the ankle, hip, and spine. Definitions for other joints (such as shoulder, elbow, hand and wrist, temporomandibular joint (TMJ), and whole body) will be reported in later parts of the series. The STC is publishing these recommendations so as to encourage their use, to stimulate feedback and discussion, and to facilitate further revisions. For each joint, a standard for the local axis system in each articulating bone is generated. These axes then standardize the JCS. Adopting these standards will lead to better communication among researchers and clinicians.","author":[{"dropping-particle":"","family":"Wu","given":"Ge","non-dropping-particle":"","parse-names":false,"suffix":""},{"dropping-particle":"","family":"Siegler","given":"Sorin","non-dropping-particle":"","parse-names":false,"suffix":""},{"dropping-particle":"","family":"Allard","given":"Paul","non-dropping-particle":"","parse-names":false,"suffix":""},{"dropping-particle":"","family":"Kirtley","given":"Chris","non-dropping-particle":"","parse-names":false,"suffix":""},{"dropping-particle":"","family":"Leardini","given":"Alberto","non-dropping-particle":"","parse-names":false,"suffix":""},{"dropping-particle":"","family":"Rosenbaum","given":"Dieter","non-dropping-particle":"","parse-names":false,"suffix":""},{"dropping-particle":"","family":"Whittle","given":"Mike","non-dropping-particle":"","parse-names":false,"suffix":""},{"dropping-particle":"","family":"D’Lima","given":"Darryl D","non-dropping-particle":"","parse-names":false,"suffix":""},{"dropping-particle":"","family":"Cristofolini","given":"Luca","non-dropping-particle":"","parse-names":false,"suffix":""},{"dropping-particle":"","family":"Witte","given":"Hartmut","non-dropping-particle":"","parse-names":false,"suffix":""},{"dropping-particle":"","family":"Schmid","given":"Oskar","non-dropping-particle":"","parse-names":false,"suffix":""},{"dropping-particle":"","family":"Stokes","given":"Ian","non-dropping-particle":"","parse-names":false,"suffix":""}],"container-title":"Journal of biomechanics","id":"ITEM-1","issue":"4","issued":{"date-parts":[["2002"]]},"page":"543-548","title":"ISB recommendation on definitions of joint coordinate system of various joints for the reporting of human joint motion—part I: ankle, hip, and spine","type":"article-journal","volume":"35"},"uris":["http://www.mendeley.com/documents/?uuid=44e0d735-f7fb-41d6-ac1b-120674fd413b"]}],"mendeley":{"formattedCitation":"&lt;sup&gt;26&lt;/sup&gt;","plainTextFormattedCitation":"26","previouslyFormattedCitation":"&lt;sup&gt;26&lt;/sup&gt;"},"properties":{"noteIndex":0},"schema":"https://github.com/citation-style-language/schema/raw/master/csl-citation.json"}</w:instrText>
      </w:r>
      <w:r>
        <w:fldChar w:fldCharType="separate"/>
      </w:r>
      <w:r w:rsidR="005C7750" w:rsidRPr="005C7750">
        <w:rPr>
          <w:noProof/>
          <w:vertAlign w:val="superscript"/>
        </w:rPr>
        <w:t>26</w:t>
      </w:r>
      <w:r>
        <w:fldChar w:fldCharType="end"/>
      </w:r>
      <w:r w:rsidR="00111630">
        <w:t xml:space="preserve"> described below</w:t>
      </w:r>
      <w:r>
        <w:t xml:space="preserve">. The pre-cut specimens were aligned at flexions according to the average femoral anterior radius of curvature described by </w:t>
      </w:r>
      <w:proofErr w:type="spellStart"/>
      <w:r>
        <w:t>Egol</w:t>
      </w:r>
      <w:proofErr w:type="spellEnd"/>
      <w:r>
        <w:t xml:space="preserve"> </w:t>
      </w:r>
      <w:r>
        <w:rPr>
          <w:i/>
          <w:iCs/>
        </w:rPr>
        <w:t>et al</w:t>
      </w:r>
      <w:r>
        <w:t>.</w:t>
      </w:r>
      <w:r w:rsidRPr="00366FB0">
        <w:fldChar w:fldCharType="begin" w:fldLock="1"/>
      </w:r>
      <w:r w:rsidR="005C7750">
        <w:instrText>ADDIN CSL_CITATION {"citationItems":[{"id":"ITEM-1","itemData":{"author":[{"dropping-particle":"","family":"Egol","given":"Kenneth A","non-dropping-particle":"","parse-names":false,"suffix":""},{"dropping-particle":"","family":"Chang","given":"Eric Y","non-dropping-particle":"","parse-names":false,"suffix":""},{"dropping-particle":"","family":"Cvitkovic","given":"John","non-dropping-particle":"","parse-names":false,"suffix":""},{"dropping-particle":"","family":"Kummer","given":"Frederick J","non-dropping-particle":"","parse-names":false,"suffix":""},{"dropping-particle":"","family":"Koval","given":"Kenneth J","non-dropping-particle":"","parse-names":false,"suffix":""}],"container-title":"Journal of Orhopaedic Trauma","id":"ITEM-1","issue":"7","issued":{"date-parts":[["2004"]]},"page":"410-415","title":"Mismatch of current intramedullary nails with the anterior bow of the femur","type":"article-journal","volume":"18"},"uris":["http://www.mendeley.com/documents/?uuid=ce14008b-3598-42f3-9e42-e02211769f69"]}],"mendeley":{"formattedCitation":"&lt;sup&gt;27&lt;/sup&gt;","plainTextFormattedCitation":"27","previouslyFormattedCitation":"&lt;sup&gt;27&lt;/sup&gt;"},"properties":{"noteIndex":0},"schema":"https://github.com/citation-style-language/schema/raw/master/csl-citation.json"}</w:instrText>
      </w:r>
      <w:r w:rsidRPr="00366FB0">
        <w:fldChar w:fldCharType="separate"/>
      </w:r>
      <w:r w:rsidR="005C7750" w:rsidRPr="005C7750">
        <w:rPr>
          <w:noProof/>
          <w:vertAlign w:val="superscript"/>
        </w:rPr>
        <w:t>27</w:t>
      </w:r>
      <w:r w:rsidRPr="00366FB0">
        <w:fldChar w:fldCharType="end"/>
      </w:r>
      <w:r w:rsidR="003F2558">
        <w:t>, a diagram</w:t>
      </w:r>
      <w:r w:rsidR="006A7C16">
        <w:t xml:space="preserve"> of this can be seen in figure 3</w:t>
      </w:r>
      <w:r>
        <w:t xml:space="preserve">. The specimens were also aligned at adductions using the full leg AP X-Rays that accompanied the specimens. The adduction angles were calculated as the angle between the mechanical axis and the piriformis muscle attachment </w:t>
      </w:r>
      <w:proofErr w:type="spellStart"/>
      <w:r>
        <w:t>subtrochantic</w:t>
      </w:r>
      <w:proofErr w:type="spellEnd"/>
      <w:r>
        <w:t xml:space="preserve"> centre line, defined on the X-Ray using </w:t>
      </w:r>
      <w:proofErr w:type="spellStart"/>
      <w:r>
        <w:t>Solidworks</w:t>
      </w:r>
      <w:proofErr w:type="spellEnd"/>
      <w:r>
        <w:t xml:space="preserve"> (</w:t>
      </w:r>
      <w:proofErr w:type="spellStart"/>
      <w:r>
        <w:t>Dassault</w:t>
      </w:r>
      <w:proofErr w:type="spellEnd"/>
      <w:r>
        <w:t xml:space="preserve"> </w:t>
      </w:r>
      <w:proofErr w:type="spellStart"/>
      <w:r>
        <w:t>Systèmes</w:t>
      </w:r>
      <w:proofErr w:type="spellEnd"/>
      <w:r>
        <w:t xml:space="preserve">, </w:t>
      </w:r>
      <w:proofErr w:type="spellStart"/>
      <w:r>
        <w:t>Vélizy-Villacoublay</w:t>
      </w:r>
      <w:proofErr w:type="spellEnd"/>
      <w:r>
        <w:t>, France). A 3</w:t>
      </w:r>
      <w:r>
        <w:rPr>
          <w:rFonts w:ascii="Symbol" w:hAnsi="Symbol"/>
        </w:rPr>
        <w:t></w:t>
      </w:r>
      <w:r>
        <w:t xml:space="preserve"> correction was then added to this to account for the angle between the mechanical and vertical axes</w:t>
      </w:r>
      <w:r>
        <w:fldChar w:fldCharType="begin" w:fldLock="1"/>
      </w:r>
      <w:r w:rsidR="005C7750">
        <w:instrText>ADDIN CSL_CITATION {"citationItems":[{"id":"ITEM-1","itemData":{"DOI":"10.1007/978-3-642-59373-4_1","ISBN":"3-540-41665-x","abstract":"To understand deformities of the lower extremity, it is important to first understand and establish the parame-ters and limits of normal alignment. The exact anatomy of the femur, tibia, hip, knee, and ankle is of great impor-tance to the clinician when examining the lower limb and to the surgeon when operating on the bones and joints. To better understand alignment and joint orien-tation, the complex three-dimensional shapes of bones and joints can be simplified to basic line drawings, sim-ilar to the stick figures a child uses to represent a person (~ Fig. I-I). Fig.1-1 Axis lines. A stick figure can be used as a schematic of a com-plex three-dimensional image of a person. In the same fashion, axis and joint lines can be used to describe alignment and joint orientation of the bones and joints of the lower limb. Furthermore, for purposes of reference, these line drawings should refer to either the frontal, sagittal, or transverse anatomic planes. The two ways to generate a line in space are to connect two points and to draw a line through one point at a specific angle to another line. All the lines that we use for planning and for drawing sche-matics of the bones and joints are generated using one of these two methods (~Fig.I-2).","author":[{"dropping-particle":"","family":"Paley","given":"Dror","non-dropping-particle":"","parse-names":false,"suffix":""}],"container-title":"Principles of Deformity Correction","id":"ITEM-1","issued":{"date-parts":[["2002"]]},"page":"1-18","publisher":"Springer","publisher-place":"Berlin","title":"Normal lower limb alignment and joint orientation","type":"chapter"},"uris":["http://www.mendeley.com/documents/?uuid=6c352a91-5f1a-40c7-8148-f18ac5791676"]},{"id":"ITEM-2","itemData":{"author":[{"dropping-particle":"","family":"Krackow","given":"K. A.","non-dropping-particle":"","parse-names":false,"suffix":""}],"container-title":"Adv Orthop Surg","id":"ITEM-2","issued":{"date-parts":[["1983"]]},"page":"69-88","title":"Approaches to planning lower extremity alignment for total knee arthroplasty and osteotomy about the knee","type":"article-journal","volume":"7"},"uris":["http://www.mendeley.com/documents/?uuid=398b1cb5-4e83-47fe-9484-6f975bb8d622"]}],"mendeley":{"formattedCitation":"&lt;sup&gt;28,29&lt;/sup&gt;","plainTextFormattedCitation":"28,29","previouslyFormattedCitation":"&lt;sup&gt;28,29&lt;/sup&gt;"},"properties":{"noteIndex":0},"schema":"https://github.com/citation-style-language/schema/raw/master/csl-citation.json"}</w:instrText>
      </w:r>
      <w:r>
        <w:fldChar w:fldCharType="separate"/>
      </w:r>
      <w:r w:rsidR="005C7750" w:rsidRPr="005C7750">
        <w:rPr>
          <w:noProof/>
          <w:vertAlign w:val="superscript"/>
        </w:rPr>
        <w:t>28,29</w:t>
      </w:r>
      <w:r>
        <w:fldChar w:fldCharType="end"/>
      </w:r>
      <w:r>
        <w:t>. The flexions and adductions for each specimen can be found in table 1.</w:t>
      </w:r>
    </w:p>
    <w:p w14:paraId="51B0893C" w14:textId="77777777" w:rsidR="003D2879" w:rsidRDefault="003D2879" w:rsidP="00CC207C">
      <w:pPr>
        <w:spacing w:line="480" w:lineRule="auto"/>
        <w:ind w:firstLine="720"/>
      </w:pPr>
    </w:p>
    <w:p w14:paraId="600319E1" w14:textId="77777777" w:rsidR="003D2879" w:rsidRDefault="003D2879" w:rsidP="00CC207C">
      <w:pPr>
        <w:spacing w:line="480" w:lineRule="auto"/>
        <w:ind w:firstLine="720"/>
      </w:pPr>
    </w:p>
    <w:p w14:paraId="2776B714" w14:textId="77777777" w:rsidR="003D2879" w:rsidRPr="000259D7" w:rsidRDefault="003D2879" w:rsidP="003D2879">
      <w:pPr>
        <w:spacing w:line="480" w:lineRule="auto"/>
        <w:jc w:val="center"/>
      </w:pPr>
      <w:r>
        <w:rPr>
          <w:noProof/>
          <w:lang w:eastAsia="en-GB"/>
        </w:rPr>
        <w:lastRenderedPageBreak/>
        <w:drawing>
          <wp:inline distT="0" distB="0" distL="0" distR="0" wp14:anchorId="71F7FCE5" wp14:editId="51ADD440">
            <wp:extent cx="3616845" cy="967563"/>
            <wp:effectExtent l="0" t="0" r="317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F4D319.tmp"/>
                    <pic:cNvPicPr/>
                  </pic:nvPicPr>
                  <pic:blipFill rotWithShape="1">
                    <a:blip r:embed="rId10" cstate="print">
                      <a:extLst>
                        <a:ext uri="{28A0092B-C50C-407E-A947-70E740481C1C}">
                          <a14:useLocalDpi xmlns:a14="http://schemas.microsoft.com/office/drawing/2010/main" val="0"/>
                        </a:ext>
                      </a:extLst>
                    </a:blip>
                    <a:srcRect l="3160" t="33763" r="2300" b="21565"/>
                    <a:stretch/>
                  </pic:blipFill>
                  <pic:spPr bwMode="auto">
                    <a:xfrm>
                      <a:off x="0" y="0"/>
                      <a:ext cx="3770651" cy="1008708"/>
                    </a:xfrm>
                    <a:prstGeom prst="rect">
                      <a:avLst/>
                    </a:prstGeom>
                    <a:ln>
                      <a:noFill/>
                    </a:ln>
                    <a:extLst>
                      <a:ext uri="{53640926-AAD7-44D8-BBD7-CCE9431645EC}">
                        <a14:shadowObscured xmlns:a14="http://schemas.microsoft.com/office/drawing/2010/main"/>
                      </a:ext>
                    </a:extLst>
                  </pic:spPr>
                </pic:pic>
              </a:graphicData>
            </a:graphic>
          </wp:inline>
        </w:drawing>
      </w:r>
    </w:p>
    <w:p w14:paraId="5AB16CD2" w14:textId="257C1BBC" w:rsidR="003D2879" w:rsidRPr="003D2879" w:rsidRDefault="003D2879" w:rsidP="00B142C0">
      <w:pPr>
        <w:spacing w:line="480" w:lineRule="auto"/>
        <w:jc w:val="center"/>
        <w:rPr>
          <w:i/>
        </w:rPr>
      </w:pPr>
      <w:r w:rsidRPr="003D2879">
        <w:rPr>
          <w:i/>
        </w:rPr>
        <w:t>Figure 3 – Sagittal view of right femur representing the calculated flexions the pre-cut femurs were raised to.</w:t>
      </w:r>
    </w:p>
    <w:p w14:paraId="55A56345" w14:textId="35D292F6" w:rsidR="007C5B8B" w:rsidRDefault="000B1E7F" w:rsidP="00CC207C">
      <w:pPr>
        <w:spacing w:line="480" w:lineRule="auto"/>
        <w:ind w:firstLine="720"/>
      </w:pPr>
      <w:r>
        <w:t>The distal end of the femurs were raised to the calculated flexions by using Vernier callipers (RS Components, Corby, UK) to measure the vertical relative distance. The distal end of the femur was then adducted about a rod running through (anterior posterior) the proximal end of the sectioned femur. The rod was placed where the femoral head centre-femoral neck centre line crossed the piriformis muscle attachment-</w:t>
      </w:r>
      <w:proofErr w:type="spellStart"/>
      <w:r>
        <w:t>subtrochantic</w:t>
      </w:r>
      <w:proofErr w:type="spellEnd"/>
      <w:r>
        <w:t xml:space="preserve"> centre line. The adduction angle was measured using a protractor mounted around the rod. The specimens were then inserted into aluminium pots and fixed in place using poly-</w:t>
      </w:r>
      <w:proofErr w:type="spellStart"/>
      <w:r>
        <w:t>methylmethacrylate</w:t>
      </w:r>
      <w:proofErr w:type="spellEnd"/>
      <w:r>
        <w:t xml:space="preserve"> (Simplex Rapid, </w:t>
      </w:r>
      <w:proofErr w:type="spellStart"/>
      <w:r>
        <w:t>Kemdent</w:t>
      </w:r>
      <w:proofErr w:type="spellEnd"/>
      <w:r>
        <w:t>, UK).</w:t>
      </w:r>
    </w:p>
    <w:p w14:paraId="69E20302" w14:textId="77777777" w:rsidR="00F51CD9" w:rsidRDefault="00F51CD9" w:rsidP="00674ACB">
      <w:pPr>
        <w:spacing w:line="480" w:lineRule="auto"/>
        <w:rPr>
          <w:b/>
          <w:i/>
        </w:rPr>
      </w:pPr>
      <w:r>
        <w:rPr>
          <w:b/>
          <w:i/>
        </w:rPr>
        <w:t>Implant Manufacture</w:t>
      </w:r>
    </w:p>
    <w:p w14:paraId="1E9A498E" w14:textId="61FDFB9F" w:rsidR="00925536" w:rsidRPr="000F1139" w:rsidRDefault="00F51CD9" w:rsidP="00674ACB">
      <w:pPr>
        <w:spacing w:line="480" w:lineRule="auto"/>
      </w:pPr>
      <w:r>
        <w:tab/>
        <w:t>Both solid and stiffness matched implants were designed in Rhinoceros 3D with its Grasshopper 3D extension (</w:t>
      </w:r>
      <w:r w:rsidRPr="00F51CD9">
        <w:t xml:space="preserve">Robert </w:t>
      </w:r>
      <w:proofErr w:type="spellStart"/>
      <w:r w:rsidRPr="00F51CD9">
        <w:t>McNeel</w:t>
      </w:r>
      <w:proofErr w:type="spellEnd"/>
      <w:r w:rsidRPr="00F51CD9">
        <w:t xml:space="preserve"> &amp; Associates</w:t>
      </w:r>
      <w:r w:rsidR="00D428D6">
        <w:t xml:space="preserve">, Seattle, USA). The stiffness matched implant used the stochastic structure previously described by Ghouse </w:t>
      </w:r>
      <w:r w:rsidR="00D428D6">
        <w:rPr>
          <w:i/>
        </w:rPr>
        <w:t>et al.</w:t>
      </w:r>
      <w:r w:rsidR="00D428D6">
        <w:rPr>
          <w:i/>
        </w:rPr>
        <w:fldChar w:fldCharType="begin" w:fldLock="1"/>
      </w:r>
      <w:r w:rsidR="005C7750">
        <w:rPr>
          <w:i/>
        </w:rPr>
        <w:instrText>ADDIN CSL_CITATION {"citationItems":[{"id":"ITEM-1","itemData":{"DOI":"10.1016/j.matdes.2017.06.041","ISSN":"18734197","abstract":"Additive manufacturing enables architectured porous material design, but 3D-CAD modelling of these materials is prohibitively computationally expensive. This bottleneck can be removed using a line-based representation of porous materials instead, with strut thickness controlled by the supplied laser energy. This study investigated how laser energy and scan strategy affects strut thickness and mechanical strength of porous materials. Specimens were manufactured using varying laser parameters, 3 scan strategies (Contour, Points, Pulsing), 2 porous architectures and 2 materials (Titanium, Stainless Steel), with strut thickness, density, modulus, mechanical strength and build time measured. Struts could be built successfully as low as 15° with a minimum diameter of 0.13 mm. Strut thickness was linearly related to the specific enthalpy delivered by the laser to the melt-pool. For a given stiffness, Titanium specimens built at low power/slow speed had a 10% higher strength than those built at high power/fast speed. The opposite was found in Stainless Steel. As specimen stiffness increased, the Contour Strategy produced samples with the highest strength:stiffness and strength:weight ratio. The Points strategy offered the fastest build time, 20% and 100% faster than the Contour and Pulsing strategies, respectively. This work highlights the importance of optimising build parameters to maximize mechanical performance.","author":[{"dropping-particle":"","family":"Ghouse","given":"Shaaz","non-dropping-particle":"","parse-names":false,"suffix":""},{"dropping-particle":"","family":"Babu","given":"Sarat","non-dropping-particle":"","parse-names":false,"suffix":""},{"dropping-particle":"","family":"Arkel","given":"Richard J.","non-dropping-particle":"Van","parse-names":false,"suffix":""},{"dropping-particle":"","family":"Nai","given":"Kenneth","non-dropping-particle":"","parse-names":false,"suffix":""},{"dropping-particle":"","family":"Hooper","given":"Paul A.","non-dropping-particle":"","parse-names":false,"suffix":""},{"dropping-particle":"","family":"Jeffers","given":"Jonathan R.T.","non-dropping-particle":"","parse-names":false,"suffix":""}],"container-title":"Materials and Design","id":"ITEM-1","issued":{"date-parts":[["2017"]]},"page":"498-508","publisher":"The Authors","title":"The influence of laser parameters and scanning strategies on the mechanical properties of a stochastic porous material","type":"article-journal","volume":"131"},"uris":["http://www.mendeley.com/documents/?uuid=bb82eb4d-1df1-4f11-8e34-4ee1dd62f08c"]}],"mendeley":{"formattedCitation":"&lt;sup&gt;23&lt;/sup&gt;","plainTextFormattedCitation":"23","previouslyFormattedCitation":"&lt;sup&gt;23&lt;/sup&gt;"},"properties":{"noteIndex":0},"schema":"https://github.com/citation-style-language/schema/raw/master/csl-citation.json"}</w:instrText>
      </w:r>
      <w:r w:rsidR="00D428D6">
        <w:rPr>
          <w:i/>
        </w:rPr>
        <w:fldChar w:fldCharType="separate"/>
      </w:r>
      <w:r w:rsidR="005C7750" w:rsidRPr="005C7750">
        <w:rPr>
          <w:noProof/>
          <w:vertAlign w:val="superscript"/>
        </w:rPr>
        <w:t>23</w:t>
      </w:r>
      <w:r w:rsidR="00D428D6">
        <w:rPr>
          <w:i/>
        </w:rPr>
        <w:fldChar w:fldCharType="end"/>
      </w:r>
      <w:r w:rsidR="00A43B20">
        <w:t xml:space="preserve">. </w:t>
      </w:r>
      <w:r w:rsidR="00A90F07">
        <w:t xml:space="preserve">The parameters for manufacturing </w:t>
      </w:r>
      <w:r w:rsidR="002D5C54">
        <w:t>20 GPa modulus</w:t>
      </w:r>
      <w:r w:rsidR="00A90F07">
        <w:t xml:space="preserve"> </w:t>
      </w:r>
      <w:r w:rsidR="00A916DC">
        <w:t>stiffness matched implants</w:t>
      </w:r>
      <w:r w:rsidR="00A90F07">
        <w:t xml:space="preserve">, such as strut thickness, mean number of struts per unit area and mean number of strut connections had previously been validated </w:t>
      </w:r>
      <w:r w:rsidR="000B5774">
        <w:t xml:space="preserve">with compression testing </w:t>
      </w:r>
      <w:r w:rsidR="00A90F07">
        <w:t>to BS ISO 13314 – 2011</w:t>
      </w:r>
      <w:r w:rsidR="00A90F07">
        <w:fldChar w:fldCharType="begin" w:fldLock="1"/>
      </w:r>
      <w:r w:rsidR="005C7750">
        <w:instrText>ADDIN CSL_CITATION {"citationItems":[{"id":"ITEM-1","itemData":{"DOI":"ISO 13314:2011","abstract":"ISO 13314:2011 specifies a test method for compressive properties of porous and cellular metals with a porosity of 50 % or more. Compressive tests can be carried out at ambient temperature under quasi-static strain rate conditions.","author":[{"dropping-particle":"","family":"British Standards Institution","given":"","non-dropping-particle":"","parse-names":false,"suffix":""}],"container-title":"British Standards","id":"ITEM-1","issued":{"date-parts":[["2011"]]},"title":"ISO 13314:2011 Mechanical testing of metals, ductility testing, compression test for porous and cellular metals","type":"article"},"uris":["http://www.mendeley.com/documents/?uuid=6cfe8826-e775-4df2-bb98-7cf4e6f8ffc5"]}],"mendeley":{"formattedCitation":"&lt;sup&gt;30&lt;/sup&gt;","plainTextFormattedCitation":"30","previouslyFormattedCitation":"&lt;sup&gt;30&lt;/sup&gt;"},"properties":{"noteIndex":0},"schema":"https://github.com/citation-style-language/schema/raw/master/csl-citation.json"}</w:instrText>
      </w:r>
      <w:r w:rsidR="00A90F07">
        <w:fldChar w:fldCharType="separate"/>
      </w:r>
      <w:r w:rsidR="005C7750" w:rsidRPr="005C7750">
        <w:rPr>
          <w:noProof/>
          <w:vertAlign w:val="superscript"/>
        </w:rPr>
        <w:t>30</w:t>
      </w:r>
      <w:r w:rsidR="00A90F07">
        <w:fldChar w:fldCharType="end"/>
      </w:r>
      <w:r w:rsidR="00A90F07">
        <w:t xml:space="preserve">.  </w:t>
      </w:r>
      <w:r w:rsidR="00A43B20">
        <w:t xml:space="preserve">The models were then converted to STLs and sliced with 25 </w:t>
      </w:r>
      <w:r w:rsidR="00A43B20">
        <w:sym w:font="Symbol" w:char="F06D"/>
      </w:r>
      <w:r w:rsidR="00A43B20">
        <w:t xml:space="preserve">m layer thickness in preparation for additive manufacture using </w:t>
      </w:r>
      <w:proofErr w:type="spellStart"/>
      <w:r w:rsidR="00A43B20">
        <w:t>Magics</w:t>
      </w:r>
      <w:proofErr w:type="spellEnd"/>
      <w:r w:rsidR="00A43B20">
        <w:t xml:space="preserve"> software (M</w:t>
      </w:r>
      <w:r w:rsidR="00A43B20" w:rsidRPr="00A43B20">
        <w:t>aterialise</w:t>
      </w:r>
      <w:r w:rsidR="00A43B20">
        <w:t xml:space="preserve">, Leuven, Belgium). A Concept </w:t>
      </w:r>
      <w:proofErr w:type="spellStart"/>
      <w:r w:rsidR="00A43B20">
        <w:t>MLab</w:t>
      </w:r>
      <w:proofErr w:type="spellEnd"/>
      <w:r w:rsidR="00A43B20">
        <w:t xml:space="preserve"> </w:t>
      </w:r>
      <w:proofErr w:type="spellStart"/>
      <w:r w:rsidR="000F1139" w:rsidRPr="000F1139">
        <w:t>cusing</w:t>
      </w:r>
      <w:proofErr w:type="spellEnd"/>
      <w:r w:rsidR="000F1139" w:rsidRPr="000F1139">
        <w:t xml:space="preserve"> powder bed AM system (</w:t>
      </w:r>
      <w:proofErr w:type="spellStart"/>
      <w:r w:rsidR="000F1139" w:rsidRPr="000F1139">
        <w:t>Lichtenfels</w:t>
      </w:r>
      <w:proofErr w:type="spellEnd"/>
      <w:r w:rsidR="000F1139" w:rsidRPr="000F1139">
        <w:t>, Germany)</w:t>
      </w:r>
      <w:r w:rsidR="000F1139">
        <w:t xml:space="preserve"> was used for manufacture</w:t>
      </w:r>
      <w:r w:rsidR="000F1139" w:rsidRPr="000F1139">
        <w:t xml:space="preserve"> using Stainless Steel 316L spherical powder (</w:t>
      </w:r>
      <w:proofErr w:type="spellStart"/>
      <w:r w:rsidR="000F1139" w:rsidRPr="000F1139">
        <w:rPr>
          <w:lang w:val="fr-FR"/>
        </w:rPr>
        <w:t>particle</w:t>
      </w:r>
      <w:proofErr w:type="spellEnd"/>
      <w:r w:rsidR="000F1139" w:rsidRPr="000F1139">
        <w:rPr>
          <w:lang w:val="fr-FR"/>
        </w:rPr>
        <w:t xml:space="preserve"> size range 10–45 </w:t>
      </w:r>
      <w:proofErr w:type="spellStart"/>
      <w:r w:rsidR="000F1139" w:rsidRPr="000F1139">
        <w:rPr>
          <w:lang w:val="fr-FR"/>
        </w:rPr>
        <w:t>μm</w:t>
      </w:r>
      <w:proofErr w:type="spellEnd"/>
      <w:r w:rsidR="000F1139" w:rsidRPr="000F1139">
        <w:rPr>
          <w:lang w:val="fr-FR"/>
        </w:rPr>
        <w:t xml:space="preserve">, </w:t>
      </w:r>
      <w:r w:rsidR="000F1139" w:rsidRPr="000F1139">
        <w:t>LPW Technology, Runcorn, UK).</w:t>
      </w:r>
      <w:r w:rsidR="00925536">
        <w:t xml:space="preserve"> Five sizes of implant were manufactured to fit the </w:t>
      </w:r>
      <w:r w:rsidR="001C5B8D">
        <w:t xml:space="preserve">range of diameters of the femurs between specimens and amputation </w:t>
      </w:r>
      <w:r w:rsidR="002D5C54">
        <w:t>levels</w:t>
      </w:r>
      <w:r w:rsidR="001C5B8D">
        <w:t>.</w:t>
      </w:r>
    </w:p>
    <w:p w14:paraId="2004A0A8" w14:textId="77777777" w:rsidR="00D36BAB" w:rsidRPr="00AE6484" w:rsidRDefault="00D36BAB" w:rsidP="00674ACB">
      <w:pPr>
        <w:spacing w:line="480" w:lineRule="auto"/>
        <w:rPr>
          <w:b/>
          <w:i/>
        </w:rPr>
      </w:pPr>
      <w:r w:rsidRPr="00AE6484">
        <w:rPr>
          <w:b/>
          <w:i/>
        </w:rPr>
        <w:lastRenderedPageBreak/>
        <w:t>Implant Insertion</w:t>
      </w:r>
    </w:p>
    <w:p w14:paraId="6C941F3A" w14:textId="56F991DF" w:rsidR="00CC59EF" w:rsidRDefault="00CC59EF" w:rsidP="00CC59EF">
      <w:pPr>
        <w:spacing w:line="480" w:lineRule="auto"/>
        <w:ind w:firstLine="720"/>
      </w:pPr>
      <w:r w:rsidRPr="00CC59EF">
        <w:t>The implants were inserted into the intramedullary canals of the femurs in four steps. Firstly the distal end of the femur was bevelled to create a flat surface and remove sharp edges, as is common practice</w:t>
      </w:r>
      <w:r w:rsidR="007B154C">
        <w:t xml:space="preserve"> in amputation surgery</w:t>
      </w:r>
      <w:r w:rsidRPr="00CC59EF">
        <w:fldChar w:fldCharType="begin" w:fldLock="1"/>
      </w:r>
      <w:r w:rsidR="005C7750">
        <w:instrText>ADDIN CSL_CITATION {"citationItems":[{"id":"ITEM-1","itemData":{"DOI":"10.2106/JBJS.J.00257","ISSN":"0021-9355","author":[{"dropping-particle":"","family":"Tintle","given":"LT Scott M.","non-dropping-particle":"","parse-names":false,"suffix":""},{"dropping-particle":"","family":"Keeling","given":"CDR John J.","non-dropping-particle":"","parse-names":false,"suffix":""},{"dropping-particle":"","family":"Shawen","given":"LTC Scott B.","non-dropping-particle":"","parse-names":false,"suffix":""},{"dropping-particle":"","family":"Forsberg","given":"LCDR Jonathan A.","non-dropping-particle":"","parse-names":false,"suffix":""},{"dropping-particle":"","family":"Potter","given":"MAJ Benjamin K.","non-dropping-particle":"","parse-names":false,"suffix":""}],"container-title":"The Journal of Bone and Joint Surgery (American)","id":"ITEM-1","issue":"17","issued":{"date-parts":[["2010"]]},"page":"2852-2868","title":"Traumatic and trauma-related amputations","type":"article-journal","volume":"92"},"uris":["http://www.mendeley.com/documents/?uuid=1bf0ab4f-650c-4fe5-acfb-162c5609fd99"]},{"id":"ITEM-2","itemData":{"author":[{"dropping-particle":"","family":"Pinzur","given":"Michael S","non-dropping-particle":"","parse-names":false,"suffix":""},{"dropping-particle":"","family":"Gottschalk","given":"Frank A","non-dropping-particle":"","parse-names":false,"suffix":""},{"dropping-particle":"","family":"Pinto","given":"Marco Antonio Guedes de S","non-dropping-particle":"","parse-names":false,"suffix":""},{"dropping-particle":"","family":"Smith","given":"Douglas G","non-dropping-particle":"","parse-names":false,"suffix":""}],"container-title":"The Journal of Bone and Joint Surgery","id":"ITEM-2","issue":"5","issued":{"date-parts":[["2007"]]},"page":"1118-1127","title":"Controversies in lower-extremity amputations","type":"article-journal","volume":"89A"},"uris":["http://www.mendeley.com/documents/?uuid=7d3f9af3-0495-308f-969f-928325d5fce0"]},{"id":"ITEM-3","itemData":{"DOI":"10.1002/bjs.7766","ISSN":"00071323","author":[{"dropping-particle":"","family":"Perkins","given":"Z. B.","non-dropping-particle":"","parse-names":false,"suffix":""},{"dropping-particle":"","family":"De'Ath","given":"H. D.","non-dropping-particle":"","parse-names":false,"suffix":""},{"dropping-particle":"","family":"Sharp","given":"G.","non-dropping-particle":"","parse-names":false,"suffix":""},{"dropping-particle":"","family":"Tai","given":"N. R M","non-dropping-particle":"","parse-names":false,"suffix":""}],"container-title":"British Journal of Surgery","id":"ITEM-3","issue":"S1","issued":{"date-parts":[["2012"]]},"page":"75-86","title":"Factors affecting outcome after traumatic limb amputation","type":"article-journal","volume":"99"},"uris":["http://www.mendeley.com/documents/?uuid=5930b972-49dc-3373-90aa-9d12f7c40797"]},{"id":"ITEM-4","itemData":{"DOI":"10.1007/0-306-48407-2_22","ISBN":"978-0-7923-6394-1","abstract":"Overview Above - knee amputation is most often performed for advanced soft-tissue sarcomas of the distal thigh and leg, or for primary bone sarcomas of the distal femur and proximal tibia. It is usually indicated because of major involvement of the main ...","author":[{"dropping-particle":"","family":"Sugarbaker","given":"Paul","non-dropping-particle":"","parse-names":false,"suffix":""},{"dropping-particle":"","family":"Bickels","given":"Jacob","non-dropping-particle":"","parse-names":false,"suffix":""},{"dropping-particle":"","family":"Malawer","given":"Martin","non-dropping-particle":"","parse-names":false,"suffix":""}],"chapter-number":"22","container-title":"Musculoskeletal Cancer Surgery","id":"ITEM-4","issued":{"date-parts":[["2004"]]},"page":"349-360","publisher":"Springer","publisher-place":"Dordrecht","title":"Above-knee Amputation","type":"chapter"},"uris":["http://www.mendeley.com/documents/?uuid=a19294a2-730b-4db3-98ed-c66900e8190c"]}],"mendeley":{"formattedCitation":"&lt;sup&gt;2,31–33&lt;/sup&gt;","plainTextFormattedCitation":"2,31–33","previouslyFormattedCitation":"&lt;sup&gt;2,31–33&lt;/sup&gt;"},"properties":{"noteIndex":0},"schema":"https://github.com/citation-style-language/schema/raw/master/csl-citation.json"}</w:instrText>
      </w:r>
      <w:r w:rsidRPr="00CC59EF">
        <w:fldChar w:fldCharType="separate"/>
      </w:r>
      <w:r w:rsidR="005C7750" w:rsidRPr="005C7750">
        <w:rPr>
          <w:noProof/>
          <w:vertAlign w:val="superscript"/>
        </w:rPr>
        <w:t>2,31–33</w:t>
      </w:r>
      <w:r w:rsidRPr="00CC59EF">
        <w:fldChar w:fldCharType="end"/>
      </w:r>
      <w:r w:rsidRPr="00CC59EF">
        <w:t xml:space="preserve">. The canals were then straight </w:t>
      </w:r>
      <w:r w:rsidR="003B5FDF">
        <w:t xml:space="preserve">reamed using standard twist drill bits (RS Components, Corby, UK) </w:t>
      </w:r>
      <w:r w:rsidRPr="00CC59EF">
        <w:t>and conical reamed using custom made instrumentatio</w:t>
      </w:r>
      <w:r w:rsidR="003B5FDF">
        <w:t xml:space="preserve">n again produced using additive manufacture (Figure </w:t>
      </w:r>
      <w:r w:rsidR="006A7C16">
        <w:t>2</w:t>
      </w:r>
      <w:r w:rsidR="003B5FDF">
        <w:t>).</w:t>
      </w:r>
      <w:r w:rsidR="00024F17">
        <w:t xml:space="preserve"> These</w:t>
      </w:r>
      <w:r w:rsidR="00AF5CC4">
        <w:t xml:space="preserve"> AM reamer</w:t>
      </w:r>
      <w:r w:rsidR="00024F17">
        <w:t>s</w:t>
      </w:r>
      <w:r w:rsidR="00AF5CC4">
        <w:t xml:space="preserve"> comprised of 6 non-equally radially spaced conical cutting arms </w:t>
      </w:r>
      <w:r w:rsidR="00024F17">
        <w:t>with</w:t>
      </w:r>
      <w:r w:rsidR="00AF5CC4">
        <w:t xml:space="preserve"> both cutting and relief angles of 15</w:t>
      </w:r>
      <w:r w:rsidR="00AF5CC4">
        <w:sym w:font="Symbol" w:char="F0B0"/>
      </w:r>
      <w:r w:rsidR="00AF5CC4">
        <w:t xml:space="preserve">. </w:t>
      </w:r>
      <w:r w:rsidR="003B5FDF">
        <w:t>L</w:t>
      </w:r>
      <w:r w:rsidR="003B5FDF" w:rsidRPr="00CC59EF">
        <w:t>astly</w:t>
      </w:r>
      <w:r w:rsidR="003B5FDF">
        <w:t>,</w:t>
      </w:r>
      <w:r w:rsidRPr="00CC59EF">
        <w:t xml:space="preserve"> the implants were impacted into the canal </w:t>
      </w:r>
      <w:r>
        <w:t xml:space="preserve">using a surgical mallet </w:t>
      </w:r>
      <w:r w:rsidRPr="00DF363E">
        <w:t>(</w:t>
      </w:r>
      <w:r w:rsidRPr="00DB4A74">
        <w:t>Surgical Holdings, Southend-on-Sea, UK)</w:t>
      </w:r>
      <w:r>
        <w:t>. The implant was impacted until it was securely seated and the collar of the implant was sitting just proud of the distal surface of the amputated femur.</w:t>
      </w:r>
      <w:r w:rsidR="00E66CCC">
        <w:t xml:space="preserve"> </w:t>
      </w:r>
    </w:p>
    <w:p w14:paraId="622C841D" w14:textId="77777777" w:rsidR="00D36BAB" w:rsidRPr="00AE6484" w:rsidRDefault="00FF2B17" w:rsidP="00674ACB">
      <w:pPr>
        <w:spacing w:line="480" w:lineRule="auto"/>
        <w:rPr>
          <w:b/>
          <w:i/>
        </w:rPr>
      </w:pPr>
      <w:r>
        <w:rPr>
          <w:b/>
          <w:i/>
        </w:rPr>
        <w:t>Micromotion</w:t>
      </w:r>
      <w:r w:rsidR="00D36BAB" w:rsidRPr="00AE6484">
        <w:rPr>
          <w:b/>
          <w:i/>
        </w:rPr>
        <w:t xml:space="preserve"> Set-Up</w:t>
      </w:r>
    </w:p>
    <w:p w14:paraId="60D54146" w14:textId="29705C1B" w:rsidR="00E179F9" w:rsidRDefault="00E61A8F" w:rsidP="00674ACB">
      <w:pPr>
        <w:spacing w:line="480" w:lineRule="auto"/>
      </w:pPr>
      <w:r>
        <w:tab/>
        <w:t xml:space="preserve">The potted femur with inserted implant was secured to the base of a </w:t>
      </w:r>
      <w:proofErr w:type="spellStart"/>
      <w:r>
        <w:t>servohydraulic</w:t>
      </w:r>
      <w:proofErr w:type="spellEnd"/>
      <w:r>
        <w:t xml:space="preserve"> mechanical testing machine (Instron 8874, High Wycombe, UK) via an </w:t>
      </w:r>
      <w:r w:rsidR="00DF363E">
        <w:t>unconstrained horizontal table</w:t>
      </w:r>
      <w:r w:rsidR="00E66CCC">
        <w:t xml:space="preserve"> to remove any application of unwanted </w:t>
      </w:r>
      <w:r w:rsidR="00FF25C7">
        <w:t>strains</w:t>
      </w:r>
      <w:r w:rsidR="00E66CCC">
        <w:t xml:space="preserve"> to the </w:t>
      </w:r>
      <w:r w:rsidR="00995A85">
        <w:t>implanted</w:t>
      </w:r>
      <w:r w:rsidR="00E66CCC">
        <w:t xml:space="preserve"> bone</w:t>
      </w:r>
      <w:r w:rsidR="00FF25C7">
        <w:t xml:space="preserve"> to replicate expected </w:t>
      </w:r>
      <w:r w:rsidR="00FF25C7" w:rsidRPr="00F65129">
        <w:rPr>
          <w:i/>
        </w:rPr>
        <w:t>in situ</w:t>
      </w:r>
      <w:r w:rsidR="00FF25C7">
        <w:t xml:space="preserve"> loading</w:t>
      </w:r>
      <w:r w:rsidR="00995A85">
        <w:t xml:space="preserve"> </w:t>
      </w:r>
      <w:r w:rsidR="00F65129">
        <w:t>by</w:t>
      </w:r>
      <w:r w:rsidR="00995A85">
        <w:t xml:space="preserve"> affording some motion</w:t>
      </w:r>
      <w:r w:rsidR="00DF363E">
        <w:t>. The distal end of the femur and implant were then instrumented</w:t>
      </w:r>
      <w:r w:rsidR="00F819CE">
        <w:t xml:space="preserve"> to measure micromotion</w:t>
      </w:r>
      <w:r w:rsidR="00DF363E">
        <w:t xml:space="preserve"> with three linear variable differential transformers</w:t>
      </w:r>
      <w:r w:rsidR="004D219A">
        <w:t>,</w:t>
      </w:r>
      <w:r w:rsidR="006F2FE3">
        <w:t xml:space="preserve"> </w:t>
      </w:r>
      <w:r w:rsidR="009079CE">
        <w:t>(LVDTs – AX/1.5/s</w:t>
      </w:r>
      <w:r w:rsidR="00F269F5" w:rsidRPr="00F269F5">
        <w:t xml:space="preserve">, </w:t>
      </w:r>
      <w:proofErr w:type="spellStart"/>
      <w:r w:rsidR="00F269F5" w:rsidRPr="00F269F5">
        <w:t>Solartron</w:t>
      </w:r>
      <w:proofErr w:type="spellEnd"/>
      <w:r w:rsidR="00F269F5" w:rsidRPr="00F269F5">
        <w:t xml:space="preserve"> Metrology, </w:t>
      </w:r>
      <w:r w:rsidR="00F269F5">
        <w:t>Bognor Regis</w:t>
      </w:r>
      <w:r w:rsidR="00F269F5" w:rsidRPr="00F269F5">
        <w:t>, UK)</w:t>
      </w:r>
      <w:r w:rsidR="006F2FE3">
        <w:t>,</w:t>
      </w:r>
      <w:r w:rsidR="00DF363E" w:rsidRPr="00DF363E">
        <w:rPr>
          <w:color w:val="FF0000"/>
        </w:rPr>
        <w:t xml:space="preserve"> </w:t>
      </w:r>
      <w:r w:rsidR="00DF363E">
        <w:t xml:space="preserve">in the </w:t>
      </w:r>
      <w:r w:rsidR="006F2FE3">
        <w:t xml:space="preserve">posterolateral, anterior and posteromedial positions. </w:t>
      </w:r>
      <w:r w:rsidR="00E179F9">
        <w:t xml:space="preserve">The main body of the LVDTs were secured to the implant with a resin 3d printed housing (Form 2, </w:t>
      </w:r>
      <w:proofErr w:type="spellStart"/>
      <w:r w:rsidR="00E179F9">
        <w:t>Formlabs</w:t>
      </w:r>
      <w:proofErr w:type="spellEnd"/>
      <w:r w:rsidR="00E179F9">
        <w:t xml:space="preserve">, </w:t>
      </w:r>
      <w:proofErr w:type="gramStart"/>
      <w:r w:rsidR="00E179F9" w:rsidRPr="006F2FE3">
        <w:t>Somerville</w:t>
      </w:r>
      <w:proofErr w:type="gramEnd"/>
      <w:r w:rsidR="00E179F9">
        <w:t>, USA). The LVDT tips pressed against an aluminium ring secured to the femur with sharpened</w:t>
      </w:r>
      <w:r w:rsidR="00E179F9" w:rsidRPr="00E179F9">
        <w:rPr>
          <w:color w:val="FF0000"/>
        </w:rPr>
        <w:t xml:space="preserve"> </w:t>
      </w:r>
      <w:r w:rsidR="00E179F9">
        <w:t>cap screws. The aluminium ring was situated approximately 5 mm proximal to the base of the 3d printed housing.</w:t>
      </w:r>
      <w:r w:rsidR="00F269F5">
        <w:t xml:space="preserve"> The LVDTs were connected to a FE-MM40 Fylde </w:t>
      </w:r>
      <w:proofErr w:type="spellStart"/>
      <w:r w:rsidR="00F269F5">
        <w:t>datalogger</w:t>
      </w:r>
      <w:proofErr w:type="spellEnd"/>
      <w:r w:rsidR="00F269F5">
        <w:t xml:space="preserve"> w</w:t>
      </w:r>
      <w:r w:rsidR="00FF2B17">
        <w:t xml:space="preserve">hich was then linked to MADAQ data acquisition software (both </w:t>
      </w:r>
      <w:r w:rsidR="00FF2B17" w:rsidRPr="00FF2B17">
        <w:t>Fylde Electronic Laboratories</w:t>
      </w:r>
      <w:r w:rsidR="00FF2B17">
        <w:t>,</w:t>
      </w:r>
      <w:r w:rsidR="00FF2B17" w:rsidRPr="00FF2B17">
        <w:t xml:space="preserve"> </w:t>
      </w:r>
      <w:r w:rsidR="00FF2B17">
        <w:t xml:space="preserve">Preston, UK) which sampled data at </w:t>
      </w:r>
      <w:r w:rsidR="00FF2B17" w:rsidRPr="00EB1AF3">
        <w:t>100Hz</w:t>
      </w:r>
      <w:r w:rsidR="00FF2B17">
        <w:t>.</w:t>
      </w:r>
    </w:p>
    <w:p w14:paraId="7035F41E" w14:textId="34A93A21" w:rsidR="0092707A" w:rsidRDefault="00E179F9" w:rsidP="00431F8A">
      <w:pPr>
        <w:spacing w:line="480" w:lineRule="auto"/>
      </w:pPr>
      <w:r>
        <w:tab/>
        <w:t xml:space="preserve">The </w:t>
      </w:r>
      <w:r w:rsidR="00F269F5">
        <w:t>bearing surface of</w:t>
      </w:r>
      <w:r w:rsidR="00E525CD">
        <w:t xml:space="preserve"> the implant was loaded using a flat</w:t>
      </w:r>
      <w:r w:rsidR="00F269F5">
        <w:t xml:space="preserve"> impactor connected to the actuator of the mechanical testing machine</w:t>
      </w:r>
      <w:r w:rsidR="00FE0C4E">
        <w:t xml:space="preserve"> via a 10 </w:t>
      </w:r>
      <w:proofErr w:type="spellStart"/>
      <w:proofErr w:type="gramStart"/>
      <w:r w:rsidR="00FE0C4E">
        <w:t>kN</w:t>
      </w:r>
      <w:proofErr w:type="spellEnd"/>
      <w:proofErr w:type="gramEnd"/>
      <w:r w:rsidR="00FE0C4E">
        <w:t xml:space="preserve"> load cell</w:t>
      </w:r>
      <w:r w:rsidR="00F269F5">
        <w:t>. The specimens were subjected to a</w:t>
      </w:r>
      <w:r w:rsidR="00170B80">
        <w:t xml:space="preserve"> </w:t>
      </w:r>
      <w:r w:rsidR="00170B80">
        <w:lastRenderedPageBreak/>
        <w:t>100 cycle</w:t>
      </w:r>
      <w:r w:rsidR="00F269F5">
        <w:t xml:space="preserve"> </w:t>
      </w:r>
      <w:r w:rsidR="00FE0C4E">
        <w:t xml:space="preserve">1 Hz </w:t>
      </w:r>
      <w:proofErr w:type="spellStart"/>
      <w:r w:rsidR="00FE0C4E">
        <w:t>sinusoidally</w:t>
      </w:r>
      <w:proofErr w:type="spellEnd"/>
      <w:r w:rsidR="00FE0C4E">
        <w:t xml:space="preserve"> varying </w:t>
      </w:r>
      <w:r w:rsidR="00F269F5">
        <w:t>loading re</w:t>
      </w:r>
      <w:r w:rsidR="00FF2B17">
        <w:t>gime</w:t>
      </w:r>
      <w:r w:rsidR="00D13108">
        <w:t>,</w:t>
      </w:r>
      <w:r w:rsidR="00FE0C4E">
        <w:t xml:space="preserve"> </w:t>
      </w:r>
      <w:r w:rsidR="005B1B81">
        <w:t>with an R-ratio of 0.1</w:t>
      </w:r>
      <w:r w:rsidR="00D13108">
        <w:t>,</w:t>
      </w:r>
      <w:r w:rsidR="005B1B81">
        <w:t xml:space="preserve"> </w:t>
      </w:r>
      <w:r w:rsidR="00FE0C4E">
        <w:t>w</w:t>
      </w:r>
      <w:r w:rsidR="00B01320">
        <w:t>here the peak load was equal to 1.4 times the body weight of the dono</w:t>
      </w:r>
      <w:r w:rsidR="005B1B81">
        <w:t>r</w:t>
      </w:r>
      <w:r w:rsidR="00CB2A4F">
        <w:t>.</w:t>
      </w:r>
      <w:r w:rsidR="007F62E0">
        <w:t xml:space="preserve"> </w:t>
      </w:r>
      <w:r w:rsidR="00B01320" w:rsidRPr="00141CAB">
        <w:t>This loading regime was</w:t>
      </w:r>
      <w:r w:rsidR="003F796C">
        <w:t xml:space="preserve"> quantified using a validated model</w:t>
      </w:r>
      <w:r w:rsidR="007D25B3">
        <w:t xml:space="preserve"> </w:t>
      </w:r>
      <w:r w:rsidR="00A27CBD">
        <w:t>(</w:t>
      </w:r>
      <w:r w:rsidR="007D25B3">
        <w:t>Freebody</w:t>
      </w:r>
      <w:r w:rsidR="00443E06">
        <w:fldChar w:fldCharType="begin" w:fldLock="1"/>
      </w:r>
      <w:r w:rsidR="005C7750">
        <w:instrText>ADDIN CSL_CITATION {"citationItems":[{"id":"ITEM-1","itemData":{"DOI":"10.1098/rsos.140449","ISSN":"20545703","PMID":"26543569","abstract":"Traditional approaches to the biomechanical analysis of movement are joint-based; that is the mechanics of the body are described in terms of the forces and moments acting at the joints, and that muscular forces are considered to create moments about the joints. We have recently shown that segment-based approaches, where the mechanics of the body are described by considering the effect of the muscle, ligament and joint contact forces on the segments themselves, can also prove insightful. We have also previously described a simultaneous, optimization-based, musculoskeletal model of the lower limb. However, this prior model incorporates both joint- and segment-based assumptions. The purpose of this study was therefore to develop an entirely segment-based model of the lower limb and to compare its performance to our previous work. The segment-based model was used to estimate the muscle forces found during vertical jumping, which were in turn compared with the muscular activations that have been found in vertical jumping, by using a Geers' metric to quantify the magnitude and phase errors. The segment-based model was shown to have a similar ability to estimate muscle forces as a model based upon our previous work. In the future, we will evaluate the ability of the segment-based model to be used to provide results with clinical relevance, and compare its performance to joint-based approaches. The segment-based model described in this article is publicly available as a GUI-based Matlab® application and in the original source code (at [www.msksoftware.org.uk][1]). [1]: http://www.msksoftware.org.uk","author":[{"dropping-particle":"","family":"Cleather","given":"Daniel J.","non-dropping-particle":"","parse-names":false,"suffix":""},{"dropping-particle":"","family":"Bull","given":"Anthony M.J.","non-dropping-particle":"","parse-names":false,"suffix":""}],"container-title":"Royal Society Open Science","id":"ITEM-1","issue":"6","issued":{"date-parts":[["2015"]]},"title":"The development of a segment-based musculoskeletal model of the lower limb: Introducing FREEBODY","type":"article-journal","volume":"2"},"uris":["http://www.mendeley.com/documents/?uuid=e43050a2-1a4b-4fbc-91b9-9994b3ac0329"]}],"mendeley":{"formattedCitation":"&lt;sup&gt;34&lt;/sup&gt;","plainTextFormattedCitation":"34","previouslyFormattedCitation":"&lt;sup&gt;34&lt;/sup&gt;"},"properties":{"noteIndex":0},"schema":"https://github.com/citation-style-language/schema/raw/master/csl-citation.json"}</w:instrText>
      </w:r>
      <w:r w:rsidR="00443E06">
        <w:fldChar w:fldCharType="separate"/>
      </w:r>
      <w:r w:rsidR="005C7750" w:rsidRPr="005C7750">
        <w:rPr>
          <w:noProof/>
          <w:vertAlign w:val="superscript"/>
        </w:rPr>
        <w:t>34</w:t>
      </w:r>
      <w:r w:rsidR="00443E06">
        <w:fldChar w:fldCharType="end"/>
      </w:r>
      <w:r w:rsidR="00443E06">
        <w:t xml:space="preserve"> </w:t>
      </w:r>
      <w:r w:rsidR="007D25B3">
        <w:t>version 2</w:t>
      </w:r>
      <w:r w:rsidR="00443E06" w:rsidRPr="00443E06">
        <w:fldChar w:fldCharType="begin" w:fldLock="1"/>
      </w:r>
      <w:r w:rsidR="005C7750">
        <w:instrText>ADDIN CSL_CITATION {"citationItems":[{"id":"ITEM-1","itemData":{"DOI":"10.1115/1.4032412","ISSN":"0148-0731","PMID":"26720641","abstract":"Segment-based musculoskeletal models allow the prediction of muscle, ligament, and joint forces without making assumptions regarding joint degrees-of-freedom (DOF). The dataset published for the “Grand Challenge Competition to Predict in vivo Knee Loads” provides directly measured tibiofemoral contact forces for activities of daily living (ADL). For the Sixth Grand Challenge Competition to Predict in vivo Knee Loads, blinded results for “smooth” and “bouncy” gait trials were predicted using a customized patient-specific musculoskeletal model. For an unblinded comparison, the following mod- ifications were made to improve the predictions: further customizations, including modifi- cations to the knee center of rotation; reductions to the maximum allowable muscle forces to represent known loss of strength in knee arthroplasty patients; and a kinematic constraint to the hip joint to address the sensitivity of the segment-based approach to motion tracking artifact. For validation, the improved model was applied to normal gait, squat, and sit-to-stand for three subjects. Comparisons of the predictions with measured contact forces showed that segment-based musculoskeletal models using patient-specific input data can estimate tibiofemoral contact forces with root mean square errors (RMSEs) of 0.48–0.65 times body weight (BW) for normal gait trials. Comparisons between measured and predicted tibiofemoral contact forces yielded an average coeffi- cient of determination of 0.81 and RMSEs of 0.46–1.01 times BW for squatting and 0.70–0.99 times BW for sit-to-stand tasks. This is comparable to the best validations in the literature using alternative models.","author":[{"dropping-particle":"","family":"Ding","given":"Ziyun","non-dropping-particle":"","parse-names":false,"suffix":""},{"dropping-particle":"","family":"Nolte","given":"Daniel","non-dropping-particle":"","parse-names":false,"suffix":""},{"dropping-particle":"","family":"Kit Tsang","given":"Chui","non-dropping-particle":"","parse-names":false,"suffix":""},{"dropping-particle":"","family":"Cleather","given":"Daniel J.","non-dropping-particle":"","parse-names":false,"suffix":""},{"dropping-particle":"","family":"Kedgley","given":"Angela E.","non-dropping-particle":"","parse-names":false,"suffix":""},{"dropping-particle":"","family":"Bull","given":"Anthony M. J.","non-dropping-particle":"","parse-names":false,"suffix":""}],"container-title":"Journal of Biomechanical Engineering","id":"ITEM-1","issue":"2","issued":{"date-parts":[["2016"]]},"page":"021018","title":"In vivo knee contact force prediction using patient-specific musculoskeletal geometry in a segment-based computational model","type":"article-journal","volume":"138"},"uris":["http://www.mendeley.com/documents/?uuid=410dced0-0905-4206-901c-df9404a729ba"]}],"mendeley":{"formattedCitation":"&lt;sup&gt;35&lt;/sup&gt;","plainTextFormattedCitation":"35","previouslyFormattedCitation":"&lt;sup&gt;35&lt;/sup&gt;"},"properties":{"noteIndex":0},"schema":"https://github.com/citation-style-language/schema/raw/master/csl-citation.json"}</w:instrText>
      </w:r>
      <w:r w:rsidR="00443E06" w:rsidRPr="00443E06">
        <w:fldChar w:fldCharType="separate"/>
      </w:r>
      <w:r w:rsidR="005C7750" w:rsidRPr="005C7750">
        <w:rPr>
          <w:noProof/>
          <w:vertAlign w:val="superscript"/>
        </w:rPr>
        <w:t>35</w:t>
      </w:r>
      <w:r w:rsidR="00443E06" w:rsidRPr="00443E06">
        <w:fldChar w:fldCharType="end"/>
      </w:r>
      <w:r w:rsidR="00A27CBD">
        <w:t>)</w:t>
      </w:r>
      <w:r w:rsidR="00443E06">
        <w:t xml:space="preserve"> </w:t>
      </w:r>
      <w:r w:rsidR="003F796C">
        <w:t>applied to</w:t>
      </w:r>
      <w:r w:rsidR="00B01320" w:rsidRPr="00141CAB">
        <w:t xml:space="preserve"> </w:t>
      </w:r>
      <w:r w:rsidR="00141CAB">
        <w:t>transfemoral</w:t>
      </w:r>
      <w:r w:rsidR="00B01320" w:rsidRPr="00141CAB">
        <w:t xml:space="preserve"> amputees</w:t>
      </w:r>
      <w:r w:rsidR="003F796C">
        <w:fldChar w:fldCharType="begin" w:fldLock="1"/>
      </w:r>
      <w:r w:rsidR="005C7750">
        <w:instrText>ADDIN CSL_CITATION {"citationItems":[{"id":"ITEM-1","itemData":{"author":[{"dropping-particle":"","family":"Henson","given":"D","non-dropping-particle":"","parse-names":false,"suffix":""},{"dropping-particle":"","family":"Ding","given":"Z","non-dropping-particle":"","parse-names":false,"suffix":""},{"dropping-particle":"","family":"McGregor","given":"A","non-dropping-particle":"","parse-names":false,"suffix":""},{"dropping-particle":"","family":"Bull","given":"A","non-dropping-particle":"","parse-names":false,"suffix":""}],"container-title":"World Congress of Biomechanics","id":"ITEM-1","issued":{"date-parts":[["2018"]]},"title":"Applications of amputee specific computational model","type":"paper-conference"},"uris":["http://www.mendeley.com/documents/?uuid=dbc69189-b3fd-4e59-9251-c93a3e26f96d"]}],"mendeley":{"formattedCitation":"&lt;sup&gt;36&lt;/sup&gt;","plainTextFormattedCitation":"36","previouslyFormattedCitation":"&lt;sup&gt;36&lt;/sup&gt;"},"properties":{"noteIndex":0},"schema":"https://github.com/citation-style-language/schema/raw/master/csl-citation.json"}</w:instrText>
      </w:r>
      <w:r w:rsidR="003F796C">
        <w:fldChar w:fldCharType="separate"/>
      </w:r>
      <w:r w:rsidR="005C7750" w:rsidRPr="005C7750">
        <w:rPr>
          <w:noProof/>
          <w:vertAlign w:val="superscript"/>
        </w:rPr>
        <w:t>36</w:t>
      </w:r>
      <w:r w:rsidR="003F796C">
        <w:fldChar w:fldCharType="end"/>
      </w:r>
      <w:r w:rsidR="00B01320">
        <w:t>.</w:t>
      </w:r>
      <w:r w:rsidR="00170B80">
        <w:t xml:space="preserve"> The micromotion was measured from the last 90 cycles of the </w:t>
      </w:r>
      <w:r w:rsidR="000A3ADE">
        <w:t>test</w:t>
      </w:r>
      <w:r w:rsidR="00431F8A">
        <w:rPr>
          <w:color w:val="FF0000"/>
        </w:rPr>
        <w:t xml:space="preserve"> </w:t>
      </w:r>
      <w:r w:rsidR="00431F8A" w:rsidRPr="00431F8A">
        <w:t xml:space="preserve">and </w:t>
      </w:r>
      <w:r w:rsidR="00431F8A">
        <w:t xml:space="preserve">measured per LVDT as the mean difference between the peak and trough micromotion for the 90 cycles. Both </w:t>
      </w:r>
      <w:r w:rsidR="006724E4">
        <w:t xml:space="preserve">mean </w:t>
      </w:r>
      <w:r w:rsidR="00431F8A">
        <w:t xml:space="preserve">and maximum micromotions of the three LVDTs are presented. </w:t>
      </w:r>
      <w:r w:rsidR="00FF2B17">
        <w:t xml:space="preserve">Figure </w:t>
      </w:r>
      <w:r w:rsidR="006A7C16">
        <w:t>4</w:t>
      </w:r>
      <w:r w:rsidR="00FF2B17">
        <w:t xml:space="preserve"> </w:t>
      </w:r>
      <w:r w:rsidR="004A572B">
        <w:t>presents</w:t>
      </w:r>
      <w:r w:rsidR="00FF2B17">
        <w:t xml:space="preserve"> a diagram of the micromotion testing set-up.</w:t>
      </w:r>
    </w:p>
    <w:p w14:paraId="275D4042" w14:textId="77777777" w:rsidR="002A521D" w:rsidRDefault="002A521D" w:rsidP="00431F8A">
      <w:pPr>
        <w:spacing w:line="480" w:lineRule="auto"/>
      </w:pPr>
    </w:p>
    <w:p w14:paraId="7C03F79D" w14:textId="223DF91D" w:rsidR="002A521D" w:rsidRDefault="002A521D" w:rsidP="002A521D">
      <w:pPr>
        <w:spacing w:line="480" w:lineRule="auto"/>
        <w:jc w:val="center"/>
        <w:rPr>
          <w:i/>
        </w:rPr>
      </w:pPr>
      <w:r>
        <w:rPr>
          <w:noProof/>
          <w:lang w:eastAsia="en-GB"/>
        </w:rPr>
        <w:lastRenderedPageBreak/>
        <w:drawing>
          <wp:inline distT="0" distB="0" distL="0" distR="0" wp14:anchorId="3E8A7F70" wp14:editId="713C2E89">
            <wp:extent cx="6496774" cy="4897265"/>
            <wp:effectExtent l="0" t="317"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6C6F50.tmp"/>
                    <pic:cNvPicPr/>
                  </pic:nvPicPr>
                  <pic:blipFill rotWithShape="1">
                    <a:blip r:embed="rId11">
                      <a:extLst>
                        <a:ext uri="{28A0092B-C50C-407E-A947-70E740481C1C}">
                          <a14:useLocalDpi xmlns:a14="http://schemas.microsoft.com/office/drawing/2010/main" val="0"/>
                        </a:ext>
                      </a:extLst>
                    </a:blip>
                    <a:srcRect l="14404" t="9972" r="21552" b="4755"/>
                    <a:stretch/>
                  </pic:blipFill>
                  <pic:spPr bwMode="auto">
                    <a:xfrm rot="5400000">
                      <a:off x="0" y="0"/>
                      <a:ext cx="6496774" cy="4897265"/>
                    </a:xfrm>
                    <a:prstGeom prst="rect">
                      <a:avLst/>
                    </a:prstGeom>
                    <a:ln>
                      <a:noFill/>
                    </a:ln>
                    <a:extLst>
                      <a:ext uri="{53640926-AAD7-44D8-BBD7-CCE9431645EC}">
                        <a14:shadowObscured xmlns:a14="http://schemas.microsoft.com/office/drawing/2010/main"/>
                      </a:ext>
                    </a:extLst>
                  </pic:spPr>
                </pic:pic>
              </a:graphicData>
            </a:graphic>
          </wp:inline>
        </w:drawing>
      </w:r>
    </w:p>
    <w:p w14:paraId="76887A9A" w14:textId="22C0E5FC" w:rsidR="00B142C0" w:rsidRPr="00B142C0" w:rsidRDefault="00B142C0" w:rsidP="00B142C0">
      <w:pPr>
        <w:spacing w:line="480" w:lineRule="auto"/>
        <w:jc w:val="center"/>
        <w:rPr>
          <w:i/>
        </w:rPr>
      </w:pPr>
      <w:r w:rsidRPr="00B142C0">
        <w:rPr>
          <w:i/>
        </w:rPr>
        <w:t>Figure 4 – Micromotion testing set-up with simplified detail section view of distal implant location in relation to loa</w:t>
      </w:r>
      <w:r w:rsidR="00E05D46">
        <w:rPr>
          <w:i/>
        </w:rPr>
        <w:t>d applicator and LVDT fixture (t</w:t>
      </w:r>
      <w:r w:rsidRPr="00B142C0">
        <w:rPr>
          <w:i/>
        </w:rPr>
        <w:t>). Push out test schematic</w:t>
      </w:r>
      <w:r w:rsidRPr="00B142C0" w:rsidDel="002810C4">
        <w:rPr>
          <w:i/>
        </w:rPr>
        <w:t xml:space="preserve"> </w:t>
      </w:r>
      <w:r w:rsidR="00E05D46">
        <w:rPr>
          <w:i/>
        </w:rPr>
        <w:t>(b</w:t>
      </w:r>
      <w:r w:rsidRPr="00B142C0">
        <w:rPr>
          <w:i/>
        </w:rPr>
        <w:t>). Both not to scale.</w:t>
      </w:r>
    </w:p>
    <w:p w14:paraId="01767446" w14:textId="77777777" w:rsidR="0092707A" w:rsidRPr="00E179F9" w:rsidRDefault="0092707A" w:rsidP="00674ACB">
      <w:pPr>
        <w:spacing w:line="480" w:lineRule="auto"/>
        <w:rPr>
          <w:b/>
          <w:i/>
        </w:rPr>
      </w:pPr>
      <w:r w:rsidRPr="007D275F">
        <w:rPr>
          <w:b/>
          <w:i/>
        </w:rPr>
        <w:t>Push Out Set-Up</w:t>
      </w:r>
    </w:p>
    <w:p w14:paraId="3857488B" w14:textId="4755013E" w:rsidR="0092707A" w:rsidRDefault="007D57CC" w:rsidP="00674ACB">
      <w:pPr>
        <w:spacing w:line="480" w:lineRule="auto"/>
      </w:pPr>
      <w:r>
        <w:tab/>
        <w:t>Once the micromotion test had been completed</w:t>
      </w:r>
      <w:r w:rsidR="007D25B3">
        <w:t>,</w:t>
      </w:r>
      <w:r>
        <w:t xml:space="preserve"> the</w:t>
      </w:r>
      <w:r w:rsidR="005E2858">
        <w:t xml:space="preserve"> femur specimens were </w:t>
      </w:r>
      <w:r w:rsidR="00C2632B">
        <w:t>resected approximately 5 mm proximal to the implant, and a push-out test performed on an</w:t>
      </w:r>
      <w:r w:rsidR="00125889">
        <w:t xml:space="preserve"> unconstrained horizontal table</w:t>
      </w:r>
      <w:r w:rsidR="005E7BCA">
        <w:t xml:space="preserve"> in order to ensure that there were no secondary out of plane forces induced</w:t>
      </w:r>
      <w:r w:rsidR="00125889">
        <w:t xml:space="preserve">. A rod </w:t>
      </w:r>
      <w:r w:rsidR="00125889">
        <w:lastRenderedPageBreak/>
        <w:t xml:space="preserve">was attached to the </w:t>
      </w:r>
      <w:r w:rsidR="005E7BCA">
        <w:t>I</w:t>
      </w:r>
      <w:r w:rsidR="00125889">
        <w:t xml:space="preserve">nstron actuator via </w:t>
      </w:r>
      <w:r w:rsidR="006C1616">
        <w:t xml:space="preserve">the </w:t>
      </w:r>
      <w:r w:rsidR="00125889">
        <w:t xml:space="preserve">10 </w:t>
      </w:r>
      <w:proofErr w:type="spellStart"/>
      <w:proofErr w:type="gramStart"/>
      <w:r w:rsidR="00125889">
        <w:t>kN</w:t>
      </w:r>
      <w:proofErr w:type="spellEnd"/>
      <w:proofErr w:type="gramEnd"/>
      <w:r w:rsidR="00125889">
        <w:t xml:space="preserve"> load cell and pushed the implants out of the canal of the sectioned femur</w:t>
      </w:r>
      <w:r w:rsidR="00AD5C21">
        <w:t xml:space="preserve"> at </w:t>
      </w:r>
      <w:r w:rsidR="00AD5C21" w:rsidRPr="00AD5C21">
        <w:t>5mm/min</w:t>
      </w:r>
      <w:r w:rsidR="00125889">
        <w:t>. Data was collected at 100 Hz, the peak compressive load recorded by the load cell was defined as the peak push out load.</w:t>
      </w:r>
      <w:r w:rsidR="00B63AE1">
        <w:t xml:space="preserve"> The bone implant interface shear strength was calculated by dividing the peak push out load by the interface surface area.</w:t>
      </w:r>
      <w:r w:rsidR="004A572B" w:rsidRPr="004A572B">
        <w:t xml:space="preserve"> </w:t>
      </w:r>
      <w:r w:rsidR="004A572B">
        <w:t xml:space="preserve">Figure </w:t>
      </w:r>
      <w:r w:rsidR="006A7C16">
        <w:t>4</w:t>
      </w:r>
      <w:r w:rsidR="004A572B">
        <w:t xml:space="preserve"> presents a diagram of the push out testing set-up.</w:t>
      </w:r>
    </w:p>
    <w:p w14:paraId="59CB4A89" w14:textId="77777777" w:rsidR="00AE6484" w:rsidRPr="00811865" w:rsidRDefault="00811865" w:rsidP="00674ACB">
      <w:pPr>
        <w:spacing w:line="480" w:lineRule="auto"/>
        <w:rPr>
          <w:b/>
          <w:i/>
        </w:rPr>
      </w:pPr>
      <w:r w:rsidRPr="00811865">
        <w:rPr>
          <w:b/>
          <w:i/>
        </w:rPr>
        <w:t>Subsequent Tests</w:t>
      </w:r>
    </w:p>
    <w:p w14:paraId="04F3AD3F" w14:textId="1CD5F8BE" w:rsidR="00801396" w:rsidRDefault="00811865" w:rsidP="00674ACB">
      <w:pPr>
        <w:spacing w:line="480" w:lineRule="auto"/>
      </w:pPr>
      <w:r>
        <w:tab/>
      </w:r>
      <w:r w:rsidR="009E2058">
        <w:t>To</w:t>
      </w:r>
      <w:r>
        <w:t xml:space="preserve"> make full use of the specimens and to test the implants at different amputation heights</w:t>
      </w:r>
      <w:r w:rsidR="001E165C">
        <w:t>,</w:t>
      </w:r>
      <w:r>
        <w:t xml:space="preserve"> multiple tests were performed on the same specimens within the middle third of the femur as defined by the anatomical axis</w:t>
      </w:r>
      <w:r w:rsidR="00FE0C4E">
        <w:t>.</w:t>
      </w:r>
      <w:r w:rsidR="00BA3625">
        <w:t xml:space="preserve"> Once a push out test was performed an</w:t>
      </w:r>
      <w:r w:rsidR="00251A1D">
        <w:t>other</w:t>
      </w:r>
      <w:r w:rsidR="00BA3625">
        <w:t xml:space="preserve"> implant would be inserted in the remaining pre potted femur after which a micromotion test would occur at this new dissection level and then a push out test and so on.</w:t>
      </w:r>
      <w:r w:rsidR="00D137A5">
        <w:t xml:space="preserve"> In total</w:t>
      </w:r>
      <w:r w:rsidR="0016102D" w:rsidRPr="008E3443">
        <w:t xml:space="preserve"> 12 </w:t>
      </w:r>
      <w:r w:rsidR="0016102D">
        <w:t>stiffness matched</w:t>
      </w:r>
      <w:r w:rsidR="0016102D" w:rsidRPr="008E3443">
        <w:t xml:space="preserve"> </w:t>
      </w:r>
      <w:r w:rsidR="00D137A5">
        <w:t>implant tests</w:t>
      </w:r>
      <w:r w:rsidR="0016102D" w:rsidRPr="008E3443">
        <w:t xml:space="preserve"> and 13 solid </w:t>
      </w:r>
      <w:r w:rsidR="0016102D">
        <w:t>implant</w:t>
      </w:r>
      <w:r w:rsidR="00D137A5">
        <w:t xml:space="preserve"> test</w:t>
      </w:r>
      <w:r w:rsidR="0016102D">
        <w:t>s</w:t>
      </w:r>
      <w:r w:rsidR="00D137A5">
        <w:t xml:space="preserve"> were performed</w:t>
      </w:r>
      <w:r w:rsidR="0016102D" w:rsidRPr="008E3443">
        <w:t>.</w:t>
      </w:r>
      <w:r w:rsidR="00BA3625">
        <w:t xml:space="preserve"> </w:t>
      </w:r>
      <w:r>
        <w:t xml:space="preserve">All tests on the same specimen were performed in the same </w:t>
      </w:r>
      <w:r w:rsidR="00BA3625">
        <w:t>freeze thaw cycle, all specimens were subjected to three freeze thawing cycles in total.</w:t>
      </w:r>
      <w:r>
        <w:t xml:space="preserve"> </w:t>
      </w:r>
    </w:p>
    <w:p w14:paraId="3634717E" w14:textId="77777777" w:rsidR="00D36BAB" w:rsidRPr="00AE6484" w:rsidRDefault="00D36BAB" w:rsidP="00674ACB">
      <w:pPr>
        <w:spacing w:line="480" w:lineRule="auto"/>
        <w:rPr>
          <w:b/>
          <w:i/>
        </w:rPr>
      </w:pPr>
      <w:r w:rsidRPr="00AE6484">
        <w:rPr>
          <w:b/>
          <w:i/>
        </w:rPr>
        <w:t>Statistics</w:t>
      </w:r>
    </w:p>
    <w:p w14:paraId="6F6DE0C6" w14:textId="6D937821" w:rsidR="003C5FCB" w:rsidRDefault="000F1139" w:rsidP="00674ACB">
      <w:pPr>
        <w:spacing w:line="480" w:lineRule="auto"/>
        <w:rPr>
          <w:rFonts w:cs="Times New Roman"/>
          <w:szCs w:val="24"/>
        </w:rPr>
      </w:pPr>
      <w:r>
        <w:tab/>
      </w:r>
      <w:r w:rsidR="00E2124F">
        <w:t xml:space="preserve">All statistical </w:t>
      </w:r>
      <w:r w:rsidR="002265EF">
        <w:t xml:space="preserve">group </w:t>
      </w:r>
      <w:r w:rsidR="00E2124F">
        <w:t>a</w:t>
      </w:r>
      <w:r w:rsidR="00925536">
        <w:t>nalysis of the micromotion and push out data was</w:t>
      </w:r>
      <w:r>
        <w:t xml:space="preserve"> performed using SPSS </w:t>
      </w:r>
      <w:r w:rsidR="00925536">
        <w:t>(IBM, New York, USA).</w:t>
      </w:r>
      <w:r w:rsidR="00E2124F">
        <w:t xml:space="preserve"> </w:t>
      </w:r>
      <w:r w:rsidR="000D362A">
        <w:t>Data was initially</w:t>
      </w:r>
      <w:r w:rsidR="0016102D">
        <w:t xml:space="preserve"> assessed for outliers by inspection of </w:t>
      </w:r>
      <w:r w:rsidR="000D362A">
        <w:t>boxplots and</w:t>
      </w:r>
      <w:r w:rsidR="00265752">
        <w:t>,</w:t>
      </w:r>
      <w:r w:rsidR="000D362A">
        <w:t xml:space="preserve"> as the sample sizes were statistically low</w:t>
      </w:r>
      <w:r w:rsidR="00A17C7A">
        <w:t>,</w:t>
      </w:r>
      <w:r w:rsidR="00D13108">
        <w:t xml:space="preserve"> assessed for normality using</w:t>
      </w:r>
      <w:r w:rsidR="000D362A">
        <w:t xml:space="preserve"> the Shapiro-Wilk test. </w:t>
      </w:r>
      <w:r w:rsidR="00A17C7A">
        <w:t xml:space="preserve">If there were no outliers and the data was normal </w:t>
      </w:r>
      <w:proofErr w:type="spellStart"/>
      <w:r w:rsidR="002837F0" w:rsidRPr="00FC3CC5">
        <w:t>Levene's</w:t>
      </w:r>
      <w:proofErr w:type="spellEnd"/>
      <w:r w:rsidR="002837F0">
        <w:t xml:space="preserve"> test was used to test for </w:t>
      </w:r>
      <w:r w:rsidR="002837F0" w:rsidRPr="00FC3CC5">
        <w:t>homogeneity of variances</w:t>
      </w:r>
      <w:r w:rsidR="002837F0">
        <w:t xml:space="preserve">, then </w:t>
      </w:r>
      <w:r w:rsidR="00A17C7A">
        <w:t>a</w:t>
      </w:r>
      <w:r w:rsidR="00A17C7A" w:rsidRPr="00FC3CC5">
        <w:t xml:space="preserve">n independent-samples t-test was </w:t>
      </w:r>
      <w:r w:rsidR="00A17C7A">
        <w:t xml:space="preserve">performed. If the assumption of normality was violated and there were outliers present </w:t>
      </w:r>
      <w:r w:rsidR="00A17C7A" w:rsidRPr="00496B3A">
        <w:rPr>
          <w:rFonts w:ascii="Calibri" w:eastAsia="Times New Roman" w:hAnsi="Calibri" w:cs="Times New Roman"/>
          <w:lang w:eastAsia="en-GB"/>
        </w:rPr>
        <w:t xml:space="preserve">a Mann-Whitney U </w:t>
      </w:r>
      <w:r w:rsidR="00090DDC">
        <w:rPr>
          <w:rFonts w:ascii="Calibri" w:eastAsia="Times New Roman" w:hAnsi="Calibri" w:cs="Times New Roman"/>
          <w:lang w:eastAsia="en-GB"/>
        </w:rPr>
        <w:t>t</w:t>
      </w:r>
      <w:r w:rsidR="00A17C7A" w:rsidRPr="00496B3A">
        <w:rPr>
          <w:rFonts w:ascii="Calibri" w:eastAsia="Times New Roman" w:hAnsi="Calibri" w:cs="Times New Roman"/>
          <w:lang w:eastAsia="en-GB"/>
        </w:rPr>
        <w:t xml:space="preserve">est was </w:t>
      </w:r>
      <w:r w:rsidR="00A17C7A">
        <w:rPr>
          <w:rFonts w:ascii="Calibri" w:eastAsia="Times New Roman" w:hAnsi="Calibri" w:cs="Times New Roman"/>
          <w:lang w:eastAsia="en-GB"/>
        </w:rPr>
        <w:t>used.</w:t>
      </w:r>
      <w:r w:rsidR="00A43603">
        <w:rPr>
          <w:rFonts w:ascii="Calibri" w:eastAsia="Times New Roman" w:hAnsi="Calibri" w:cs="Times New Roman"/>
          <w:lang w:eastAsia="en-GB"/>
        </w:rPr>
        <w:t xml:space="preserve"> The effect size for Mann-Whitney U test was calculated using Cohen’</w:t>
      </w:r>
      <w:r w:rsidR="009C2069">
        <w:rPr>
          <w:rFonts w:ascii="Calibri" w:eastAsia="Times New Roman" w:hAnsi="Calibri" w:cs="Times New Roman"/>
          <w:lang w:eastAsia="en-GB"/>
        </w:rPr>
        <w:t xml:space="preserve">s </w:t>
      </w:r>
      <w:r w:rsidR="009C2069" w:rsidRPr="009C2069">
        <w:rPr>
          <w:rFonts w:ascii="Calibri" w:eastAsia="Times New Roman" w:hAnsi="Calibri" w:cs="Times New Roman"/>
          <w:i/>
          <w:lang w:eastAsia="en-GB"/>
        </w:rPr>
        <w:t>r</w:t>
      </w:r>
      <w:r w:rsidR="009C2069">
        <w:rPr>
          <w:rFonts w:ascii="Calibri" w:eastAsia="Times New Roman" w:hAnsi="Calibri" w:cs="Times New Roman"/>
          <w:lang w:eastAsia="en-GB"/>
        </w:rPr>
        <w:t>, w</w:t>
      </w:r>
      <w:r w:rsidR="00A43603">
        <w:rPr>
          <w:rFonts w:ascii="Calibri" w:eastAsia="Times New Roman" w:hAnsi="Calibri" w:cs="Times New Roman"/>
          <w:lang w:eastAsia="en-GB"/>
        </w:rPr>
        <w:t xml:space="preserve">here </w:t>
      </w:r>
      <w:r w:rsidR="00A43603">
        <w:rPr>
          <w:rFonts w:cs="Times New Roman"/>
          <w:szCs w:val="24"/>
        </w:rPr>
        <w:t>0.5 denotes a large effect, 0.3 a medium effect and 0.1 a small effect.</w:t>
      </w:r>
    </w:p>
    <w:p w14:paraId="62425C2C" w14:textId="77777777" w:rsidR="004F70D0" w:rsidRDefault="004F70D0" w:rsidP="00674ACB">
      <w:pPr>
        <w:spacing w:line="480" w:lineRule="auto"/>
        <w:rPr>
          <w:rFonts w:cs="Times New Roman"/>
          <w:szCs w:val="24"/>
        </w:rPr>
      </w:pPr>
    </w:p>
    <w:p w14:paraId="78FA0ADF" w14:textId="77777777" w:rsidR="004F70D0" w:rsidRPr="003C5FCB" w:rsidRDefault="004F70D0" w:rsidP="00674ACB">
      <w:pPr>
        <w:spacing w:line="480" w:lineRule="auto"/>
        <w:rPr>
          <w:rFonts w:cs="Times New Roman"/>
          <w:szCs w:val="24"/>
        </w:rPr>
      </w:pPr>
    </w:p>
    <w:p w14:paraId="3F9FB0E0" w14:textId="77777777" w:rsidR="006C1F77" w:rsidRDefault="006C1F77" w:rsidP="00674ACB">
      <w:pPr>
        <w:spacing w:line="480" w:lineRule="auto"/>
        <w:rPr>
          <w:b/>
        </w:rPr>
      </w:pPr>
      <w:r w:rsidRPr="00B516B2">
        <w:rPr>
          <w:b/>
        </w:rPr>
        <w:lastRenderedPageBreak/>
        <w:t>Results</w:t>
      </w:r>
    </w:p>
    <w:p w14:paraId="6C5144CF" w14:textId="77777777" w:rsidR="00090DDC" w:rsidRPr="00327FAC" w:rsidRDefault="00E2124F" w:rsidP="00537763">
      <w:pPr>
        <w:spacing w:line="480" w:lineRule="auto"/>
        <w:rPr>
          <w:b/>
          <w:i/>
        </w:rPr>
      </w:pPr>
      <w:r>
        <w:rPr>
          <w:b/>
          <w:i/>
        </w:rPr>
        <w:t>Micromotion</w:t>
      </w:r>
    </w:p>
    <w:p w14:paraId="05B5FEF7" w14:textId="45B8E53A" w:rsidR="00C64127" w:rsidRDefault="00987B95" w:rsidP="00AF74F4">
      <w:pPr>
        <w:spacing w:line="480" w:lineRule="auto"/>
      </w:pPr>
      <w:r>
        <w:tab/>
        <w:t xml:space="preserve">One outlier was found in the </w:t>
      </w:r>
      <w:r>
        <w:rPr>
          <w:rFonts w:ascii="Calibri" w:eastAsia="Times New Roman" w:hAnsi="Calibri" w:cs="Times New Roman"/>
          <w:lang w:eastAsia="en-GB"/>
        </w:rPr>
        <w:t>data for the maximum micromotion of the solid implant</w:t>
      </w:r>
      <w:r w:rsidR="00090DDC">
        <w:rPr>
          <w:rFonts w:ascii="Calibri" w:eastAsia="Times New Roman" w:hAnsi="Calibri" w:cs="Times New Roman"/>
          <w:lang w:eastAsia="en-GB"/>
        </w:rPr>
        <w:t xml:space="preserve"> between 1.5 and 3 interquartile</w:t>
      </w:r>
      <w:r>
        <w:rPr>
          <w:rFonts w:ascii="Calibri" w:eastAsia="Times New Roman" w:hAnsi="Calibri" w:cs="Times New Roman"/>
          <w:lang w:eastAsia="en-GB"/>
        </w:rPr>
        <w:t xml:space="preserve"> r</w:t>
      </w:r>
      <w:r w:rsidR="00090DDC">
        <w:rPr>
          <w:rFonts w:ascii="Calibri" w:eastAsia="Times New Roman" w:hAnsi="Calibri" w:cs="Times New Roman"/>
          <w:lang w:eastAsia="en-GB"/>
        </w:rPr>
        <w:t>anges away from the upper bound</w:t>
      </w:r>
      <w:r>
        <w:rPr>
          <w:rFonts w:ascii="Calibri" w:eastAsia="Times New Roman" w:hAnsi="Calibri" w:cs="Times New Roman"/>
          <w:lang w:eastAsia="en-GB"/>
        </w:rPr>
        <w:t>. For the stiffness matched implant both the mean and maximum micromotion</w:t>
      </w:r>
      <w:r w:rsidR="00090DDC">
        <w:rPr>
          <w:rFonts w:ascii="Calibri" w:eastAsia="Times New Roman" w:hAnsi="Calibri" w:cs="Times New Roman"/>
          <w:lang w:eastAsia="en-GB"/>
        </w:rPr>
        <w:t xml:space="preserve"> data</w:t>
      </w:r>
      <w:r>
        <w:rPr>
          <w:rFonts w:ascii="Calibri" w:eastAsia="Times New Roman" w:hAnsi="Calibri" w:cs="Times New Roman"/>
          <w:lang w:eastAsia="en-GB"/>
        </w:rPr>
        <w:t xml:space="preserve"> violated </w:t>
      </w:r>
      <w:r w:rsidR="002837F0">
        <w:rPr>
          <w:rFonts w:ascii="Calibri" w:eastAsia="Times New Roman" w:hAnsi="Calibri" w:cs="Times New Roman"/>
          <w:lang w:eastAsia="en-GB"/>
        </w:rPr>
        <w:t>normality</w:t>
      </w:r>
      <w:r w:rsidRPr="00B12181">
        <w:t xml:space="preserve"> test</w:t>
      </w:r>
      <w:r w:rsidR="002837F0">
        <w:t xml:space="preserve">ing. </w:t>
      </w:r>
      <w:r w:rsidR="00327FAC">
        <w:t xml:space="preserve">The mean stiffness matched implant mean and maximum micromotions were 3.02 µm and 5.65 µm, respectively. These were higher than the means of the solid implant, which were 1.12 µm (mean) and 2.01 µm (maximum). </w:t>
      </w:r>
      <w:r w:rsidR="00327FAC">
        <w:rPr>
          <w:rFonts w:ascii="Calibri" w:eastAsia="Times New Roman" w:hAnsi="Calibri" w:cs="Times New Roman"/>
          <w:lang w:eastAsia="en-GB"/>
        </w:rPr>
        <w:t>The</w:t>
      </w:r>
      <w:r w:rsidR="00090DDC">
        <w:rPr>
          <w:rFonts w:ascii="Calibri" w:eastAsia="Times New Roman" w:hAnsi="Calibri" w:cs="Times New Roman"/>
          <w:lang w:eastAsia="en-GB"/>
        </w:rPr>
        <w:t xml:space="preserve"> distributions</w:t>
      </w:r>
      <w:r w:rsidR="00090DDC" w:rsidRPr="00511749">
        <w:rPr>
          <w:rFonts w:ascii="Calibri" w:eastAsia="Times New Roman" w:hAnsi="Calibri" w:cs="Times New Roman"/>
          <w:lang w:eastAsia="en-GB"/>
        </w:rPr>
        <w:t xml:space="preserve"> for</w:t>
      </w:r>
      <w:r w:rsidR="00327FAC">
        <w:rPr>
          <w:rFonts w:ascii="Calibri" w:eastAsia="Times New Roman" w:hAnsi="Calibri" w:cs="Times New Roman"/>
          <w:lang w:eastAsia="en-GB"/>
        </w:rPr>
        <w:t xml:space="preserve"> both micromotion measures for the</w:t>
      </w:r>
      <w:r w:rsidR="00090DDC" w:rsidRPr="00511749">
        <w:rPr>
          <w:rFonts w:ascii="Calibri" w:eastAsia="Times New Roman" w:hAnsi="Calibri" w:cs="Times New Roman"/>
          <w:lang w:eastAsia="en-GB"/>
        </w:rPr>
        <w:t xml:space="preserve"> stiffness matche</w:t>
      </w:r>
      <w:r w:rsidR="00090DDC">
        <w:rPr>
          <w:rFonts w:ascii="Calibri" w:eastAsia="Times New Roman" w:hAnsi="Calibri" w:cs="Times New Roman"/>
          <w:lang w:eastAsia="en-GB"/>
        </w:rPr>
        <w:t xml:space="preserve">d implants </w:t>
      </w:r>
      <w:r w:rsidR="00090DDC" w:rsidRPr="00511749">
        <w:rPr>
          <w:rFonts w:ascii="Calibri" w:eastAsia="Times New Roman" w:hAnsi="Calibri" w:cs="Times New Roman"/>
          <w:lang w:eastAsia="en-GB"/>
        </w:rPr>
        <w:t>were statistically significantly higher than for sol</w:t>
      </w:r>
      <w:r w:rsidR="00090DDC">
        <w:rPr>
          <w:rFonts w:ascii="Calibri" w:eastAsia="Times New Roman" w:hAnsi="Calibri" w:cs="Times New Roman"/>
          <w:lang w:eastAsia="en-GB"/>
        </w:rPr>
        <w:t>id implants (</w:t>
      </w:r>
      <w:r w:rsidR="00DF5058">
        <w:rPr>
          <w:rFonts w:ascii="Calibri" w:eastAsia="Times New Roman" w:hAnsi="Calibri" w:cs="Times New Roman"/>
          <w:lang w:eastAsia="en-GB"/>
        </w:rPr>
        <w:t xml:space="preserve">mean micromotion </w:t>
      </w:r>
      <w:r w:rsidR="00090DDC" w:rsidRPr="00511749">
        <w:rPr>
          <w:rFonts w:ascii="Calibri" w:eastAsia="Times New Roman" w:hAnsi="Calibri" w:cs="Times New Roman"/>
          <w:i/>
          <w:lang w:eastAsia="en-GB"/>
        </w:rPr>
        <w:t>p</w:t>
      </w:r>
      <w:r w:rsidR="00090DDC" w:rsidRPr="00511749">
        <w:rPr>
          <w:rFonts w:ascii="Calibri" w:eastAsia="Times New Roman" w:hAnsi="Calibri" w:cs="Times New Roman"/>
          <w:lang w:eastAsia="en-GB"/>
        </w:rPr>
        <w:t xml:space="preserve"> &lt; .001</w:t>
      </w:r>
      <w:r w:rsidR="001113B7">
        <w:rPr>
          <w:rFonts w:ascii="Calibri" w:eastAsia="Times New Roman" w:hAnsi="Calibri" w:cs="Times New Roman"/>
          <w:lang w:eastAsia="en-GB"/>
        </w:rPr>
        <w:t xml:space="preserve">, </w:t>
      </w:r>
      <w:r w:rsidR="004908AF" w:rsidRPr="004908AF">
        <w:rPr>
          <w:rFonts w:ascii="Calibri" w:eastAsia="Times New Roman" w:hAnsi="Calibri" w:cs="Times New Roman"/>
          <w:i/>
          <w:lang w:eastAsia="en-GB"/>
        </w:rPr>
        <w:t>r</w:t>
      </w:r>
      <w:r w:rsidR="004908AF">
        <w:rPr>
          <w:rFonts w:ascii="Calibri" w:eastAsia="Times New Roman" w:hAnsi="Calibri" w:cs="Times New Roman"/>
          <w:lang w:eastAsia="en-GB"/>
        </w:rPr>
        <w:t xml:space="preserve"> </w:t>
      </w:r>
      <w:r w:rsidR="00DF5058">
        <w:rPr>
          <w:rFonts w:ascii="Calibri" w:eastAsia="Times New Roman" w:hAnsi="Calibri" w:cs="Times New Roman"/>
          <w:lang w:eastAsia="en-GB"/>
        </w:rPr>
        <w:t>=</w:t>
      </w:r>
      <w:r w:rsidR="008B5ABA">
        <w:rPr>
          <w:rFonts w:ascii="Calibri" w:eastAsia="Times New Roman" w:hAnsi="Calibri" w:cs="Times New Roman"/>
          <w:lang w:eastAsia="en-GB"/>
        </w:rPr>
        <w:t xml:space="preserve"> </w:t>
      </w:r>
      <w:r w:rsidR="00DF5058">
        <w:rPr>
          <w:rFonts w:ascii="Calibri" w:eastAsia="Times New Roman" w:hAnsi="Calibri" w:cs="Times New Roman"/>
          <w:lang w:eastAsia="en-GB"/>
        </w:rPr>
        <w:t xml:space="preserve">0.71 &amp; maximum micromotion </w:t>
      </w:r>
      <w:r w:rsidR="00DF5058" w:rsidRPr="00511749">
        <w:rPr>
          <w:rFonts w:ascii="Calibri" w:eastAsia="Times New Roman" w:hAnsi="Calibri" w:cs="Times New Roman"/>
          <w:i/>
          <w:lang w:eastAsia="en-GB"/>
        </w:rPr>
        <w:t>p</w:t>
      </w:r>
      <w:r w:rsidR="00DF5058" w:rsidRPr="00511749">
        <w:rPr>
          <w:rFonts w:ascii="Calibri" w:eastAsia="Times New Roman" w:hAnsi="Calibri" w:cs="Times New Roman"/>
          <w:lang w:eastAsia="en-GB"/>
        </w:rPr>
        <w:t xml:space="preserve"> &lt; .001</w:t>
      </w:r>
      <w:r w:rsidR="00DF5058">
        <w:rPr>
          <w:rFonts w:ascii="Calibri" w:eastAsia="Times New Roman" w:hAnsi="Calibri" w:cs="Times New Roman"/>
          <w:lang w:eastAsia="en-GB"/>
        </w:rPr>
        <w:t xml:space="preserve">, </w:t>
      </w:r>
      <w:r w:rsidR="00DF5058" w:rsidRPr="004908AF">
        <w:rPr>
          <w:rFonts w:ascii="Calibri" w:eastAsia="Times New Roman" w:hAnsi="Calibri" w:cs="Times New Roman"/>
          <w:i/>
          <w:lang w:eastAsia="en-GB"/>
        </w:rPr>
        <w:t>r</w:t>
      </w:r>
      <w:r w:rsidR="008B5ABA">
        <w:rPr>
          <w:rFonts w:ascii="Calibri" w:eastAsia="Times New Roman" w:hAnsi="Calibri" w:cs="Times New Roman"/>
          <w:i/>
          <w:lang w:eastAsia="en-GB"/>
        </w:rPr>
        <w:t xml:space="preserve"> </w:t>
      </w:r>
      <w:r w:rsidR="00DF5058">
        <w:rPr>
          <w:rFonts w:ascii="Calibri" w:eastAsia="Times New Roman" w:hAnsi="Calibri" w:cs="Times New Roman"/>
          <w:lang w:eastAsia="en-GB"/>
        </w:rPr>
        <w:t>=</w:t>
      </w:r>
      <w:r w:rsidR="008B5ABA">
        <w:rPr>
          <w:rFonts w:ascii="Calibri" w:eastAsia="Times New Roman" w:hAnsi="Calibri" w:cs="Times New Roman"/>
          <w:lang w:eastAsia="en-GB"/>
        </w:rPr>
        <w:t xml:space="preserve"> </w:t>
      </w:r>
      <w:r w:rsidR="00DF5058">
        <w:rPr>
          <w:rFonts w:ascii="Calibri" w:eastAsia="Times New Roman" w:hAnsi="Calibri" w:cs="Times New Roman"/>
          <w:lang w:eastAsia="en-GB"/>
        </w:rPr>
        <w:t>0.69</w:t>
      </w:r>
      <w:r w:rsidR="004908AF">
        <w:rPr>
          <w:rFonts w:ascii="Calibri" w:eastAsia="Times New Roman" w:hAnsi="Calibri" w:cs="Times New Roman"/>
          <w:lang w:eastAsia="en-GB"/>
        </w:rPr>
        <w:t>)</w:t>
      </w:r>
      <w:r w:rsidR="00090DDC">
        <w:rPr>
          <w:rFonts w:ascii="Calibri" w:eastAsia="Times New Roman" w:hAnsi="Calibri" w:cs="Times New Roman"/>
          <w:lang w:eastAsia="en-GB"/>
        </w:rPr>
        <w:t>.</w:t>
      </w:r>
      <w:r w:rsidR="00A43603">
        <w:rPr>
          <w:rFonts w:ascii="Calibri" w:eastAsia="Times New Roman" w:hAnsi="Calibri" w:cs="Times New Roman"/>
          <w:lang w:eastAsia="en-GB"/>
        </w:rPr>
        <w:t xml:space="preserve"> </w:t>
      </w:r>
      <w:r w:rsidR="00537763">
        <w:t xml:space="preserve">The results for both the mean and maximum micromotion results can be seen in figure </w:t>
      </w:r>
      <w:r w:rsidR="006A7C16">
        <w:t>5</w:t>
      </w:r>
      <w:r w:rsidR="00537763">
        <w:t>.</w:t>
      </w:r>
    </w:p>
    <w:p w14:paraId="611927AA" w14:textId="1553C8D9" w:rsidR="00C64127" w:rsidRDefault="00AF74F4" w:rsidP="00AF74F4">
      <w:pPr>
        <w:spacing w:line="480" w:lineRule="auto"/>
        <w:jc w:val="center"/>
      </w:pPr>
      <w:r>
        <w:rPr>
          <w:noProof/>
          <w:lang w:eastAsia="en-GB"/>
        </w:rPr>
        <w:drawing>
          <wp:inline distT="0" distB="0" distL="0" distR="0" wp14:anchorId="6E1B5D49" wp14:editId="48EA2A15">
            <wp:extent cx="3384467" cy="3575934"/>
            <wp:effectExtent l="0" t="0" r="698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6748" cy="3588910"/>
                    </a:xfrm>
                    <a:prstGeom prst="rect">
                      <a:avLst/>
                    </a:prstGeom>
                    <a:noFill/>
                    <a:ln>
                      <a:noFill/>
                    </a:ln>
                  </pic:spPr>
                </pic:pic>
              </a:graphicData>
            </a:graphic>
          </wp:inline>
        </w:drawing>
      </w:r>
    </w:p>
    <w:p w14:paraId="603222DD" w14:textId="013A8C40" w:rsidR="00436CF5" w:rsidRPr="00436CF5" w:rsidRDefault="00436CF5" w:rsidP="00436CF5">
      <w:pPr>
        <w:spacing w:line="480" w:lineRule="auto"/>
        <w:jc w:val="center"/>
        <w:rPr>
          <w:i/>
        </w:rPr>
      </w:pPr>
      <w:r w:rsidRPr="00436CF5">
        <w:rPr>
          <w:i/>
        </w:rPr>
        <w:t xml:space="preserve">Figure 5 – Bar chart of the means for both the mean and maximum micromotions across all three LVDTs with 95% confidence interval error bars. </w:t>
      </w:r>
      <w:proofErr w:type="spellStart"/>
      <w:r w:rsidRPr="00436CF5">
        <w:rPr>
          <w:i/>
        </w:rPr>
        <w:t>Asterix</w:t>
      </w:r>
      <w:proofErr w:type="spellEnd"/>
      <w:r w:rsidRPr="00436CF5">
        <w:rPr>
          <w:i/>
        </w:rPr>
        <w:t xml:space="preserve"> denotes statistical significant difference with large effect size. Horizontal</w:t>
      </w:r>
      <w:r>
        <w:rPr>
          <w:i/>
        </w:rPr>
        <w:t xml:space="preserve"> dashed</w:t>
      </w:r>
      <w:r w:rsidRPr="00436CF5">
        <w:rPr>
          <w:i/>
        </w:rPr>
        <w:t xml:space="preserve"> lines at 20 µm and 40 µm are included for reference.</w:t>
      </w:r>
    </w:p>
    <w:p w14:paraId="6B3D2EEA" w14:textId="70BF1DAC" w:rsidR="00E2124F" w:rsidRPr="00E2124F" w:rsidRDefault="00E2124F" w:rsidP="005E223A">
      <w:pPr>
        <w:spacing w:line="480" w:lineRule="auto"/>
        <w:rPr>
          <w:b/>
          <w:i/>
        </w:rPr>
      </w:pPr>
      <w:r w:rsidRPr="00E2124F">
        <w:rPr>
          <w:b/>
          <w:i/>
        </w:rPr>
        <w:lastRenderedPageBreak/>
        <w:t>Push Out</w:t>
      </w:r>
    </w:p>
    <w:p w14:paraId="60DF655A" w14:textId="477276F9" w:rsidR="00436CF5" w:rsidRDefault="00FC3CC5" w:rsidP="009912DF">
      <w:pPr>
        <w:spacing w:line="480" w:lineRule="auto"/>
        <w:ind w:firstLine="720"/>
      </w:pPr>
      <w:r w:rsidRPr="00FC3CC5">
        <w:t>The</w:t>
      </w:r>
      <w:r w:rsidR="00350C0C">
        <w:t>re were no outliers in the data, the data for both implant type</w:t>
      </w:r>
      <w:r w:rsidR="006724E4">
        <w:t>s</w:t>
      </w:r>
      <w:r w:rsidR="00350C0C">
        <w:t xml:space="preserve"> w</w:t>
      </w:r>
      <w:r w:rsidR="006724E4">
        <w:t>ere</w:t>
      </w:r>
      <w:r w:rsidR="00350C0C">
        <w:t xml:space="preserve"> normally distributed and there was </w:t>
      </w:r>
      <w:r w:rsidR="00350C0C" w:rsidRPr="00FC3CC5">
        <w:t>homogeneity of variances</w:t>
      </w:r>
      <w:r w:rsidR="002837F0">
        <w:t xml:space="preserve">. </w:t>
      </w:r>
      <w:r w:rsidR="00350C0C">
        <w:t>The m</w:t>
      </w:r>
      <w:r w:rsidRPr="00FC3CC5">
        <w:t>ean</w:t>
      </w:r>
      <w:r w:rsidR="00350C0C">
        <w:t xml:space="preserve"> (± standard deviation) push out load </w:t>
      </w:r>
      <w:r w:rsidR="005F1E45">
        <w:t>was</w:t>
      </w:r>
      <w:r w:rsidR="00350C0C">
        <w:t xml:space="preserve"> </w:t>
      </w:r>
      <w:r w:rsidRPr="00FC3CC5">
        <w:t>2248 N ± 398 N</w:t>
      </w:r>
      <w:r w:rsidR="000F4F9C">
        <w:t xml:space="preserve"> for the solid implant</w:t>
      </w:r>
      <w:r w:rsidR="005F1E45">
        <w:t xml:space="preserve"> and</w:t>
      </w:r>
      <w:r w:rsidRPr="00FC3CC5">
        <w:t xml:space="preserve"> </w:t>
      </w:r>
      <w:r w:rsidR="000F4F9C" w:rsidRPr="00FC3CC5">
        <w:t>2099 N ± 499</w:t>
      </w:r>
      <w:r w:rsidR="000F4F9C">
        <w:t xml:space="preserve"> </w:t>
      </w:r>
      <w:r w:rsidR="000F4F9C" w:rsidRPr="00FC3CC5">
        <w:t xml:space="preserve">N </w:t>
      </w:r>
      <w:r w:rsidR="000F4F9C">
        <w:t xml:space="preserve">for the </w:t>
      </w:r>
      <w:r w:rsidRPr="00FC3CC5">
        <w:t>stiffness</w:t>
      </w:r>
      <w:r w:rsidR="00350C0C">
        <w:t xml:space="preserve"> matched implant</w:t>
      </w:r>
      <w:r w:rsidR="006359D3">
        <w:t>. T</w:t>
      </w:r>
      <w:r w:rsidR="005F1E45">
        <w:t>he difference in means</w:t>
      </w:r>
      <w:r w:rsidRPr="00FC3CC5">
        <w:t xml:space="preserve"> of 149 N was not statistically significant</w:t>
      </w:r>
      <w:r w:rsidR="00350C0C">
        <w:t xml:space="preserve"> (</w:t>
      </w:r>
      <w:r w:rsidR="00350C0C" w:rsidRPr="00FC3CC5">
        <w:rPr>
          <w:i/>
        </w:rPr>
        <w:t>p</w:t>
      </w:r>
      <w:r w:rsidR="00350C0C" w:rsidRPr="00FC3CC5">
        <w:t xml:space="preserve"> = .416</w:t>
      </w:r>
      <w:r w:rsidR="00350C0C">
        <w:t>)</w:t>
      </w:r>
      <w:r w:rsidRPr="00FC3CC5">
        <w:t xml:space="preserve">. </w:t>
      </w:r>
      <w:r w:rsidR="00A174DF">
        <w:t xml:space="preserve">The mean shear strength for the stiffness matched implant bone interface was 1.19 MPa. </w:t>
      </w:r>
      <w:r w:rsidR="00A63929">
        <w:t>An example push out load against time graph</w:t>
      </w:r>
      <w:r w:rsidR="00161B9E">
        <w:t xml:space="preserve"> </w:t>
      </w:r>
      <w:r w:rsidR="00161B9E" w:rsidRPr="00161B9E">
        <w:t>(specimen S5 - stiffness matched implant)</w:t>
      </w:r>
      <w:r w:rsidR="00AB5BA4">
        <w:t xml:space="preserve"> </w:t>
      </w:r>
      <w:r w:rsidR="00A63929">
        <w:t>and the</w:t>
      </w:r>
      <w:r w:rsidR="002837F0" w:rsidRPr="00FC3CC5">
        <w:t xml:space="preserve"> bar chart of the mean push out load with 95% confidence intervals </w:t>
      </w:r>
      <w:r w:rsidR="002837F0">
        <w:t xml:space="preserve">for both implant type </w:t>
      </w:r>
      <w:r w:rsidR="002837F0" w:rsidRPr="00FC3CC5">
        <w:t>can be seen</w:t>
      </w:r>
      <w:r w:rsidR="002837F0">
        <w:t xml:space="preserve"> in figure </w:t>
      </w:r>
      <w:r w:rsidR="006A7C16">
        <w:t>6</w:t>
      </w:r>
      <w:r w:rsidR="002837F0">
        <w:t xml:space="preserve">. </w:t>
      </w:r>
    </w:p>
    <w:p w14:paraId="65E42434" w14:textId="77777777" w:rsidR="009A1771" w:rsidRDefault="009A1771" w:rsidP="009A1771">
      <w:pPr>
        <w:autoSpaceDE w:val="0"/>
        <w:autoSpaceDN w:val="0"/>
        <w:adjustRightInd w:val="0"/>
        <w:spacing w:after="0" w:line="240" w:lineRule="auto"/>
        <w:rPr>
          <w:rFonts w:ascii="Times New Roman" w:hAnsi="Times New Roman" w:cs="Times New Roman"/>
          <w:sz w:val="24"/>
          <w:szCs w:val="24"/>
        </w:rPr>
      </w:pPr>
    </w:p>
    <w:p w14:paraId="75400DE6" w14:textId="4CC85CE2" w:rsidR="00436CF5" w:rsidRDefault="009912DF" w:rsidP="009912DF">
      <w:pPr>
        <w:autoSpaceDE w:val="0"/>
        <w:autoSpaceDN w:val="0"/>
        <w:adjustRightInd w:val="0"/>
        <w:spacing w:after="0" w:line="480" w:lineRule="auto"/>
        <w:jc w:val="center"/>
        <w:rPr>
          <w:i/>
        </w:rPr>
      </w:pPr>
      <w:r>
        <w:rPr>
          <w:rFonts w:ascii="Times New Roman" w:hAnsi="Times New Roman" w:cs="Times New Roman"/>
          <w:noProof/>
          <w:sz w:val="24"/>
          <w:szCs w:val="24"/>
          <w:lang w:eastAsia="en-GB"/>
        </w:rPr>
        <w:drawing>
          <wp:inline distT="0" distB="0" distL="0" distR="0" wp14:anchorId="3CF82004" wp14:editId="4476E6C0">
            <wp:extent cx="6325506" cy="209681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50417" cy="2105072"/>
                    </a:xfrm>
                    <a:prstGeom prst="rect">
                      <a:avLst/>
                    </a:prstGeom>
                    <a:noFill/>
                    <a:ln>
                      <a:noFill/>
                    </a:ln>
                  </pic:spPr>
                </pic:pic>
              </a:graphicData>
            </a:graphic>
          </wp:inline>
        </w:drawing>
      </w:r>
      <w:r w:rsidR="00436CF5" w:rsidRPr="00436CF5">
        <w:rPr>
          <w:i/>
        </w:rPr>
        <w:t>Figure 6 – Example push out load against time graph where peak compressive load is defined as the push out load (l) &amp; mean push out loads with 95% confidence interval error bars (r).</w:t>
      </w:r>
    </w:p>
    <w:p w14:paraId="56DBE9AC" w14:textId="77777777" w:rsidR="006C1F77" w:rsidRPr="00B516B2" w:rsidRDefault="006C1F77" w:rsidP="009912DF">
      <w:pPr>
        <w:spacing w:line="480" w:lineRule="auto"/>
        <w:rPr>
          <w:b/>
        </w:rPr>
      </w:pPr>
      <w:r w:rsidRPr="00B516B2">
        <w:rPr>
          <w:b/>
        </w:rPr>
        <w:t>Discussion</w:t>
      </w:r>
    </w:p>
    <w:p w14:paraId="4DA056B5" w14:textId="0E458F80" w:rsidR="006C1F77" w:rsidRDefault="000D52B8" w:rsidP="00674ACB">
      <w:pPr>
        <w:spacing w:line="480" w:lineRule="auto"/>
      </w:pPr>
      <w:r>
        <w:tab/>
        <w:t xml:space="preserve">The main finding of this </w:t>
      </w:r>
      <w:r w:rsidR="00226B11">
        <w:rPr>
          <w:i/>
        </w:rPr>
        <w:t>in-vitr</w:t>
      </w:r>
      <w:r w:rsidRPr="000D52B8">
        <w:rPr>
          <w:i/>
        </w:rPr>
        <w:t>o</w:t>
      </w:r>
      <w:r>
        <w:t xml:space="preserve"> study is that </w:t>
      </w:r>
      <w:r w:rsidR="006338DA">
        <w:t xml:space="preserve">at the time of implantation, </w:t>
      </w:r>
      <w:r>
        <w:t>when subject to a physiological loading regime</w:t>
      </w:r>
      <w:r w:rsidR="006338DA">
        <w:t>,</w:t>
      </w:r>
      <w:r>
        <w:t xml:space="preserve"> </w:t>
      </w:r>
      <w:r w:rsidR="00264F2B">
        <w:t>both the</w:t>
      </w:r>
      <w:r>
        <w:t xml:space="preserve"> stiffness matched implant </w:t>
      </w:r>
      <w:r w:rsidR="00264F2B">
        <w:t xml:space="preserve">and the solid implant </w:t>
      </w:r>
      <w:r w:rsidR="000929A5">
        <w:t xml:space="preserve">exhibited micromotions and push out loads that would </w:t>
      </w:r>
      <w:r>
        <w:t xml:space="preserve">facilitate </w:t>
      </w:r>
      <w:r w:rsidRPr="00E306FD">
        <w:t>osseointegration</w:t>
      </w:r>
      <w:r>
        <w:t xml:space="preserve"> and </w:t>
      </w:r>
      <w:r w:rsidR="000929A5">
        <w:t>stable anchoring.</w:t>
      </w:r>
      <w:r w:rsidR="00575D32">
        <w:t xml:space="preserve"> These findings indicate that a minimal fixation surface subcutaneous distal implant is capable of withstanding and transmitting physiological loading</w:t>
      </w:r>
      <w:r w:rsidR="005432C9">
        <w:t>.</w:t>
      </w:r>
    </w:p>
    <w:p w14:paraId="1B2B34D3" w14:textId="3E7B096E" w:rsidR="00E244BD" w:rsidRDefault="00E244BD" w:rsidP="00674ACB">
      <w:pPr>
        <w:spacing w:line="480" w:lineRule="auto"/>
      </w:pPr>
      <w:r>
        <w:tab/>
      </w:r>
      <w:proofErr w:type="spellStart"/>
      <w:r w:rsidR="00544996">
        <w:t>Jasty</w:t>
      </w:r>
      <w:proofErr w:type="spellEnd"/>
      <w:r w:rsidR="00544996">
        <w:t xml:space="preserve"> </w:t>
      </w:r>
      <w:r w:rsidR="00544996" w:rsidRPr="00544996">
        <w:rPr>
          <w:i/>
        </w:rPr>
        <w:t>et al</w:t>
      </w:r>
      <w:r w:rsidR="00544996">
        <w:t>.</w:t>
      </w:r>
      <w:r w:rsidR="00B00C0C">
        <w:t xml:space="preserve"> have described 20 </w:t>
      </w:r>
      <w:r w:rsidR="00B00C0C">
        <w:sym w:font="Symbol" w:char="F06D"/>
      </w:r>
      <w:r w:rsidR="00B00C0C">
        <w:t>m</w:t>
      </w:r>
      <w:r w:rsidR="00DF43CE">
        <w:t xml:space="preserve"> and less</w:t>
      </w:r>
      <w:r w:rsidR="00B00C0C">
        <w:t xml:space="preserve"> of micromotion as compatible with stable bone ingrowth and </w:t>
      </w:r>
      <w:r w:rsidR="00DF43CE">
        <w:t>that bone formation</w:t>
      </w:r>
      <w:r w:rsidR="00B00C0C">
        <w:t xml:space="preserve"> around the implant</w:t>
      </w:r>
      <w:r w:rsidR="00DF43CE">
        <w:t xml:space="preserve"> was not </w:t>
      </w:r>
      <w:r w:rsidR="001863FA">
        <w:t xml:space="preserve">detrimentally </w:t>
      </w:r>
      <w:r w:rsidR="00DF43CE">
        <w:t xml:space="preserve">affected by this </w:t>
      </w:r>
      <w:r w:rsidR="00DF43CE">
        <w:lastRenderedPageBreak/>
        <w:t>amount of motion</w:t>
      </w:r>
      <w:r w:rsidR="00614773">
        <w:fldChar w:fldCharType="begin" w:fldLock="1"/>
      </w:r>
      <w:r w:rsidR="005C7750">
        <w:instrText>ADDIN CSL_CITATION {"citationItems":[{"id":"ITEM-1","itemData":{"DOI":"DOI Not Available","ISBN":"0021-9355 (Print)","ISSN":"0021-9355","PMID":"9160943","abstract":"Cylindrical porous-coated implants were placed in the distal femoral metaphyses of twenty dogs and were subjected to zero, twenty, forty, or 150 micrometers of oscillatory motion for eight hours each day for six weeks with use of a specially designed loading apparatus. The in vivo skeletal responses to the different magnitudes of relative motion were evaluated. Histological analysis demonstrated growth of bone into the porous coatings of all of the implants, including those that had been subjected to 150 micrometers of motion. However, the ingrown bone was in continuity with the surrounding bone only in the groups of implants that had not been subjected to motion or that had been subjected to twenty micrometers of motion; in contrast, the implants that had been subjected to forty micrometers of motion were surrounded in part by trabecular bone but also in part by fibrocartilage and fibrous tissue, and those that had been subjected to 150 micrometers of motion were surrounded by dense fibrous tissue. Trabecular microfractures were identified around three of the five implants that had been subjected to forty micrometers of motion and around four of the five that had been subjected to 150 micrometers of motion, suggesting that the ingrown bone had failed at the interface because of the large movements. The architecture of the surrounding trabecular bone also was altered by the micromotion of the implant. The implants that had stable ingrowth of bone were surrounded by a zone of trabecular atrophy, whereas those that had unstable ingrowth of bone were surrounded by a zone of trabecular hypertrophy. The trabeculae surrounding the fibrocartilage or fibrous tissue that had formed around the implants that had been subjected to forty or 150 micrometers of motion had been organized into a shell of dense bone tangential to the implant (that is, a neocortex outside the non-osseous tissue).","author":[{"dropping-particle":"","family":"Jasty","given":"M","non-dropping-particle":"","parse-names":false,"suffix":""},{"dropping-particle":"","family":"Bragdon","given":"C","non-dropping-particle":"","parse-names":false,"suffix":""},{"dropping-particle":"","family":"Burke","given":"D","non-dropping-particle":"","parse-names":false,"suffix":""},{"dropping-particle":"","family":"O'Connor","given":"D","non-dropping-particle":"","parse-names":false,"suffix":""},{"dropping-particle":"","family":"Lowenstein","given":"J","non-dropping-particle":"","parse-names":false,"suffix":""},{"dropping-particle":"","family":"Harris","given":"W H","non-dropping-particle":"","parse-names":false,"suffix":""}],"container-title":"Am J Bone Jt Surg","id":"ITEM-1","issue":"May","issued":{"date-parts":[["1997"]]},"page":"707-714","title":"In vivo skeletal responses to porous-surfaced implants subjected to small induced motions","type":"article-journal","volume":"79"},"uris":["http://www.mendeley.com/documents/?uuid=0e7b9c7b-50b3-422b-80c1-10171e5c01cd"]}],"mendeley":{"formattedCitation":"&lt;sup&gt;37&lt;/sup&gt;","plainTextFormattedCitation":"37","previouslyFormattedCitation":"&lt;sup&gt;37&lt;/sup&gt;"},"properties":{"noteIndex":0},"schema":"https://github.com/citation-style-language/schema/raw/master/csl-citation.json"}</w:instrText>
      </w:r>
      <w:r w:rsidR="00614773">
        <w:fldChar w:fldCharType="separate"/>
      </w:r>
      <w:r w:rsidR="005C7750" w:rsidRPr="005C7750">
        <w:rPr>
          <w:noProof/>
          <w:vertAlign w:val="superscript"/>
        </w:rPr>
        <w:t>37</w:t>
      </w:r>
      <w:r w:rsidR="00614773">
        <w:fldChar w:fldCharType="end"/>
      </w:r>
      <w:r w:rsidR="00544996">
        <w:t xml:space="preserve">.  A study on retrieved femoral prostheses by </w:t>
      </w:r>
      <w:proofErr w:type="spellStart"/>
      <w:r w:rsidR="00544996">
        <w:t>Engh</w:t>
      </w:r>
      <w:proofErr w:type="spellEnd"/>
      <w:r w:rsidR="00544996">
        <w:t xml:space="preserve"> </w:t>
      </w:r>
      <w:r w:rsidR="00544996" w:rsidRPr="00544996">
        <w:rPr>
          <w:i/>
        </w:rPr>
        <w:t>et al</w:t>
      </w:r>
      <w:r w:rsidR="00544996">
        <w:t xml:space="preserve">. found that in areas where </w:t>
      </w:r>
      <w:r w:rsidR="00544996" w:rsidRPr="00E306FD">
        <w:t>osseointegration</w:t>
      </w:r>
      <w:r w:rsidR="00544996">
        <w:t xml:space="preserve"> had taken place the relative motions were all less than 40 </w:t>
      </w:r>
      <w:r w:rsidR="00544996">
        <w:sym w:font="Symbol" w:char="F06D"/>
      </w:r>
      <w:r w:rsidR="00544996">
        <w:t>m</w:t>
      </w:r>
      <w:r w:rsidR="00B00C0C">
        <w:fldChar w:fldCharType="begin" w:fldLock="1"/>
      </w:r>
      <w:r w:rsidR="005C7750">
        <w:instrText>ADDIN CSL_CITATION {"citationItems":[{"id":"ITEM-1","itemData":{"author":[{"dropping-particle":"","family":"Engh","given":"Charles A","non-dropping-particle":"","parse-names":false,"suffix":""},{"dropping-particle":"","family":"O'Connor","given":"Daniel","non-dropping-particle":"","parse-names":false,"suffix":""},{"dropping-particle":"","family":"Jasty","given":"Murali","non-dropping-particle":"","parse-names":false,"suffix":""},{"dropping-particle":"","family":"McGovern","given":"Thomas F","non-dropping-particle":"","parse-names":false,"suffix":""},{"dropping-particle":"","family":"Bobyn","given":"J Dennis","non-dropping-particle":"","parse-names":false,"suffix":""},{"dropping-particle":"","family":"Harris","given":"William H","non-dropping-particle":"","parse-names":false,"suffix":""}],"container-title":"Clinical orthopaedics and related research","id":"ITEM-1","issued":{"date-parts":[["1992"]]},"page":"13-29","title":"Quantification of implant micromotion, strain shielding, and bone resorption with porous-coated anatomic medullary locking femoral prosthesis","type":"article-journal","volume":"285"},"uris":["http://www.mendeley.com/documents/?uuid=20c80cad-c0fd-4a81-be63-432cfd15acab"]}],"mendeley":{"formattedCitation":"&lt;sup&gt;38&lt;/sup&gt;","plainTextFormattedCitation":"38","previouslyFormattedCitation":"&lt;sup&gt;38&lt;/sup&gt;"},"properties":{"noteIndex":0},"schema":"https://github.com/citation-style-language/schema/raw/master/csl-citation.json"}</w:instrText>
      </w:r>
      <w:r w:rsidR="00B00C0C">
        <w:fldChar w:fldCharType="separate"/>
      </w:r>
      <w:r w:rsidR="005C7750" w:rsidRPr="005C7750">
        <w:rPr>
          <w:noProof/>
          <w:vertAlign w:val="superscript"/>
        </w:rPr>
        <w:t>38</w:t>
      </w:r>
      <w:r w:rsidR="00B00C0C">
        <w:fldChar w:fldCharType="end"/>
      </w:r>
      <w:r w:rsidR="00544996">
        <w:t>.</w:t>
      </w:r>
      <w:r w:rsidR="00DF43CE">
        <w:t xml:space="preserve"> All of the measured micromotions in this study were less than 20 </w:t>
      </w:r>
      <w:r w:rsidR="00DF43CE">
        <w:sym w:font="Symbol" w:char="F06D"/>
      </w:r>
      <w:r w:rsidR="00DF43CE">
        <w:t>m</w:t>
      </w:r>
      <w:r w:rsidR="00E319DF">
        <w:t xml:space="preserve"> which suggests that when subjected to equivalent loads of walking that </w:t>
      </w:r>
      <w:r w:rsidR="00E319DF" w:rsidRPr="00E306FD">
        <w:t>osseointegration</w:t>
      </w:r>
      <w:r w:rsidR="00E319DF">
        <w:t xml:space="preserve"> would be permitted.</w:t>
      </w:r>
    </w:p>
    <w:p w14:paraId="639638AC" w14:textId="464DCE41" w:rsidR="00745B2B" w:rsidRDefault="00FA7A91" w:rsidP="00674ACB">
      <w:pPr>
        <w:spacing w:line="480" w:lineRule="auto"/>
      </w:pPr>
      <w:r>
        <w:tab/>
      </w:r>
      <w:r w:rsidR="00957204">
        <w:t>The mean push out load for the stiffness matched implant was 2099 N which equated to 1.19 MPa in terms of</w:t>
      </w:r>
      <w:r w:rsidR="00486A17">
        <w:t xml:space="preserve"> average</w:t>
      </w:r>
      <w:r w:rsidR="00957204">
        <w:t xml:space="preserve"> shear strength. </w:t>
      </w:r>
      <w:r w:rsidR="00391E03">
        <w:t>In a study using a canine model</w:t>
      </w:r>
      <w:r w:rsidR="001E6765">
        <w:t>,</w:t>
      </w:r>
      <w:r w:rsidR="00391E03">
        <w:t xml:space="preserve"> Cook </w:t>
      </w:r>
      <w:r w:rsidR="00391E03">
        <w:rPr>
          <w:i/>
        </w:rPr>
        <w:t>et al</w:t>
      </w:r>
      <w:r w:rsidR="00391E03">
        <w:t>. found the transcortical interface shear strength of a titanium implant which had been implanted for 3 weeks to be 1.44 MPa</w:t>
      </w:r>
      <w:r w:rsidR="00391E03">
        <w:fldChar w:fldCharType="begin" w:fldLock="1"/>
      </w:r>
      <w:r w:rsidR="005C7750">
        <w:instrText>ADDIN CSL_CITATION {"citationItems":[{"id":"ITEM-1","itemData":{"DOI":"10.1097/00003086-198807000-00030","ISBN":"0009-921X","ISSN":"0009-921X","PMID":"2838208","abstract":"The interface mechanical characteristics and histology of commercially pure (CP) titanium- and hydroxyapatite- (HA) coated Ti-6Al-4V alloy were investigated. Interface shear strength was determined using a transcortical push-out model in dogs after periods of three, five, six, ten, and 32 weeks. Undecalcified histologic techniques with implants in situ were used to interpret differences in mechanical response. The HA-coated titanium alloy implants developed five to seven times the mean interface strength of the uncoated, beadblasted CP titanium implants. The mean values for interface shear strength increased up to 7.27 megaPascals (MPa) for the HA-coated implants after ten weeks of implantation, and the maximum mean value of interface shear strength for the uncoated CP titanium implants was 1.54 MPa. For both implant types there was a slight decrease in mean shear strength from the maximum value to that obtained after the longest implantation period (32 weeks). Histologic evaluations in all cases revealed mineralization of interface bone directly onto the HA-coated implant surface, with no fibrous tissue layer interposed between the bone and HA visible at the light microscopic level. The uncoated titanium implants had projections of bone to the implant surface with apparent direct bone-implant apposition observed in some locations. Measurements of the HA coating material made from histologic sections showed no evidence of significant HA resorption in vivo after periods of up to 32 weeks.","author":[{"dropping-particle":"","family":"Cook","given":"S D","non-dropping-particle":"","parse-names":false,"suffix":""},{"dropping-particle":"","family":"Thomas","given":"K A","non-dropping-particle":"","parse-names":false,"suffix":""},{"dropping-particle":"","family":"Kay","given":"J F","non-dropping-particle":"","parse-names":false,"suffix":""},{"dropping-particle":"","family":"Jarcho","given":"M","non-dropping-particle":"","parse-names":false,"suffix":""}],"container-title":"Clinical Orthopaedics and Related Research","id":"ITEM-1","issue":"225","issued":{"date-parts":[["1988"]]},"page":"225 - 243","title":"Hydroxyapatite-coated titanium for orthopedic implant applications","type":"article-journal","volume":"232"},"uris":["http://www.mendeley.com/documents/?uuid=752e4e5c-770b-480b-9be0-8ddce1e403ed"]}],"mendeley":{"formattedCitation":"&lt;sup&gt;39&lt;/sup&gt;","plainTextFormattedCitation":"39","previouslyFormattedCitation":"&lt;sup&gt;39&lt;/sup&gt;"},"properties":{"noteIndex":0},"schema":"https://github.com/citation-style-language/schema/raw/master/csl-citation.json"}</w:instrText>
      </w:r>
      <w:r w:rsidR="00391E03">
        <w:fldChar w:fldCharType="separate"/>
      </w:r>
      <w:r w:rsidR="005C7750" w:rsidRPr="005C7750">
        <w:rPr>
          <w:noProof/>
          <w:vertAlign w:val="superscript"/>
        </w:rPr>
        <w:t>39</w:t>
      </w:r>
      <w:r w:rsidR="00391E03">
        <w:fldChar w:fldCharType="end"/>
      </w:r>
      <w:r w:rsidR="00391E03">
        <w:t xml:space="preserve">. </w:t>
      </w:r>
      <w:r w:rsidR="00486A17">
        <w:t xml:space="preserve">Another canine study by Yang </w:t>
      </w:r>
      <w:r w:rsidR="00486A17" w:rsidRPr="00486A17">
        <w:rPr>
          <w:i/>
        </w:rPr>
        <w:t>et al</w:t>
      </w:r>
      <w:r w:rsidR="00486A17">
        <w:t>. established a shear strength of 1.41 MPa for an intramedullary femoral implant at 12 weeks</w:t>
      </w:r>
      <w:r w:rsidR="00486A17">
        <w:fldChar w:fldCharType="begin" w:fldLock="1"/>
      </w:r>
      <w:r w:rsidR="005C7750">
        <w:instrText>ADDIN CSL_CITATION {"citationItems":[{"id":"ITEM-1","itemData":{"DOI":"10.1002/(SICI)1097-4636(199707)36:1&lt;39::AID-JBM5&gt;3.0.CO;2-M","ISSN":"00219304","PMID":"9212387","abstract":"An intramedullary implant model in the canine femora was developed to evaluate the mechanical and histological responses between cancellous bone and plasma-sprayed hydroxyapatite coatings (HACs) on ti-6A1-4V implants, with 12- and 24-week follow-ups. HACs of different thicknesses were investigated. Results of the mechanical testings revealed that after 24 weeks of implantation, the mean shear strength (2.49 +/- 0.12 MPa) of the 50 microns HACs was significantly higher (p &lt; 0.05) than that of the 200 microns HACs (1.44 +/- 0.19 MPa). However, using backscattered electron images (BEIs) throughout all the implant periods, no substantial histological variations in the extent of new bone apposition between the two HACs were observed. Occasionally, solution-mediated disintegration of the 50 microns HAC was found 24 weeks postimplantation. Histomorphometric studies from the BEIs demonstrated that for both HACs the percentage of the direct HAC-cancellous bone contact was approximately 50% at 12 weeks and 75% at 24 weeks. After the mechanical tests, the 200 microns HACs had fracture sites either inside the coating layers or at the HAC-titanium interfaces, which might explain why the mechanical performance of the 200 microns HACs was inferior to that of the 50 microns HACs even though both HACs had the same histological behaviors.","author":[{"dropping-particle":"","family":"Yang","given":"C. Y.","non-dropping-particle":"","parse-names":false,"suffix":""},{"dropping-particle":"","family":"Wang","given":"B. C.","non-dropping-particle":"","parse-names":false,"suffix":""},{"dropping-particle":"","family":"Lee","given":"T. M.","non-dropping-particle":"","parse-names":false,"suffix":""},{"dropping-particle":"","family":"Chang","given":"E.","non-dropping-particle":"","parse-names":false,"suffix":""},{"dropping-particle":"","family":"Chang","given":"G. L.","non-dropping-particle":"","parse-names":false,"suffix":""}],"container-title":"Journal of Biomedical Materials Research","id":"ITEM-1","issue":"1","issued":{"date-parts":[["1997"]]},"page":"39-48","title":"Intramedullary implant of plasma-sprayed hydroxyapatite coating: An interface study","type":"article-journal","volume":"36"},"uris":["http://www.mendeley.com/documents/?uuid=69948c1f-4425-423b-aabc-aa5562f8f3f1"]}],"mendeley":{"formattedCitation":"&lt;sup&gt;40&lt;/sup&gt;","plainTextFormattedCitation":"40","previouslyFormattedCitation":"&lt;sup&gt;40&lt;/sup&gt;"},"properties":{"noteIndex":0},"schema":"https://github.com/citation-style-language/schema/raw/master/csl-citation.json"}</w:instrText>
      </w:r>
      <w:r w:rsidR="00486A17">
        <w:fldChar w:fldCharType="separate"/>
      </w:r>
      <w:r w:rsidR="005C7750" w:rsidRPr="005C7750">
        <w:rPr>
          <w:noProof/>
          <w:vertAlign w:val="superscript"/>
        </w:rPr>
        <w:t>40</w:t>
      </w:r>
      <w:r w:rsidR="00486A17">
        <w:fldChar w:fldCharType="end"/>
      </w:r>
      <w:r w:rsidR="00486A17">
        <w:t xml:space="preserve">. </w:t>
      </w:r>
      <w:r w:rsidR="001E6765">
        <w:t xml:space="preserve">These </w:t>
      </w:r>
      <w:r w:rsidR="006C1616">
        <w:t>investigations</w:t>
      </w:r>
      <w:r w:rsidR="001E6765">
        <w:t xml:space="preserve"> exhibit higher strengths than this study </w:t>
      </w:r>
      <w:r w:rsidR="00003308">
        <w:t>which</w:t>
      </w:r>
      <w:r w:rsidR="001E6765">
        <w:t xml:space="preserve"> may be due to </w:t>
      </w:r>
      <w:r w:rsidR="000A73B6" w:rsidRPr="00E306FD">
        <w:t>osseointegration</w:t>
      </w:r>
      <w:r w:rsidR="000A73B6">
        <w:t xml:space="preserve"> as the implants have been </w:t>
      </w:r>
      <w:r w:rsidR="000A73B6" w:rsidRPr="00486A17">
        <w:rPr>
          <w:i/>
        </w:rPr>
        <w:t>in-vivo</w:t>
      </w:r>
      <w:r w:rsidR="000A73B6">
        <w:t xml:space="preserve"> for a </w:t>
      </w:r>
      <w:r w:rsidR="00EC1B7D">
        <w:t>period</w:t>
      </w:r>
      <w:r w:rsidR="000A73B6">
        <w:t xml:space="preserve"> of time which will have increased the </w:t>
      </w:r>
      <w:r w:rsidR="001E6765">
        <w:t>strength of the interface</w:t>
      </w:r>
      <w:r w:rsidR="00486A17">
        <w:t xml:space="preserve">. </w:t>
      </w:r>
      <w:r w:rsidR="001E6765">
        <w:t xml:space="preserve">An </w:t>
      </w:r>
      <w:r w:rsidR="001E6765" w:rsidRPr="001E6765">
        <w:rPr>
          <w:i/>
        </w:rPr>
        <w:t>in-vitro</w:t>
      </w:r>
      <w:r w:rsidR="00957204" w:rsidRPr="001E6765">
        <w:rPr>
          <w:i/>
        </w:rPr>
        <w:t xml:space="preserve"> </w:t>
      </w:r>
      <w:r w:rsidR="00957204">
        <w:t xml:space="preserve">study by van Arkel </w:t>
      </w:r>
      <w:r w:rsidR="00957204">
        <w:rPr>
          <w:i/>
        </w:rPr>
        <w:t>et al</w:t>
      </w:r>
      <w:r w:rsidR="00957204">
        <w:t>. found the mean pull out force of a</w:t>
      </w:r>
      <w:r w:rsidR="009C40C3">
        <w:t>n</w:t>
      </w:r>
      <w:r w:rsidR="00A44326">
        <w:t xml:space="preserve"> additive manufactured</w:t>
      </w:r>
      <w:r w:rsidR="00957204">
        <w:t xml:space="preserve"> solid tapered peg to be 535 N</w:t>
      </w:r>
      <w:r w:rsidR="00F87127">
        <w:t>,</w:t>
      </w:r>
      <w:r w:rsidR="00957204">
        <w:t xml:space="preserve"> which equates </w:t>
      </w:r>
      <w:r w:rsidR="00F87127">
        <w:t>to a shear strength of 1.41 MPa and is higher than was found in this study</w:t>
      </w:r>
      <w:r w:rsidR="00F87127">
        <w:fldChar w:fldCharType="begin" w:fldLock="1"/>
      </w:r>
      <w:r w:rsidR="005C7750">
        <w:instrText>ADDIN CSL_CITATION {"citationItems":[{"id":"ITEM-1","itemData":{"DOI":"10.1002/jor.23771","ISBN":"4420759461","ISSN":"07360266","author":[{"dropping-particle":"","family":"Arkel","given":"Richard J.","non-dropping-particle":"van","parse-names":false,"suffix":""},{"dropping-particle":"","family":"Ghouse","given":"Shaaz","non-dropping-particle":"","parse-names":false,"suffix":""},{"dropping-particle":"","family":"Milner","given":"Piers E.","non-dropping-particle":"","parse-names":false,"suffix":""},{"dropping-particle":"","family":"Jeffers","given":"Jonathan R. T.","non-dropping-particle":"","parse-names":false,"suffix":""}],"container-title":"Journal of Orthopaedic Research","id":"ITEM-1","issued":{"date-parts":[["2017"]]},"page":"1-11","title":"Additive manufactured push-fit implant fixation with screw-strength pull out","type":"article-journal"},"uris":["http://www.mendeley.com/documents/?uuid=1344a102-c23b-4a4e-9499-73fe8e0037d5"]}],"mendeley":{"formattedCitation":"&lt;sup&gt;41&lt;/sup&gt;","plainTextFormattedCitation":"41","previouslyFormattedCitation":"&lt;sup&gt;41&lt;/sup&gt;"},"properties":{"noteIndex":0},"schema":"https://github.com/citation-style-language/schema/raw/master/csl-citation.json"}</w:instrText>
      </w:r>
      <w:r w:rsidR="00F87127">
        <w:fldChar w:fldCharType="separate"/>
      </w:r>
      <w:r w:rsidR="005C7750" w:rsidRPr="005C7750">
        <w:rPr>
          <w:noProof/>
          <w:vertAlign w:val="superscript"/>
        </w:rPr>
        <w:t>41</w:t>
      </w:r>
      <w:r w:rsidR="00F87127">
        <w:fldChar w:fldCharType="end"/>
      </w:r>
      <w:r w:rsidR="00F87127">
        <w:t xml:space="preserve">. </w:t>
      </w:r>
      <w:r w:rsidR="00A814CD">
        <w:t xml:space="preserve">A </w:t>
      </w:r>
      <w:r w:rsidR="00CC794F">
        <w:t>probable</w:t>
      </w:r>
      <w:r w:rsidR="00A814CD">
        <w:t xml:space="preserve"> reason for the higher push out strength</w:t>
      </w:r>
      <w:r w:rsidR="009E2058">
        <w:t>s</w:t>
      </w:r>
      <w:r w:rsidR="00A814CD">
        <w:t xml:space="preserve"> of the referenced studies may be the higher </w:t>
      </w:r>
      <w:r w:rsidR="00CC794F">
        <w:t>comparative</w:t>
      </w:r>
      <w:r w:rsidR="00A814CD">
        <w:t xml:space="preserve"> surface area in contact with the bone. In the shear strength calculation for this study the entire surface is assumed to have </w:t>
      </w:r>
      <w:r w:rsidR="00CC794F">
        <w:t>contact with bone,</w:t>
      </w:r>
      <w:r w:rsidR="00EC1B7D">
        <w:t xml:space="preserve"> however</w:t>
      </w:r>
      <w:r w:rsidR="00CC794F">
        <w:t xml:space="preserve"> as the surface is manufactured from a stochastic structure the actual contact surface area will be considerably lower. If the shear strength were to be calculated from only the lattice structure in contact with the bone then it follows that the strength would be higher.</w:t>
      </w:r>
      <w:r w:rsidR="00AD142A">
        <w:t xml:space="preserve"> </w:t>
      </w:r>
      <w:r w:rsidR="00A44326">
        <w:t>The van Arkel study also utilised a mechanical testing machine f</w:t>
      </w:r>
      <w:r w:rsidR="004921B1">
        <w:t xml:space="preserve">or the </w:t>
      </w:r>
      <w:r w:rsidR="009C40C3">
        <w:t>insertion</w:t>
      </w:r>
      <w:r w:rsidR="004921B1">
        <w:t xml:space="preserve"> of their peg, whereas this study made use of a surgical mallet to impact</w:t>
      </w:r>
      <w:r w:rsidR="00A44326">
        <w:t xml:space="preserve"> </w:t>
      </w:r>
      <w:r w:rsidR="004921B1">
        <w:t>the implant into place in a more surgically realistic manner. This may have negatively affected the</w:t>
      </w:r>
      <w:r w:rsidR="00792314">
        <w:t xml:space="preserve"> bone</w:t>
      </w:r>
      <w:r w:rsidR="004921B1">
        <w:t xml:space="preserve"> interface surface and further account for the differences seen.</w:t>
      </w:r>
      <w:r w:rsidR="00A44326">
        <w:t xml:space="preserve"> </w:t>
      </w:r>
      <w:r w:rsidR="00327FAC">
        <w:t>Push</w:t>
      </w:r>
      <w:r w:rsidR="00AD142A">
        <w:t xml:space="preserve"> out load was used in this study as it was a good metric to determine the anchoring of the implant, </w:t>
      </w:r>
      <w:r w:rsidR="003873ED" w:rsidRPr="003873ED">
        <w:rPr>
          <w:i/>
        </w:rPr>
        <w:t>in-vivo</w:t>
      </w:r>
      <w:r w:rsidR="00AD142A">
        <w:t xml:space="preserve"> the implant would however only be subject to compressive </w:t>
      </w:r>
      <w:r w:rsidR="00327FAC">
        <w:t>loading</w:t>
      </w:r>
      <w:r w:rsidR="00AD142A">
        <w:t>, i.e. in the other direction.</w:t>
      </w:r>
    </w:p>
    <w:p w14:paraId="15091D44" w14:textId="2DA6D98B" w:rsidR="001F140F" w:rsidRDefault="00745B2B" w:rsidP="00674ACB">
      <w:pPr>
        <w:spacing w:line="480" w:lineRule="auto"/>
      </w:pPr>
      <w:r>
        <w:lastRenderedPageBreak/>
        <w:tab/>
        <w:t>T</w:t>
      </w:r>
      <w:r w:rsidR="009C03F8">
        <w:t>he secondary finding of this study was</w:t>
      </w:r>
      <w:r>
        <w:t xml:space="preserve"> that</w:t>
      </w:r>
      <w:r w:rsidR="007A7E4D">
        <w:t xml:space="preserve"> </w:t>
      </w:r>
      <w:r w:rsidR="00344885">
        <w:t xml:space="preserve">no </w:t>
      </w:r>
      <w:r w:rsidR="009C03F8">
        <w:t xml:space="preserve">significant </w:t>
      </w:r>
      <w:r w:rsidR="00344885">
        <w:t xml:space="preserve">difference was detected in </w:t>
      </w:r>
      <w:r w:rsidR="00E95707">
        <w:t xml:space="preserve">the mean </w:t>
      </w:r>
      <w:r w:rsidR="009C03F8">
        <w:t>push out load</w:t>
      </w:r>
      <w:r>
        <w:t xml:space="preserve"> </w:t>
      </w:r>
      <w:r w:rsidR="00E95707">
        <w:t xml:space="preserve">for </w:t>
      </w:r>
      <w:r>
        <w:t>bot</w:t>
      </w:r>
      <w:r w:rsidR="00E95707">
        <w:t>h</w:t>
      </w:r>
      <w:r>
        <w:t xml:space="preserve"> type</w:t>
      </w:r>
      <w:r w:rsidR="00630AEB">
        <w:t>s</w:t>
      </w:r>
      <w:r>
        <w:t xml:space="preserve"> of implant. </w:t>
      </w:r>
      <w:r w:rsidR="00792314">
        <w:t>Another secondary finding was that t</w:t>
      </w:r>
      <w:r w:rsidR="0056583E">
        <w:t>he</w:t>
      </w:r>
      <w:r w:rsidR="001F140F">
        <w:t xml:space="preserve"> micromotions for the stiffness matched implant </w:t>
      </w:r>
      <w:r w:rsidR="0056583E">
        <w:t xml:space="preserve">were </w:t>
      </w:r>
      <w:r w:rsidR="001F140F">
        <w:t>higher than that of the solid implant</w:t>
      </w:r>
      <w:r w:rsidR="00792314">
        <w:t>. This is</w:t>
      </w:r>
      <w:r w:rsidR="00344885">
        <w:t xml:space="preserve"> possibly </w:t>
      </w:r>
      <w:r w:rsidR="00792314">
        <w:t>due to</w:t>
      </w:r>
      <w:r w:rsidR="00344885">
        <w:t xml:space="preserve"> t</w:t>
      </w:r>
      <w:r w:rsidR="001F140F">
        <w:t>he solid implant exerting a higher hoop strain on the surrounding bone</w:t>
      </w:r>
      <w:r w:rsidR="00792314">
        <w:t xml:space="preserve"> and having a higher </w:t>
      </w:r>
      <w:r w:rsidR="00714F74">
        <w:t xml:space="preserve">relative </w:t>
      </w:r>
      <w:r w:rsidR="001F140F">
        <w:t>bone contact area than that of the lattice stiffness matched implant</w:t>
      </w:r>
      <w:r w:rsidR="00792314">
        <w:t xml:space="preserve">, meaning </w:t>
      </w:r>
      <w:r w:rsidR="001F140F">
        <w:t>the frictional effect on the bon</w:t>
      </w:r>
      <w:r w:rsidR="00714F74">
        <w:t xml:space="preserve">e surface </w:t>
      </w:r>
      <w:r w:rsidR="00792314">
        <w:t xml:space="preserve">may </w:t>
      </w:r>
      <w:r w:rsidR="00714F74">
        <w:t xml:space="preserve">have been lower. </w:t>
      </w:r>
    </w:p>
    <w:p w14:paraId="2BBA6130" w14:textId="210F6673" w:rsidR="00B516B2" w:rsidRDefault="00F274C4" w:rsidP="00674ACB">
      <w:pPr>
        <w:spacing w:line="480" w:lineRule="auto"/>
      </w:pPr>
      <w:r>
        <w:tab/>
      </w:r>
      <w:r w:rsidR="00ED3459" w:rsidRPr="00ED3459">
        <w:t>Stiffness matched implants are desirable as they theoretically negate the effects of stress shielding</w:t>
      </w:r>
      <w:r w:rsidR="0079042B">
        <w:t>. T</w:t>
      </w:r>
      <w:r w:rsidR="00ED3459" w:rsidRPr="00ED3459">
        <w:t>he presence of an implant reduces the stress and strains affecting certain areas of bone, disrupting the homeostatic process; stimulating bone resorption and suppressing formation</w:t>
      </w:r>
      <w:r w:rsidR="00ED3459">
        <w:fldChar w:fldCharType="begin" w:fldLock="1"/>
      </w:r>
      <w:r w:rsidR="005C7750">
        <w:instrText>ADDIN CSL_CITATION {"citationItems":[{"id":"ITEM-1","itemData":{"DOI":"10.1073/pnas.95.23.13361","ISSN":"0027-8424","PMID":"9811806","author":[{"dropping-particle":"","family":"Rodan","given":"Gideon A","non-dropping-particle":"","parse-names":false,"suffix":""}],"container-title":"Proceedings of the National Academy of Sciences of the United States of America","id":"ITEM-1","issue":"23","issued":{"date-parts":[["1998"]]},"page":"13361-2","title":"Bone homeostasis.","type":"article-journal","volume":"95"},"uris":["http://www.mendeley.com/documents/?uuid=58665ce3-a8ca-438a-a356-8c920ebed2a8"]}],"mendeley":{"formattedCitation":"&lt;sup&gt;42&lt;/sup&gt;","plainTextFormattedCitation":"42","previouslyFormattedCitation":"&lt;sup&gt;42&lt;/sup&gt;"},"properties":{"noteIndex":0},"schema":"https://github.com/citation-style-language/schema/raw/master/csl-citation.json"}</w:instrText>
      </w:r>
      <w:r w:rsidR="00ED3459">
        <w:fldChar w:fldCharType="separate"/>
      </w:r>
      <w:r w:rsidR="005C7750" w:rsidRPr="005C7750">
        <w:rPr>
          <w:noProof/>
          <w:vertAlign w:val="superscript"/>
        </w:rPr>
        <w:t>42</w:t>
      </w:r>
      <w:r w:rsidR="00ED3459">
        <w:fldChar w:fldCharType="end"/>
      </w:r>
      <w:r w:rsidR="00ED3459">
        <w:t xml:space="preserve">. </w:t>
      </w:r>
      <w:r w:rsidR="00F75122">
        <w:t>Several studies have found that reducing the stiffness of implants can reduce the incidence of stress shielding</w:t>
      </w:r>
      <w:r w:rsidR="00E1702A">
        <w:fldChar w:fldCharType="begin" w:fldLock="1"/>
      </w:r>
      <w:r w:rsidR="005C7750">
        <w:instrText>ADDIN CSL_CITATION {"citationItems":[{"id":"ITEM-1","itemData":{"DOI":"10.2106/00004623-200209000-00020","ISSN":"0021-9355","author":[{"dropping-particle":"","family":"K­ärrholm","given":"Johan","non-dropping-particle":"","parse-names":false,"suffix":""},{"dropping-particle":"","family":"Anderberg","given":"Christian","non-dropping-particle":"","parse-names":false,"suffix":""},{"dropping-particle":"","family":"Snorrason","given":"FIinnur","non-dropping-particle":"","parse-names":false,"suffix":""},{"dropping-particle":"","family":"Thanner","given":"Jonas","non-dropping-particle":"","parse-names":false,"suffix":""},{"dropping-particle":"","family":"Langeland","given":"Norvald","non-dropping-particle":"","parse-names":false,"suffix":""},{"dropping-particle":"","family":"Malchau","given":"Henrik","non-dropping-particle":"","parse-names":false,"suffix":""},{"dropping-particle":"","family":"Herberts","given":"Peter","non-dropping-particle":"","parse-names":false,"suffix":""}],"container-title":"The Journal of Bone and Joint Surgery-American Volume","id":"ITEM-1","issue":"9","issued":{"date-parts":[["2002"]]},"page":"1651-1658","title":"Evaluation of a femoral stem with reduced stiffness","type":"article-journal","volume":"84"},"uris":["http://www.mendeley.com/documents/?uuid=73318e30-0452-4309-8fa5-55b30cfbafcd"]},{"id":"ITEM-2","itemData":{"DOI":"10.1097/00003086-200112000-00015","ISBN":"0009-921X (Print)\\r0009-921X (Linking)","ISSN":"0009921X","PMID":"11764341","abstract":"The current authors addressed the question whether stress-induced adaptive bone remodeling of the proximal femur is a necessary consequence after total hip reconstruction with extensively biologically-fixed femoral components. A novel total hip femoral component was designed to simultaneously achieve stable skeletal fixation, structural durability, and reduced femoral stress shielding. This implant allowed for proximal and distal canal filling, yet was significantly less rigid than all-metallic femoral stems crafted of either cobalt chromium or titanium alloy. A cohort of 366 patients (386 hips) treated at 21 institutions worldwide now have been followed up a mean of 2.4 years postoperatively (range, 3 months-6 years). Two hundred sixty-eight patients have 2 years minimum followup. To date, no femoral implants have failed to achieve bone ingrowth and none have required revision. The implants appear radiographically well-fixed with no progressive radiolucencies or osteolysis. Radiostereometric analysis studies on one subset of patients showed stable initial fixation and minimal stem micromotion. Dual energy xray absorptiometry analysis on another subset of patients revealed excellent periprosthetic bone mineral density retention. Compared with more rigid metal implants, this design shows reduced proximal femoral bone loss secondary to stress-mediated bone resorption.","author":[{"dropping-particle":"","family":"Glassman","given":"Andrew H.","non-dropping-particle":"","parse-names":false,"suffix":""},{"dropping-particle":"","family":"Crowninshield","given":"Roy D.","non-dropping-particle":"","parse-names":false,"suffix":""},{"dropping-particle":"","family":"Schenck","given":"Russell","non-dropping-particle":"","parse-names":false,"suffix":""},{"dropping-particle":"","family":"Herberts","given":"Peter","non-dropping-particle":"","parse-names":false,"suffix":""}],"container-title":"Clinical Orthopaedics and Related Research","id":"ITEM-2","issue":"393","issued":{"date-parts":[["2001"]]},"page":"128-136","title":"A low stiffness composite biologically fixed prosthesis","type":"article-journal"},"uris":["http://www.mendeley.com/documents/?uuid=76cce3c7-1b70-4346-a004-909e3fb4bb88"]}],"mendeley":{"formattedCitation":"&lt;sup&gt;43,44&lt;/sup&gt;","plainTextFormattedCitation":"43,44","previouslyFormattedCitation":"&lt;sup&gt;43,44&lt;/sup&gt;"},"properties":{"noteIndex":0},"schema":"https://github.com/citation-style-language/schema/raw/master/csl-citation.json"}</w:instrText>
      </w:r>
      <w:r w:rsidR="00E1702A">
        <w:fldChar w:fldCharType="separate"/>
      </w:r>
      <w:r w:rsidR="005C7750" w:rsidRPr="005C7750">
        <w:rPr>
          <w:noProof/>
          <w:vertAlign w:val="superscript"/>
        </w:rPr>
        <w:t>43,44</w:t>
      </w:r>
      <w:r w:rsidR="00E1702A">
        <w:fldChar w:fldCharType="end"/>
      </w:r>
      <w:r w:rsidR="00ED3459">
        <w:t>. Indeed</w:t>
      </w:r>
      <w:r w:rsidR="004762F3">
        <w:t>,</w:t>
      </w:r>
      <w:r w:rsidR="00EB61B1">
        <w:t xml:space="preserve"> </w:t>
      </w:r>
      <w:proofErr w:type="spellStart"/>
      <w:r w:rsidR="00E525CD">
        <w:t>Arabnejad</w:t>
      </w:r>
      <w:proofErr w:type="spellEnd"/>
      <w:r w:rsidR="00E525CD">
        <w:t xml:space="preserve"> </w:t>
      </w:r>
      <w:r w:rsidR="00E525CD">
        <w:rPr>
          <w:i/>
        </w:rPr>
        <w:t>et al</w:t>
      </w:r>
      <w:r w:rsidR="00E525CD">
        <w:t>. have presented a</w:t>
      </w:r>
      <w:r w:rsidR="004C3D89">
        <w:t>n AM</w:t>
      </w:r>
      <w:r w:rsidR="00E525CD">
        <w:t xml:space="preserve"> short hip stem with tune</w:t>
      </w:r>
      <w:r w:rsidR="001B3406">
        <w:t>d</w:t>
      </w:r>
      <w:r w:rsidR="00E525CD">
        <w:t xml:space="preserve"> mechanical properties and found</w:t>
      </w:r>
      <w:r w:rsidR="001B3406">
        <w:t xml:space="preserve"> a reduction in stress shielding compared to a solid control</w:t>
      </w:r>
      <w:r w:rsidR="001B3406">
        <w:fldChar w:fldCharType="begin" w:fldLock="1"/>
      </w:r>
      <w:r w:rsidR="005C7750">
        <w:instrText>ADDIN CSL_CITATION {"citationItems":[{"id":"ITEM-1","itemData":{"DOI":"10.1002/jor.23445","ISBN":"0736-0266","ISSN":"1554527X","PMID":"27664796","abstract":"Current hip replacement femoral implants are made of fully solid materials which all have stiffness considerably higher than that of bone. This mechanical mismatch can cause significant bone resorption secondary to stress shielding, which can lead to serious complications such as peri-prosthetic fracture during or after revision surgery. In this work, a high strength fully porous material with tunable mechanical properties is introduced for use in hip replacement design. The implant macro geometry is based off of a short stem taper-wedge implant compatible with minimally invasive hip replacement surgery. The implant micro-architecture is fine-tuned to locally mimic bone tissue properties which results in minimum bone resorption secondary to stress shielding. We present a systematic approach for the design of a 3D printed fully porous hip implant that encompasses the whole activity spectrum of implant development, from concept generation, multiscale mechanics of porous materials, material architecture tailoring, to additive manufacturing, and performance assessment via in vitro experiments in composite femurs. We show that the fully porous implant with an optimized material micro-structure can reduce the amount of bone loss secondary to stress shielding by 75% compared to a fully solid implant. This result also agrees with those of the in vitro quasi-physiological experimental model and the corresponding finite element model for both the optimized fully porous and fully solid implant. These studies demonstrate the merit and the potential of tuning material architecture to achieve a substantial reduction of bone resorption secondary to stress shielding. ? 2016 Orthopaedic Research Society.","author":[{"dropping-particle":"","family":"Arabnejad","given":"Sajad","non-dropping-particle":"","parse-names":false,"suffix":""},{"dropping-particle":"","family":"Johnston","given":"Burnett","non-dropping-particle":"","parse-names":false,"suffix":""},{"dropping-particle":"","family":"Tanzer","given":"Michael","non-dropping-particle":"","parse-names":false,"suffix":""},{"dropping-particle":"","family":"Pasini","given":"Damiano","non-dropping-particle":"","parse-names":false,"suffix":""}],"container-title":"Journal of Orthopaedic Research","id":"ITEM-1","issue":"8","issued":{"date-parts":[["2017"]]},"page":"1774-1783","title":"Fully porous 3D printed titanium femoral stem to reduce stress-shielding following total hip arthroplasty","type":"article-journal","volume":"35"},"uris":["http://www.mendeley.com/documents/?uuid=d790f545-0051-495b-b711-998362143cc2"]}],"mendeley":{"formattedCitation":"&lt;sup&gt;45&lt;/sup&gt;","plainTextFormattedCitation":"45","previouslyFormattedCitation":"&lt;sup&gt;45&lt;/sup&gt;"},"properties":{"noteIndex":0},"schema":"https://github.com/citation-style-language/schema/raw/master/csl-citation.json"}</w:instrText>
      </w:r>
      <w:r w:rsidR="001B3406">
        <w:fldChar w:fldCharType="separate"/>
      </w:r>
      <w:r w:rsidR="005C7750" w:rsidRPr="005C7750">
        <w:rPr>
          <w:noProof/>
          <w:vertAlign w:val="superscript"/>
        </w:rPr>
        <w:t>45</w:t>
      </w:r>
      <w:r w:rsidR="001B3406">
        <w:fldChar w:fldCharType="end"/>
      </w:r>
      <w:r w:rsidR="001B3406">
        <w:t>.</w:t>
      </w:r>
    </w:p>
    <w:p w14:paraId="193A438A" w14:textId="37E08036" w:rsidR="00995A85" w:rsidRDefault="00F75122" w:rsidP="003124B0">
      <w:pPr>
        <w:spacing w:line="480" w:lineRule="auto"/>
        <w:ind w:firstLine="720"/>
      </w:pPr>
      <w:r>
        <w:t xml:space="preserve">The main limitation of the study is that no bone healing or ingrowth was considered, which </w:t>
      </w:r>
      <w:proofErr w:type="gramStart"/>
      <w:r>
        <w:t>is the case for all cadaver models</w:t>
      </w:r>
      <w:proofErr w:type="gramEnd"/>
      <w:r>
        <w:t xml:space="preserve">. However, we consider the cadaver model is the closest to the clinical environment, particularly for this study which will heavily depend on the bone-implant interface conditions created by the reaming and implantation process. </w:t>
      </w:r>
      <w:r w:rsidR="00DD2338">
        <w:t>Ideally the specimens used in this study would have been subjected to less than three freeze thawing cycles</w:t>
      </w:r>
      <w:r w:rsidR="0005596F">
        <w:t xml:space="preserve">, however this was found to be best practice </w:t>
      </w:r>
      <w:r w:rsidR="00377273">
        <w:t xml:space="preserve">in our study protocol </w:t>
      </w:r>
      <w:r w:rsidR="0005596F">
        <w:t xml:space="preserve">for making maximum use of </w:t>
      </w:r>
      <w:r w:rsidR="006A24F1">
        <w:t>donated specimens</w:t>
      </w:r>
      <w:r w:rsidR="00DD2338">
        <w:t>.</w:t>
      </w:r>
      <w:r w:rsidR="006A24F1">
        <w:t xml:space="preserve"> </w:t>
      </w:r>
      <w:r w:rsidR="00DD2338">
        <w:t>Another limitation of this study was</w:t>
      </w:r>
      <w:r w:rsidR="000A172E">
        <w:t xml:space="preserve"> </w:t>
      </w:r>
      <w:r w:rsidR="00F800B0">
        <w:t>performing</w:t>
      </w:r>
      <w:r w:rsidR="000A172E">
        <w:t xml:space="preserve"> multiple tests on the same specimens and</w:t>
      </w:r>
      <w:r w:rsidR="004C3D89">
        <w:t xml:space="preserve"> the use of</w:t>
      </w:r>
      <w:r w:rsidR="000A172E">
        <w:t xml:space="preserve"> specimens from the same donors</w:t>
      </w:r>
      <w:r w:rsidR="006C1616">
        <w:t>. As</w:t>
      </w:r>
      <w:r w:rsidR="000012B4">
        <w:t xml:space="preserve"> the insertion level for this implant </w:t>
      </w:r>
      <w:r w:rsidR="002F44C0">
        <w:t xml:space="preserve">is </w:t>
      </w:r>
      <w:r w:rsidR="006C1616">
        <w:t>in the</w:t>
      </w:r>
      <w:r w:rsidR="000012B4">
        <w:t xml:space="preserve"> middle third of the femur, as def</w:t>
      </w:r>
      <w:r w:rsidR="006C1616">
        <w:t>ined by the anatomical axis,</w:t>
      </w:r>
      <w:r w:rsidR="000012B4">
        <w:t xml:space="preserve"> </w:t>
      </w:r>
      <w:r w:rsidR="007F0405">
        <w:t>we</w:t>
      </w:r>
      <w:r w:rsidR="000012B4">
        <w:t xml:space="preserve"> </w:t>
      </w:r>
      <w:r w:rsidR="0005596F">
        <w:t>sought</w:t>
      </w:r>
      <w:r w:rsidR="000012B4">
        <w:t xml:space="preserve"> to collect as much data as was possible</w:t>
      </w:r>
      <w:r>
        <w:t xml:space="preserve"> from the specimens of which we had limited number to access</w:t>
      </w:r>
      <w:r w:rsidR="00D83E5E">
        <w:t xml:space="preserve">, and we considered that increasing the number of tests in our study would be beneficial. </w:t>
      </w:r>
      <w:r w:rsidR="002D3574">
        <w:t xml:space="preserve"> </w:t>
      </w:r>
    </w:p>
    <w:p w14:paraId="3A818A6C" w14:textId="77777777" w:rsidR="00D10D89" w:rsidRDefault="002D3574" w:rsidP="00D10D89">
      <w:pPr>
        <w:spacing w:line="480" w:lineRule="auto"/>
        <w:ind w:firstLine="720"/>
      </w:pPr>
      <w:r>
        <w:t xml:space="preserve">It should be noted that the </w:t>
      </w:r>
      <w:r w:rsidR="00C5144A">
        <w:t xml:space="preserve">value of the </w:t>
      </w:r>
      <w:r>
        <w:t>outlier found</w:t>
      </w:r>
      <w:r w:rsidRPr="002D3574">
        <w:t xml:space="preserve"> </w:t>
      </w:r>
      <w:r>
        <w:t xml:space="preserve">in the maximum micromotion </w:t>
      </w:r>
      <w:r>
        <w:rPr>
          <w:rFonts w:ascii="Calibri" w:eastAsia="Times New Roman" w:hAnsi="Calibri" w:cs="Times New Roman"/>
          <w:lang w:eastAsia="en-GB"/>
        </w:rPr>
        <w:t>data for the solid implant</w:t>
      </w:r>
      <w:r w:rsidR="00C5144A">
        <w:rPr>
          <w:rFonts w:ascii="Calibri" w:eastAsia="Times New Roman" w:hAnsi="Calibri" w:cs="Times New Roman"/>
          <w:lang w:eastAsia="en-GB"/>
        </w:rPr>
        <w:t xml:space="preserve"> </w:t>
      </w:r>
      <w:r w:rsidR="00C5144A">
        <w:t xml:space="preserve">was 4.81 </w:t>
      </w:r>
      <w:r w:rsidR="00C5144A">
        <w:sym w:font="Symbol" w:char="F06D"/>
      </w:r>
      <w:r w:rsidR="00C5144A">
        <w:t xml:space="preserve">m and hence well below the bone-in-growth threshold values described </w:t>
      </w:r>
      <w:r w:rsidR="00C5144A">
        <w:lastRenderedPageBreak/>
        <w:t>earlier.</w:t>
      </w:r>
      <w:r w:rsidR="00FF25C7">
        <w:t xml:space="preserve"> Lastly</w:t>
      </w:r>
      <w:r w:rsidR="00995A85">
        <w:t xml:space="preserve">, in this study no out of plane loads or bending moments were applied to the implant. As the part of the implant that is external to the bone, the bearing surface, is small </w:t>
      </w:r>
      <w:r w:rsidR="00016BC3">
        <w:t>and considering the presence of the soft tissue that would surround the implant</w:t>
      </w:r>
      <w:r w:rsidR="00F65129">
        <w:t>,</w:t>
      </w:r>
      <w:r w:rsidR="00016BC3">
        <w:t xml:space="preserve"> applying these other loading types is unlikely to be physiologically relevant.</w:t>
      </w:r>
    </w:p>
    <w:p w14:paraId="0BCF6C14" w14:textId="16A81B1E" w:rsidR="006C1F77" w:rsidRPr="00D10D89" w:rsidRDefault="006C1F77" w:rsidP="00D10D89">
      <w:pPr>
        <w:spacing w:line="480" w:lineRule="auto"/>
      </w:pPr>
      <w:r w:rsidRPr="00B516B2">
        <w:rPr>
          <w:b/>
        </w:rPr>
        <w:t>Conclusions</w:t>
      </w:r>
    </w:p>
    <w:p w14:paraId="2F71E647" w14:textId="77777777" w:rsidR="00AA16DB" w:rsidRDefault="00AA16DB" w:rsidP="00674ACB">
      <w:pPr>
        <w:spacing w:line="480" w:lineRule="auto"/>
      </w:pPr>
      <w:r>
        <w:t>The conclusions drawn from this study are as follows:</w:t>
      </w:r>
    </w:p>
    <w:p w14:paraId="3F9BEF4F" w14:textId="792F3FF6" w:rsidR="005D5E06" w:rsidRDefault="00D15F31" w:rsidP="00D15F31">
      <w:pPr>
        <w:pStyle w:val="ListParagraph"/>
        <w:numPr>
          <w:ilvl w:val="0"/>
          <w:numId w:val="5"/>
        </w:numPr>
        <w:spacing w:line="480" w:lineRule="auto"/>
      </w:pPr>
      <w:r>
        <w:t>In a cadaveric model a cortical</w:t>
      </w:r>
      <w:r w:rsidR="003C73B0">
        <w:t xml:space="preserve"> </w:t>
      </w:r>
      <w:r w:rsidR="00494E8D">
        <w:t xml:space="preserve">bone </w:t>
      </w:r>
      <w:r w:rsidR="00996D64">
        <w:t>stiffness matched</w:t>
      </w:r>
      <w:r w:rsidR="00834127">
        <w:t xml:space="preserve"> short</w:t>
      </w:r>
      <w:r w:rsidR="00996D64">
        <w:t xml:space="preserve"> </w:t>
      </w:r>
      <w:r w:rsidR="003C73B0">
        <w:t xml:space="preserve">transfemoral implant </w:t>
      </w:r>
      <w:r w:rsidR="00996D64">
        <w:t>is able to</w:t>
      </w:r>
      <w:r w:rsidR="00590E1D">
        <w:t xml:space="preserve"> </w:t>
      </w:r>
      <w:r w:rsidR="00996D64" w:rsidRPr="00AA16DB">
        <w:t>pr</w:t>
      </w:r>
      <w:r w:rsidR="00996D64">
        <w:t xml:space="preserve">ovide a stable environment for </w:t>
      </w:r>
      <w:r w:rsidR="00996D64" w:rsidRPr="00E306FD">
        <w:t>osseointegration</w:t>
      </w:r>
      <w:r>
        <w:t xml:space="preserve"> (maximum micromotion </w:t>
      </w:r>
      <w:r w:rsidR="00590E1D">
        <w:t>of</w:t>
      </w:r>
      <w:r w:rsidR="00356390">
        <w:t xml:space="preserve"> 11.90 µm)</w:t>
      </w:r>
      <w:r w:rsidR="00996D64">
        <w:t xml:space="preserve"> and anchoring</w:t>
      </w:r>
      <w:r w:rsidR="00356390">
        <w:t xml:space="preserve"> (mean push out load 2099 N)</w:t>
      </w:r>
      <w:r w:rsidR="00996D64">
        <w:t>.</w:t>
      </w:r>
    </w:p>
    <w:p w14:paraId="5C388868" w14:textId="77777777" w:rsidR="005D5E06" w:rsidRDefault="005D5E06" w:rsidP="00D15F31">
      <w:pPr>
        <w:pStyle w:val="ListParagraph"/>
        <w:numPr>
          <w:ilvl w:val="0"/>
          <w:numId w:val="5"/>
        </w:numPr>
        <w:spacing w:line="480" w:lineRule="auto"/>
      </w:pPr>
      <w:r>
        <w:t xml:space="preserve">There was no significant difference between the push out loads of both </w:t>
      </w:r>
      <w:r w:rsidR="00D15F31">
        <w:t>the stiffness matched and solid i</w:t>
      </w:r>
      <w:r w:rsidR="003D3527">
        <w:t>mplant, however the micromotion distributions</w:t>
      </w:r>
      <w:r w:rsidR="00D15F31" w:rsidRPr="00D15F31">
        <w:t xml:space="preserve"> </w:t>
      </w:r>
      <w:r w:rsidR="00D15F31">
        <w:t xml:space="preserve">of the stiffness matched implant were significantly higher. </w:t>
      </w:r>
    </w:p>
    <w:p w14:paraId="5CAC6E88" w14:textId="4E2DAC0C" w:rsidR="00D10D89" w:rsidRDefault="00D15F31" w:rsidP="00D10D89">
      <w:pPr>
        <w:pStyle w:val="ListParagraph"/>
        <w:numPr>
          <w:ilvl w:val="0"/>
          <w:numId w:val="5"/>
        </w:numPr>
        <w:spacing w:line="480" w:lineRule="auto"/>
      </w:pPr>
      <w:r w:rsidRPr="00D176F0">
        <w:t xml:space="preserve">For the two parameters </w:t>
      </w:r>
      <w:r w:rsidR="00590E1D" w:rsidRPr="00D176F0">
        <w:t>investigated</w:t>
      </w:r>
      <w:r w:rsidR="00CC794F" w:rsidRPr="00D176F0">
        <w:t>,</w:t>
      </w:r>
      <w:r w:rsidRPr="00D176F0">
        <w:t xml:space="preserve"> this study demonstrates</w:t>
      </w:r>
      <w:r w:rsidR="00590E1D" w:rsidRPr="00D176F0">
        <w:t xml:space="preserve"> that lattice structure bone interface implants</w:t>
      </w:r>
      <w:r w:rsidR="00B6471D" w:rsidRPr="00D176F0">
        <w:t>, produced using metal ad</w:t>
      </w:r>
      <w:r w:rsidR="00590E1D" w:rsidRPr="00D176F0">
        <w:t xml:space="preserve">ditive manufacture, are able to provide a suitable environment for </w:t>
      </w:r>
      <w:r w:rsidR="00D176F0" w:rsidRPr="00D176F0">
        <w:t>anchoring a transfemoral implant for amputees.</w:t>
      </w:r>
    </w:p>
    <w:p w14:paraId="7C80A716" w14:textId="0A8543D1" w:rsidR="0007670B" w:rsidRPr="00F92552" w:rsidRDefault="0007670B" w:rsidP="00674ACB">
      <w:pPr>
        <w:spacing w:line="480" w:lineRule="auto"/>
        <w:rPr>
          <w:b/>
        </w:rPr>
      </w:pPr>
      <w:r w:rsidRPr="00B516B2">
        <w:rPr>
          <w:b/>
        </w:rPr>
        <w:t>Acknowledgements</w:t>
      </w:r>
    </w:p>
    <w:p w14:paraId="6E96E476" w14:textId="711802E1" w:rsidR="001364A0" w:rsidRDefault="00672777" w:rsidP="001364A0">
      <w:pPr>
        <w:spacing w:line="480" w:lineRule="auto"/>
        <w:ind w:firstLine="720"/>
      </w:pPr>
      <w:r>
        <w:t xml:space="preserve">The authors would like to thank the Royal British Legion for funding this work. </w:t>
      </w:r>
      <w:r w:rsidR="00F912D6">
        <w:t>We</w:t>
      </w:r>
      <w:r>
        <w:t xml:space="preserve"> also wish to thank the Engineering and Physical Sciences Research Council for funding JJ.</w:t>
      </w:r>
      <w:r w:rsidR="008C65B3">
        <w:t xml:space="preserve"> </w:t>
      </w:r>
      <w:r w:rsidR="008E3D4A">
        <w:t>Both funding sources had no role in this investigation.</w:t>
      </w:r>
      <w:r w:rsidR="00F643E0">
        <w:t xml:space="preserve"> </w:t>
      </w:r>
      <w:r w:rsidR="00771E60">
        <w:t xml:space="preserve">All authors declare </w:t>
      </w:r>
      <w:r w:rsidR="001E72EA">
        <w:t>that our only conflict of interest is that we will be developing the implant for clinical use.</w:t>
      </w:r>
    </w:p>
    <w:p w14:paraId="006BD863" w14:textId="09FF675A" w:rsidR="00FE22FA" w:rsidRDefault="00FF1DC2" w:rsidP="0066552B">
      <w:pPr>
        <w:spacing w:line="480" w:lineRule="auto"/>
        <w:ind w:firstLine="720"/>
      </w:pPr>
      <w:r w:rsidRPr="00C65ADE">
        <w:t>D</w:t>
      </w:r>
      <w:r>
        <w:t>emetrius</w:t>
      </w:r>
      <w:r w:rsidRPr="00C65ADE">
        <w:t xml:space="preserve"> Evriviades of University Hospitals Birmingham NHS Foundation Trust, UK</w:t>
      </w:r>
      <w:r>
        <w:t xml:space="preserve"> is kindly acknowledged for providing images of i</w:t>
      </w:r>
      <w:r w:rsidRPr="00FF1DC2">
        <w:t>mplanted direct skeletal fixation devices</w:t>
      </w:r>
      <w:r w:rsidRPr="00C65ADE">
        <w:t>.</w:t>
      </w:r>
      <w:r>
        <w:t xml:space="preserve"> </w:t>
      </w:r>
      <w:r w:rsidR="0039497C">
        <w:t>We also thank</w:t>
      </w:r>
      <w:r w:rsidR="009A3035">
        <w:t xml:space="preserve"> Richard van Arkel, Shaaz Ghouse and Umar Hossain for assistance in</w:t>
      </w:r>
      <w:r w:rsidR="0039497C">
        <w:t xml:space="preserve"> </w:t>
      </w:r>
      <w:r w:rsidR="009A3035">
        <w:t xml:space="preserve">computer aided design and additive manufacturing, </w:t>
      </w:r>
      <w:r w:rsidR="0039497C">
        <w:t xml:space="preserve">Geoffrey Ng, </w:t>
      </w:r>
      <w:r w:rsidR="0076685D">
        <w:t xml:space="preserve">Jo Stephen, </w:t>
      </w:r>
      <w:r w:rsidR="0039497C">
        <w:t xml:space="preserve">Hamidreza Alidousti and Kiron Athwal for </w:t>
      </w:r>
      <w:r w:rsidR="009A3035">
        <w:t>support</w:t>
      </w:r>
      <w:r w:rsidR="0039497C">
        <w:t xml:space="preserve"> </w:t>
      </w:r>
      <w:r w:rsidR="0039497C">
        <w:lastRenderedPageBreak/>
        <w:t>in cadaveric methods</w:t>
      </w:r>
      <w:r w:rsidR="009A3035">
        <w:t xml:space="preserve"> </w:t>
      </w:r>
      <w:r w:rsidR="002B10DC">
        <w:t>&amp;</w:t>
      </w:r>
      <w:r w:rsidR="009A3035">
        <w:t xml:space="preserve"> </w:t>
      </w:r>
      <w:r w:rsidR="0039497C">
        <w:t>Ruben D</w:t>
      </w:r>
      <w:r w:rsidR="00A45CD2">
        <w:t>o</w:t>
      </w:r>
      <w:r w:rsidR="0039497C">
        <w:t>yle</w:t>
      </w:r>
      <w:r w:rsidR="002B10DC">
        <w:t xml:space="preserve"> and Phil Wilson</w:t>
      </w:r>
      <w:r w:rsidR="0039497C">
        <w:t xml:space="preserve"> for assistance in testing apparatus manufacture and signal processing</w:t>
      </w:r>
      <w:r w:rsidR="009A3035">
        <w:t xml:space="preserve"> (all Biomechanics Group, Department of Mechanical Engineering Imperial College London).</w:t>
      </w:r>
    </w:p>
    <w:p w14:paraId="59D99CD6" w14:textId="77777777" w:rsidR="0007670B" w:rsidRPr="00B516B2" w:rsidRDefault="0007670B" w:rsidP="00674ACB">
      <w:pPr>
        <w:spacing w:line="480" w:lineRule="auto"/>
        <w:rPr>
          <w:b/>
        </w:rPr>
      </w:pPr>
      <w:r w:rsidRPr="00B516B2">
        <w:rPr>
          <w:b/>
        </w:rPr>
        <w:t>References</w:t>
      </w:r>
    </w:p>
    <w:p w14:paraId="05D27EDF" w14:textId="1EB97143" w:rsidR="005C7750" w:rsidRPr="005C7750" w:rsidRDefault="00D428D6" w:rsidP="005C7750">
      <w:pPr>
        <w:widowControl w:val="0"/>
        <w:autoSpaceDE w:val="0"/>
        <w:autoSpaceDN w:val="0"/>
        <w:adjustRightInd w:val="0"/>
        <w:spacing w:line="480" w:lineRule="auto"/>
        <w:ind w:left="640" w:hanging="640"/>
        <w:rPr>
          <w:rFonts w:ascii="Calibri" w:hAnsi="Calibri" w:cs="Times New Roman"/>
          <w:noProof/>
          <w:szCs w:val="24"/>
        </w:rPr>
      </w:pPr>
      <w:r>
        <w:fldChar w:fldCharType="begin" w:fldLock="1"/>
      </w:r>
      <w:r>
        <w:instrText xml:space="preserve">ADDIN Mendeley Bibliography CSL_BIBLIOGRAPHY </w:instrText>
      </w:r>
      <w:r>
        <w:fldChar w:fldCharType="separate"/>
      </w:r>
      <w:r w:rsidR="005C7750" w:rsidRPr="005C7750">
        <w:rPr>
          <w:rFonts w:ascii="Calibri" w:hAnsi="Calibri" w:cs="Times New Roman"/>
          <w:noProof/>
          <w:szCs w:val="24"/>
        </w:rPr>
        <w:t xml:space="preserve">1. </w:t>
      </w:r>
      <w:r w:rsidR="005C7750" w:rsidRPr="005C7750">
        <w:rPr>
          <w:rFonts w:ascii="Calibri" w:hAnsi="Calibri" w:cs="Times New Roman"/>
          <w:noProof/>
          <w:szCs w:val="24"/>
        </w:rPr>
        <w:tab/>
        <w:t>Hagberg K, Brånemark R. 2001. Consequences of non-vascular trans-femoral amputation: a survey of quality of life, prosthetic use and problems. Prosthet. Orthot. Int. 25(3):186–194.</w:t>
      </w:r>
    </w:p>
    <w:p w14:paraId="7759DCB1"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 </w:t>
      </w:r>
      <w:r w:rsidRPr="005C7750">
        <w:rPr>
          <w:rFonts w:ascii="Calibri" w:hAnsi="Calibri" w:cs="Times New Roman"/>
          <w:noProof/>
          <w:szCs w:val="24"/>
        </w:rPr>
        <w:tab/>
        <w:t>Pinzur MS, Gottschalk FA, Pinto MAG de S, Smith DG. 2007. Controversies in lower-extremity amputations. J. Bone Jt. Surg. 89A(5):1118–1127.</w:t>
      </w:r>
    </w:p>
    <w:p w14:paraId="4D746E88"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 </w:t>
      </w:r>
      <w:r w:rsidRPr="005C7750">
        <w:rPr>
          <w:rFonts w:ascii="Calibri" w:hAnsi="Calibri" w:cs="Times New Roman"/>
          <w:noProof/>
          <w:szCs w:val="24"/>
        </w:rPr>
        <w:tab/>
        <w:t>World Health Organization United States Department of Defense MossRehab Amputee Rehabilitation Program MossRehab Hospital USA. 2004. The Rehabilitation of People with Amputations.</w:t>
      </w:r>
    </w:p>
    <w:p w14:paraId="06C1378B"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4. </w:t>
      </w:r>
      <w:r w:rsidRPr="005C7750">
        <w:rPr>
          <w:rFonts w:ascii="Calibri" w:hAnsi="Calibri" w:cs="Times New Roman"/>
          <w:noProof/>
          <w:szCs w:val="24"/>
        </w:rPr>
        <w:tab/>
        <w:t>Penn-Barwell JG. 2011. Outcomes in lower limb amputation following trauma: A systematic review and meta-analysis. Injury 42(12):1474–1479.</w:t>
      </w:r>
    </w:p>
    <w:p w14:paraId="3D7C84B2"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5. </w:t>
      </w:r>
      <w:r w:rsidRPr="005C7750">
        <w:rPr>
          <w:rFonts w:ascii="Calibri" w:hAnsi="Calibri" w:cs="Times New Roman"/>
          <w:noProof/>
          <w:szCs w:val="24"/>
        </w:rPr>
        <w:tab/>
        <w:t>Pitkin M. 2013. Design features of implants for direct skeletal attachment of limb prostheses. J. Biomed. Mater. Res. - Part A 101A(11):3339–3348.</w:t>
      </w:r>
    </w:p>
    <w:p w14:paraId="6CFB7927"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6. </w:t>
      </w:r>
      <w:r w:rsidRPr="005C7750">
        <w:rPr>
          <w:rFonts w:ascii="Calibri" w:hAnsi="Calibri" w:cs="Times New Roman"/>
          <w:noProof/>
          <w:szCs w:val="24"/>
        </w:rPr>
        <w:tab/>
        <w:t>Van De Meent H, Hopman MT, Frölke JP. 2013. Walking ability and quality of life in subjects with transfemoral amputation: A comparison of osseointegration with socket prostheses. Arch. Phys. Med. Rehabil. 94(11):2174–2178.</w:t>
      </w:r>
    </w:p>
    <w:p w14:paraId="0663BADE"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7. </w:t>
      </w:r>
      <w:r w:rsidRPr="005C7750">
        <w:rPr>
          <w:rFonts w:ascii="Calibri" w:hAnsi="Calibri" w:cs="Times New Roman"/>
          <w:noProof/>
          <w:szCs w:val="24"/>
        </w:rPr>
        <w:tab/>
        <w:t>Brånemark R, Berlin Ö, Hagberg K, et al. 2014. A novel osseointegrated percutaneous prosthetic system for the treatment of patients with transfemoral amputation: A prospective study of 51 patients. Bone Jt. J. 96 B(1):106–113.</w:t>
      </w:r>
    </w:p>
    <w:p w14:paraId="3B048721"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8. </w:t>
      </w:r>
      <w:r w:rsidRPr="005C7750">
        <w:rPr>
          <w:rFonts w:ascii="Calibri" w:hAnsi="Calibri" w:cs="Times New Roman"/>
          <w:noProof/>
          <w:szCs w:val="24"/>
        </w:rPr>
        <w:tab/>
        <w:t>Smith JJ, Agel J, Swiontkowski MF, et al. 2005. Functional outcome of bilateral limb threatening: Lower extremity injuries at two years postinjury. J. Orthop. Trauma 19(4):249–</w:t>
      </w:r>
      <w:r w:rsidRPr="005C7750">
        <w:rPr>
          <w:rFonts w:ascii="Calibri" w:hAnsi="Calibri" w:cs="Times New Roman"/>
          <w:noProof/>
          <w:szCs w:val="24"/>
        </w:rPr>
        <w:lastRenderedPageBreak/>
        <w:t>253.</w:t>
      </w:r>
    </w:p>
    <w:p w14:paraId="37C0C478"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9. </w:t>
      </w:r>
      <w:r w:rsidRPr="005C7750">
        <w:rPr>
          <w:rFonts w:ascii="Calibri" w:hAnsi="Calibri" w:cs="Times New Roman"/>
          <w:noProof/>
          <w:szCs w:val="24"/>
        </w:rPr>
        <w:tab/>
        <w:t>Nanchahal J, Nayagam S, Khan U, et al. 2009. Standards for the management of open fractures of the lower limb. London: Royal Society of Medicine Press.</w:t>
      </w:r>
    </w:p>
    <w:p w14:paraId="793E145E"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10. </w:t>
      </w:r>
      <w:r w:rsidRPr="005C7750">
        <w:rPr>
          <w:rFonts w:ascii="Calibri" w:hAnsi="Calibri" w:cs="Times New Roman"/>
          <w:noProof/>
          <w:szCs w:val="24"/>
        </w:rPr>
        <w:tab/>
        <w:t>Hagberg E, Berlin K, Renstrom P. 1992. Function after through-knee compared with below-knee and above-knee amputation. Prosthet. Orthot. Int. 16:168–173.</w:t>
      </w:r>
    </w:p>
    <w:p w14:paraId="5DA0661D"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11. </w:t>
      </w:r>
      <w:r w:rsidRPr="005C7750">
        <w:rPr>
          <w:rFonts w:ascii="Calibri" w:hAnsi="Calibri" w:cs="Times New Roman"/>
          <w:noProof/>
          <w:szCs w:val="24"/>
        </w:rPr>
        <w:tab/>
        <w:t>de Laat FA, van der Pluijm MJ, van Kuijk AA, et al. 2014. Cosmetic effect of knee joint in a knee disarticulation prosthesis. J. Rehabil. Res. Dev. 51(10):1545–1554.</w:t>
      </w:r>
    </w:p>
    <w:p w14:paraId="6D7A4C0F"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12. </w:t>
      </w:r>
      <w:r w:rsidRPr="005C7750">
        <w:rPr>
          <w:rFonts w:ascii="Calibri" w:hAnsi="Calibri" w:cs="Times New Roman"/>
          <w:noProof/>
          <w:szCs w:val="24"/>
        </w:rPr>
        <w:tab/>
        <w:t>Clasper J. 2007. Amputations of the lower limb: a multidisciplinary consensus. J. R. Army Med. Corps 153(3):172–174.</w:t>
      </w:r>
    </w:p>
    <w:p w14:paraId="07C4E060"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13. </w:t>
      </w:r>
      <w:r w:rsidRPr="005C7750">
        <w:rPr>
          <w:rFonts w:ascii="Calibri" w:hAnsi="Calibri" w:cs="Times New Roman"/>
          <w:noProof/>
          <w:szCs w:val="24"/>
        </w:rPr>
        <w:tab/>
        <w:t>van Eck CF, Mcgough RL. 2015. Clinical outcomes of osseointegrated prostheses for lower extremity amputations: a systematic review of the literature. Curr. Othopaedic Pract. 26(4):349–357.</w:t>
      </w:r>
    </w:p>
    <w:p w14:paraId="26E07F58"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14. </w:t>
      </w:r>
      <w:r w:rsidRPr="005C7750">
        <w:rPr>
          <w:rFonts w:ascii="Calibri" w:hAnsi="Calibri" w:cs="Times New Roman"/>
          <w:noProof/>
          <w:szCs w:val="24"/>
        </w:rPr>
        <w:tab/>
        <w:t>Maryniak A, Laschowski B, Andrysek J. 2018. Technical Overview of Osseointegrated Transfemoral Prostheses: Orthopedic Surgery and Implant Design Centered. J. Eng. Sci. Med. Diagnostics Ther. 1(2):020801.</w:t>
      </w:r>
    </w:p>
    <w:p w14:paraId="0D821CDA"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15. </w:t>
      </w:r>
      <w:r w:rsidRPr="005C7750">
        <w:rPr>
          <w:rFonts w:ascii="Calibri" w:hAnsi="Calibri" w:cs="Times New Roman"/>
          <w:noProof/>
          <w:szCs w:val="24"/>
        </w:rPr>
        <w:tab/>
        <w:t>Nebergall A, Bragdon C, Antonellis A, et al. 2012. Stable fixation of an osseointegated implant system for above-the-knee amputees: Titel RSA and radiographic evaluation of migration and bone remodeling in 55 cases. Acta Orthop. 83(2):121–128.</w:t>
      </w:r>
    </w:p>
    <w:p w14:paraId="53998E6B"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16. </w:t>
      </w:r>
      <w:r w:rsidRPr="005C7750">
        <w:rPr>
          <w:rFonts w:ascii="Calibri" w:hAnsi="Calibri" w:cs="Times New Roman"/>
          <w:noProof/>
          <w:szCs w:val="24"/>
        </w:rPr>
        <w:tab/>
        <w:t>Tomaszewski PK, Verdonschot N, Bulstra SK, et al. 2012. Simulated bone remodeling around two types of osseointegrated implants for direct fixation of upper-leg prostheses. J. Mech. Behav. Biomed. Mater. 15:167–175.</w:t>
      </w:r>
    </w:p>
    <w:p w14:paraId="44F973B1"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17. </w:t>
      </w:r>
      <w:r w:rsidRPr="005C7750">
        <w:rPr>
          <w:rFonts w:ascii="Calibri" w:hAnsi="Calibri" w:cs="Times New Roman"/>
          <w:noProof/>
          <w:szCs w:val="24"/>
        </w:rPr>
        <w:tab/>
        <w:t>Swanson AB. 1972. Silicone-gel pads to improve end-bearing tolerance in lower-extremity amputees. J. Assoc. Child. Prosthetic-Orthotic Clin. 11(9):13.</w:t>
      </w:r>
    </w:p>
    <w:p w14:paraId="30D81875"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lastRenderedPageBreak/>
        <w:t xml:space="preserve">18. </w:t>
      </w:r>
      <w:r w:rsidRPr="005C7750">
        <w:rPr>
          <w:rFonts w:ascii="Calibri" w:hAnsi="Calibri" w:cs="Times New Roman"/>
          <w:noProof/>
          <w:szCs w:val="24"/>
        </w:rPr>
        <w:tab/>
        <w:t>Guirao Cano L, Pastor BS, Garrido DM, et al. 2018. Evaluation of functional health and well-being in 23 transfemoral amputees after distal weight-bearing implant. J. Orthop. Res. Ther. 2018(04):1–11.</w:t>
      </w:r>
    </w:p>
    <w:p w14:paraId="6D2EFB18"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19. </w:t>
      </w:r>
      <w:r w:rsidRPr="005C7750">
        <w:rPr>
          <w:rFonts w:ascii="Calibri" w:hAnsi="Calibri" w:cs="Times New Roman"/>
          <w:noProof/>
          <w:szCs w:val="24"/>
        </w:rPr>
        <w:tab/>
        <w:t>Guirao L, Samitier CB, Costea M, et al. 2017. Improvement in walking abilities in transfemoral amputees with a distal weight bearing implant. Prosthet. Orthot. Int. 41(1):26–32.</w:t>
      </w:r>
    </w:p>
    <w:p w14:paraId="3E63C992"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20. </w:t>
      </w:r>
      <w:r w:rsidRPr="005C7750">
        <w:rPr>
          <w:rFonts w:ascii="Calibri" w:hAnsi="Calibri" w:cs="Times New Roman"/>
          <w:noProof/>
          <w:szCs w:val="24"/>
        </w:rPr>
        <w:tab/>
        <w:t>Guirao L, Samitier B, Tibau R, et al. 2018. Distance and speed of walking in individuals with transfemoral amputation fitted with a distal weight-bearing implant. Orthop. Traumatol. Surg. Res. In press.</w:t>
      </w:r>
    </w:p>
    <w:p w14:paraId="1538B7A4"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21. </w:t>
      </w:r>
      <w:r w:rsidRPr="005C7750">
        <w:rPr>
          <w:rFonts w:ascii="Calibri" w:hAnsi="Calibri" w:cs="Times New Roman"/>
          <w:noProof/>
          <w:szCs w:val="24"/>
        </w:rPr>
        <w:tab/>
        <w:t>Callanan TC, Walker B, Grinberg S, et al. 2016. Prospective, 88 patient series study of the use of a novel 3-D printed titanium truss system cage in anterior cervical spinal surgery. Spine J. 16(10):S318.</w:t>
      </w:r>
    </w:p>
    <w:p w14:paraId="3BE9BAA3" w14:textId="10CEE08F"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22. </w:t>
      </w:r>
      <w:r w:rsidRPr="005C7750">
        <w:rPr>
          <w:rFonts w:ascii="Calibri" w:hAnsi="Calibri" w:cs="Times New Roman"/>
          <w:noProof/>
          <w:szCs w:val="24"/>
        </w:rPr>
        <w:tab/>
        <w:t>Smith L, Bhowmik-Stoker M, Stimac J. 2015. Early results of a highly porous titanium cementless tibial baseplate in TKA. In: International Cong</w:t>
      </w:r>
      <w:r>
        <w:rPr>
          <w:rFonts w:ascii="Calibri" w:hAnsi="Calibri" w:cs="Times New Roman"/>
          <w:noProof/>
          <w:szCs w:val="24"/>
        </w:rPr>
        <w:t>ress for Joint Reconstruction.</w:t>
      </w:r>
    </w:p>
    <w:p w14:paraId="10A9D190"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23. </w:t>
      </w:r>
      <w:r w:rsidRPr="005C7750">
        <w:rPr>
          <w:rFonts w:ascii="Calibri" w:hAnsi="Calibri" w:cs="Times New Roman"/>
          <w:noProof/>
          <w:szCs w:val="24"/>
        </w:rPr>
        <w:tab/>
        <w:t>Ghouse S, Babu S, Van Arkel RJ, et al. 2017. The influence of laser parameters and scanning strategies on the mechanical properties of a stochastic porous material. Mater. Des. 131:498–508.</w:t>
      </w:r>
    </w:p>
    <w:p w14:paraId="5DD94CB0"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24. </w:t>
      </w:r>
      <w:r w:rsidRPr="005C7750">
        <w:rPr>
          <w:rFonts w:ascii="Calibri" w:hAnsi="Calibri" w:cs="Times New Roman"/>
          <w:noProof/>
          <w:szCs w:val="24"/>
        </w:rPr>
        <w:tab/>
        <w:t>Ghouse S, Babu S, Nai K, et al. 2018. The influence of laser parameters, scanning strategies and material on the fatigue strength of a stochastic porous structure. Addit. Manuf. 22(March):290–301.</w:t>
      </w:r>
    </w:p>
    <w:p w14:paraId="745FF1CC"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25. </w:t>
      </w:r>
      <w:r w:rsidRPr="005C7750">
        <w:rPr>
          <w:rFonts w:ascii="Calibri" w:hAnsi="Calibri" w:cs="Times New Roman"/>
          <w:noProof/>
          <w:szCs w:val="24"/>
        </w:rPr>
        <w:tab/>
        <w:t>Yan C, Hao L, Hussein A, Young P. 2015. Ti-6Al-4V triply periodic minimal surface structures for bone implants fabricated via selective laser melting. J. Mech. Behav. Biomed. Mater. 51:61–73.</w:t>
      </w:r>
    </w:p>
    <w:p w14:paraId="1FCC1499"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26. </w:t>
      </w:r>
      <w:r w:rsidRPr="005C7750">
        <w:rPr>
          <w:rFonts w:ascii="Calibri" w:hAnsi="Calibri" w:cs="Times New Roman"/>
          <w:noProof/>
          <w:szCs w:val="24"/>
        </w:rPr>
        <w:tab/>
        <w:t xml:space="preserve">Wu G, Siegler S, Allard P, et al. 2002. ISB recommendation on definitions of joint coordinate system of various joints for the reporting of human joint motion—part I: ankle, hip, and </w:t>
      </w:r>
      <w:r w:rsidRPr="005C7750">
        <w:rPr>
          <w:rFonts w:ascii="Calibri" w:hAnsi="Calibri" w:cs="Times New Roman"/>
          <w:noProof/>
          <w:szCs w:val="24"/>
        </w:rPr>
        <w:lastRenderedPageBreak/>
        <w:t>spine. J. Biomech. 35(4):543–548.</w:t>
      </w:r>
    </w:p>
    <w:p w14:paraId="733F043A"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27. </w:t>
      </w:r>
      <w:r w:rsidRPr="005C7750">
        <w:rPr>
          <w:rFonts w:ascii="Calibri" w:hAnsi="Calibri" w:cs="Times New Roman"/>
          <w:noProof/>
          <w:szCs w:val="24"/>
        </w:rPr>
        <w:tab/>
        <w:t>Egol KA, Chang EY, Cvitkovic J, et al. 2004. Mismatch of current intramedullary nails with the anterior bow of the femur. J. Orhopaedic Trauma 18(7):410–415.</w:t>
      </w:r>
    </w:p>
    <w:p w14:paraId="53920C52"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28. </w:t>
      </w:r>
      <w:r w:rsidRPr="005C7750">
        <w:rPr>
          <w:rFonts w:ascii="Calibri" w:hAnsi="Calibri" w:cs="Times New Roman"/>
          <w:noProof/>
          <w:szCs w:val="24"/>
        </w:rPr>
        <w:tab/>
        <w:t>Paley D. 2002. Normal lower limb alignment and joint orientation. In: Principles of Deformity Correction. Berlin: Springer. p 1–18.</w:t>
      </w:r>
    </w:p>
    <w:p w14:paraId="24EF8B52"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29. </w:t>
      </w:r>
      <w:r w:rsidRPr="005C7750">
        <w:rPr>
          <w:rFonts w:ascii="Calibri" w:hAnsi="Calibri" w:cs="Times New Roman"/>
          <w:noProof/>
          <w:szCs w:val="24"/>
        </w:rPr>
        <w:tab/>
        <w:t>Krackow KA. 1983. Approaches to planning lower extremity alignment for total knee arthroplasty and osteotomy about the knee. Adv Orthop Surg 7:69–88.</w:t>
      </w:r>
    </w:p>
    <w:p w14:paraId="14C080FD" w14:textId="2B0D29EC"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30. </w:t>
      </w:r>
      <w:r w:rsidRPr="005C7750">
        <w:rPr>
          <w:rFonts w:ascii="Calibri" w:hAnsi="Calibri" w:cs="Times New Roman"/>
          <w:noProof/>
          <w:szCs w:val="24"/>
        </w:rPr>
        <w:tab/>
        <w:t>British Standards Institution. 2011. ISO 13314:2011 Mechanical testing of metals, ductility testing, compression test for porous a</w:t>
      </w:r>
      <w:r>
        <w:rPr>
          <w:rFonts w:ascii="Calibri" w:hAnsi="Calibri" w:cs="Times New Roman"/>
          <w:noProof/>
          <w:szCs w:val="24"/>
        </w:rPr>
        <w:t>nd cellular metals. Br. Stand.</w:t>
      </w:r>
    </w:p>
    <w:p w14:paraId="3821263A"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31. </w:t>
      </w:r>
      <w:r w:rsidRPr="005C7750">
        <w:rPr>
          <w:rFonts w:ascii="Calibri" w:hAnsi="Calibri" w:cs="Times New Roman"/>
          <w:noProof/>
          <w:szCs w:val="24"/>
        </w:rPr>
        <w:tab/>
        <w:t>Tintle LSM, Keeling CJJ, Shawen LSB, et al. 2010. Traumatic and trauma-related amputations. J. Bone Jt. Surg. 92(17):2852–2868.</w:t>
      </w:r>
    </w:p>
    <w:p w14:paraId="6AC46160"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32. </w:t>
      </w:r>
      <w:r w:rsidRPr="005C7750">
        <w:rPr>
          <w:rFonts w:ascii="Calibri" w:hAnsi="Calibri" w:cs="Times New Roman"/>
          <w:noProof/>
          <w:szCs w:val="24"/>
        </w:rPr>
        <w:tab/>
        <w:t>Perkins ZB, De’Ath HD, Sharp G, Tai NRM. 2012. Factors affecting outcome after traumatic limb amputation. Br. J. Surg. 99(S1):75–86.</w:t>
      </w:r>
    </w:p>
    <w:p w14:paraId="0AD885B5"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33. </w:t>
      </w:r>
      <w:r w:rsidRPr="005C7750">
        <w:rPr>
          <w:rFonts w:ascii="Calibri" w:hAnsi="Calibri" w:cs="Times New Roman"/>
          <w:noProof/>
          <w:szCs w:val="24"/>
        </w:rPr>
        <w:tab/>
        <w:t>Sugarbaker P, Bickels J, Malawer M. 2004. Above-knee Amputation. In: Musculoskeletal Cancer Surgery. Dordrecht: Springer. p 349–360.</w:t>
      </w:r>
    </w:p>
    <w:p w14:paraId="2F8E1E89"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34. </w:t>
      </w:r>
      <w:r w:rsidRPr="005C7750">
        <w:rPr>
          <w:rFonts w:ascii="Calibri" w:hAnsi="Calibri" w:cs="Times New Roman"/>
          <w:noProof/>
          <w:szCs w:val="24"/>
        </w:rPr>
        <w:tab/>
        <w:t>Cleather DJ, Bull AMJ. 2015. The development of a segment-based musculoskeletal model of the lower limb: Introducing FREEBODY. R. Soc. Open Sci. 2(6).</w:t>
      </w:r>
    </w:p>
    <w:p w14:paraId="7A3646EE"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35. </w:t>
      </w:r>
      <w:r w:rsidRPr="005C7750">
        <w:rPr>
          <w:rFonts w:ascii="Calibri" w:hAnsi="Calibri" w:cs="Times New Roman"/>
          <w:noProof/>
          <w:szCs w:val="24"/>
        </w:rPr>
        <w:tab/>
        <w:t>Ding Z, Nolte D, Kit Tsang C, et al. 2016. In vivo knee contact force prediction using patient-specific musculoskeletal geometry in a segment-based computational model. J. Biomech. Eng. 138(2):021018.</w:t>
      </w:r>
    </w:p>
    <w:p w14:paraId="0F4C1E83" w14:textId="2DF00661"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36. </w:t>
      </w:r>
      <w:r w:rsidRPr="005C7750">
        <w:rPr>
          <w:rFonts w:ascii="Calibri" w:hAnsi="Calibri" w:cs="Times New Roman"/>
          <w:noProof/>
          <w:szCs w:val="24"/>
        </w:rPr>
        <w:tab/>
        <w:t>Henson D, Ding Z, McGregor A, Bull A. 2018. Applications of amputee specific computational model. In: W</w:t>
      </w:r>
      <w:r>
        <w:rPr>
          <w:rFonts w:ascii="Calibri" w:hAnsi="Calibri" w:cs="Times New Roman"/>
          <w:noProof/>
          <w:szCs w:val="24"/>
        </w:rPr>
        <w:t>orld Congress of Biomechanics.</w:t>
      </w:r>
    </w:p>
    <w:p w14:paraId="763B396A"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37. </w:t>
      </w:r>
      <w:r w:rsidRPr="005C7750">
        <w:rPr>
          <w:rFonts w:ascii="Calibri" w:hAnsi="Calibri" w:cs="Times New Roman"/>
          <w:noProof/>
          <w:szCs w:val="24"/>
        </w:rPr>
        <w:tab/>
        <w:t xml:space="preserve">Jasty M, Bragdon C, Burke D, et al. 1997. In vivo skeletal responses to porous-surfaced </w:t>
      </w:r>
      <w:r w:rsidRPr="005C7750">
        <w:rPr>
          <w:rFonts w:ascii="Calibri" w:hAnsi="Calibri" w:cs="Times New Roman"/>
          <w:noProof/>
          <w:szCs w:val="24"/>
        </w:rPr>
        <w:lastRenderedPageBreak/>
        <w:t>implants subjected to small induced motions. Am J Bone Jt Surg 79(May):707–714.</w:t>
      </w:r>
    </w:p>
    <w:p w14:paraId="59168FB1"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38. </w:t>
      </w:r>
      <w:r w:rsidRPr="005C7750">
        <w:rPr>
          <w:rFonts w:ascii="Calibri" w:hAnsi="Calibri" w:cs="Times New Roman"/>
          <w:noProof/>
          <w:szCs w:val="24"/>
        </w:rPr>
        <w:tab/>
        <w:t>Engh CA, O’Connor D, Jasty M, et al. 1992. Quantification of implant micromotion, strain shielding, and bone resorption with porous-coated anatomic medullary locking femoral prosthesis. Clin. Orthop. Relat. Res. 285:13–29.</w:t>
      </w:r>
    </w:p>
    <w:p w14:paraId="519360A0"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39. </w:t>
      </w:r>
      <w:r w:rsidRPr="005C7750">
        <w:rPr>
          <w:rFonts w:ascii="Calibri" w:hAnsi="Calibri" w:cs="Times New Roman"/>
          <w:noProof/>
          <w:szCs w:val="24"/>
        </w:rPr>
        <w:tab/>
        <w:t>Cook SD, Thomas KA, Kay JF, Jarcho M. 1988. Hydroxyapatite-coated titanium for orthopedic implant applications. Clin. Orthop. Relat. Res. 232(225):225–243.</w:t>
      </w:r>
    </w:p>
    <w:p w14:paraId="1DEEC679"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40. </w:t>
      </w:r>
      <w:r w:rsidRPr="005C7750">
        <w:rPr>
          <w:rFonts w:ascii="Calibri" w:hAnsi="Calibri" w:cs="Times New Roman"/>
          <w:noProof/>
          <w:szCs w:val="24"/>
        </w:rPr>
        <w:tab/>
        <w:t>Yang CY, Wang BC, Lee TM, et al. 1997. Intramedullary implant of plasma-sprayed hydroxyapatite coating: An interface study. J. Biomed. Mater. Res. 36(1):39–48.</w:t>
      </w:r>
    </w:p>
    <w:p w14:paraId="6C40DC75"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41. </w:t>
      </w:r>
      <w:r w:rsidRPr="005C7750">
        <w:rPr>
          <w:rFonts w:ascii="Calibri" w:hAnsi="Calibri" w:cs="Times New Roman"/>
          <w:noProof/>
          <w:szCs w:val="24"/>
        </w:rPr>
        <w:tab/>
        <w:t>van Arkel RJ, Ghouse S, Milner PE, Jeffers JRT. 2017. Additive manufactured push-fit implant fixation with screw-strength pull out. J. Orthop. Res. :1–11.</w:t>
      </w:r>
    </w:p>
    <w:p w14:paraId="0F565FCE"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42. </w:t>
      </w:r>
      <w:r w:rsidRPr="005C7750">
        <w:rPr>
          <w:rFonts w:ascii="Calibri" w:hAnsi="Calibri" w:cs="Times New Roman"/>
          <w:noProof/>
          <w:szCs w:val="24"/>
        </w:rPr>
        <w:tab/>
        <w:t>Rodan GA. 1998. Bone homeostasis. Proc. Natl. Acad. Sci. U. S. A. 95(23):13361–2.</w:t>
      </w:r>
    </w:p>
    <w:p w14:paraId="7FA61981"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43. </w:t>
      </w:r>
      <w:r w:rsidRPr="005C7750">
        <w:rPr>
          <w:rFonts w:ascii="Calibri" w:hAnsi="Calibri" w:cs="Times New Roman"/>
          <w:noProof/>
          <w:szCs w:val="24"/>
        </w:rPr>
        <w:tab/>
        <w:t>K­ärrholm J, Anderberg C, Snorrason Fi, et al. 2002. Evaluation of a femoral stem with reduced stiffness. J. Bone Jt. Surgery-American Vol. 84(9):1651–1658.</w:t>
      </w:r>
    </w:p>
    <w:p w14:paraId="222D687F" w14:textId="77777777" w:rsidR="005C7750" w:rsidRPr="005C7750" w:rsidRDefault="005C7750" w:rsidP="005C7750">
      <w:pPr>
        <w:widowControl w:val="0"/>
        <w:autoSpaceDE w:val="0"/>
        <w:autoSpaceDN w:val="0"/>
        <w:adjustRightInd w:val="0"/>
        <w:spacing w:line="480" w:lineRule="auto"/>
        <w:ind w:left="640" w:hanging="640"/>
        <w:rPr>
          <w:rFonts w:ascii="Calibri" w:hAnsi="Calibri" w:cs="Times New Roman"/>
          <w:noProof/>
          <w:szCs w:val="24"/>
        </w:rPr>
      </w:pPr>
      <w:r w:rsidRPr="005C7750">
        <w:rPr>
          <w:rFonts w:ascii="Calibri" w:hAnsi="Calibri" w:cs="Times New Roman"/>
          <w:noProof/>
          <w:szCs w:val="24"/>
        </w:rPr>
        <w:t xml:space="preserve">44. </w:t>
      </w:r>
      <w:r w:rsidRPr="005C7750">
        <w:rPr>
          <w:rFonts w:ascii="Calibri" w:hAnsi="Calibri" w:cs="Times New Roman"/>
          <w:noProof/>
          <w:szCs w:val="24"/>
        </w:rPr>
        <w:tab/>
        <w:t>Glassman AH, Crowninshield RD, Schenck R, Herberts P. 2001. A low stiffness composite biologically fixed prosthesis. Clin. Orthop. Relat. Res. (393):128–136.</w:t>
      </w:r>
    </w:p>
    <w:p w14:paraId="430E82B7" w14:textId="77777777" w:rsidR="005C7750" w:rsidRPr="005C7750" w:rsidRDefault="005C7750" w:rsidP="005C7750">
      <w:pPr>
        <w:widowControl w:val="0"/>
        <w:autoSpaceDE w:val="0"/>
        <w:autoSpaceDN w:val="0"/>
        <w:adjustRightInd w:val="0"/>
        <w:spacing w:line="480" w:lineRule="auto"/>
        <w:ind w:left="640" w:hanging="640"/>
        <w:rPr>
          <w:rFonts w:ascii="Calibri" w:hAnsi="Calibri"/>
          <w:noProof/>
        </w:rPr>
      </w:pPr>
      <w:r w:rsidRPr="005C7750">
        <w:rPr>
          <w:rFonts w:ascii="Calibri" w:hAnsi="Calibri" w:cs="Times New Roman"/>
          <w:noProof/>
          <w:szCs w:val="24"/>
        </w:rPr>
        <w:t xml:space="preserve">45. </w:t>
      </w:r>
      <w:r w:rsidRPr="005C7750">
        <w:rPr>
          <w:rFonts w:ascii="Calibri" w:hAnsi="Calibri" w:cs="Times New Roman"/>
          <w:noProof/>
          <w:szCs w:val="24"/>
        </w:rPr>
        <w:tab/>
        <w:t>Arabnejad S, Johnston B, Tanzer M, Pasini D. 2017. Fully porous 3D printed titanium femoral stem to reduce stress-shielding following total hip arthroplasty. J. Orthop. Res. 35(8):1774–1783.</w:t>
      </w:r>
    </w:p>
    <w:p w14:paraId="189D9966" w14:textId="77777777" w:rsidR="00C65ADE" w:rsidRDefault="00D428D6" w:rsidP="000012B4">
      <w:pPr>
        <w:spacing w:line="480" w:lineRule="auto"/>
      </w:pPr>
      <w:r>
        <w:fldChar w:fldCharType="end"/>
      </w:r>
    </w:p>
    <w:p w14:paraId="6A40063D" w14:textId="77777777" w:rsidR="00C65ADE" w:rsidRDefault="00C65ADE" w:rsidP="000012B4">
      <w:pPr>
        <w:spacing w:line="480" w:lineRule="auto"/>
      </w:pPr>
    </w:p>
    <w:p w14:paraId="140D1224" w14:textId="77777777" w:rsidR="00C65ADE" w:rsidRDefault="00C65ADE" w:rsidP="000012B4">
      <w:pPr>
        <w:spacing w:line="480" w:lineRule="auto"/>
      </w:pPr>
    </w:p>
    <w:p w14:paraId="62488C78" w14:textId="77777777" w:rsidR="00C65ADE" w:rsidRDefault="00C65ADE" w:rsidP="000012B4">
      <w:pPr>
        <w:spacing w:line="480" w:lineRule="auto"/>
      </w:pPr>
    </w:p>
    <w:p w14:paraId="05E15ED6" w14:textId="71129CC4" w:rsidR="005B22F1" w:rsidRDefault="00C65ADE" w:rsidP="000012B4">
      <w:pPr>
        <w:spacing w:line="480" w:lineRule="auto"/>
        <w:rPr>
          <w:b/>
        </w:rPr>
      </w:pPr>
      <w:r w:rsidRPr="00C65ADE">
        <w:rPr>
          <w:b/>
        </w:rPr>
        <w:lastRenderedPageBreak/>
        <w:t>Figure Legends</w:t>
      </w:r>
    </w:p>
    <w:p w14:paraId="1CB1ACED" w14:textId="48E84037" w:rsidR="00C65ADE" w:rsidRDefault="00C65ADE" w:rsidP="00C65ADE">
      <w:pPr>
        <w:spacing w:line="480" w:lineRule="auto"/>
      </w:pPr>
      <w:r w:rsidRPr="00C65ADE">
        <w:t>Figure 1 – Implanted di</w:t>
      </w:r>
      <w:r w:rsidR="00FF1DC2">
        <w:t>rect skeletal fixation devices.</w:t>
      </w:r>
    </w:p>
    <w:p w14:paraId="08D834ED" w14:textId="041E4B38" w:rsidR="00C65ADE" w:rsidRDefault="00C65ADE" w:rsidP="00C65ADE">
      <w:pPr>
        <w:spacing w:line="480" w:lineRule="auto"/>
      </w:pPr>
      <w:r w:rsidRPr="00C65ADE">
        <w:t>Figure 2 – Cortical bone stiffness matched transfemoral implant where top is proximal bone interface section and bottom is distal end bearing section (l). Associated additive manufactured conical reamer with hex bar driver attachment (r).</w:t>
      </w:r>
    </w:p>
    <w:p w14:paraId="09B7D1C4" w14:textId="4E818F51" w:rsidR="00C65ADE" w:rsidRDefault="00C65ADE" w:rsidP="00C65ADE">
      <w:pPr>
        <w:spacing w:line="480" w:lineRule="auto"/>
      </w:pPr>
      <w:r w:rsidRPr="00C65ADE">
        <w:t>Figure 3 – Sagittal view of right femur representing the calculated flexions the pre-cut femurs were raised to.</w:t>
      </w:r>
    </w:p>
    <w:p w14:paraId="045B3657" w14:textId="5104A1B2" w:rsidR="00965E55" w:rsidRDefault="004F70D0" w:rsidP="00C65ADE">
      <w:pPr>
        <w:spacing w:line="480" w:lineRule="auto"/>
      </w:pPr>
      <w:r w:rsidRPr="004F70D0">
        <w:t>Figure 4 – Micromotion testing set-up with simplified detail section view of distal implant location in relation to load applicator and LVDT fixture (t). Push out test schematic (b). Both not to scale.</w:t>
      </w:r>
    </w:p>
    <w:p w14:paraId="7121F26D" w14:textId="68C974D6" w:rsidR="00C65ADE" w:rsidRDefault="00C65ADE" w:rsidP="000012B4">
      <w:pPr>
        <w:spacing w:line="480" w:lineRule="auto"/>
      </w:pPr>
      <w:r w:rsidRPr="00C65ADE">
        <w:t xml:space="preserve">Figure 5 – Bar chart of the means for both the mean and maximum micromotions across all three LVDTs with 95% confidence interval error bars. </w:t>
      </w:r>
      <w:proofErr w:type="spellStart"/>
      <w:r w:rsidRPr="00C65ADE">
        <w:t>Asterix</w:t>
      </w:r>
      <w:proofErr w:type="spellEnd"/>
      <w:r w:rsidRPr="00C65ADE">
        <w:t xml:space="preserve"> denotes statistical significant difference with large effect size. Horizontal dashed lines at 20 µm and 40 µm are included for reference.</w:t>
      </w:r>
    </w:p>
    <w:p w14:paraId="4838A856" w14:textId="520E5681" w:rsidR="00C65ADE" w:rsidRPr="00C65ADE" w:rsidRDefault="004F70D0" w:rsidP="000012B4">
      <w:pPr>
        <w:spacing w:line="480" w:lineRule="auto"/>
      </w:pPr>
      <w:r w:rsidRPr="004F70D0">
        <w:t>Figure 6 – Example push out load against time graph where peak compressive load is defined as the push out load (l) &amp; mean push out loads with 95% confidence interval error bars (r).</w:t>
      </w:r>
    </w:p>
    <w:sectPr w:rsidR="00C65ADE" w:rsidRPr="00C65ADE" w:rsidSect="00122715">
      <w:footerReference w:type="default" r:id="rId14"/>
      <w:footerReference w:type="first" r:id="rId15"/>
      <w:pgSz w:w="11906" w:h="16838"/>
      <w:pgMar w:top="1440" w:right="1440" w:bottom="1440" w:left="1440" w:header="708" w:footer="708" w:gutter="0"/>
      <w:lnNumType w:countBy="1" w:restart="continuous"/>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621330" w16cid:durableId="1F7A8AE2"/>
  <w16cid:commentId w16cid:paraId="265CA899" w16cid:durableId="1F7A8AF7"/>
  <w16cid:commentId w16cid:paraId="581F0849" w16cid:durableId="1F7A8CDA"/>
  <w16cid:commentId w16cid:paraId="10737BB4" w16cid:durableId="1F7A89B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B50477" w14:textId="77777777" w:rsidR="00625C04" w:rsidRDefault="00625C04" w:rsidP="00122715">
      <w:pPr>
        <w:spacing w:after="0" w:line="240" w:lineRule="auto"/>
      </w:pPr>
      <w:r>
        <w:separator/>
      </w:r>
    </w:p>
  </w:endnote>
  <w:endnote w:type="continuationSeparator" w:id="0">
    <w:p w14:paraId="6FDFA4CB" w14:textId="77777777" w:rsidR="00625C04" w:rsidRDefault="00625C04" w:rsidP="0012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260991"/>
      <w:docPartObj>
        <w:docPartGallery w:val="Page Numbers (Bottom of Page)"/>
        <w:docPartUnique/>
      </w:docPartObj>
    </w:sdtPr>
    <w:sdtEndPr>
      <w:rPr>
        <w:noProof/>
      </w:rPr>
    </w:sdtEndPr>
    <w:sdtContent>
      <w:p w14:paraId="3F018F59" w14:textId="27801547" w:rsidR="00C95F67" w:rsidRDefault="00C95F67">
        <w:pPr>
          <w:pStyle w:val="Footer"/>
        </w:pPr>
        <w:r>
          <w:fldChar w:fldCharType="begin"/>
        </w:r>
        <w:r>
          <w:instrText xml:space="preserve"> PAGE   \* MERGEFORMAT </w:instrText>
        </w:r>
        <w:r>
          <w:fldChar w:fldCharType="separate"/>
        </w:r>
        <w:r w:rsidR="008931F1">
          <w:rPr>
            <w:noProof/>
          </w:rPr>
          <w:t>21</w:t>
        </w:r>
        <w:r>
          <w:rPr>
            <w:noProof/>
          </w:rPr>
          <w:fldChar w:fldCharType="end"/>
        </w:r>
      </w:p>
    </w:sdtContent>
  </w:sdt>
  <w:p w14:paraId="2E5FC00A" w14:textId="77777777" w:rsidR="00C95F67" w:rsidRDefault="00C95F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143992"/>
      <w:docPartObj>
        <w:docPartGallery w:val="Page Numbers (Bottom of Page)"/>
        <w:docPartUnique/>
      </w:docPartObj>
    </w:sdtPr>
    <w:sdtEndPr>
      <w:rPr>
        <w:noProof/>
      </w:rPr>
    </w:sdtEndPr>
    <w:sdtContent>
      <w:p w14:paraId="7801DDC9" w14:textId="5B32F8E3" w:rsidR="00C95F67" w:rsidRDefault="00C95F67">
        <w:pPr>
          <w:pStyle w:val="Footer"/>
        </w:pPr>
        <w:r>
          <w:fldChar w:fldCharType="begin"/>
        </w:r>
        <w:r>
          <w:instrText xml:space="preserve"> PAGE   \* MERGEFORMAT </w:instrText>
        </w:r>
        <w:r>
          <w:fldChar w:fldCharType="separate"/>
        </w:r>
        <w:r w:rsidR="008931F1">
          <w:rPr>
            <w:noProof/>
          </w:rPr>
          <w:t>1</w:t>
        </w:r>
        <w:r>
          <w:rPr>
            <w:noProof/>
          </w:rPr>
          <w:fldChar w:fldCharType="end"/>
        </w:r>
      </w:p>
    </w:sdtContent>
  </w:sdt>
  <w:p w14:paraId="5625823A" w14:textId="77777777" w:rsidR="00C95F67" w:rsidRDefault="00C95F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F519F" w14:textId="77777777" w:rsidR="00625C04" w:rsidRDefault="00625C04" w:rsidP="00122715">
      <w:pPr>
        <w:spacing w:after="0" w:line="240" w:lineRule="auto"/>
      </w:pPr>
      <w:r>
        <w:separator/>
      </w:r>
    </w:p>
  </w:footnote>
  <w:footnote w:type="continuationSeparator" w:id="0">
    <w:p w14:paraId="7CAEF528" w14:textId="77777777" w:rsidR="00625C04" w:rsidRDefault="00625C04" w:rsidP="001227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66A3F"/>
    <w:multiLevelType w:val="hybridMultilevel"/>
    <w:tmpl w:val="7B944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57219B9"/>
    <w:multiLevelType w:val="hybridMultilevel"/>
    <w:tmpl w:val="18469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5F91453"/>
    <w:multiLevelType w:val="hybridMultilevel"/>
    <w:tmpl w:val="EDCAF8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63306E"/>
    <w:multiLevelType w:val="hybridMultilevel"/>
    <w:tmpl w:val="356E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D35338"/>
    <w:multiLevelType w:val="hybridMultilevel"/>
    <w:tmpl w:val="C772E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756219"/>
    <w:multiLevelType w:val="multilevel"/>
    <w:tmpl w:val="CEBA75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CC2"/>
    <w:rsid w:val="00000B42"/>
    <w:rsid w:val="000012B4"/>
    <w:rsid w:val="00003308"/>
    <w:rsid w:val="00010536"/>
    <w:rsid w:val="00016BC3"/>
    <w:rsid w:val="00024F17"/>
    <w:rsid w:val="000259D7"/>
    <w:rsid w:val="00041FD2"/>
    <w:rsid w:val="00043375"/>
    <w:rsid w:val="0005596F"/>
    <w:rsid w:val="000618B8"/>
    <w:rsid w:val="00062545"/>
    <w:rsid w:val="00067C42"/>
    <w:rsid w:val="000708B0"/>
    <w:rsid w:val="0007670B"/>
    <w:rsid w:val="00080FFD"/>
    <w:rsid w:val="00087FC9"/>
    <w:rsid w:val="00090DDC"/>
    <w:rsid w:val="000929A5"/>
    <w:rsid w:val="0009329C"/>
    <w:rsid w:val="000941CB"/>
    <w:rsid w:val="000A172E"/>
    <w:rsid w:val="000A3ADE"/>
    <w:rsid w:val="000A3BC0"/>
    <w:rsid w:val="000A4EC3"/>
    <w:rsid w:val="000A5AA6"/>
    <w:rsid w:val="000A5BDB"/>
    <w:rsid w:val="000A73B6"/>
    <w:rsid w:val="000A7AA0"/>
    <w:rsid w:val="000B1E7F"/>
    <w:rsid w:val="000B2A32"/>
    <w:rsid w:val="000B5774"/>
    <w:rsid w:val="000B767A"/>
    <w:rsid w:val="000C0719"/>
    <w:rsid w:val="000C0F27"/>
    <w:rsid w:val="000C6421"/>
    <w:rsid w:val="000D20BF"/>
    <w:rsid w:val="000D362A"/>
    <w:rsid w:val="000D52B8"/>
    <w:rsid w:val="000F1139"/>
    <w:rsid w:val="000F4F9C"/>
    <w:rsid w:val="000F57FD"/>
    <w:rsid w:val="000F69E3"/>
    <w:rsid w:val="00105404"/>
    <w:rsid w:val="00110753"/>
    <w:rsid w:val="00110CD5"/>
    <w:rsid w:val="001113B7"/>
    <w:rsid w:val="00111630"/>
    <w:rsid w:val="001207FE"/>
    <w:rsid w:val="001213A5"/>
    <w:rsid w:val="001217BB"/>
    <w:rsid w:val="00122715"/>
    <w:rsid w:val="0012429E"/>
    <w:rsid w:val="0012476D"/>
    <w:rsid w:val="00125889"/>
    <w:rsid w:val="001364A0"/>
    <w:rsid w:val="00141CAB"/>
    <w:rsid w:val="001436B5"/>
    <w:rsid w:val="00145080"/>
    <w:rsid w:val="00147E81"/>
    <w:rsid w:val="00152718"/>
    <w:rsid w:val="0016102D"/>
    <w:rsid w:val="00161092"/>
    <w:rsid w:val="00161B9E"/>
    <w:rsid w:val="00167C0E"/>
    <w:rsid w:val="00167F55"/>
    <w:rsid w:val="00170B80"/>
    <w:rsid w:val="00182CB6"/>
    <w:rsid w:val="001863FA"/>
    <w:rsid w:val="00186FA5"/>
    <w:rsid w:val="0019485B"/>
    <w:rsid w:val="001A1ED4"/>
    <w:rsid w:val="001A5A21"/>
    <w:rsid w:val="001B3406"/>
    <w:rsid w:val="001B3A71"/>
    <w:rsid w:val="001C5B8D"/>
    <w:rsid w:val="001C6B36"/>
    <w:rsid w:val="001D524A"/>
    <w:rsid w:val="001E1425"/>
    <w:rsid w:val="001E165C"/>
    <w:rsid w:val="001E6765"/>
    <w:rsid w:val="001E720A"/>
    <w:rsid w:val="001E72EA"/>
    <w:rsid w:val="001F0F83"/>
    <w:rsid w:val="001F140F"/>
    <w:rsid w:val="001F205B"/>
    <w:rsid w:val="00207905"/>
    <w:rsid w:val="00212565"/>
    <w:rsid w:val="00215E08"/>
    <w:rsid w:val="002265EF"/>
    <w:rsid w:val="00226B11"/>
    <w:rsid w:val="00233285"/>
    <w:rsid w:val="00236092"/>
    <w:rsid w:val="00236C71"/>
    <w:rsid w:val="00240A2D"/>
    <w:rsid w:val="00251A1D"/>
    <w:rsid w:val="002549B7"/>
    <w:rsid w:val="002601DF"/>
    <w:rsid w:val="00264F2B"/>
    <w:rsid w:val="00265752"/>
    <w:rsid w:val="00273CA6"/>
    <w:rsid w:val="0028090C"/>
    <w:rsid w:val="002810C4"/>
    <w:rsid w:val="00281D83"/>
    <w:rsid w:val="002837F0"/>
    <w:rsid w:val="0028454B"/>
    <w:rsid w:val="00287B13"/>
    <w:rsid w:val="00292A31"/>
    <w:rsid w:val="00295CDE"/>
    <w:rsid w:val="002A2C10"/>
    <w:rsid w:val="002A521D"/>
    <w:rsid w:val="002B10DC"/>
    <w:rsid w:val="002C2608"/>
    <w:rsid w:val="002D3574"/>
    <w:rsid w:val="002D5C54"/>
    <w:rsid w:val="002E1A41"/>
    <w:rsid w:val="002E37C7"/>
    <w:rsid w:val="002E6BC7"/>
    <w:rsid w:val="002F44C0"/>
    <w:rsid w:val="0030078D"/>
    <w:rsid w:val="00300ED9"/>
    <w:rsid w:val="00305DDE"/>
    <w:rsid w:val="003079A8"/>
    <w:rsid w:val="003124B0"/>
    <w:rsid w:val="00325AF4"/>
    <w:rsid w:val="00327FAC"/>
    <w:rsid w:val="0033158A"/>
    <w:rsid w:val="00344885"/>
    <w:rsid w:val="00350C0C"/>
    <w:rsid w:val="00356390"/>
    <w:rsid w:val="00362012"/>
    <w:rsid w:val="003621C1"/>
    <w:rsid w:val="003648BD"/>
    <w:rsid w:val="003666B5"/>
    <w:rsid w:val="00366FB0"/>
    <w:rsid w:val="0037450D"/>
    <w:rsid w:val="00377273"/>
    <w:rsid w:val="003873ED"/>
    <w:rsid w:val="00391E03"/>
    <w:rsid w:val="0039497C"/>
    <w:rsid w:val="003B06B2"/>
    <w:rsid w:val="003B29F7"/>
    <w:rsid w:val="003B2F45"/>
    <w:rsid w:val="003B4ED6"/>
    <w:rsid w:val="003B5FDF"/>
    <w:rsid w:val="003C3AD3"/>
    <w:rsid w:val="003C5FCB"/>
    <w:rsid w:val="003C73B0"/>
    <w:rsid w:val="003D2097"/>
    <w:rsid w:val="003D2879"/>
    <w:rsid w:val="003D3527"/>
    <w:rsid w:val="003E082D"/>
    <w:rsid w:val="003E0CBD"/>
    <w:rsid w:val="003F158F"/>
    <w:rsid w:val="003F16B0"/>
    <w:rsid w:val="003F22B5"/>
    <w:rsid w:val="003F2558"/>
    <w:rsid w:val="003F796C"/>
    <w:rsid w:val="00400653"/>
    <w:rsid w:val="00413978"/>
    <w:rsid w:val="00417B38"/>
    <w:rsid w:val="00431F8A"/>
    <w:rsid w:val="00436CF5"/>
    <w:rsid w:val="00437A61"/>
    <w:rsid w:val="00437DC1"/>
    <w:rsid w:val="00440AF0"/>
    <w:rsid w:val="00440DB1"/>
    <w:rsid w:val="00443E06"/>
    <w:rsid w:val="004440AE"/>
    <w:rsid w:val="00451A61"/>
    <w:rsid w:val="00460B60"/>
    <w:rsid w:val="00472565"/>
    <w:rsid w:val="00473BCF"/>
    <w:rsid w:val="00475F39"/>
    <w:rsid w:val="004762F3"/>
    <w:rsid w:val="00485489"/>
    <w:rsid w:val="00486A17"/>
    <w:rsid w:val="00487110"/>
    <w:rsid w:val="004877F1"/>
    <w:rsid w:val="004908AF"/>
    <w:rsid w:val="004921B1"/>
    <w:rsid w:val="004936AD"/>
    <w:rsid w:val="00494E8D"/>
    <w:rsid w:val="00496B3A"/>
    <w:rsid w:val="00497E28"/>
    <w:rsid w:val="004A26BE"/>
    <w:rsid w:val="004A572B"/>
    <w:rsid w:val="004A62DD"/>
    <w:rsid w:val="004B0B33"/>
    <w:rsid w:val="004B665D"/>
    <w:rsid w:val="004C3D89"/>
    <w:rsid w:val="004C4D18"/>
    <w:rsid w:val="004C73D2"/>
    <w:rsid w:val="004D219A"/>
    <w:rsid w:val="004E083F"/>
    <w:rsid w:val="004F70D0"/>
    <w:rsid w:val="004F7C6F"/>
    <w:rsid w:val="0050478A"/>
    <w:rsid w:val="005047B8"/>
    <w:rsid w:val="005048EA"/>
    <w:rsid w:val="00511749"/>
    <w:rsid w:val="00512366"/>
    <w:rsid w:val="005154D9"/>
    <w:rsid w:val="00530C63"/>
    <w:rsid w:val="0053678E"/>
    <w:rsid w:val="005374E6"/>
    <w:rsid w:val="00537763"/>
    <w:rsid w:val="005432C9"/>
    <w:rsid w:val="00544996"/>
    <w:rsid w:val="00544C4D"/>
    <w:rsid w:val="00551325"/>
    <w:rsid w:val="00563292"/>
    <w:rsid w:val="0056445C"/>
    <w:rsid w:val="0056583E"/>
    <w:rsid w:val="005679AB"/>
    <w:rsid w:val="00575D32"/>
    <w:rsid w:val="005854CE"/>
    <w:rsid w:val="005900C3"/>
    <w:rsid w:val="00590E1D"/>
    <w:rsid w:val="00591183"/>
    <w:rsid w:val="00593AA8"/>
    <w:rsid w:val="005977E6"/>
    <w:rsid w:val="005A56B9"/>
    <w:rsid w:val="005B1B81"/>
    <w:rsid w:val="005B22F1"/>
    <w:rsid w:val="005B3B6A"/>
    <w:rsid w:val="005B4BC7"/>
    <w:rsid w:val="005C7750"/>
    <w:rsid w:val="005D5E06"/>
    <w:rsid w:val="005E1215"/>
    <w:rsid w:val="005E1E5B"/>
    <w:rsid w:val="005E223A"/>
    <w:rsid w:val="005E2858"/>
    <w:rsid w:val="005E2997"/>
    <w:rsid w:val="005E348F"/>
    <w:rsid w:val="005E7BCA"/>
    <w:rsid w:val="005F1547"/>
    <w:rsid w:val="005F1E45"/>
    <w:rsid w:val="00601587"/>
    <w:rsid w:val="006020AF"/>
    <w:rsid w:val="00611664"/>
    <w:rsid w:val="006138BF"/>
    <w:rsid w:val="00614773"/>
    <w:rsid w:val="00625C04"/>
    <w:rsid w:val="006302D8"/>
    <w:rsid w:val="00630AEB"/>
    <w:rsid w:val="006338DA"/>
    <w:rsid w:val="006359D3"/>
    <w:rsid w:val="00642EC0"/>
    <w:rsid w:val="006439AD"/>
    <w:rsid w:val="00644574"/>
    <w:rsid w:val="00655148"/>
    <w:rsid w:val="006575AB"/>
    <w:rsid w:val="00660059"/>
    <w:rsid w:val="006641EF"/>
    <w:rsid w:val="0066552B"/>
    <w:rsid w:val="00667C33"/>
    <w:rsid w:val="006704B8"/>
    <w:rsid w:val="006724E4"/>
    <w:rsid w:val="00672777"/>
    <w:rsid w:val="00674ACB"/>
    <w:rsid w:val="00682616"/>
    <w:rsid w:val="006831ED"/>
    <w:rsid w:val="00684376"/>
    <w:rsid w:val="00686C35"/>
    <w:rsid w:val="00694FB0"/>
    <w:rsid w:val="00695B8B"/>
    <w:rsid w:val="006A09A1"/>
    <w:rsid w:val="006A24F1"/>
    <w:rsid w:val="006A6BC6"/>
    <w:rsid w:val="006A7A52"/>
    <w:rsid w:val="006A7C16"/>
    <w:rsid w:val="006B309A"/>
    <w:rsid w:val="006B3A03"/>
    <w:rsid w:val="006C0FE2"/>
    <w:rsid w:val="006C1616"/>
    <w:rsid w:val="006C1F77"/>
    <w:rsid w:val="006C42C6"/>
    <w:rsid w:val="006C4324"/>
    <w:rsid w:val="006C4A93"/>
    <w:rsid w:val="006C6BDD"/>
    <w:rsid w:val="006C7B8B"/>
    <w:rsid w:val="006D2B67"/>
    <w:rsid w:val="006D4723"/>
    <w:rsid w:val="006D5C9F"/>
    <w:rsid w:val="006D67AB"/>
    <w:rsid w:val="006E07A7"/>
    <w:rsid w:val="006E773C"/>
    <w:rsid w:val="006F2FE3"/>
    <w:rsid w:val="006F4E7C"/>
    <w:rsid w:val="006F4F8B"/>
    <w:rsid w:val="006F534A"/>
    <w:rsid w:val="006F7044"/>
    <w:rsid w:val="006F765E"/>
    <w:rsid w:val="00702B3F"/>
    <w:rsid w:val="00704966"/>
    <w:rsid w:val="00710EB8"/>
    <w:rsid w:val="0071295E"/>
    <w:rsid w:val="00712C99"/>
    <w:rsid w:val="00714F74"/>
    <w:rsid w:val="00724AE1"/>
    <w:rsid w:val="0074319B"/>
    <w:rsid w:val="00745B2B"/>
    <w:rsid w:val="00760CC2"/>
    <w:rsid w:val="007623F5"/>
    <w:rsid w:val="00763D29"/>
    <w:rsid w:val="00765FAA"/>
    <w:rsid w:val="0076685D"/>
    <w:rsid w:val="00771E60"/>
    <w:rsid w:val="00781C30"/>
    <w:rsid w:val="00785F34"/>
    <w:rsid w:val="0079042B"/>
    <w:rsid w:val="00792314"/>
    <w:rsid w:val="007923B8"/>
    <w:rsid w:val="00793407"/>
    <w:rsid w:val="0079533C"/>
    <w:rsid w:val="007A7E4D"/>
    <w:rsid w:val="007B154C"/>
    <w:rsid w:val="007C1A29"/>
    <w:rsid w:val="007C5B8B"/>
    <w:rsid w:val="007C673F"/>
    <w:rsid w:val="007D25B3"/>
    <w:rsid w:val="007D275F"/>
    <w:rsid w:val="007D57CC"/>
    <w:rsid w:val="007D5874"/>
    <w:rsid w:val="007D5EBC"/>
    <w:rsid w:val="007D60B0"/>
    <w:rsid w:val="007F0405"/>
    <w:rsid w:val="007F62E0"/>
    <w:rsid w:val="00800A1B"/>
    <w:rsid w:val="00801396"/>
    <w:rsid w:val="00801B2B"/>
    <w:rsid w:val="00802603"/>
    <w:rsid w:val="00806879"/>
    <w:rsid w:val="00811865"/>
    <w:rsid w:val="00811C94"/>
    <w:rsid w:val="0081561F"/>
    <w:rsid w:val="00820C14"/>
    <w:rsid w:val="00820F3E"/>
    <w:rsid w:val="00822D86"/>
    <w:rsid w:val="0082383A"/>
    <w:rsid w:val="00825FFF"/>
    <w:rsid w:val="00826FE1"/>
    <w:rsid w:val="00830E7A"/>
    <w:rsid w:val="008329A7"/>
    <w:rsid w:val="00834127"/>
    <w:rsid w:val="00837B6F"/>
    <w:rsid w:val="0084129F"/>
    <w:rsid w:val="00843AFC"/>
    <w:rsid w:val="00844823"/>
    <w:rsid w:val="00860AE1"/>
    <w:rsid w:val="00861C24"/>
    <w:rsid w:val="00884927"/>
    <w:rsid w:val="008931F1"/>
    <w:rsid w:val="008979FE"/>
    <w:rsid w:val="008A0187"/>
    <w:rsid w:val="008A25B6"/>
    <w:rsid w:val="008A7F96"/>
    <w:rsid w:val="008B0E30"/>
    <w:rsid w:val="008B5ABA"/>
    <w:rsid w:val="008C39DF"/>
    <w:rsid w:val="008C3FDF"/>
    <w:rsid w:val="008C65B3"/>
    <w:rsid w:val="008D6172"/>
    <w:rsid w:val="008E3443"/>
    <w:rsid w:val="008E3D4A"/>
    <w:rsid w:val="008E693A"/>
    <w:rsid w:val="008E70A6"/>
    <w:rsid w:val="008F59DA"/>
    <w:rsid w:val="008F64AC"/>
    <w:rsid w:val="008F6615"/>
    <w:rsid w:val="009079CE"/>
    <w:rsid w:val="00911414"/>
    <w:rsid w:val="0091217F"/>
    <w:rsid w:val="00913BF2"/>
    <w:rsid w:val="00914887"/>
    <w:rsid w:val="00914B27"/>
    <w:rsid w:val="00920EBB"/>
    <w:rsid w:val="00925406"/>
    <w:rsid w:val="00925536"/>
    <w:rsid w:val="0092567E"/>
    <w:rsid w:val="0092707A"/>
    <w:rsid w:val="00930277"/>
    <w:rsid w:val="009323E2"/>
    <w:rsid w:val="00940FAD"/>
    <w:rsid w:val="00945E7F"/>
    <w:rsid w:val="0094748B"/>
    <w:rsid w:val="00957204"/>
    <w:rsid w:val="00960605"/>
    <w:rsid w:val="00963957"/>
    <w:rsid w:val="00964E4F"/>
    <w:rsid w:val="00965E55"/>
    <w:rsid w:val="00976A7C"/>
    <w:rsid w:val="00976DC0"/>
    <w:rsid w:val="00981943"/>
    <w:rsid w:val="00984272"/>
    <w:rsid w:val="00985AB9"/>
    <w:rsid w:val="00987B95"/>
    <w:rsid w:val="00990BE8"/>
    <w:rsid w:val="009912DF"/>
    <w:rsid w:val="00995A85"/>
    <w:rsid w:val="00996D64"/>
    <w:rsid w:val="009A1771"/>
    <w:rsid w:val="009A3035"/>
    <w:rsid w:val="009A5039"/>
    <w:rsid w:val="009A7F09"/>
    <w:rsid w:val="009B2F64"/>
    <w:rsid w:val="009B75EF"/>
    <w:rsid w:val="009C03F8"/>
    <w:rsid w:val="009C1939"/>
    <w:rsid w:val="009C2069"/>
    <w:rsid w:val="009C40C3"/>
    <w:rsid w:val="009D0064"/>
    <w:rsid w:val="009E2058"/>
    <w:rsid w:val="009E4CE5"/>
    <w:rsid w:val="009E5259"/>
    <w:rsid w:val="009F4A55"/>
    <w:rsid w:val="00A07710"/>
    <w:rsid w:val="00A154EB"/>
    <w:rsid w:val="00A174DF"/>
    <w:rsid w:val="00A17C7A"/>
    <w:rsid w:val="00A27CBD"/>
    <w:rsid w:val="00A30723"/>
    <w:rsid w:val="00A3599A"/>
    <w:rsid w:val="00A43603"/>
    <w:rsid w:val="00A43B20"/>
    <w:rsid w:val="00A43F3E"/>
    <w:rsid w:val="00A44326"/>
    <w:rsid w:val="00A45CD2"/>
    <w:rsid w:val="00A46A82"/>
    <w:rsid w:val="00A50266"/>
    <w:rsid w:val="00A559DC"/>
    <w:rsid w:val="00A62C3B"/>
    <w:rsid w:val="00A63929"/>
    <w:rsid w:val="00A66963"/>
    <w:rsid w:val="00A672AC"/>
    <w:rsid w:val="00A73138"/>
    <w:rsid w:val="00A769FF"/>
    <w:rsid w:val="00A814CD"/>
    <w:rsid w:val="00A839F5"/>
    <w:rsid w:val="00A85A69"/>
    <w:rsid w:val="00A86CEB"/>
    <w:rsid w:val="00A90F07"/>
    <w:rsid w:val="00A916DC"/>
    <w:rsid w:val="00A956EF"/>
    <w:rsid w:val="00AA16DB"/>
    <w:rsid w:val="00AA49B7"/>
    <w:rsid w:val="00AB5BA4"/>
    <w:rsid w:val="00AC0116"/>
    <w:rsid w:val="00AC2F6C"/>
    <w:rsid w:val="00AD142A"/>
    <w:rsid w:val="00AD3141"/>
    <w:rsid w:val="00AD5C21"/>
    <w:rsid w:val="00AE21F6"/>
    <w:rsid w:val="00AE6484"/>
    <w:rsid w:val="00AE7A8C"/>
    <w:rsid w:val="00AF4F76"/>
    <w:rsid w:val="00AF5CC4"/>
    <w:rsid w:val="00AF63A1"/>
    <w:rsid w:val="00AF74F4"/>
    <w:rsid w:val="00B00C0C"/>
    <w:rsid w:val="00B01320"/>
    <w:rsid w:val="00B04738"/>
    <w:rsid w:val="00B11A88"/>
    <w:rsid w:val="00B142C0"/>
    <w:rsid w:val="00B250AC"/>
    <w:rsid w:val="00B304E8"/>
    <w:rsid w:val="00B47A6C"/>
    <w:rsid w:val="00B512D2"/>
    <w:rsid w:val="00B516B2"/>
    <w:rsid w:val="00B60100"/>
    <w:rsid w:val="00B62BD1"/>
    <w:rsid w:val="00B63AE1"/>
    <w:rsid w:val="00B6471D"/>
    <w:rsid w:val="00B75437"/>
    <w:rsid w:val="00B810AE"/>
    <w:rsid w:val="00B93590"/>
    <w:rsid w:val="00BA1FA4"/>
    <w:rsid w:val="00BA2482"/>
    <w:rsid w:val="00BA322C"/>
    <w:rsid w:val="00BA3625"/>
    <w:rsid w:val="00BA608F"/>
    <w:rsid w:val="00BA7754"/>
    <w:rsid w:val="00BB0475"/>
    <w:rsid w:val="00BB12A8"/>
    <w:rsid w:val="00BC0E57"/>
    <w:rsid w:val="00BD27F5"/>
    <w:rsid w:val="00BD72C4"/>
    <w:rsid w:val="00BE6E17"/>
    <w:rsid w:val="00BF4BF5"/>
    <w:rsid w:val="00BF5DD0"/>
    <w:rsid w:val="00C036FD"/>
    <w:rsid w:val="00C05701"/>
    <w:rsid w:val="00C06F35"/>
    <w:rsid w:val="00C1248E"/>
    <w:rsid w:val="00C12E5C"/>
    <w:rsid w:val="00C16908"/>
    <w:rsid w:val="00C24CD8"/>
    <w:rsid w:val="00C2632B"/>
    <w:rsid w:val="00C318FB"/>
    <w:rsid w:val="00C33256"/>
    <w:rsid w:val="00C340A3"/>
    <w:rsid w:val="00C36C78"/>
    <w:rsid w:val="00C41EDA"/>
    <w:rsid w:val="00C5144A"/>
    <w:rsid w:val="00C55AFF"/>
    <w:rsid w:val="00C61CB0"/>
    <w:rsid w:val="00C64127"/>
    <w:rsid w:val="00C65ADE"/>
    <w:rsid w:val="00C66EF4"/>
    <w:rsid w:val="00C76810"/>
    <w:rsid w:val="00C819B2"/>
    <w:rsid w:val="00C82906"/>
    <w:rsid w:val="00C84671"/>
    <w:rsid w:val="00C84A5E"/>
    <w:rsid w:val="00C93CC4"/>
    <w:rsid w:val="00C95F67"/>
    <w:rsid w:val="00C96258"/>
    <w:rsid w:val="00CA1168"/>
    <w:rsid w:val="00CB09D2"/>
    <w:rsid w:val="00CB1971"/>
    <w:rsid w:val="00CB2A4F"/>
    <w:rsid w:val="00CB3454"/>
    <w:rsid w:val="00CC207C"/>
    <w:rsid w:val="00CC2183"/>
    <w:rsid w:val="00CC59EF"/>
    <w:rsid w:val="00CC794F"/>
    <w:rsid w:val="00CE0124"/>
    <w:rsid w:val="00D05932"/>
    <w:rsid w:val="00D06B4F"/>
    <w:rsid w:val="00D10D89"/>
    <w:rsid w:val="00D13108"/>
    <w:rsid w:val="00D1348B"/>
    <w:rsid w:val="00D137A5"/>
    <w:rsid w:val="00D15F31"/>
    <w:rsid w:val="00D1753A"/>
    <w:rsid w:val="00D176F0"/>
    <w:rsid w:val="00D35E3E"/>
    <w:rsid w:val="00D369BD"/>
    <w:rsid w:val="00D36BAB"/>
    <w:rsid w:val="00D36CD3"/>
    <w:rsid w:val="00D41CA5"/>
    <w:rsid w:val="00D428D6"/>
    <w:rsid w:val="00D46F86"/>
    <w:rsid w:val="00D50D07"/>
    <w:rsid w:val="00D52C7B"/>
    <w:rsid w:val="00D56654"/>
    <w:rsid w:val="00D6478C"/>
    <w:rsid w:val="00D65D25"/>
    <w:rsid w:val="00D70D73"/>
    <w:rsid w:val="00D83E5E"/>
    <w:rsid w:val="00D85A1A"/>
    <w:rsid w:val="00D949C3"/>
    <w:rsid w:val="00D97731"/>
    <w:rsid w:val="00DB4A74"/>
    <w:rsid w:val="00DC245E"/>
    <w:rsid w:val="00DC417F"/>
    <w:rsid w:val="00DC49F4"/>
    <w:rsid w:val="00DC4C69"/>
    <w:rsid w:val="00DC70BD"/>
    <w:rsid w:val="00DD2338"/>
    <w:rsid w:val="00DE0D39"/>
    <w:rsid w:val="00DE2E99"/>
    <w:rsid w:val="00DF2277"/>
    <w:rsid w:val="00DF363E"/>
    <w:rsid w:val="00DF43CE"/>
    <w:rsid w:val="00DF5058"/>
    <w:rsid w:val="00DF7F51"/>
    <w:rsid w:val="00E05D46"/>
    <w:rsid w:val="00E11D66"/>
    <w:rsid w:val="00E12B28"/>
    <w:rsid w:val="00E12F00"/>
    <w:rsid w:val="00E1702A"/>
    <w:rsid w:val="00E179F9"/>
    <w:rsid w:val="00E2124F"/>
    <w:rsid w:val="00E244BD"/>
    <w:rsid w:val="00E306FD"/>
    <w:rsid w:val="00E319DF"/>
    <w:rsid w:val="00E335E9"/>
    <w:rsid w:val="00E40982"/>
    <w:rsid w:val="00E42C64"/>
    <w:rsid w:val="00E5034C"/>
    <w:rsid w:val="00E525CD"/>
    <w:rsid w:val="00E55591"/>
    <w:rsid w:val="00E56929"/>
    <w:rsid w:val="00E57565"/>
    <w:rsid w:val="00E57DD3"/>
    <w:rsid w:val="00E6046B"/>
    <w:rsid w:val="00E61A8F"/>
    <w:rsid w:val="00E62EAB"/>
    <w:rsid w:val="00E66CCC"/>
    <w:rsid w:val="00E701E7"/>
    <w:rsid w:val="00E74FC5"/>
    <w:rsid w:val="00E95707"/>
    <w:rsid w:val="00E9651B"/>
    <w:rsid w:val="00EA27D2"/>
    <w:rsid w:val="00EA42F4"/>
    <w:rsid w:val="00EB1AF3"/>
    <w:rsid w:val="00EB4D20"/>
    <w:rsid w:val="00EB61B1"/>
    <w:rsid w:val="00EC1B7D"/>
    <w:rsid w:val="00EC7FCD"/>
    <w:rsid w:val="00ED092A"/>
    <w:rsid w:val="00ED3459"/>
    <w:rsid w:val="00ED4EBC"/>
    <w:rsid w:val="00EE0852"/>
    <w:rsid w:val="00EF268B"/>
    <w:rsid w:val="00F00B9D"/>
    <w:rsid w:val="00F06229"/>
    <w:rsid w:val="00F15868"/>
    <w:rsid w:val="00F269F5"/>
    <w:rsid w:val="00F274C4"/>
    <w:rsid w:val="00F365EA"/>
    <w:rsid w:val="00F3709B"/>
    <w:rsid w:val="00F3720B"/>
    <w:rsid w:val="00F40B93"/>
    <w:rsid w:val="00F40F9D"/>
    <w:rsid w:val="00F46A30"/>
    <w:rsid w:val="00F51CD9"/>
    <w:rsid w:val="00F52185"/>
    <w:rsid w:val="00F54E2D"/>
    <w:rsid w:val="00F55AD0"/>
    <w:rsid w:val="00F55EC7"/>
    <w:rsid w:val="00F643E0"/>
    <w:rsid w:val="00F65129"/>
    <w:rsid w:val="00F6535E"/>
    <w:rsid w:val="00F70FF8"/>
    <w:rsid w:val="00F71A9F"/>
    <w:rsid w:val="00F7315D"/>
    <w:rsid w:val="00F73E66"/>
    <w:rsid w:val="00F75122"/>
    <w:rsid w:val="00F7614B"/>
    <w:rsid w:val="00F76C48"/>
    <w:rsid w:val="00F800B0"/>
    <w:rsid w:val="00F819CE"/>
    <w:rsid w:val="00F87127"/>
    <w:rsid w:val="00F912D6"/>
    <w:rsid w:val="00F92552"/>
    <w:rsid w:val="00FA173F"/>
    <w:rsid w:val="00FA1A5D"/>
    <w:rsid w:val="00FA20DC"/>
    <w:rsid w:val="00FA7A91"/>
    <w:rsid w:val="00FB4032"/>
    <w:rsid w:val="00FC3CC5"/>
    <w:rsid w:val="00FD0193"/>
    <w:rsid w:val="00FD3833"/>
    <w:rsid w:val="00FE0C4E"/>
    <w:rsid w:val="00FE22FA"/>
    <w:rsid w:val="00FE283E"/>
    <w:rsid w:val="00FF1DC2"/>
    <w:rsid w:val="00FF25C7"/>
    <w:rsid w:val="00FF2B17"/>
    <w:rsid w:val="00FF6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3C4C65"/>
  <w15:chartTrackingRefBased/>
  <w15:docId w15:val="{DB8D8468-D5BE-46EE-9BD1-3C415074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60CC2"/>
  </w:style>
  <w:style w:type="paragraph" w:styleId="NoSpacing">
    <w:name w:val="No Spacing"/>
    <w:uiPriority w:val="1"/>
    <w:qFormat/>
    <w:rsid w:val="00B516B2"/>
    <w:pPr>
      <w:spacing w:after="0" w:line="240" w:lineRule="auto"/>
    </w:pPr>
  </w:style>
  <w:style w:type="paragraph" w:styleId="ListParagraph">
    <w:name w:val="List Paragraph"/>
    <w:basedOn w:val="Normal"/>
    <w:uiPriority w:val="34"/>
    <w:qFormat/>
    <w:rsid w:val="00B516B2"/>
    <w:pPr>
      <w:ind w:left="720"/>
      <w:contextualSpacing/>
    </w:pPr>
  </w:style>
  <w:style w:type="character" w:styleId="PlaceholderText">
    <w:name w:val="Placeholder Text"/>
    <w:basedOn w:val="DefaultParagraphFont"/>
    <w:uiPriority w:val="99"/>
    <w:semiHidden/>
    <w:rsid w:val="005E223A"/>
    <w:rPr>
      <w:color w:val="808080"/>
    </w:rPr>
  </w:style>
  <w:style w:type="paragraph" w:styleId="BalloonText">
    <w:name w:val="Balloon Text"/>
    <w:basedOn w:val="Normal"/>
    <w:link w:val="BalloonTextChar"/>
    <w:uiPriority w:val="99"/>
    <w:semiHidden/>
    <w:unhideWhenUsed/>
    <w:rsid w:val="00A45C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CD2"/>
    <w:rPr>
      <w:rFonts w:ascii="Segoe UI" w:hAnsi="Segoe UI" w:cs="Segoe UI"/>
      <w:sz w:val="18"/>
      <w:szCs w:val="18"/>
    </w:rPr>
  </w:style>
  <w:style w:type="character" w:styleId="CommentReference">
    <w:name w:val="annotation reference"/>
    <w:basedOn w:val="DefaultParagraphFont"/>
    <w:uiPriority w:val="99"/>
    <w:semiHidden/>
    <w:unhideWhenUsed/>
    <w:rsid w:val="0037450D"/>
    <w:rPr>
      <w:sz w:val="16"/>
      <w:szCs w:val="16"/>
    </w:rPr>
  </w:style>
  <w:style w:type="paragraph" w:styleId="CommentText">
    <w:name w:val="annotation text"/>
    <w:basedOn w:val="Normal"/>
    <w:link w:val="CommentTextChar"/>
    <w:uiPriority w:val="99"/>
    <w:semiHidden/>
    <w:unhideWhenUsed/>
    <w:rsid w:val="0037450D"/>
    <w:pPr>
      <w:spacing w:line="240" w:lineRule="auto"/>
    </w:pPr>
    <w:rPr>
      <w:sz w:val="20"/>
      <w:szCs w:val="20"/>
    </w:rPr>
  </w:style>
  <w:style w:type="character" w:customStyle="1" w:styleId="CommentTextChar">
    <w:name w:val="Comment Text Char"/>
    <w:basedOn w:val="DefaultParagraphFont"/>
    <w:link w:val="CommentText"/>
    <w:uiPriority w:val="99"/>
    <w:semiHidden/>
    <w:rsid w:val="0037450D"/>
    <w:rPr>
      <w:sz w:val="20"/>
      <w:szCs w:val="20"/>
    </w:rPr>
  </w:style>
  <w:style w:type="paragraph" w:styleId="CommentSubject">
    <w:name w:val="annotation subject"/>
    <w:basedOn w:val="CommentText"/>
    <w:next w:val="CommentText"/>
    <w:link w:val="CommentSubjectChar"/>
    <w:uiPriority w:val="99"/>
    <w:semiHidden/>
    <w:unhideWhenUsed/>
    <w:rsid w:val="0037450D"/>
    <w:rPr>
      <w:b/>
      <w:bCs/>
    </w:rPr>
  </w:style>
  <w:style w:type="character" w:customStyle="1" w:styleId="CommentSubjectChar">
    <w:name w:val="Comment Subject Char"/>
    <w:basedOn w:val="CommentTextChar"/>
    <w:link w:val="CommentSubject"/>
    <w:uiPriority w:val="99"/>
    <w:semiHidden/>
    <w:rsid w:val="0037450D"/>
    <w:rPr>
      <w:b/>
      <w:bCs/>
      <w:sz w:val="20"/>
      <w:szCs w:val="20"/>
    </w:rPr>
  </w:style>
  <w:style w:type="paragraph" w:styleId="Header">
    <w:name w:val="header"/>
    <w:basedOn w:val="Normal"/>
    <w:link w:val="HeaderChar"/>
    <w:uiPriority w:val="99"/>
    <w:unhideWhenUsed/>
    <w:rsid w:val="00122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715"/>
  </w:style>
  <w:style w:type="paragraph" w:styleId="Footer">
    <w:name w:val="footer"/>
    <w:basedOn w:val="Normal"/>
    <w:link w:val="FooterChar"/>
    <w:uiPriority w:val="99"/>
    <w:unhideWhenUsed/>
    <w:rsid w:val="00122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715"/>
  </w:style>
  <w:style w:type="paragraph" w:styleId="NormalWeb">
    <w:name w:val="Normal (Web)"/>
    <w:basedOn w:val="Normal"/>
    <w:uiPriority w:val="99"/>
    <w:semiHidden/>
    <w:unhideWhenUsed/>
    <w:rsid w:val="00F3720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9393">
      <w:bodyDiv w:val="1"/>
      <w:marLeft w:val="0"/>
      <w:marRight w:val="0"/>
      <w:marTop w:val="0"/>
      <w:marBottom w:val="0"/>
      <w:divBdr>
        <w:top w:val="none" w:sz="0" w:space="0" w:color="auto"/>
        <w:left w:val="none" w:sz="0" w:space="0" w:color="auto"/>
        <w:bottom w:val="none" w:sz="0" w:space="0" w:color="auto"/>
        <w:right w:val="none" w:sz="0" w:space="0" w:color="auto"/>
      </w:divBdr>
    </w:div>
    <w:div w:id="144667505">
      <w:bodyDiv w:val="1"/>
      <w:marLeft w:val="0"/>
      <w:marRight w:val="0"/>
      <w:marTop w:val="0"/>
      <w:marBottom w:val="0"/>
      <w:divBdr>
        <w:top w:val="none" w:sz="0" w:space="0" w:color="auto"/>
        <w:left w:val="none" w:sz="0" w:space="0" w:color="auto"/>
        <w:bottom w:val="none" w:sz="0" w:space="0" w:color="auto"/>
        <w:right w:val="none" w:sz="0" w:space="0" w:color="auto"/>
      </w:divBdr>
    </w:div>
    <w:div w:id="164327928">
      <w:bodyDiv w:val="1"/>
      <w:marLeft w:val="0"/>
      <w:marRight w:val="0"/>
      <w:marTop w:val="0"/>
      <w:marBottom w:val="0"/>
      <w:divBdr>
        <w:top w:val="none" w:sz="0" w:space="0" w:color="auto"/>
        <w:left w:val="none" w:sz="0" w:space="0" w:color="auto"/>
        <w:bottom w:val="none" w:sz="0" w:space="0" w:color="auto"/>
        <w:right w:val="none" w:sz="0" w:space="0" w:color="auto"/>
      </w:divBdr>
    </w:div>
    <w:div w:id="270361674">
      <w:bodyDiv w:val="1"/>
      <w:marLeft w:val="0"/>
      <w:marRight w:val="0"/>
      <w:marTop w:val="0"/>
      <w:marBottom w:val="0"/>
      <w:divBdr>
        <w:top w:val="none" w:sz="0" w:space="0" w:color="auto"/>
        <w:left w:val="none" w:sz="0" w:space="0" w:color="auto"/>
        <w:bottom w:val="none" w:sz="0" w:space="0" w:color="auto"/>
        <w:right w:val="none" w:sz="0" w:space="0" w:color="auto"/>
      </w:divBdr>
    </w:div>
    <w:div w:id="698091884">
      <w:bodyDiv w:val="1"/>
      <w:marLeft w:val="0"/>
      <w:marRight w:val="0"/>
      <w:marTop w:val="0"/>
      <w:marBottom w:val="0"/>
      <w:divBdr>
        <w:top w:val="none" w:sz="0" w:space="0" w:color="auto"/>
        <w:left w:val="none" w:sz="0" w:space="0" w:color="auto"/>
        <w:bottom w:val="none" w:sz="0" w:space="0" w:color="auto"/>
        <w:right w:val="none" w:sz="0" w:space="0" w:color="auto"/>
      </w:divBdr>
    </w:div>
    <w:div w:id="1033117763">
      <w:bodyDiv w:val="1"/>
      <w:marLeft w:val="0"/>
      <w:marRight w:val="0"/>
      <w:marTop w:val="0"/>
      <w:marBottom w:val="0"/>
      <w:divBdr>
        <w:top w:val="none" w:sz="0" w:space="0" w:color="auto"/>
        <w:left w:val="none" w:sz="0" w:space="0" w:color="auto"/>
        <w:bottom w:val="none" w:sz="0" w:space="0" w:color="auto"/>
        <w:right w:val="none" w:sz="0" w:space="0" w:color="auto"/>
      </w:divBdr>
    </w:div>
    <w:div w:id="1253857032">
      <w:bodyDiv w:val="1"/>
      <w:marLeft w:val="0"/>
      <w:marRight w:val="0"/>
      <w:marTop w:val="0"/>
      <w:marBottom w:val="0"/>
      <w:divBdr>
        <w:top w:val="none" w:sz="0" w:space="0" w:color="auto"/>
        <w:left w:val="none" w:sz="0" w:space="0" w:color="auto"/>
        <w:bottom w:val="none" w:sz="0" w:space="0" w:color="auto"/>
        <w:right w:val="none" w:sz="0" w:space="0" w:color="auto"/>
      </w:divBdr>
    </w:div>
    <w:div w:id="2100589840">
      <w:bodyDiv w:val="1"/>
      <w:marLeft w:val="0"/>
      <w:marRight w:val="0"/>
      <w:marTop w:val="0"/>
      <w:marBottom w:val="0"/>
      <w:divBdr>
        <w:top w:val="none" w:sz="0" w:space="0" w:color="auto"/>
        <w:left w:val="none" w:sz="0" w:space="0" w:color="auto"/>
        <w:bottom w:val="none" w:sz="0" w:space="0" w:color="auto"/>
        <w:right w:val="none" w:sz="0" w:space="0" w:color="auto"/>
      </w:divBdr>
      <w:divsChild>
        <w:div w:id="2038122438">
          <w:marLeft w:val="720"/>
          <w:marRight w:val="0"/>
          <w:marTop w:val="336"/>
          <w:marBottom w:val="0"/>
          <w:divBdr>
            <w:top w:val="none" w:sz="0" w:space="0" w:color="auto"/>
            <w:left w:val="none" w:sz="0" w:space="0" w:color="auto"/>
            <w:bottom w:val="none" w:sz="0" w:space="0" w:color="auto"/>
            <w:right w:val="none" w:sz="0" w:space="0" w:color="auto"/>
          </w:divBdr>
        </w:div>
        <w:div w:id="907887370">
          <w:marLeft w:val="720"/>
          <w:marRight w:val="0"/>
          <w:marTop w:val="33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46F13-4C40-4620-8C25-0804DAA31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1406</TotalTime>
  <Pages>22</Pages>
  <Words>21093</Words>
  <Characters>120231</Characters>
  <Application>Microsoft Office Word</Application>
  <DocSecurity>0</DocSecurity>
  <Lines>1001</Lines>
  <Paragraphs>282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141042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Spencer C</dc:creator>
  <cp:keywords/>
  <dc:description/>
  <cp:lastModifiedBy>Barnes, Spencer C</cp:lastModifiedBy>
  <cp:revision>75</cp:revision>
  <cp:lastPrinted>2018-10-16T07:06:00Z</cp:lastPrinted>
  <dcterms:created xsi:type="dcterms:W3CDTF">2018-10-24T09:10:00Z</dcterms:created>
  <dcterms:modified xsi:type="dcterms:W3CDTF">2019-04-25T16:07:00Z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http://csl.mendeley.com/styles/221610521/elsevier-vancouver-SB2Injury</vt:lpwstr>
  </property>
  <property fmtid="{D5CDD505-2E9C-101B-9397-08002B2CF9AE}" pid="11" name="Mendeley Recent Style Name 4_1">
    <vt:lpwstr>Elsevier - Vancouver - Spencer Barnes</vt:lpwstr>
  </property>
  <property fmtid="{D5CDD505-2E9C-101B-9397-08002B2CF9AE}" pid="12" name="Mendeley Recent Style Id 5_1">
    <vt:lpwstr>http://www.zotero.org/styles/harvard-the-university-of-northampton</vt:lpwstr>
  </property>
  <property fmtid="{D5CDD505-2E9C-101B-9397-08002B2CF9AE}" pid="13" name="Mendeley Recent Style Name 5_1">
    <vt:lpwstr>Harvard - The University of Northampton</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(author-date)</vt:lpwstr>
  </property>
  <property fmtid="{D5CDD505-2E9C-101B-9397-08002B2CF9AE}" pid="16" name="Mendeley Recent Style Id 7_1">
    <vt:lpwstr>http://www.zotero.org/styles/journal-of-orthopaedic-research</vt:lpwstr>
  </property>
  <property fmtid="{D5CDD505-2E9C-101B-9397-08002B2CF9AE}" pid="17" name="Mendeley Recent Style Name 7_1">
    <vt:lpwstr>Journal of Orthopaedic Research</vt:lpwstr>
  </property>
  <property fmtid="{D5CDD505-2E9C-101B-9397-08002B2CF9AE}" pid="18" name="Mendeley Recent Style Id 8_1">
    <vt:lpwstr>http://csl.mendeley.com/styles/221610521/journal-of-orthopaedic-research-SpencerBarnes</vt:lpwstr>
  </property>
  <property fmtid="{D5CDD505-2E9C-101B-9397-08002B2CF9AE}" pid="19" name="Mendeley Recent Style Name 8_1">
    <vt:lpwstr>Journal of Orthopaedic Research - Spencer Barnes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e64c7f9e-ec15-3ac1-ab6c-298be440762c</vt:lpwstr>
  </property>
  <property fmtid="{D5CDD505-2E9C-101B-9397-08002B2CF9AE}" pid="24" name="Mendeley Citation Style_1">
    <vt:lpwstr>http://csl.mendeley.com/styles/221610521/journal-of-orthopaedic-research-SpencerBarnes</vt:lpwstr>
  </property>
</Properties>
</file>