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A457E" w14:textId="77777777" w:rsidR="00CF18E2" w:rsidRPr="001467AF" w:rsidRDefault="00CF18E2" w:rsidP="00CF18E2">
      <w:pPr>
        <w:pStyle w:val="Body1"/>
        <w:jc w:val="center"/>
        <w:rPr>
          <w:rFonts w:ascii="Arial" w:hAnsi="Arial" w:cs="Arial"/>
          <w:b/>
          <w:sz w:val="22"/>
          <w:szCs w:val="20"/>
          <w:lang w:val="en-GB"/>
        </w:rPr>
      </w:pPr>
      <w:bookmarkStart w:id="0" w:name="_Toc453175130"/>
      <w:r w:rsidRPr="001467AF">
        <w:rPr>
          <w:rFonts w:ascii="Arial" w:hAnsi="Arial" w:cs="Arial"/>
          <w:b/>
          <w:sz w:val="22"/>
          <w:szCs w:val="20"/>
          <w:lang w:val="en-GB"/>
        </w:rPr>
        <w:t>Feedback from TB-affected households’ receiving a socioeconomic intervention in Peruvi</w:t>
      </w:r>
      <w:bookmarkStart w:id="1" w:name="_GoBack"/>
      <w:bookmarkEnd w:id="1"/>
      <w:r w:rsidRPr="001467AF">
        <w:rPr>
          <w:rFonts w:ascii="Arial" w:hAnsi="Arial" w:cs="Arial"/>
          <w:b/>
          <w:sz w:val="22"/>
          <w:szCs w:val="20"/>
          <w:lang w:val="en-GB"/>
        </w:rPr>
        <w:t>an shantytowns: an acceptability assessment from the CRESIPT pilot study</w:t>
      </w:r>
      <w:bookmarkEnd w:id="0"/>
    </w:p>
    <w:p w14:paraId="47A8CEDC" w14:textId="77777777" w:rsidR="00CF18E2" w:rsidRPr="001467AF" w:rsidRDefault="00CF18E2" w:rsidP="00CF18E2">
      <w:pPr>
        <w:jc w:val="center"/>
        <w:rPr>
          <w:rFonts w:ascii="Arial" w:hAnsi="Arial" w:cs="Arial"/>
          <w:b/>
          <w:sz w:val="20"/>
          <w:szCs w:val="20"/>
        </w:rPr>
      </w:pPr>
    </w:p>
    <w:p w14:paraId="3214B0D4" w14:textId="77777777" w:rsidR="00CF18E2" w:rsidRPr="001467AF" w:rsidRDefault="00CF18E2" w:rsidP="00CF18E2">
      <w:pPr>
        <w:jc w:val="center"/>
        <w:rPr>
          <w:rFonts w:ascii="Arial" w:hAnsi="Arial" w:cs="Arial"/>
          <w:sz w:val="20"/>
          <w:szCs w:val="20"/>
        </w:rPr>
      </w:pPr>
      <w:r w:rsidRPr="001467AF">
        <w:rPr>
          <w:rFonts w:ascii="Arial" w:hAnsi="Arial" w:cs="Arial"/>
          <w:sz w:val="20"/>
          <w:szCs w:val="20"/>
        </w:rPr>
        <w:t>Wingfield T,</w:t>
      </w:r>
      <w:r w:rsidRPr="001467AF">
        <w:rPr>
          <w:rFonts w:ascii="Arial" w:hAnsi="Arial" w:cs="Arial"/>
          <w:sz w:val="20"/>
          <w:szCs w:val="20"/>
          <w:vertAlign w:val="superscript"/>
        </w:rPr>
        <w:t>1,2,3</w:t>
      </w:r>
      <w:r w:rsidRPr="001467AF">
        <w:rPr>
          <w:rFonts w:ascii="Arial" w:hAnsi="Arial" w:cs="Arial"/>
          <w:sz w:val="20"/>
          <w:szCs w:val="20"/>
        </w:rPr>
        <w:t xml:space="preserve"> Tovar MA,</w:t>
      </w:r>
      <w:r w:rsidRPr="001467AF">
        <w:rPr>
          <w:rFonts w:ascii="Arial" w:hAnsi="Arial" w:cs="Arial"/>
          <w:sz w:val="20"/>
          <w:szCs w:val="20"/>
          <w:vertAlign w:val="superscript"/>
        </w:rPr>
        <w:t>1,4</w:t>
      </w:r>
      <w:r w:rsidRPr="001467AF">
        <w:rPr>
          <w:rFonts w:ascii="Arial" w:hAnsi="Arial" w:cs="Arial"/>
          <w:sz w:val="20"/>
          <w:szCs w:val="20"/>
        </w:rPr>
        <w:t xml:space="preserve"> Huff D,</w:t>
      </w:r>
      <w:r w:rsidRPr="001467AF">
        <w:rPr>
          <w:rFonts w:ascii="Arial" w:hAnsi="Arial" w:cs="Arial"/>
          <w:sz w:val="20"/>
          <w:szCs w:val="20"/>
          <w:vertAlign w:val="superscript"/>
        </w:rPr>
        <w:t>1,5</w:t>
      </w:r>
      <w:r w:rsidRPr="001467AF">
        <w:rPr>
          <w:rFonts w:ascii="Arial" w:hAnsi="Arial" w:cs="Arial"/>
          <w:sz w:val="20"/>
          <w:szCs w:val="20"/>
        </w:rPr>
        <w:t xml:space="preserve"> Montoya R,</w:t>
      </w:r>
      <w:r w:rsidRPr="001467AF">
        <w:rPr>
          <w:rFonts w:ascii="Arial" w:hAnsi="Arial" w:cs="Arial"/>
          <w:sz w:val="20"/>
          <w:szCs w:val="20"/>
          <w:vertAlign w:val="superscript"/>
        </w:rPr>
        <w:t>1</w:t>
      </w:r>
      <w:r w:rsidRPr="001467AF">
        <w:rPr>
          <w:rFonts w:ascii="Arial" w:hAnsi="Arial" w:cs="Arial"/>
          <w:sz w:val="20"/>
          <w:szCs w:val="20"/>
        </w:rPr>
        <w:t xml:space="preserve"> Ramos E,</w:t>
      </w:r>
      <w:r w:rsidRPr="001467AF">
        <w:rPr>
          <w:rFonts w:ascii="Arial" w:hAnsi="Arial" w:cs="Arial"/>
          <w:sz w:val="20"/>
          <w:szCs w:val="20"/>
          <w:vertAlign w:val="superscript"/>
        </w:rPr>
        <w:t>4</w:t>
      </w:r>
      <w:r w:rsidRPr="001467AF">
        <w:rPr>
          <w:rFonts w:ascii="Arial" w:hAnsi="Arial" w:cs="Arial"/>
          <w:sz w:val="20"/>
          <w:szCs w:val="20"/>
        </w:rPr>
        <w:t xml:space="preserve"> Lewis JJ,</w:t>
      </w:r>
      <w:r w:rsidRPr="001467AF">
        <w:rPr>
          <w:rFonts w:ascii="Arial" w:hAnsi="Arial" w:cs="Arial"/>
          <w:sz w:val="20"/>
          <w:szCs w:val="20"/>
          <w:vertAlign w:val="superscript"/>
        </w:rPr>
        <w:t>1,6</w:t>
      </w:r>
      <w:r w:rsidRPr="001467AF">
        <w:rPr>
          <w:rFonts w:ascii="Arial" w:hAnsi="Arial" w:cs="Arial"/>
          <w:sz w:val="20"/>
          <w:szCs w:val="20"/>
        </w:rPr>
        <w:t xml:space="preserve"> Evans CA</w:t>
      </w:r>
      <w:r w:rsidRPr="001467AF">
        <w:rPr>
          <w:rFonts w:ascii="Arial" w:hAnsi="Arial" w:cs="Arial"/>
          <w:sz w:val="20"/>
          <w:szCs w:val="20"/>
          <w:vertAlign w:val="superscript"/>
        </w:rPr>
        <w:t>1,2</w:t>
      </w:r>
    </w:p>
    <w:p w14:paraId="5ED085DD" w14:textId="77777777" w:rsidR="00CF18E2" w:rsidRPr="00EB554A" w:rsidRDefault="00CF18E2" w:rsidP="00CF18E2">
      <w:pPr>
        <w:ind w:right="4"/>
        <w:jc w:val="both"/>
        <w:rPr>
          <w:rFonts w:ascii="Arial" w:eastAsia="Calibri" w:hAnsi="Arial" w:cs="Arial"/>
          <w:sz w:val="10"/>
          <w:szCs w:val="10"/>
        </w:rPr>
      </w:pPr>
    </w:p>
    <w:p w14:paraId="00AC48C1" w14:textId="77777777" w:rsidR="00CF18E2" w:rsidRPr="001467AF" w:rsidRDefault="00CF18E2" w:rsidP="00CF18E2">
      <w:pPr>
        <w:pStyle w:val="ListParagraph"/>
        <w:numPr>
          <w:ilvl w:val="0"/>
          <w:numId w:val="1"/>
        </w:numPr>
        <w:spacing w:after="0" w:line="240" w:lineRule="auto"/>
        <w:jc w:val="both"/>
        <w:rPr>
          <w:rStyle w:val="apple-style-span"/>
          <w:rFonts w:ascii="Arial" w:hAnsi="Arial" w:cs="Arial"/>
          <w:sz w:val="20"/>
        </w:rPr>
      </w:pPr>
      <w:r w:rsidRPr="001467AF">
        <w:rPr>
          <w:rStyle w:val="apple-style-span"/>
          <w:rFonts w:ascii="Arial" w:hAnsi="Arial" w:cs="Arial"/>
          <w:sz w:val="20"/>
        </w:rPr>
        <w:t>Innovación Por la Salud Y Desarrollo (IPSYD), Asociación Benéfica PRISMA, Lima, Perú</w:t>
      </w:r>
    </w:p>
    <w:p w14:paraId="6C6FC2F1" w14:textId="77777777" w:rsidR="00CF18E2" w:rsidRPr="001467AF" w:rsidRDefault="00CF18E2" w:rsidP="00CF18E2">
      <w:pPr>
        <w:pStyle w:val="ListParagraph"/>
        <w:numPr>
          <w:ilvl w:val="0"/>
          <w:numId w:val="1"/>
        </w:numPr>
        <w:spacing w:after="0" w:line="240" w:lineRule="auto"/>
        <w:jc w:val="both"/>
        <w:rPr>
          <w:rStyle w:val="apple-style-span"/>
          <w:rFonts w:ascii="Arial" w:hAnsi="Arial" w:cs="Arial"/>
          <w:sz w:val="20"/>
          <w:lang w:val="en-US"/>
        </w:rPr>
      </w:pPr>
      <w:r w:rsidRPr="001467AF">
        <w:rPr>
          <w:rStyle w:val="apple-style-span"/>
          <w:rFonts w:ascii="Arial" w:hAnsi="Arial" w:cs="Arial"/>
          <w:sz w:val="20"/>
          <w:lang w:val="en-US"/>
        </w:rPr>
        <w:t>Infectious Diseases &amp; Immunity, Imperial College London, and Wellcome Trust Imperial College Centre for Global Health Research, London, UK</w:t>
      </w:r>
    </w:p>
    <w:p w14:paraId="1696858D" w14:textId="77777777" w:rsidR="00CF18E2" w:rsidRPr="001467AF" w:rsidRDefault="00CF18E2" w:rsidP="00CF18E2">
      <w:pPr>
        <w:pStyle w:val="ListParagraph"/>
        <w:numPr>
          <w:ilvl w:val="0"/>
          <w:numId w:val="1"/>
        </w:numPr>
        <w:spacing w:after="0" w:line="240" w:lineRule="auto"/>
        <w:jc w:val="both"/>
        <w:rPr>
          <w:rStyle w:val="apple-style-span"/>
          <w:rFonts w:ascii="Arial" w:hAnsi="Arial" w:cs="Arial"/>
          <w:sz w:val="20"/>
          <w:lang w:val="en-US"/>
        </w:rPr>
      </w:pPr>
      <w:r w:rsidRPr="001467AF">
        <w:rPr>
          <w:rStyle w:val="apple-style-span"/>
          <w:rFonts w:ascii="Arial" w:hAnsi="Arial" w:cs="Arial"/>
          <w:sz w:val="20"/>
          <w:lang w:val="en-US"/>
        </w:rPr>
        <w:t>The Institute of Infection and Global Health, Liverpool University, Liverpool, UK</w:t>
      </w:r>
    </w:p>
    <w:p w14:paraId="278E23C1" w14:textId="77777777" w:rsidR="00CF18E2" w:rsidRPr="001467AF" w:rsidRDefault="00CF18E2" w:rsidP="00CF18E2">
      <w:pPr>
        <w:pStyle w:val="ListParagraph"/>
        <w:numPr>
          <w:ilvl w:val="0"/>
          <w:numId w:val="1"/>
        </w:numPr>
        <w:spacing w:after="0" w:line="240" w:lineRule="auto"/>
        <w:jc w:val="both"/>
        <w:rPr>
          <w:rStyle w:val="apple-style-span"/>
          <w:rFonts w:ascii="Arial" w:hAnsi="Arial" w:cs="Arial"/>
          <w:sz w:val="20"/>
          <w:lang w:val="en-US"/>
        </w:rPr>
      </w:pPr>
      <w:r w:rsidRPr="001467AF">
        <w:rPr>
          <w:rStyle w:val="apple-style-span"/>
          <w:rFonts w:ascii="Arial" w:hAnsi="Arial" w:cs="Arial"/>
          <w:sz w:val="20"/>
          <w:lang w:val="en-US"/>
        </w:rPr>
        <w:t xml:space="preserve">Innovation For Health And Development (IFHAD), Laboratory of Research and Development, Universidad Peruana Cayetano Heredia, Lima, Perú </w:t>
      </w:r>
    </w:p>
    <w:p w14:paraId="12FE5911" w14:textId="77777777" w:rsidR="00CF18E2" w:rsidRPr="001467AF" w:rsidRDefault="00CF18E2" w:rsidP="00CF18E2">
      <w:pPr>
        <w:pStyle w:val="ListParagraph"/>
        <w:numPr>
          <w:ilvl w:val="0"/>
          <w:numId w:val="1"/>
        </w:numPr>
        <w:spacing w:after="0" w:line="240" w:lineRule="auto"/>
        <w:jc w:val="both"/>
        <w:rPr>
          <w:rStyle w:val="apple-style-span"/>
          <w:rFonts w:ascii="Arial" w:hAnsi="Arial" w:cs="Arial"/>
          <w:sz w:val="20"/>
          <w:lang w:val="en-US"/>
        </w:rPr>
      </w:pPr>
      <w:r w:rsidRPr="001467AF">
        <w:rPr>
          <w:rStyle w:val="apple-style-span"/>
          <w:rFonts w:ascii="Arial" w:hAnsi="Arial" w:cs="Arial"/>
          <w:sz w:val="20"/>
          <w:lang w:val="en-US"/>
        </w:rPr>
        <w:t>Tulane University School of Public Health and Tropical Medicine, New Orleans, USA</w:t>
      </w:r>
    </w:p>
    <w:p w14:paraId="42AB8C42" w14:textId="77777777" w:rsidR="00CF18E2" w:rsidRPr="001467AF" w:rsidRDefault="00CF18E2" w:rsidP="00CF18E2">
      <w:pPr>
        <w:pStyle w:val="ListParagraph"/>
        <w:numPr>
          <w:ilvl w:val="0"/>
          <w:numId w:val="1"/>
        </w:numPr>
        <w:spacing w:after="0" w:line="240" w:lineRule="auto"/>
        <w:jc w:val="both"/>
        <w:rPr>
          <w:rStyle w:val="apple-style-span"/>
          <w:rFonts w:ascii="Arial" w:hAnsi="Arial" w:cs="Arial"/>
          <w:sz w:val="20"/>
          <w:lang w:val="en-US"/>
        </w:rPr>
      </w:pPr>
      <w:r w:rsidRPr="001467AF">
        <w:rPr>
          <w:rStyle w:val="apple-style-span"/>
          <w:rFonts w:ascii="Arial" w:hAnsi="Arial" w:cs="Arial"/>
          <w:sz w:val="20"/>
          <w:lang w:val="en-US"/>
        </w:rPr>
        <w:t>Department of Infectious Disease Epidemiology, London School of Hygiene &amp; Tropical Medicine, London, UK</w:t>
      </w:r>
    </w:p>
    <w:p w14:paraId="4A30AAD3" w14:textId="77777777" w:rsidR="00CF18E2" w:rsidRPr="00EB554A" w:rsidRDefault="00CF18E2" w:rsidP="00CF18E2">
      <w:pPr>
        <w:ind w:right="4"/>
        <w:jc w:val="both"/>
        <w:rPr>
          <w:rFonts w:ascii="Arial" w:hAnsi="Arial" w:cs="Arial"/>
          <w:b/>
          <w:i/>
          <w:sz w:val="10"/>
          <w:szCs w:val="10"/>
          <w:lang w:val="en-US"/>
        </w:rPr>
      </w:pPr>
    </w:p>
    <w:p w14:paraId="48163B3E" w14:textId="77777777" w:rsidR="00CF18E2" w:rsidRPr="001467AF" w:rsidRDefault="00CF18E2" w:rsidP="00CF18E2">
      <w:pPr>
        <w:spacing w:line="240" w:lineRule="auto"/>
        <w:ind w:right="4"/>
        <w:jc w:val="both"/>
        <w:rPr>
          <w:rFonts w:ascii="Arial" w:eastAsia="Calibri" w:hAnsi="Arial" w:cs="Arial"/>
          <w:sz w:val="20"/>
          <w:szCs w:val="20"/>
        </w:rPr>
      </w:pPr>
      <w:r w:rsidRPr="001467AF">
        <w:rPr>
          <w:rFonts w:ascii="Arial" w:hAnsi="Arial" w:cs="Arial"/>
          <w:b/>
          <w:sz w:val="20"/>
          <w:szCs w:val="20"/>
        </w:rPr>
        <w:t xml:space="preserve">Background. </w:t>
      </w:r>
      <w:r w:rsidRPr="001467AF">
        <w:rPr>
          <w:rFonts w:ascii="Arial" w:eastAsia="Calibri" w:hAnsi="Arial" w:cs="Arial"/>
          <w:sz w:val="20"/>
          <w:szCs w:val="20"/>
        </w:rPr>
        <w:t>Socioeconomic support is a key part of the World Health Organisation’s End TB Strategy. However, evidence is limited concerning which support elements (e.g. social, economic or both) will: be acceptable to TB-affected families; have the best uptake; and achieve the greatest impact on TB control. During the pilot of a Community Randomized Evaluation of a Socioeconomic Intervention to Prevent TB (CRESIPT), we assessed the acceptability of a socioeconomic intervention for TB-affected households.</w:t>
      </w:r>
    </w:p>
    <w:p w14:paraId="17EB8428" w14:textId="77777777" w:rsidR="00CF18E2" w:rsidRPr="00EB554A" w:rsidRDefault="00CF18E2" w:rsidP="00CF18E2">
      <w:pPr>
        <w:spacing w:line="240" w:lineRule="auto"/>
        <w:ind w:right="4"/>
        <w:jc w:val="both"/>
        <w:rPr>
          <w:rFonts w:ascii="Arial" w:eastAsia="Calibri" w:hAnsi="Arial" w:cs="Arial"/>
          <w:sz w:val="10"/>
          <w:szCs w:val="10"/>
        </w:rPr>
      </w:pPr>
    </w:p>
    <w:p w14:paraId="4139A2B6" w14:textId="77777777" w:rsidR="00CF18E2" w:rsidRPr="001467AF" w:rsidRDefault="00CF18E2" w:rsidP="00CF18E2">
      <w:pPr>
        <w:spacing w:line="240" w:lineRule="auto"/>
        <w:jc w:val="both"/>
        <w:rPr>
          <w:rFonts w:ascii="Arial" w:hAnsi="Arial" w:cs="Arial"/>
          <w:sz w:val="20"/>
          <w:szCs w:val="20"/>
        </w:rPr>
      </w:pPr>
      <w:r w:rsidRPr="001467AF">
        <w:rPr>
          <w:rFonts w:ascii="Arial" w:hAnsi="Arial" w:cs="Arial"/>
          <w:b/>
          <w:bCs/>
          <w:iCs/>
          <w:sz w:val="20"/>
          <w:szCs w:val="20"/>
        </w:rPr>
        <w:t>Methods.</w:t>
      </w:r>
      <w:r w:rsidRPr="001467AF">
        <w:rPr>
          <w:rFonts w:ascii="Arial" w:hAnsi="Arial" w:cs="Arial"/>
          <w:b/>
          <w:sz w:val="20"/>
          <w:szCs w:val="20"/>
        </w:rPr>
        <w:t xml:space="preserve"> </w:t>
      </w:r>
      <w:r w:rsidRPr="001467AF">
        <w:rPr>
          <w:rFonts w:ascii="Arial" w:hAnsi="Arial" w:cs="Arial"/>
          <w:sz w:val="20"/>
          <w:szCs w:val="20"/>
        </w:rPr>
        <w:t>282 TB patients diagnosed by the Peruvian National TB Program in 32 shantytown communities of Lima, Peru, were recruited to the study. Patients were randomly allocated to the comparison arm (standard of care from the Peruvian NTP) or supported arm (standard of care plus the socioeconomic intervention). The intervention consisted of social and economic support. Social support activities included health-post visits, household visits, TB educational workshops, and TB mutual support clubs. Economic support activities consisted of conditional cash transfers throughout treatment. At 24 weeks following treatment initiation, supported arm participants were asked to complete a mixed-methods exit questionnaire to collect feedback on, and suggested improvements to, the social and economic support activities.</w:t>
      </w:r>
    </w:p>
    <w:p w14:paraId="5B23F216" w14:textId="77777777" w:rsidR="00CF18E2" w:rsidRPr="00EB554A" w:rsidRDefault="00CF18E2" w:rsidP="00CF18E2">
      <w:pPr>
        <w:spacing w:line="240" w:lineRule="auto"/>
        <w:jc w:val="both"/>
        <w:rPr>
          <w:rFonts w:ascii="Arial" w:hAnsi="Arial" w:cs="Arial"/>
          <w:b/>
          <w:sz w:val="10"/>
          <w:szCs w:val="10"/>
        </w:rPr>
      </w:pPr>
    </w:p>
    <w:p w14:paraId="0D0B2B42" w14:textId="77777777" w:rsidR="00CF18E2" w:rsidRPr="001467AF" w:rsidRDefault="00CF18E2" w:rsidP="00CF18E2">
      <w:pPr>
        <w:spacing w:line="240" w:lineRule="auto"/>
        <w:jc w:val="both"/>
        <w:rPr>
          <w:rFonts w:ascii="Arial" w:eastAsia="Calibri" w:hAnsi="Arial" w:cs="Arial"/>
          <w:sz w:val="20"/>
          <w:szCs w:val="20"/>
        </w:rPr>
      </w:pPr>
      <w:r w:rsidRPr="001467AF">
        <w:rPr>
          <w:rFonts w:ascii="Arial" w:hAnsi="Arial" w:cs="Arial"/>
          <w:b/>
          <w:sz w:val="20"/>
          <w:szCs w:val="20"/>
        </w:rPr>
        <w:t>Results.</w:t>
      </w:r>
      <w:r w:rsidRPr="001467AF">
        <w:rPr>
          <w:rFonts w:ascii="Arial" w:eastAsia="Calibri" w:hAnsi="Arial" w:cs="Arial"/>
          <w:sz w:val="20"/>
          <w:szCs w:val="20"/>
        </w:rPr>
        <w:t xml:space="preserve"> 135 patient households were randomised to the support arm of whom 127 engaged with the socioeconomic support intervention and 99 provided feedback. Frequency of social and economic support activities rated as either “good” or “excellent” was: home visits 89/99 (90%); health-post visits 82/99 (83%); TB workshops 81/99 (82%); TB Clubs 79/99 (80%); and conditional cash transfers 83/99 (84%). Participant feedback and suggested improvements are summarised in the Table.</w:t>
      </w:r>
    </w:p>
    <w:p w14:paraId="008740B9" w14:textId="77777777" w:rsidR="00CF18E2" w:rsidRPr="00EB554A" w:rsidRDefault="00CF18E2" w:rsidP="00CF18E2">
      <w:pPr>
        <w:spacing w:line="240" w:lineRule="auto"/>
        <w:jc w:val="both"/>
        <w:rPr>
          <w:rFonts w:ascii="Arial" w:eastAsia="Calibri" w:hAnsi="Arial" w:cs="Arial"/>
          <w:b/>
          <w:sz w:val="10"/>
          <w:szCs w:val="10"/>
        </w:rPr>
      </w:pPr>
    </w:p>
    <w:p w14:paraId="5FCAA018" w14:textId="77777777" w:rsidR="00CF18E2" w:rsidRDefault="00CF18E2" w:rsidP="00CF18E2">
      <w:pPr>
        <w:spacing w:line="240" w:lineRule="auto"/>
        <w:jc w:val="both"/>
        <w:rPr>
          <w:rFonts w:ascii="Arial" w:eastAsia="Calibri" w:hAnsi="Arial" w:cs="Arial"/>
          <w:sz w:val="20"/>
          <w:szCs w:val="20"/>
        </w:rPr>
      </w:pPr>
      <w:r w:rsidRPr="001467AF">
        <w:rPr>
          <w:rFonts w:ascii="Arial" w:eastAsia="Calibri" w:hAnsi="Arial" w:cs="Arial"/>
          <w:b/>
          <w:sz w:val="20"/>
          <w:szCs w:val="20"/>
        </w:rPr>
        <w:t>Conclusions.</w:t>
      </w:r>
      <w:r w:rsidRPr="001467AF">
        <w:rPr>
          <w:rFonts w:ascii="Arial" w:eastAsia="Calibri" w:hAnsi="Arial" w:cs="Arial"/>
          <w:sz w:val="20"/>
          <w:szCs w:val="20"/>
        </w:rPr>
        <w:t xml:space="preserve"> In impoverished Peruvian shantytowns, a socioeconomic intervention had excellent uptake and feedback. Both the social and economic components of the intervention were found to be highly acceptable to the TB-affected households receiving them, who also provided useful suggestions for improvement of the intervention. These novel, TB-community led suggestions are being incorporated into refining the design of the ongoing CRESIPT study. The findings of this research represent important preliminary evidence with which to guide practical implementation of socioeconomic support for TB-affected households in line with global TB policy.</w:t>
      </w:r>
    </w:p>
    <w:p w14:paraId="7B6C9CF8" w14:textId="77777777" w:rsidR="00CF18E2" w:rsidRDefault="00CF18E2" w:rsidP="00CF18E2">
      <w:pPr>
        <w:spacing w:line="240" w:lineRule="auto"/>
        <w:jc w:val="both"/>
        <w:rPr>
          <w:rFonts w:ascii="Arial" w:hAnsi="Arial" w:cs="Arial"/>
          <w:sz w:val="20"/>
          <w:szCs w:val="20"/>
        </w:rPr>
      </w:pPr>
    </w:p>
    <w:p w14:paraId="10CEE31D" w14:textId="77777777" w:rsidR="00CF18E2" w:rsidRDefault="00CF18E2" w:rsidP="00CF18E2">
      <w:pPr>
        <w:spacing w:line="240" w:lineRule="auto"/>
        <w:jc w:val="both"/>
        <w:rPr>
          <w:rFonts w:ascii="Arial" w:hAnsi="Arial" w:cs="Arial"/>
          <w:sz w:val="20"/>
          <w:szCs w:val="20"/>
        </w:rPr>
      </w:pPr>
    </w:p>
    <w:p w14:paraId="6BEB7D50" w14:textId="77777777" w:rsidR="00CF18E2" w:rsidRDefault="00CF18E2" w:rsidP="00CF18E2">
      <w:pPr>
        <w:spacing w:line="240" w:lineRule="auto"/>
        <w:jc w:val="both"/>
        <w:rPr>
          <w:rFonts w:ascii="Arial" w:hAnsi="Arial" w:cs="Arial"/>
          <w:sz w:val="20"/>
          <w:szCs w:val="20"/>
        </w:rPr>
      </w:pPr>
    </w:p>
    <w:p w14:paraId="44336597" w14:textId="77777777" w:rsidR="00CF18E2" w:rsidRDefault="00CF18E2" w:rsidP="00CF18E2">
      <w:pPr>
        <w:spacing w:line="240" w:lineRule="auto"/>
        <w:jc w:val="both"/>
        <w:rPr>
          <w:rFonts w:ascii="Arial" w:hAnsi="Arial" w:cs="Arial"/>
          <w:sz w:val="20"/>
          <w:szCs w:val="20"/>
        </w:rPr>
      </w:pPr>
    </w:p>
    <w:p w14:paraId="02CD31B1" w14:textId="77777777" w:rsidR="00CF18E2" w:rsidRDefault="00CF18E2" w:rsidP="00CF18E2">
      <w:pPr>
        <w:spacing w:line="240" w:lineRule="auto"/>
        <w:jc w:val="both"/>
        <w:rPr>
          <w:rFonts w:ascii="Arial" w:hAnsi="Arial" w:cs="Arial"/>
          <w:sz w:val="20"/>
          <w:szCs w:val="20"/>
        </w:rPr>
      </w:pPr>
    </w:p>
    <w:p w14:paraId="14F812FE" w14:textId="77777777" w:rsidR="00CF18E2" w:rsidRDefault="00CF18E2" w:rsidP="00CF18E2">
      <w:pPr>
        <w:spacing w:line="240" w:lineRule="auto"/>
        <w:jc w:val="both"/>
        <w:rPr>
          <w:rFonts w:ascii="Arial" w:hAnsi="Arial" w:cs="Arial"/>
          <w:sz w:val="20"/>
          <w:szCs w:val="20"/>
        </w:rPr>
      </w:pPr>
    </w:p>
    <w:p w14:paraId="0BFD5CE4" w14:textId="77777777" w:rsidR="00CF18E2" w:rsidRDefault="00CF18E2" w:rsidP="00CF18E2">
      <w:pPr>
        <w:spacing w:line="240" w:lineRule="auto"/>
        <w:jc w:val="both"/>
        <w:rPr>
          <w:rFonts w:ascii="Arial" w:hAnsi="Arial" w:cs="Arial"/>
          <w:sz w:val="20"/>
          <w:szCs w:val="20"/>
        </w:rPr>
      </w:pPr>
    </w:p>
    <w:p w14:paraId="11E14D4E" w14:textId="77777777" w:rsidR="00CF18E2" w:rsidRDefault="00CF18E2" w:rsidP="00CF18E2">
      <w:pPr>
        <w:spacing w:line="240" w:lineRule="auto"/>
        <w:jc w:val="both"/>
        <w:rPr>
          <w:rFonts w:ascii="Arial" w:hAnsi="Arial" w:cs="Arial"/>
          <w:sz w:val="20"/>
          <w:szCs w:val="20"/>
        </w:rPr>
      </w:pPr>
    </w:p>
    <w:p w14:paraId="0B5F5ED7" w14:textId="77777777" w:rsidR="00CF18E2" w:rsidRDefault="00CF18E2" w:rsidP="00CF18E2">
      <w:pPr>
        <w:spacing w:line="240" w:lineRule="auto"/>
        <w:jc w:val="both"/>
        <w:rPr>
          <w:rFonts w:ascii="Arial" w:hAnsi="Arial" w:cs="Arial"/>
          <w:sz w:val="20"/>
          <w:szCs w:val="20"/>
        </w:rPr>
      </w:pPr>
    </w:p>
    <w:p w14:paraId="64C605BE" w14:textId="77777777" w:rsidR="00CF18E2" w:rsidRDefault="00CF18E2" w:rsidP="00CF18E2">
      <w:pPr>
        <w:spacing w:line="240" w:lineRule="auto"/>
        <w:jc w:val="both"/>
        <w:rPr>
          <w:rFonts w:ascii="Arial" w:hAnsi="Arial" w:cs="Arial"/>
          <w:sz w:val="20"/>
          <w:szCs w:val="20"/>
        </w:rPr>
      </w:pPr>
    </w:p>
    <w:p w14:paraId="1BD7273D" w14:textId="77777777" w:rsidR="00CF18E2" w:rsidRDefault="00CF18E2" w:rsidP="00CF18E2">
      <w:pPr>
        <w:spacing w:line="240" w:lineRule="auto"/>
        <w:jc w:val="both"/>
        <w:rPr>
          <w:rFonts w:ascii="Arial" w:hAnsi="Arial" w:cs="Arial"/>
          <w:sz w:val="20"/>
          <w:szCs w:val="20"/>
        </w:rPr>
      </w:pPr>
    </w:p>
    <w:p w14:paraId="28090124" w14:textId="77777777" w:rsidR="00CF18E2" w:rsidRDefault="00CF18E2" w:rsidP="00CF18E2">
      <w:pPr>
        <w:spacing w:line="240" w:lineRule="auto"/>
        <w:jc w:val="both"/>
        <w:rPr>
          <w:rFonts w:ascii="Arial" w:hAnsi="Arial" w:cs="Arial"/>
          <w:sz w:val="20"/>
          <w:szCs w:val="20"/>
        </w:rPr>
      </w:pPr>
    </w:p>
    <w:p w14:paraId="7C7D7B78" w14:textId="77777777" w:rsidR="00CF18E2" w:rsidRDefault="00CF18E2" w:rsidP="00CF18E2">
      <w:pPr>
        <w:spacing w:line="240" w:lineRule="auto"/>
        <w:jc w:val="both"/>
        <w:rPr>
          <w:rFonts w:ascii="Arial" w:hAnsi="Arial" w:cs="Arial"/>
          <w:sz w:val="20"/>
          <w:szCs w:val="20"/>
        </w:rPr>
      </w:pPr>
    </w:p>
    <w:p w14:paraId="74F6B00A" w14:textId="77777777" w:rsidR="00CF18E2" w:rsidRDefault="00CF18E2" w:rsidP="00CF18E2">
      <w:pPr>
        <w:spacing w:line="240" w:lineRule="auto"/>
        <w:jc w:val="both"/>
        <w:rPr>
          <w:rFonts w:ascii="Arial" w:hAnsi="Arial" w:cs="Arial"/>
          <w:sz w:val="20"/>
          <w:szCs w:val="20"/>
        </w:rPr>
      </w:pPr>
    </w:p>
    <w:p w14:paraId="36CC5CCE" w14:textId="77777777" w:rsidR="00CF18E2" w:rsidRDefault="00CF18E2" w:rsidP="00CF18E2">
      <w:pPr>
        <w:spacing w:line="240" w:lineRule="auto"/>
        <w:jc w:val="both"/>
        <w:rPr>
          <w:rFonts w:ascii="Arial" w:hAnsi="Arial" w:cs="Arial"/>
          <w:sz w:val="20"/>
          <w:szCs w:val="20"/>
        </w:rPr>
      </w:pPr>
    </w:p>
    <w:p w14:paraId="59111756" w14:textId="77777777" w:rsidR="00CF18E2" w:rsidRPr="001467AF" w:rsidRDefault="00CF18E2" w:rsidP="00CF18E2">
      <w:pPr>
        <w:spacing w:line="240" w:lineRule="auto"/>
        <w:jc w:val="both"/>
        <w:rPr>
          <w:rFonts w:ascii="Arial" w:hAnsi="Arial" w:cs="Arial"/>
          <w:sz w:val="20"/>
          <w:szCs w:val="20"/>
        </w:rPr>
      </w:pPr>
    </w:p>
    <w:p w14:paraId="7FB92989" w14:textId="77777777" w:rsidR="00CF18E2" w:rsidRPr="001467AF" w:rsidRDefault="00CF18E2" w:rsidP="00CF18E2">
      <w:pPr>
        <w:jc w:val="both"/>
        <w:rPr>
          <w:rFonts w:ascii="Arial" w:hAnsi="Arial" w:cs="Arial"/>
          <w:sz w:val="20"/>
          <w:szCs w:val="20"/>
        </w:rPr>
      </w:pPr>
      <w:r w:rsidRPr="001467AF">
        <w:rPr>
          <w:rFonts w:ascii="Arial" w:hAnsi="Arial" w:cs="Arial"/>
          <w:sz w:val="20"/>
          <w:szCs w:val="20"/>
        </w:rPr>
        <w:t>Table.</w:t>
      </w:r>
      <w:r w:rsidRPr="001467AF">
        <w:rPr>
          <w:rFonts w:ascii="Arial" w:hAnsi="Arial" w:cs="Arial"/>
          <w:b/>
          <w:sz w:val="20"/>
          <w:szCs w:val="20"/>
        </w:rPr>
        <w:t xml:space="preserve"> </w:t>
      </w:r>
      <w:r w:rsidRPr="001467AF">
        <w:rPr>
          <w:rFonts w:ascii="Arial" w:hAnsi="Arial" w:cs="Arial"/>
          <w:sz w:val="20"/>
          <w:szCs w:val="20"/>
        </w:rPr>
        <w:t>Summary of TB-affected households’ qualitative feedback on positive aspects, aspects to improve on, and suggested improvements of the social and economic elements of the intervention.</w:t>
      </w:r>
    </w:p>
    <w:tbl>
      <w:tblPr>
        <w:tblStyle w:val="TableGrid"/>
        <w:tblpPr w:leftFromText="180" w:rightFromText="180" w:vertAnchor="page" w:horzAnchor="margin" w:tblpY="2656"/>
        <w:tblW w:w="9918" w:type="dxa"/>
        <w:tblLook w:val="04A0" w:firstRow="1" w:lastRow="0" w:firstColumn="1" w:lastColumn="0" w:noHBand="0" w:noVBand="1"/>
      </w:tblPr>
      <w:tblGrid>
        <w:gridCol w:w="2122"/>
        <w:gridCol w:w="2409"/>
        <w:gridCol w:w="2410"/>
        <w:gridCol w:w="2977"/>
      </w:tblGrid>
      <w:tr w:rsidR="00CF18E2" w:rsidRPr="001467AF" w14:paraId="13524BBE" w14:textId="77777777" w:rsidTr="0024081E">
        <w:tc>
          <w:tcPr>
            <w:tcW w:w="2122" w:type="dxa"/>
          </w:tcPr>
          <w:p w14:paraId="7D7B712A"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Intervention activity</w:t>
            </w:r>
          </w:p>
        </w:tc>
        <w:tc>
          <w:tcPr>
            <w:tcW w:w="2409" w:type="dxa"/>
          </w:tcPr>
          <w:p w14:paraId="03B156F7"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Positive</w:t>
            </w:r>
          </w:p>
        </w:tc>
        <w:tc>
          <w:tcPr>
            <w:tcW w:w="2410" w:type="dxa"/>
          </w:tcPr>
          <w:p w14:paraId="4561FB33"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Aspect to improve on</w:t>
            </w:r>
          </w:p>
        </w:tc>
        <w:tc>
          <w:tcPr>
            <w:tcW w:w="2977" w:type="dxa"/>
          </w:tcPr>
          <w:p w14:paraId="5AEEB994"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Suggested improvement</w:t>
            </w:r>
          </w:p>
        </w:tc>
      </w:tr>
      <w:tr w:rsidR="00CF18E2" w:rsidRPr="001467AF" w14:paraId="5D241680" w14:textId="77777777" w:rsidTr="0024081E">
        <w:tc>
          <w:tcPr>
            <w:tcW w:w="2122" w:type="dxa"/>
          </w:tcPr>
          <w:p w14:paraId="57307DDB"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Social</w:t>
            </w:r>
          </w:p>
        </w:tc>
        <w:tc>
          <w:tcPr>
            <w:tcW w:w="2409" w:type="dxa"/>
          </w:tcPr>
          <w:p w14:paraId="7A591F7C"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Improved information</w:t>
            </w:r>
          </w:p>
          <w:p w14:paraId="4819CB96"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and education</w:t>
            </w:r>
          </w:p>
          <w:p w14:paraId="20A416EE" w14:textId="77777777" w:rsidR="00CF18E2" w:rsidRPr="001467AF" w:rsidRDefault="00CF18E2" w:rsidP="0024081E">
            <w:pPr>
              <w:jc w:val="both"/>
              <w:rPr>
                <w:rFonts w:ascii="Arial" w:hAnsi="Arial" w:cs="Arial"/>
                <w:sz w:val="20"/>
                <w:szCs w:val="20"/>
              </w:rPr>
            </w:pPr>
          </w:p>
          <w:p w14:paraId="52106F58"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Enhanced emotional and mutual support</w:t>
            </w:r>
          </w:p>
          <w:p w14:paraId="5B8C565D" w14:textId="77777777" w:rsidR="00CF18E2" w:rsidRPr="001467AF" w:rsidRDefault="00CF18E2" w:rsidP="0024081E">
            <w:pPr>
              <w:jc w:val="both"/>
              <w:rPr>
                <w:rFonts w:ascii="Arial" w:hAnsi="Arial" w:cs="Arial"/>
                <w:sz w:val="20"/>
                <w:szCs w:val="20"/>
              </w:rPr>
            </w:pPr>
          </w:p>
          <w:p w14:paraId="31DA0DFF"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Increased self-confidence and esteem</w:t>
            </w:r>
          </w:p>
          <w:p w14:paraId="1557ABCF" w14:textId="77777777" w:rsidR="00CF18E2" w:rsidRPr="001467AF" w:rsidRDefault="00CF18E2" w:rsidP="0024081E">
            <w:pPr>
              <w:jc w:val="both"/>
              <w:rPr>
                <w:rFonts w:ascii="Arial" w:hAnsi="Arial" w:cs="Arial"/>
                <w:sz w:val="20"/>
                <w:szCs w:val="20"/>
              </w:rPr>
            </w:pPr>
          </w:p>
          <w:p w14:paraId="5F66D234"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 xml:space="preserve">Motivating </w:t>
            </w:r>
          </w:p>
        </w:tc>
        <w:tc>
          <w:tcPr>
            <w:tcW w:w="2410" w:type="dxa"/>
          </w:tcPr>
          <w:p w14:paraId="069B02F7"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Health-post, home visits, TB workshops, and TB Clubs too infrequent</w:t>
            </w:r>
          </w:p>
          <w:p w14:paraId="03CD6AB1" w14:textId="77777777" w:rsidR="00CF18E2" w:rsidRPr="001467AF" w:rsidRDefault="00CF18E2" w:rsidP="0024081E">
            <w:pPr>
              <w:jc w:val="both"/>
              <w:rPr>
                <w:rFonts w:ascii="Arial" w:hAnsi="Arial" w:cs="Arial"/>
                <w:sz w:val="20"/>
                <w:szCs w:val="20"/>
              </w:rPr>
            </w:pPr>
          </w:p>
          <w:p w14:paraId="7A82BB2D"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Lack of forewarning and difficulty coordinating times of social activities</w:t>
            </w:r>
          </w:p>
          <w:p w14:paraId="04539401" w14:textId="77777777" w:rsidR="00CF18E2" w:rsidRPr="001467AF" w:rsidRDefault="00CF18E2" w:rsidP="0024081E">
            <w:pPr>
              <w:jc w:val="both"/>
              <w:rPr>
                <w:rFonts w:ascii="Arial" w:hAnsi="Arial" w:cs="Arial"/>
                <w:sz w:val="20"/>
                <w:szCs w:val="20"/>
              </w:rPr>
            </w:pPr>
          </w:p>
          <w:p w14:paraId="15619826"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Workshops and clubs could be more dynamic</w:t>
            </w:r>
          </w:p>
        </w:tc>
        <w:tc>
          <w:tcPr>
            <w:tcW w:w="2977" w:type="dxa"/>
          </w:tcPr>
          <w:p w14:paraId="5C169C9B"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Increase health-post visits to at least weekly and home visits, TB workshops and Clubs to twice a month</w:t>
            </w:r>
          </w:p>
          <w:p w14:paraId="6A82C5FD" w14:textId="77777777" w:rsidR="00CF18E2" w:rsidRPr="001467AF" w:rsidRDefault="00CF18E2" w:rsidP="0024081E">
            <w:pPr>
              <w:jc w:val="both"/>
              <w:rPr>
                <w:rFonts w:ascii="Arial" w:hAnsi="Arial" w:cs="Arial"/>
                <w:sz w:val="20"/>
                <w:szCs w:val="20"/>
              </w:rPr>
            </w:pPr>
          </w:p>
          <w:p w14:paraId="35F27964"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Earlier formal invitation to activities followed-up by reminder phone call or text</w:t>
            </w:r>
          </w:p>
          <w:p w14:paraId="3227BC2F" w14:textId="77777777" w:rsidR="00CF18E2" w:rsidRPr="001467AF" w:rsidRDefault="00CF18E2" w:rsidP="0024081E">
            <w:pPr>
              <w:jc w:val="both"/>
              <w:rPr>
                <w:rFonts w:ascii="Arial" w:hAnsi="Arial" w:cs="Arial"/>
                <w:sz w:val="20"/>
                <w:szCs w:val="20"/>
              </w:rPr>
            </w:pPr>
          </w:p>
          <w:p w14:paraId="396B1C29"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Include better audiovisuals: especially music and videos (including patient testimonies)</w:t>
            </w:r>
          </w:p>
        </w:tc>
      </w:tr>
      <w:tr w:rsidR="00CF18E2" w:rsidRPr="001467AF" w14:paraId="6AC91A1A" w14:textId="77777777" w:rsidTr="0024081E">
        <w:tc>
          <w:tcPr>
            <w:tcW w:w="2122" w:type="dxa"/>
          </w:tcPr>
          <w:p w14:paraId="4C8022E3"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Economic</w:t>
            </w:r>
          </w:p>
        </w:tc>
        <w:tc>
          <w:tcPr>
            <w:tcW w:w="2409" w:type="dxa"/>
          </w:tcPr>
          <w:p w14:paraId="6AC73800"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Enabled participants to buy better food and cover travel costs to health-post for directly observed therapy or contact screening</w:t>
            </w:r>
          </w:p>
          <w:p w14:paraId="77BC5A86" w14:textId="77777777" w:rsidR="00CF18E2" w:rsidRPr="001467AF" w:rsidRDefault="00CF18E2" w:rsidP="0024081E">
            <w:pPr>
              <w:jc w:val="both"/>
              <w:rPr>
                <w:rFonts w:ascii="Arial" w:hAnsi="Arial" w:cs="Arial"/>
                <w:sz w:val="20"/>
                <w:szCs w:val="20"/>
              </w:rPr>
            </w:pPr>
          </w:p>
          <w:p w14:paraId="0FE9B0B5"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Cash transfers were encouraging and motivating</w:t>
            </w:r>
          </w:p>
        </w:tc>
        <w:tc>
          <w:tcPr>
            <w:tcW w:w="2410" w:type="dxa"/>
          </w:tcPr>
          <w:p w14:paraId="132CC422"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Transfers not punctual, too infrequent, and not enough</w:t>
            </w:r>
          </w:p>
          <w:p w14:paraId="376CFE8E" w14:textId="77777777" w:rsidR="00CF18E2" w:rsidRPr="001467AF" w:rsidRDefault="00CF18E2" w:rsidP="0024081E">
            <w:pPr>
              <w:jc w:val="both"/>
              <w:rPr>
                <w:rFonts w:ascii="Arial" w:hAnsi="Arial" w:cs="Arial"/>
                <w:sz w:val="20"/>
                <w:szCs w:val="20"/>
              </w:rPr>
            </w:pPr>
          </w:p>
          <w:p w14:paraId="6B6E5BE2"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 xml:space="preserve">Complications of bank transfers included difficulty withdrawing cash, wasted visits when cash was not yet deposited, and hidden bank charges </w:t>
            </w:r>
          </w:p>
        </w:tc>
        <w:tc>
          <w:tcPr>
            <w:tcW w:w="2977" w:type="dxa"/>
          </w:tcPr>
          <w:p w14:paraId="03C7E631"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Increase cash transfer amounts, allow maximum 3-day wait to arrive, and provide cash transfers twice a month</w:t>
            </w:r>
          </w:p>
          <w:p w14:paraId="26D6874C" w14:textId="77777777" w:rsidR="00CF18E2" w:rsidRPr="001467AF" w:rsidRDefault="00CF18E2" w:rsidP="0024081E">
            <w:pPr>
              <w:jc w:val="both"/>
              <w:rPr>
                <w:rFonts w:ascii="Arial" w:hAnsi="Arial" w:cs="Arial"/>
                <w:sz w:val="20"/>
                <w:szCs w:val="20"/>
              </w:rPr>
            </w:pPr>
          </w:p>
          <w:p w14:paraId="0F112982"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Inform household when cash transfers have arrived</w:t>
            </w:r>
          </w:p>
          <w:p w14:paraId="20720ADD" w14:textId="77777777" w:rsidR="00CF18E2" w:rsidRPr="001467AF" w:rsidRDefault="00CF18E2" w:rsidP="0024081E">
            <w:pPr>
              <w:jc w:val="both"/>
              <w:rPr>
                <w:rFonts w:ascii="Arial" w:hAnsi="Arial" w:cs="Arial"/>
                <w:sz w:val="20"/>
                <w:szCs w:val="20"/>
              </w:rPr>
            </w:pPr>
          </w:p>
          <w:p w14:paraId="52178152" w14:textId="77777777" w:rsidR="00CF18E2" w:rsidRPr="001467AF" w:rsidRDefault="00CF18E2" w:rsidP="0024081E">
            <w:pPr>
              <w:jc w:val="both"/>
              <w:rPr>
                <w:rFonts w:ascii="Arial" w:hAnsi="Arial" w:cs="Arial"/>
                <w:sz w:val="20"/>
                <w:szCs w:val="20"/>
              </w:rPr>
            </w:pPr>
            <w:r w:rsidRPr="001467AF">
              <w:rPr>
                <w:rFonts w:ascii="Arial" w:hAnsi="Arial" w:cs="Arial"/>
                <w:sz w:val="20"/>
                <w:szCs w:val="20"/>
              </w:rPr>
              <w:t>Allow participants to save up cash transfers (e.g. have all transferred at one time)</w:t>
            </w:r>
          </w:p>
        </w:tc>
      </w:tr>
    </w:tbl>
    <w:p w14:paraId="3FFB4631" w14:textId="77777777" w:rsidR="00E85376" w:rsidRDefault="00E85376"/>
    <w:sectPr w:rsidR="00E85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7261C3"/>
    <w:multiLevelType w:val="hybridMultilevel"/>
    <w:tmpl w:val="BB568BEA"/>
    <w:lvl w:ilvl="0" w:tplc="33AEE63C">
      <w:start w:val="1"/>
      <w:numFmt w:val="decimal"/>
      <w:lvlText w:val="%1"/>
      <w:lvlJc w:val="left"/>
      <w:pPr>
        <w:ind w:left="360" w:hanging="360"/>
      </w:pPr>
      <w:rPr>
        <w:rFonts w:ascii="Arial" w:eastAsiaTheme="minorHAnsi" w:hAnsi="Arial" w:cs="Arial"/>
        <w:vertAlign w:val="superscrip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E2"/>
    <w:rsid w:val="00CF18E2"/>
    <w:rsid w:val="00E8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B2156"/>
  <w15:chartTrackingRefBased/>
  <w15:docId w15:val="{DBDFE5A6-FFA8-447B-ADD9-8A8EDB44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8E2"/>
    <w:pPr>
      <w:spacing w:after="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CF18E2"/>
    <w:pPr>
      <w:spacing w:after="0" w:line="240" w:lineRule="auto"/>
      <w:outlineLvl w:val="0"/>
    </w:pPr>
    <w:rPr>
      <w:rFonts w:ascii="Times New Roman" w:eastAsia="ヒラギノ角ゴ Pro W3" w:hAnsi="Times New Roman" w:cs="Times New Roman"/>
      <w:color w:val="000000"/>
      <w:sz w:val="24"/>
      <w:szCs w:val="24"/>
      <w:lang w:eastAsia="en-GB"/>
    </w:rPr>
  </w:style>
  <w:style w:type="table" w:styleId="TableGrid">
    <w:name w:val="Table Grid"/>
    <w:basedOn w:val="TableNormal"/>
    <w:uiPriority w:val="39"/>
    <w:rsid w:val="00CF1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CF18E2"/>
  </w:style>
  <w:style w:type="paragraph" w:styleId="ListParagraph">
    <w:name w:val="List Paragraph"/>
    <w:basedOn w:val="Normal"/>
    <w:uiPriority w:val="34"/>
    <w:qFormat/>
    <w:rsid w:val="00CF18E2"/>
    <w:pPr>
      <w:spacing w:after="200"/>
      <w:ind w:left="720"/>
      <w:contextualSpacing/>
    </w:pPr>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Bonadonna</dc:creator>
  <cp:keywords/>
  <dc:description/>
  <cp:lastModifiedBy>Lily Bonadonna</cp:lastModifiedBy>
  <cp:revision>1</cp:revision>
  <dcterms:created xsi:type="dcterms:W3CDTF">2016-10-22T00:59:00Z</dcterms:created>
  <dcterms:modified xsi:type="dcterms:W3CDTF">2016-10-22T01:00:00Z</dcterms:modified>
</cp:coreProperties>
</file>